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5466" w14:textId="7ECCE739" w:rsidR="006B6E98" w:rsidRPr="002669EA" w:rsidRDefault="00B96DD6" w:rsidP="00B96DD6">
      <w:pPr>
        <w:spacing w:line="276" w:lineRule="auto"/>
        <w:jc w:val="center"/>
        <w:rPr>
          <w:rFonts w:ascii="Times New Roman" w:hAnsi="Times New Roman" w:cs="Times New Roman"/>
          <w:b/>
          <w:bCs/>
          <w:lang w:val="en-US"/>
        </w:rPr>
      </w:pPr>
      <w:r w:rsidRPr="002669EA">
        <w:rPr>
          <w:rFonts w:ascii="Times New Roman" w:hAnsi="Times New Roman" w:cs="Times New Roman"/>
          <w:b/>
          <w:bCs/>
          <w:lang w:val="en-US"/>
        </w:rPr>
        <w:t xml:space="preserve">Supplementary </w:t>
      </w:r>
      <w:r w:rsidR="002669EA" w:rsidRPr="002669EA">
        <w:rPr>
          <w:rFonts w:ascii="Times New Roman" w:hAnsi="Times New Roman" w:cs="Times New Roman"/>
          <w:b/>
          <w:bCs/>
          <w:lang w:val="en-US"/>
        </w:rPr>
        <w:t>material</w:t>
      </w:r>
    </w:p>
    <w:p w14:paraId="6E5F3B21" w14:textId="77777777" w:rsidR="00B96DD6" w:rsidRPr="002669EA" w:rsidRDefault="00B96DD6" w:rsidP="00507063">
      <w:pPr>
        <w:spacing w:line="276" w:lineRule="auto"/>
        <w:jc w:val="both"/>
        <w:rPr>
          <w:rFonts w:ascii="Times New Roman" w:hAnsi="Times New Roman" w:cs="Times New Roman"/>
          <w:lang w:val="en-US"/>
        </w:rPr>
      </w:pPr>
    </w:p>
    <w:p w14:paraId="077B6880" w14:textId="0CAD45E6" w:rsidR="00507063" w:rsidRPr="002669EA" w:rsidRDefault="00507063" w:rsidP="00507063">
      <w:pPr>
        <w:spacing w:line="276" w:lineRule="auto"/>
        <w:jc w:val="both"/>
        <w:rPr>
          <w:rFonts w:ascii="Times New Roman" w:hAnsi="Times New Roman" w:cs="Times New Roman"/>
          <w:lang w:val="en-US"/>
        </w:rPr>
      </w:pPr>
      <w:r w:rsidRPr="002669EA">
        <w:rPr>
          <w:rFonts w:ascii="Times New Roman" w:hAnsi="Times New Roman" w:cs="Times New Roman"/>
          <w:lang w:val="en-US"/>
        </w:rPr>
        <w:t xml:space="preserve">SUPPLEMENTARY TABLE </w:t>
      </w:r>
      <w:r w:rsidRPr="002669EA">
        <w:rPr>
          <w:rFonts w:ascii="Times New Roman" w:hAnsi="Times New Roman" w:cs="Times New Roman"/>
          <w:lang w:val="en-US" w:eastAsia="el-GR"/>
        </w:rPr>
        <w:t>S1.</w:t>
      </w:r>
      <w:r w:rsidRPr="002669EA">
        <w:rPr>
          <w:rFonts w:ascii="Times New Roman" w:hAnsi="Times New Roman" w:cs="Times New Roman"/>
          <w:b/>
          <w:bCs/>
          <w:lang w:val="en-US" w:eastAsia="el-GR"/>
        </w:rPr>
        <w:t xml:space="preserve"> </w:t>
      </w:r>
      <w:r w:rsidRPr="002669EA">
        <w:rPr>
          <w:rFonts w:ascii="Times New Roman" w:hAnsi="Times New Roman" w:cs="Times New Roman"/>
          <w:lang w:val="en-US" w:eastAsia="el-GR"/>
        </w:rPr>
        <w:t>Detailed presentation of s</w:t>
      </w:r>
      <w:r w:rsidRPr="002669EA">
        <w:rPr>
          <w:rFonts w:ascii="Times New Roman" w:hAnsi="Times New Roman" w:cs="Times New Roman"/>
          <w:lang w:val="en-US"/>
        </w:rPr>
        <w:t>elective antimicrobial medications commonly used in neonates.</w:t>
      </w:r>
    </w:p>
    <w:p w14:paraId="480A4B5B" w14:textId="446A5C0F" w:rsidR="00C92CC4" w:rsidRPr="002669EA" w:rsidRDefault="00C92CC4">
      <w:pPr>
        <w:rPr>
          <w:rFonts w:ascii="Times New Roman" w:hAnsi="Times New Roman" w:cs="Times New Roman"/>
          <w:lang w:val="en-US"/>
        </w:rPr>
      </w:pPr>
    </w:p>
    <w:tbl>
      <w:tblPr>
        <w:tblStyle w:val="TableGrid"/>
        <w:tblW w:w="14729" w:type="dxa"/>
        <w:tblInd w:w="-289" w:type="dxa"/>
        <w:tblLook w:val="04A0" w:firstRow="1" w:lastRow="0" w:firstColumn="1" w:lastColumn="0" w:noHBand="0" w:noVBand="1"/>
      </w:tblPr>
      <w:tblGrid>
        <w:gridCol w:w="1844"/>
        <w:gridCol w:w="3279"/>
        <w:gridCol w:w="2391"/>
        <w:gridCol w:w="4110"/>
        <w:gridCol w:w="3105"/>
      </w:tblGrid>
      <w:tr w:rsidR="00B96DD6" w:rsidRPr="002669EA" w14:paraId="78E92939" w14:textId="77777777" w:rsidTr="004464EE">
        <w:trPr>
          <w:trHeight w:val="132"/>
        </w:trPr>
        <w:tc>
          <w:tcPr>
            <w:tcW w:w="1844" w:type="dxa"/>
          </w:tcPr>
          <w:p w14:paraId="309630FD" w14:textId="77777777" w:rsidR="00C92CC4" w:rsidRPr="002669EA" w:rsidRDefault="00C92CC4" w:rsidP="00512AF2">
            <w:pPr>
              <w:jc w:val="center"/>
              <w:rPr>
                <w:rFonts w:ascii="Times New Roman" w:hAnsi="Times New Roman" w:cs="Times New Roman"/>
                <w:b/>
                <w:bCs/>
                <w:sz w:val="18"/>
                <w:szCs w:val="18"/>
              </w:rPr>
            </w:pPr>
            <w:r w:rsidRPr="002669EA">
              <w:rPr>
                <w:rFonts w:ascii="Times New Roman" w:hAnsi="Times New Roman" w:cs="Times New Roman"/>
                <w:b/>
                <w:bCs/>
                <w:sz w:val="18"/>
                <w:szCs w:val="18"/>
                <w:lang w:val="en-US"/>
              </w:rPr>
              <w:t>Medication [references]</w:t>
            </w:r>
          </w:p>
        </w:tc>
        <w:tc>
          <w:tcPr>
            <w:tcW w:w="3279" w:type="dxa"/>
          </w:tcPr>
          <w:p w14:paraId="0CE216E8" w14:textId="1CFCAEB6" w:rsidR="00C92CC4" w:rsidRPr="002669EA" w:rsidRDefault="00C92CC4" w:rsidP="00512AF2">
            <w:pPr>
              <w:spacing w:before="120" w:after="240"/>
              <w:jc w:val="center"/>
              <w:rPr>
                <w:rFonts w:ascii="Times New Roman" w:hAnsi="Times New Roman" w:cs="Times New Roman"/>
                <w:b/>
                <w:bCs/>
                <w:sz w:val="18"/>
                <w:szCs w:val="18"/>
                <w:lang w:val="en-US"/>
              </w:rPr>
            </w:pPr>
            <w:r w:rsidRPr="002669EA">
              <w:rPr>
                <w:rFonts w:ascii="Times New Roman" w:hAnsi="Times New Roman" w:cs="Times New Roman"/>
                <w:b/>
                <w:bCs/>
                <w:sz w:val="18"/>
                <w:szCs w:val="18"/>
                <w:lang w:val="en-US"/>
              </w:rPr>
              <w:t>Mechanism of action</w:t>
            </w:r>
            <w:r w:rsidR="00F332A0" w:rsidRPr="002669EA">
              <w:rPr>
                <w:rFonts w:ascii="Times New Roman" w:hAnsi="Times New Roman" w:cs="Times New Roman"/>
                <w:b/>
                <w:bCs/>
                <w:sz w:val="18"/>
                <w:szCs w:val="18"/>
                <w:lang w:val="en-US"/>
              </w:rPr>
              <w:t xml:space="preserve"> / bactericidal spectrum</w:t>
            </w:r>
          </w:p>
        </w:tc>
        <w:tc>
          <w:tcPr>
            <w:tcW w:w="2391" w:type="dxa"/>
          </w:tcPr>
          <w:p w14:paraId="58957036" w14:textId="77777777" w:rsidR="00C92CC4" w:rsidRPr="002669EA" w:rsidRDefault="00C92CC4" w:rsidP="00512AF2">
            <w:pPr>
              <w:rPr>
                <w:rFonts w:ascii="Times New Roman" w:hAnsi="Times New Roman" w:cs="Times New Roman"/>
                <w:b/>
                <w:bCs/>
                <w:sz w:val="18"/>
                <w:szCs w:val="18"/>
                <w:lang w:val="en-US"/>
              </w:rPr>
            </w:pPr>
          </w:p>
          <w:p w14:paraId="77FEAEB7" w14:textId="77777777" w:rsidR="00C92CC4" w:rsidRPr="002669EA" w:rsidRDefault="00C92CC4" w:rsidP="00512AF2">
            <w:pPr>
              <w:jc w:val="center"/>
              <w:rPr>
                <w:rFonts w:ascii="Times New Roman" w:hAnsi="Times New Roman" w:cs="Times New Roman"/>
                <w:b/>
                <w:bCs/>
                <w:sz w:val="18"/>
                <w:szCs w:val="18"/>
              </w:rPr>
            </w:pPr>
            <w:r w:rsidRPr="002669EA">
              <w:rPr>
                <w:rFonts w:ascii="Times New Roman" w:hAnsi="Times New Roman" w:cs="Times New Roman"/>
                <w:b/>
                <w:bCs/>
                <w:sz w:val="18"/>
                <w:szCs w:val="18"/>
                <w:lang w:val="en-US"/>
              </w:rPr>
              <w:t>Main neonatal indications</w:t>
            </w:r>
          </w:p>
        </w:tc>
        <w:tc>
          <w:tcPr>
            <w:tcW w:w="4110" w:type="dxa"/>
          </w:tcPr>
          <w:p w14:paraId="0081A04A" w14:textId="77777777" w:rsidR="00C92CC4" w:rsidRPr="002669EA" w:rsidRDefault="00C92CC4" w:rsidP="00512AF2">
            <w:pPr>
              <w:jc w:val="center"/>
              <w:rPr>
                <w:rFonts w:ascii="Times New Roman" w:hAnsi="Times New Roman" w:cs="Times New Roman"/>
                <w:b/>
                <w:bCs/>
                <w:sz w:val="18"/>
                <w:szCs w:val="18"/>
                <w:lang w:val="en-US"/>
              </w:rPr>
            </w:pPr>
          </w:p>
          <w:p w14:paraId="07EEE977" w14:textId="77777777" w:rsidR="00C92CC4" w:rsidRPr="002669EA" w:rsidRDefault="00C92CC4" w:rsidP="00512AF2">
            <w:pPr>
              <w:jc w:val="center"/>
              <w:rPr>
                <w:rFonts w:ascii="Times New Roman" w:hAnsi="Times New Roman" w:cs="Times New Roman"/>
                <w:b/>
                <w:bCs/>
                <w:sz w:val="18"/>
                <w:szCs w:val="18"/>
              </w:rPr>
            </w:pPr>
            <w:r w:rsidRPr="002669EA">
              <w:rPr>
                <w:rFonts w:ascii="Times New Roman" w:hAnsi="Times New Roman" w:cs="Times New Roman"/>
                <w:b/>
                <w:bCs/>
                <w:sz w:val="18"/>
                <w:szCs w:val="18"/>
                <w:lang w:val="en-US"/>
              </w:rPr>
              <w:t>Neonatal dosing regimen</w:t>
            </w:r>
          </w:p>
        </w:tc>
        <w:tc>
          <w:tcPr>
            <w:tcW w:w="3105" w:type="dxa"/>
          </w:tcPr>
          <w:p w14:paraId="737F1EA5" w14:textId="77777777" w:rsidR="00C92CC4" w:rsidRPr="002669EA" w:rsidRDefault="00C92CC4" w:rsidP="00512AF2">
            <w:pPr>
              <w:jc w:val="center"/>
              <w:rPr>
                <w:rFonts w:ascii="Times New Roman" w:hAnsi="Times New Roman" w:cs="Times New Roman"/>
                <w:b/>
                <w:bCs/>
                <w:sz w:val="18"/>
                <w:szCs w:val="18"/>
                <w:lang w:val="en-US"/>
              </w:rPr>
            </w:pPr>
          </w:p>
          <w:p w14:paraId="6EC78FEB" w14:textId="77777777" w:rsidR="00C92CC4" w:rsidRPr="002669EA" w:rsidRDefault="00C92CC4" w:rsidP="00512AF2">
            <w:pPr>
              <w:jc w:val="center"/>
              <w:rPr>
                <w:rFonts w:ascii="Times New Roman" w:hAnsi="Times New Roman" w:cs="Times New Roman"/>
                <w:b/>
                <w:bCs/>
                <w:sz w:val="18"/>
                <w:szCs w:val="18"/>
              </w:rPr>
            </w:pPr>
            <w:r w:rsidRPr="002669EA">
              <w:rPr>
                <w:rFonts w:ascii="Times New Roman" w:hAnsi="Times New Roman" w:cs="Times New Roman"/>
                <w:b/>
                <w:bCs/>
                <w:sz w:val="18"/>
                <w:szCs w:val="18"/>
                <w:lang w:val="en-US"/>
              </w:rPr>
              <w:t>Side effects</w:t>
            </w:r>
          </w:p>
        </w:tc>
      </w:tr>
      <w:tr w:rsidR="00B96DD6" w:rsidRPr="002669EA" w14:paraId="04C8989F" w14:textId="77777777" w:rsidTr="004464EE">
        <w:trPr>
          <w:trHeight w:val="2791"/>
        </w:trPr>
        <w:tc>
          <w:tcPr>
            <w:tcW w:w="1844" w:type="dxa"/>
          </w:tcPr>
          <w:p w14:paraId="152606AA" w14:textId="54248F38" w:rsidR="00F332A0" w:rsidRPr="002669EA" w:rsidRDefault="006B6E98" w:rsidP="00F332A0">
            <w:pPr>
              <w:jc w:val="center"/>
              <w:rPr>
                <w:rFonts w:ascii="Times New Roman" w:hAnsi="Times New Roman" w:cs="Times New Roman"/>
                <w:sz w:val="18"/>
                <w:szCs w:val="18"/>
                <w:lang w:val="en-GB"/>
              </w:rPr>
            </w:pPr>
            <w:r w:rsidRPr="002669EA">
              <w:rPr>
                <w:rFonts w:ascii="Times New Roman" w:hAnsi="Times New Roman" w:cs="Times New Roman"/>
                <w:b/>
                <w:bCs/>
                <w:sz w:val="18"/>
                <w:szCs w:val="18"/>
                <w:lang w:val="en-GB"/>
              </w:rPr>
              <w:t>AMPICILLIN</w:t>
            </w:r>
            <w:r w:rsidRPr="002669EA">
              <w:rPr>
                <w:rFonts w:ascii="Times New Roman" w:hAnsi="Times New Roman" w:cs="Times New Roman"/>
                <w:b/>
                <w:bCs/>
                <w:sz w:val="18"/>
                <w:szCs w:val="18"/>
                <w:lang w:val="en-GB"/>
              </w:rPr>
              <w:br/>
            </w:r>
            <w:r w:rsidRPr="002669EA">
              <w:rPr>
                <w:rFonts w:ascii="Times New Roman" w:hAnsi="Times New Roman" w:cs="Times New Roman"/>
                <w:sz w:val="18"/>
                <w:szCs w:val="18"/>
                <w:shd w:val="clear" w:color="auto" w:fill="FFFFFF"/>
                <w:lang w:val="en-US"/>
              </w:rPr>
              <w:t>(beta-lactam antibiotic classified as aminopenicillins)</w:t>
            </w:r>
            <w:r w:rsidRPr="002669EA">
              <w:rPr>
                <w:rFonts w:ascii="Times New Roman" w:hAnsi="Times New Roman" w:cs="Times New Roman"/>
                <w:sz w:val="18"/>
                <w:szCs w:val="18"/>
                <w:shd w:val="clear" w:color="auto" w:fill="FFFFFF"/>
                <w:lang w:val="en-US"/>
              </w:rPr>
              <w:br/>
            </w:r>
            <w:r w:rsidRPr="002669EA">
              <w:rPr>
                <w:rFonts w:ascii="Times New Roman" w:hAnsi="Times New Roman" w:cs="Times New Roman"/>
                <w:sz w:val="18"/>
                <w:szCs w:val="18"/>
                <w:lang w:val="en-US"/>
              </w:rPr>
              <w:fldChar w:fldCharType="begin"/>
            </w:r>
            <w:r w:rsidR="00412230" w:rsidRPr="002669EA">
              <w:rPr>
                <w:rFonts w:ascii="Times New Roman" w:hAnsi="Times New Roman" w:cs="Times New Roman"/>
                <w:sz w:val="18"/>
                <w:szCs w:val="18"/>
                <w:lang w:val="en-US"/>
              </w:rPr>
              <w:instrText xml:space="preserve"> ADDIN ZOTERO_ITEM CSL_CITATION {"citationID":"UXinHDI9","properties":{"formattedCitation":"[1,2]","plainCitation":"[1,2]","noteIndex":0},"citationItems":[{"id":"uNES7Vp8/huD0tiKL","uris":["http://zotero.org/users/12893963/items/PRIIWBG8"],"itemData":{"id":426,"type":"article-journal","abstract":"Group B streptococcal (GBS) infection remains the most common cause of neonatal early-onset sepsis and a significant cause of late-onset sepsis among young infants. Administration of intrapartum antibiotic prophylaxis is the only currently available effective strategy for the prevention of perinatal GBS early-onset disease, and there is no effective approach for the prevention of late-onset disease. The American Academy of Pediatrics joins with the American College of Obstetricians and Gynecologists to reaffirm the use of universal antenatal microbiologic-based testing for the detection of maternal GBS colonization to facilitate appropriate administration of intrapartum antibiotic prophylaxis. The purpose of this clinical report is to provide neonatal clinicians with updated information regarding the epidemiology of GBS disease as well current recommendations for the evaluation of newborn infants at risk for GBS disease and for treatment of those with confirmed GBS infection. This clinical report is endorsed by the American College of Obstetricians and Gynecologists (ACOG), July 2019, and should be construed as ACOG clinical guidance.","container-title":"Pediatrics","DOI":"10.1542/peds.2019-1881","ISSN":"1098-4275","issue":"2","journalAbbreviation":"Pediatrics","language":"eng","note":"PMID: 31285392","page":"e20191881","source":"PubMed","title":"Management of Infants at Risk for Group B Streptococcal Disease","volume":"144","author":[{"family":"Puopolo","given":"Karen M."},{"family":"Lynfield","given":"Ruth"},{"family":"Cummings","given":"James J."},{"literal":"COMMITTEE ON FETUS AND NEWBORN"},{"literal":"COMMITTEE ON INFECTIOUS DISEASES"}],"issued":{"date-parts":[["2019",8]]}},"label":"page"},{"id":"uNES7Vp8/Qndl9cJc","uris":["http://zotero.org/users/12893963/items/2QKWXQPK"],"itemData":{"id":"UuObPpXM/F21OzGlM","type":"article-journal","abstract":"Section 409i of BPCA requires NIH and FDA to prioritize therapeutic areas in critical need of pediatric research. NICHD then facilitates clinical trials and data are submitted to FDA who determines if labeling changes are appropriate. This site lists such approved labeling changes.","container-title":"FDA","language":"en","note":"publisher: FDA","source":"www.fda.gov","title":"NIH Funded Pediatric Labeling Changes for drugs studied under the 409i process","URL":"https://www.fda.gov/drugs/development-resources/nih-funded-pediatric-labeling-changes-drugs-studied-under-409i-process","author":[{"family":"Research","given":"Center for Drug Evaluation","dropping-particle":"and"}],"accessed":{"date-parts":[["2024",3,26]]},"issued":{"date-parts":[["2024",2,20]]}}}],"schema":"https://github.com/citation-style-language/schema/raw/master/csl-citation.json"} </w:instrText>
            </w:r>
            <w:r w:rsidRPr="002669EA">
              <w:rPr>
                <w:rFonts w:ascii="Times New Roman" w:hAnsi="Times New Roman" w:cs="Times New Roman"/>
                <w:sz w:val="18"/>
                <w:szCs w:val="18"/>
                <w:lang w:val="en-US"/>
              </w:rPr>
              <w:fldChar w:fldCharType="separate"/>
            </w:r>
            <w:r w:rsidR="00412230" w:rsidRPr="002669EA">
              <w:rPr>
                <w:rFonts w:ascii="Times New Roman" w:hAnsi="Times New Roman" w:cs="Times New Roman"/>
                <w:sz w:val="18"/>
                <w:lang w:val="en-US"/>
              </w:rPr>
              <w:t>[1,2]</w:t>
            </w:r>
            <w:r w:rsidRPr="002669EA">
              <w:rPr>
                <w:rFonts w:ascii="Times New Roman" w:hAnsi="Times New Roman" w:cs="Times New Roman"/>
                <w:sz w:val="18"/>
                <w:szCs w:val="18"/>
                <w:lang w:val="en-US"/>
              </w:rPr>
              <w:fldChar w:fldCharType="end"/>
            </w:r>
            <w:r w:rsidRPr="002669EA">
              <w:rPr>
                <w:rFonts w:ascii="Times New Roman" w:hAnsi="Times New Roman" w:cs="Times New Roman"/>
                <w:sz w:val="18"/>
                <w:szCs w:val="18"/>
                <w:lang w:val="en-US"/>
              </w:rPr>
              <w:t xml:space="preserve">  </w:t>
            </w:r>
          </w:p>
          <w:p w14:paraId="4B11EF35" w14:textId="50038B01" w:rsidR="006B6E98" w:rsidRPr="002669EA" w:rsidRDefault="006B6E98" w:rsidP="006B6E98">
            <w:pPr>
              <w:jc w:val="center"/>
              <w:rPr>
                <w:rFonts w:ascii="Times New Roman" w:hAnsi="Times New Roman" w:cs="Times New Roman"/>
                <w:b/>
                <w:bCs/>
                <w:sz w:val="18"/>
                <w:szCs w:val="18"/>
                <w:lang w:val="en-US"/>
              </w:rPr>
            </w:pPr>
          </w:p>
        </w:tc>
        <w:tc>
          <w:tcPr>
            <w:tcW w:w="3279" w:type="dxa"/>
          </w:tcPr>
          <w:p w14:paraId="0A128E96" w14:textId="1A6983BF" w:rsidR="006B6E98" w:rsidRPr="002669EA" w:rsidRDefault="00F332A0" w:rsidP="008E53A2">
            <w:pPr>
              <w:pStyle w:val="NormalWeb"/>
              <w:shd w:val="clear" w:color="auto" w:fill="FFFFFF"/>
              <w:rPr>
                <w:sz w:val="18"/>
                <w:szCs w:val="18"/>
                <w:shd w:val="clear" w:color="auto" w:fill="FFFFFF"/>
                <w:lang w:val="en-US"/>
              </w:rPr>
            </w:pPr>
            <w:r w:rsidRPr="002669EA">
              <w:rPr>
                <w:sz w:val="18"/>
                <w:szCs w:val="18"/>
                <w:shd w:val="clear" w:color="auto" w:fill="FFFFFF"/>
                <w:lang w:val="en-US"/>
              </w:rPr>
              <w:t xml:space="preserve">- </w:t>
            </w:r>
            <w:r w:rsidR="006B6E98" w:rsidRPr="002669EA">
              <w:rPr>
                <w:sz w:val="18"/>
                <w:szCs w:val="18"/>
                <w:shd w:val="clear" w:color="auto" w:fill="FFFFFF"/>
                <w:lang w:val="en-US"/>
              </w:rPr>
              <w:t xml:space="preserve">It inhibits bacterial cell wall synthesis by binding to the membrane-associated penicillin-binding proteins (PBPs), inhibiting the synthesis of peptidoglycan </w:t>
            </w:r>
            <w:r w:rsidR="00631824" w:rsidRPr="002669EA">
              <w:rPr>
                <w:sz w:val="18"/>
                <w:szCs w:val="18"/>
                <w:shd w:val="clear" w:color="auto" w:fill="FFFFFF"/>
                <w:lang w:val="en-US"/>
              </w:rPr>
              <w:t>eventually</w:t>
            </w:r>
            <w:r w:rsidRPr="002669EA">
              <w:rPr>
                <w:sz w:val="18"/>
                <w:szCs w:val="18"/>
                <w:shd w:val="clear" w:color="auto" w:fill="FFFFFF"/>
                <w:lang w:val="en-US"/>
              </w:rPr>
              <w:t xml:space="preserve"> </w:t>
            </w:r>
            <w:r w:rsidR="006B6E98" w:rsidRPr="002669EA">
              <w:rPr>
                <w:sz w:val="18"/>
                <w:szCs w:val="18"/>
                <w:shd w:val="clear" w:color="auto" w:fill="FFFFFF"/>
                <w:lang w:val="en-US"/>
              </w:rPr>
              <w:t>leading to lysis and cell death</w:t>
            </w:r>
            <w:r w:rsidR="00631824" w:rsidRPr="002669EA">
              <w:rPr>
                <w:sz w:val="18"/>
                <w:szCs w:val="18"/>
                <w:shd w:val="clear" w:color="auto" w:fill="FFFFFF"/>
                <w:lang w:val="en-US"/>
              </w:rPr>
              <w:t>.</w:t>
            </w:r>
            <w:r w:rsidR="006B6E98" w:rsidRPr="002669EA">
              <w:rPr>
                <w:sz w:val="18"/>
                <w:szCs w:val="18"/>
                <w:shd w:val="clear" w:color="auto" w:fill="FFFFFF"/>
                <w:lang w:val="en-US"/>
              </w:rPr>
              <w:br/>
              <w:t xml:space="preserve">- Broad spectrum bactericidal activity against susceptible Gram-positive (including </w:t>
            </w:r>
            <w:proofErr w:type="spellStart"/>
            <w:r w:rsidR="006B6E98" w:rsidRPr="002669EA">
              <w:rPr>
                <w:sz w:val="18"/>
                <w:szCs w:val="18"/>
                <w:shd w:val="clear" w:color="auto" w:fill="FFFFFF"/>
                <w:lang w:val="en-US"/>
              </w:rPr>
              <w:t>Strept</w:t>
            </w:r>
            <w:proofErr w:type="spellEnd"/>
            <w:r w:rsidR="004464EE" w:rsidRPr="002669EA">
              <w:rPr>
                <w:sz w:val="18"/>
                <w:szCs w:val="18"/>
                <w:shd w:val="clear" w:color="auto" w:fill="FFFFFF"/>
                <w:lang w:val="en-US"/>
              </w:rPr>
              <w:t>.</w:t>
            </w:r>
            <w:r w:rsidR="006B6E98" w:rsidRPr="002669EA">
              <w:rPr>
                <w:sz w:val="18"/>
                <w:szCs w:val="18"/>
                <w:shd w:val="clear" w:color="auto" w:fill="FFFFFF"/>
                <w:lang w:val="en-US"/>
              </w:rPr>
              <w:t xml:space="preserve"> </w:t>
            </w:r>
            <w:r w:rsidR="00631824" w:rsidRPr="002669EA">
              <w:rPr>
                <w:sz w:val="18"/>
                <w:szCs w:val="18"/>
                <w:shd w:val="clear" w:color="auto" w:fill="FFFFFF"/>
                <w:lang w:val="en-US"/>
              </w:rPr>
              <w:t>spp.</w:t>
            </w:r>
            <w:r w:rsidR="006B6E98" w:rsidRPr="002669EA">
              <w:rPr>
                <w:sz w:val="18"/>
                <w:szCs w:val="18"/>
                <w:shd w:val="clear" w:color="auto" w:fill="FFFFFF"/>
                <w:lang w:val="en-US"/>
              </w:rPr>
              <w:t>, Enterococcus faecalis, Listeria monocytogenes) and Gram-negative (E</w:t>
            </w:r>
            <w:r w:rsidR="004464EE" w:rsidRPr="002669EA">
              <w:rPr>
                <w:sz w:val="18"/>
                <w:szCs w:val="18"/>
                <w:shd w:val="clear" w:color="auto" w:fill="FFFFFF"/>
                <w:lang w:val="en-US"/>
              </w:rPr>
              <w:t>.</w:t>
            </w:r>
            <w:r w:rsidR="006B6E98" w:rsidRPr="002669EA">
              <w:rPr>
                <w:sz w:val="18"/>
                <w:szCs w:val="18"/>
                <w:shd w:val="clear" w:color="auto" w:fill="FFFFFF"/>
                <w:lang w:val="en-US"/>
              </w:rPr>
              <w:t xml:space="preserve"> coli, </w:t>
            </w:r>
            <w:r w:rsidR="00631824" w:rsidRPr="002669EA">
              <w:rPr>
                <w:sz w:val="18"/>
                <w:szCs w:val="18"/>
                <w:shd w:val="clear" w:color="auto" w:fill="FFFFFF"/>
                <w:lang w:val="en-US"/>
              </w:rPr>
              <w:t>Hemophilus</w:t>
            </w:r>
            <w:r w:rsidR="006B6E98" w:rsidRPr="002669EA">
              <w:rPr>
                <w:sz w:val="18"/>
                <w:szCs w:val="18"/>
                <w:shd w:val="clear" w:color="auto" w:fill="FFFFFF"/>
                <w:lang w:val="en-US"/>
              </w:rPr>
              <w:t xml:space="preserve"> influenzae, Neisseria meningitidis, Proteus mirabilis and Salmonellae)</w:t>
            </w:r>
            <w:r w:rsidRPr="002669EA">
              <w:rPr>
                <w:sz w:val="18"/>
                <w:szCs w:val="18"/>
                <w:shd w:val="clear" w:color="auto" w:fill="FFFFFF"/>
                <w:lang w:val="en-US"/>
              </w:rPr>
              <w:t>.</w:t>
            </w:r>
          </w:p>
        </w:tc>
        <w:tc>
          <w:tcPr>
            <w:tcW w:w="2391" w:type="dxa"/>
          </w:tcPr>
          <w:p w14:paraId="3E22C65A" w14:textId="13F1CA78" w:rsidR="006B6E98" w:rsidRPr="002669EA" w:rsidRDefault="006B6E98" w:rsidP="00F332A0">
            <w:pPr>
              <w:pStyle w:val="NormalWeb"/>
              <w:shd w:val="clear" w:color="auto" w:fill="FFFFFF"/>
              <w:rPr>
                <w:sz w:val="18"/>
                <w:szCs w:val="18"/>
                <w:lang w:val="en-US"/>
              </w:rPr>
            </w:pPr>
            <w:r w:rsidRPr="002669EA">
              <w:rPr>
                <w:sz w:val="18"/>
                <w:szCs w:val="18"/>
                <w:lang w:val="en-US"/>
              </w:rPr>
              <w:t xml:space="preserve">- </w:t>
            </w:r>
            <w:r w:rsidRPr="002669EA">
              <w:rPr>
                <w:sz w:val="18"/>
                <w:szCs w:val="18"/>
                <w:shd w:val="clear" w:color="auto" w:fill="FFFFFF"/>
                <w:lang w:val="en-US"/>
              </w:rPr>
              <w:t xml:space="preserve">Empiric treatment of suspected </w:t>
            </w:r>
            <w:r w:rsidR="00631824" w:rsidRPr="002669EA">
              <w:rPr>
                <w:sz w:val="18"/>
                <w:szCs w:val="18"/>
                <w:shd w:val="clear" w:color="auto" w:fill="FFFFFF"/>
                <w:lang w:val="en-US"/>
              </w:rPr>
              <w:t>EOS</w:t>
            </w:r>
            <w:r w:rsidRPr="002669EA">
              <w:rPr>
                <w:sz w:val="18"/>
                <w:szCs w:val="18"/>
                <w:shd w:val="clear" w:color="auto" w:fill="FFFFFF"/>
                <w:lang w:val="en-US"/>
              </w:rPr>
              <w:t xml:space="preserve"> (including meningitis) </w:t>
            </w:r>
            <w:r w:rsidR="00631824" w:rsidRPr="002669EA">
              <w:rPr>
                <w:sz w:val="18"/>
                <w:szCs w:val="18"/>
                <w:shd w:val="clear" w:color="auto" w:fill="FFFFFF"/>
                <w:lang w:val="en-US"/>
              </w:rPr>
              <w:t>combined</w:t>
            </w:r>
            <w:r w:rsidRPr="002669EA">
              <w:rPr>
                <w:sz w:val="18"/>
                <w:szCs w:val="18"/>
                <w:shd w:val="clear" w:color="auto" w:fill="FFFFFF"/>
                <w:lang w:val="en-US"/>
              </w:rPr>
              <w:t xml:space="preserve"> with an aminoglycoside</w:t>
            </w:r>
            <w:r w:rsidRPr="002669EA">
              <w:rPr>
                <w:sz w:val="18"/>
                <w:szCs w:val="18"/>
                <w:shd w:val="clear" w:color="auto" w:fill="FFFFFF"/>
                <w:lang w:val="en-US"/>
              </w:rPr>
              <w:br/>
              <w:t>- Targeted treatment of infections (bacteriemia, pneumonia, urinary tract infections, meningitis, endocarditis, gastrointestinal infections) caused by susceptible pathogens</w:t>
            </w:r>
            <w:r w:rsidR="00F332A0" w:rsidRPr="002669EA">
              <w:rPr>
                <w:sz w:val="18"/>
                <w:szCs w:val="18"/>
                <w:shd w:val="clear" w:color="auto" w:fill="FFFFFF"/>
                <w:lang w:val="en-US"/>
              </w:rPr>
              <w:t>.</w:t>
            </w:r>
          </w:p>
        </w:tc>
        <w:tc>
          <w:tcPr>
            <w:tcW w:w="4110" w:type="dxa"/>
          </w:tcPr>
          <w:p w14:paraId="57203818" w14:textId="0DD0C817" w:rsidR="006B6E98" w:rsidRPr="002669EA" w:rsidRDefault="006B6E98" w:rsidP="006B6E98">
            <w:pPr>
              <w:pStyle w:val="NormalWeb"/>
              <w:rPr>
                <w:b/>
                <w:bCs/>
                <w:sz w:val="18"/>
                <w:szCs w:val="18"/>
                <w:lang w:val="en-US"/>
              </w:rPr>
            </w:pPr>
            <w:r w:rsidRPr="002669EA">
              <w:rPr>
                <w:sz w:val="18"/>
                <w:szCs w:val="18"/>
                <w:u w:val="single"/>
                <w:lang w:val="en-US"/>
              </w:rPr>
              <w:t>FDA label</w:t>
            </w:r>
            <w:r w:rsidRPr="002669EA">
              <w:rPr>
                <w:sz w:val="18"/>
                <w:szCs w:val="18"/>
                <w:lang w:val="en-US"/>
              </w:rPr>
              <w:t xml:space="preserve"> </w:t>
            </w:r>
            <w:r w:rsidRPr="002669EA">
              <w:rPr>
                <w:sz w:val="18"/>
                <w:szCs w:val="18"/>
                <w:lang w:val="en-US"/>
              </w:rPr>
              <w:br/>
            </w:r>
            <w:r w:rsidRPr="002669EA">
              <w:rPr>
                <w:sz w:val="18"/>
                <w:szCs w:val="18"/>
                <w:shd w:val="clear" w:color="auto" w:fill="FFFFFF"/>
                <w:lang w:val="en-US"/>
              </w:rPr>
              <w:t>- For meningitis and septicemia</w:t>
            </w:r>
            <w:r w:rsidRPr="002669EA">
              <w:rPr>
                <w:sz w:val="18"/>
                <w:szCs w:val="18"/>
                <w:lang w:val="en-US"/>
              </w:rPr>
              <w:t xml:space="preserve"> </w:t>
            </w:r>
            <w:r w:rsidRPr="002669EA">
              <w:rPr>
                <w:sz w:val="18"/>
                <w:szCs w:val="18"/>
                <w:lang w:val="en-US"/>
              </w:rPr>
              <w:br/>
            </w:r>
            <w:r w:rsidRPr="002669EA">
              <w:rPr>
                <w:sz w:val="18"/>
                <w:szCs w:val="18"/>
                <w:shd w:val="clear" w:color="auto" w:fill="FFFFFF"/>
                <w:lang w:val="en-US"/>
              </w:rPr>
              <w:t xml:space="preserve">GA ≤ 34 </w:t>
            </w:r>
            <w:proofErr w:type="spellStart"/>
            <w:r w:rsidRPr="002669EA">
              <w:rPr>
                <w:sz w:val="18"/>
                <w:szCs w:val="18"/>
                <w:shd w:val="clear" w:color="auto" w:fill="FFFFFF"/>
                <w:lang w:val="en-US"/>
              </w:rPr>
              <w:t>wks</w:t>
            </w:r>
            <w:proofErr w:type="spellEnd"/>
            <w:r w:rsidRPr="002669EA">
              <w:rPr>
                <w:sz w:val="18"/>
                <w:szCs w:val="18"/>
                <w:shd w:val="clear" w:color="auto" w:fill="FFFFFF"/>
                <w:lang w:val="en-US"/>
              </w:rPr>
              <w:t>, PNA ≤ 7 days: 50 mg/kg/dose q12</w:t>
            </w:r>
            <w:r w:rsidRPr="002669EA">
              <w:rPr>
                <w:sz w:val="18"/>
                <w:szCs w:val="18"/>
                <w:shd w:val="clear" w:color="auto" w:fill="FFFFFF"/>
                <w:lang w:val="en-US"/>
              </w:rPr>
              <w:br/>
              <w:t xml:space="preserve">GA ≤ 34 </w:t>
            </w:r>
            <w:proofErr w:type="spellStart"/>
            <w:r w:rsidRPr="002669EA">
              <w:rPr>
                <w:sz w:val="18"/>
                <w:szCs w:val="18"/>
                <w:shd w:val="clear" w:color="auto" w:fill="FFFFFF"/>
                <w:lang w:val="en-US"/>
              </w:rPr>
              <w:t>wks</w:t>
            </w:r>
            <w:proofErr w:type="spellEnd"/>
            <w:r w:rsidRPr="002669EA">
              <w:rPr>
                <w:sz w:val="18"/>
                <w:szCs w:val="18"/>
                <w:shd w:val="clear" w:color="auto" w:fill="FFFFFF"/>
                <w:lang w:val="en-US"/>
              </w:rPr>
              <w:t>, PNA: 8-28 days: 75 mg/kg/dose q12</w:t>
            </w:r>
            <w:r w:rsidRPr="002669EA">
              <w:rPr>
                <w:sz w:val="18"/>
                <w:szCs w:val="18"/>
                <w:shd w:val="clear" w:color="auto" w:fill="FFFFFF"/>
                <w:lang w:val="en-US"/>
              </w:rPr>
              <w:br/>
            </w:r>
            <w:r w:rsidRPr="002669EA">
              <w:rPr>
                <w:sz w:val="18"/>
                <w:szCs w:val="18"/>
                <w:lang w:val="en-US"/>
              </w:rPr>
              <w:t xml:space="preserve">GA&gt; 34 </w:t>
            </w:r>
            <w:proofErr w:type="spellStart"/>
            <w:r w:rsidRPr="002669EA">
              <w:rPr>
                <w:sz w:val="18"/>
                <w:szCs w:val="18"/>
                <w:lang w:val="en-US"/>
              </w:rPr>
              <w:t>wks</w:t>
            </w:r>
            <w:proofErr w:type="spellEnd"/>
            <w:r w:rsidRPr="002669EA">
              <w:rPr>
                <w:sz w:val="18"/>
                <w:szCs w:val="18"/>
                <w:lang w:val="en-US"/>
              </w:rPr>
              <w:t>, PNA ≤ 28 days: 50 mg/kg/dose q8</w:t>
            </w:r>
            <w:r w:rsidRPr="002669EA">
              <w:rPr>
                <w:sz w:val="18"/>
                <w:szCs w:val="18"/>
                <w:lang w:val="en-US"/>
              </w:rPr>
              <w:br/>
            </w:r>
            <w:r w:rsidRPr="002669EA">
              <w:rPr>
                <w:sz w:val="18"/>
                <w:szCs w:val="18"/>
                <w:lang w:val="en-US"/>
              </w:rPr>
              <w:br/>
            </w:r>
            <w:r w:rsidRPr="002669EA">
              <w:rPr>
                <w:sz w:val="18"/>
                <w:szCs w:val="18"/>
                <w:u w:val="single"/>
                <w:lang w:val="en-US"/>
              </w:rPr>
              <w:t>AAP recommendation</w:t>
            </w:r>
            <w:r w:rsidRPr="002669EA">
              <w:rPr>
                <w:b/>
                <w:bCs/>
                <w:sz w:val="18"/>
                <w:szCs w:val="18"/>
                <w:u w:val="single"/>
                <w:lang w:val="en-US"/>
              </w:rPr>
              <w:br/>
            </w:r>
            <w:r w:rsidRPr="002669EA">
              <w:rPr>
                <w:b/>
                <w:bCs/>
                <w:sz w:val="18"/>
                <w:szCs w:val="18"/>
                <w:lang w:val="en-US"/>
              </w:rPr>
              <w:t xml:space="preserve">- </w:t>
            </w:r>
            <w:r w:rsidRPr="002669EA">
              <w:rPr>
                <w:sz w:val="18"/>
                <w:szCs w:val="18"/>
                <w:lang w:val="en-US"/>
              </w:rPr>
              <w:t>For septicemia: as above</w:t>
            </w:r>
            <w:r w:rsidRPr="002669EA">
              <w:rPr>
                <w:sz w:val="18"/>
                <w:szCs w:val="18"/>
                <w:u w:val="single"/>
                <w:lang w:val="en-US"/>
              </w:rPr>
              <w:br/>
            </w:r>
            <w:r w:rsidRPr="002669EA">
              <w:rPr>
                <w:sz w:val="18"/>
                <w:szCs w:val="18"/>
                <w:lang w:val="en-US"/>
              </w:rPr>
              <w:t>- For meningitis</w:t>
            </w:r>
            <w:r w:rsidRPr="002669EA">
              <w:rPr>
                <w:sz w:val="18"/>
                <w:szCs w:val="18"/>
                <w:lang w:val="en-US"/>
              </w:rPr>
              <w:br/>
            </w:r>
            <w:r w:rsidRPr="002669EA">
              <w:rPr>
                <w:sz w:val="18"/>
                <w:szCs w:val="18"/>
                <w:shd w:val="clear" w:color="auto" w:fill="FFFFFF"/>
                <w:lang w:val="en-US"/>
              </w:rPr>
              <w:t xml:space="preserve">GA ≤ 34 </w:t>
            </w:r>
            <w:proofErr w:type="spellStart"/>
            <w:r w:rsidRPr="002669EA">
              <w:rPr>
                <w:sz w:val="18"/>
                <w:szCs w:val="18"/>
                <w:shd w:val="clear" w:color="auto" w:fill="FFFFFF"/>
                <w:lang w:val="en-US"/>
              </w:rPr>
              <w:t>wks</w:t>
            </w:r>
            <w:proofErr w:type="spellEnd"/>
            <w:r w:rsidRPr="002669EA">
              <w:rPr>
                <w:sz w:val="18"/>
                <w:szCs w:val="18"/>
                <w:shd w:val="clear" w:color="auto" w:fill="FFFFFF"/>
                <w:lang w:val="en-US"/>
              </w:rPr>
              <w:t>, PNA ≤ 7 days: 100 mg/kg q8</w:t>
            </w:r>
            <w:r w:rsidRPr="002669EA">
              <w:rPr>
                <w:sz w:val="18"/>
                <w:szCs w:val="18"/>
                <w:shd w:val="clear" w:color="auto" w:fill="FFFFFF"/>
                <w:lang w:val="en-US"/>
              </w:rPr>
              <w:br/>
              <w:t xml:space="preserve">GA ≤ 34 </w:t>
            </w:r>
            <w:proofErr w:type="spellStart"/>
            <w:r w:rsidRPr="002669EA">
              <w:rPr>
                <w:sz w:val="18"/>
                <w:szCs w:val="18"/>
                <w:shd w:val="clear" w:color="auto" w:fill="FFFFFF"/>
                <w:lang w:val="en-US"/>
              </w:rPr>
              <w:t>wks</w:t>
            </w:r>
            <w:proofErr w:type="spellEnd"/>
            <w:r w:rsidRPr="002669EA">
              <w:rPr>
                <w:sz w:val="18"/>
                <w:szCs w:val="18"/>
                <w:shd w:val="clear" w:color="auto" w:fill="FFFFFF"/>
                <w:lang w:val="en-US"/>
              </w:rPr>
              <w:t>, PNA: 8-28 days: 75 mg/kg q6</w:t>
            </w:r>
            <w:r w:rsidRPr="002669EA">
              <w:rPr>
                <w:sz w:val="18"/>
                <w:szCs w:val="18"/>
                <w:shd w:val="clear" w:color="auto" w:fill="FFFFFF"/>
                <w:lang w:val="en-US"/>
              </w:rPr>
              <w:br/>
              <w:t xml:space="preserve">GA &gt; 34 </w:t>
            </w:r>
            <w:proofErr w:type="spellStart"/>
            <w:r w:rsidRPr="002669EA">
              <w:rPr>
                <w:sz w:val="18"/>
                <w:szCs w:val="18"/>
                <w:shd w:val="clear" w:color="auto" w:fill="FFFFFF"/>
                <w:lang w:val="en-US"/>
              </w:rPr>
              <w:t>wks</w:t>
            </w:r>
            <w:proofErr w:type="spellEnd"/>
            <w:r w:rsidRPr="002669EA">
              <w:rPr>
                <w:sz w:val="18"/>
                <w:szCs w:val="18"/>
                <w:shd w:val="clear" w:color="auto" w:fill="FFFFFF"/>
                <w:lang w:val="en-US"/>
              </w:rPr>
              <w:t>, PNA ≤ 28 days: 100 mg/kg q8</w:t>
            </w:r>
          </w:p>
        </w:tc>
        <w:tc>
          <w:tcPr>
            <w:tcW w:w="3105" w:type="dxa"/>
          </w:tcPr>
          <w:p w14:paraId="5E51D797" w14:textId="7EECCA87" w:rsidR="006B6E98" w:rsidRPr="002669EA" w:rsidRDefault="006B6E98" w:rsidP="006B6E98">
            <w:pPr>
              <w:pStyle w:val="NormalWeb"/>
              <w:shd w:val="clear" w:color="auto" w:fill="FFFFFF"/>
              <w:rPr>
                <w:sz w:val="18"/>
                <w:szCs w:val="18"/>
                <w:shd w:val="clear" w:color="auto" w:fill="FFFFFF"/>
                <w:lang w:val="en-US"/>
              </w:rPr>
            </w:pPr>
            <w:r w:rsidRPr="002669EA">
              <w:rPr>
                <w:sz w:val="18"/>
                <w:szCs w:val="18"/>
                <w:shd w:val="clear" w:color="auto" w:fill="FFFFFF"/>
                <w:lang w:val="en-US"/>
              </w:rPr>
              <w:t xml:space="preserve">- </w:t>
            </w:r>
            <w:r w:rsidR="00631824" w:rsidRPr="002669EA">
              <w:rPr>
                <w:sz w:val="18"/>
                <w:szCs w:val="18"/>
                <w:shd w:val="clear" w:color="auto" w:fill="FFFFFF"/>
                <w:lang w:val="en-US"/>
              </w:rPr>
              <w:t>A</w:t>
            </w:r>
            <w:r w:rsidRPr="002669EA">
              <w:rPr>
                <w:sz w:val="18"/>
                <w:szCs w:val="18"/>
                <w:shd w:val="clear" w:color="auto" w:fill="FFFFFF"/>
                <w:lang w:val="en-US"/>
              </w:rPr>
              <w:t>llergic reactions: maculopapular or urticarial rash, fever (rare in neonates)</w:t>
            </w:r>
            <w:r w:rsidRPr="002669EA">
              <w:rPr>
                <w:sz w:val="18"/>
                <w:szCs w:val="18"/>
                <w:shd w:val="clear" w:color="auto" w:fill="FFFFFF"/>
                <w:lang w:val="en-US"/>
              </w:rPr>
              <w:br/>
              <w:t xml:space="preserve">- </w:t>
            </w:r>
            <w:r w:rsidR="00631824" w:rsidRPr="002669EA">
              <w:rPr>
                <w:sz w:val="18"/>
                <w:szCs w:val="18"/>
                <w:shd w:val="clear" w:color="auto" w:fill="FFFFFF"/>
                <w:lang w:val="en-US"/>
              </w:rPr>
              <w:t>D</w:t>
            </w:r>
            <w:r w:rsidRPr="002669EA">
              <w:rPr>
                <w:sz w:val="18"/>
                <w:szCs w:val="18"/>
                <w:shd w:val="clear" w:color="auto" w:fill="FFFFFF"/>
                <w:lang w:val="en-US"/>
              </w:rPr>
              <w:t>iarrhea</w:t>
            </w:r>
            <w:r w:rsidRPr="002669EA">
              <w:rPr>
                <w:sz w:val="18"/>
                <w:szCs w:val="18"/>
                <w:shd w:val="clear" w:color="auto" w:fill="FFFFFF"/>
                <w:lang w:val="en-US"/>
              </w:rPr>
              <w:br/>
              <w:t xml:space="preserve">- </w:t>
            </w:r>
            <w:r w:rsidR="00631824" w:rsidRPr="002669EA">
              <w:rPr>
                <w:sz w:val="18"/>
                <w:szCs w:val="18"/>
                <w:shd w:val="clear" w:color="auto" w:fill="FFFFFF"/>
                <w:lang w:val="en-US"/>
              </w:rPr>
              <w:t>N</w:t>
            </w:r>
            <w:r w:rsidRPr="002669EA">
              <w:rPr>
                <w:sz w:val="18"/>
                <w:szCs w:val="18"/>
                <w:shd w:val="clear" w:color="auto" w:fill="FFFFFF"/>
                <w:lang w:val="en-US"/>
              </w:rPr>
              <w:t>eurotoxicity including seizures (with high concentrations reported in adults)</w:t>
            </w:r>
            <w:r w:rsidRPr="002669EA">
              <w:rPr>
                <w:sz w:val="18"/>
                <w:szCs w:val="18"/>
                <w:shd w:val="clear" w:color="auto" w:fill="FFFFFF"/>
                <w:lang w:val="en-US"/>
              </w:rPr>
              <w:br/>
              <w:t xml:space="preserve">- </w:t>
            </w:r>
            <w:r w:rsidR="00631824" w:rsidRPr="002669EA">
              <w:rPr>
                <w:sz w:val="18"/>
                <w:szCs w:val="18"/>
                <w:shd w:val="clear" w:color="auto" w:fill="FFFFFF"/>
                <w:lang w:val="en-US"/>
              </w:rPr>
              <w:t>P</w:t>
            </w:r>
            <w:r w:rsidRPr="002669EA">
              <w:rPr>
                <w:sz w:val="18"/>
                <w:szCs w:val="18"/>
                <w:shd w:val="clear" w:color="auto" w:fill="FFFFFF"/>
                <w:lang w:val="en-US"/>
              </w:rPr>
              <w:t>rolonged bleeding time with repeated doses</w:t>
            </w:r>
            <w:r w:rsidR="00F332A0" w:rsidRPr="002669EA">
              <w:rPr>
                <w:sz w:val="18"/>
                <w:szCs w:val="18"/>
                <w:shd w:val="clear" w:color="auto" w:fill="FFFFFF"/>
                <w:lang w:val="en-US"/>
              </w:rPr>
              <w:t>.</w:t>
            </w:r>
          </w:p>
        </w:tc>
      </w:tr>
      <w:tr w:rsidR="00B96DD6" w:rsidRPr="002669EA" w14:paraId="7BA49FA2" w14:textId="77777777" w:rsidTr="004464EE">
        <w:trPr>
          <w:trHeight w:val="60"/>
        </w:trPr>
        <w:tc>
          <w:tcPr>
            <w:tcW w:w="1844" w:type="dxa"/>
          </w:tcPr>
          <w:p w14:paraId="1E93BA4B" w14:textId="77777777" w:rsidR="00B658FD" w:rsidRPr="002669EA" w:rsidRDefault="00B658FD" w:rsidP="00B658FD">
            <w:pPr>
              <w:rPr>
                <w:rFonts w:ascii="Times New Roman" w:hAnsi="Times New Roman" w:cs="Times New Roman"/>
                <w:b/>
                <w:bCs/>
                <w:sz w:val="18"/>
                <w:szCs w:val="18"/>
                <w:lang w:val="en-GB"/>
              </w:rPr>
            </w:pPr>
          </w:p>
          <w:p w14:paraId="245EA15F" w14:textId="3770EF4C" w:rsidR="00B658FD" w:rsidRPr="002669EA" w:rsidRDefault="00B658FD" w:rsidP="00F332A0">
            <w:pPr>
              <w:jc w:val="center"/>
              <w:rPr>
                <w:rFonts w:ascii="Times New Roman" w:hAnsi="Times New Roman" w:cs="Times New Roman"/>
                <w:b/>
                <w:bCs/>
                <w:sz w:val="18"/>
                <w:szCs w:val="18"/>
                <w:lang w:val="en-US"/>
              </w:rPr>
            </w:pPr>
            <w:r w:rsidRPr="002669EA">
              <w:rPr>
                <w:rFonts w:ascii="Times New Roman" w:hAnsi="Times New Roman" w:cs="Times New Roman"/>
                <w:b/>
                <w:bCs/>
                <w:sz w:val="18"/>
                <w:szCs w:val="18"/>
                <w:lang w:val="en-GB"/>
              </w:rPr>
              <w:t>GENTAMICIN</w:t>
            </w:r>
            <w:r w:rsidRPr="002669EA">
              <w:rPr>
                <w:rFonts w:ascii="Times New Roman" w:hAnsi="Times New Roman" w:cs="Times New Roman"/>
                <w:b/>
                <w:bCs/>
                <w:sz w:val="18"/>
                <w:szCs w:val="18"/>
                <w:lang w:val="en-GB"/>
              </w:rPr>
              <w:br/>
            </w:r>
            <w:r w:rsidRPr="002669EA">
              <w:rPr>
                <w:rFonts w:ascii="Times New Roman" w:hAnsi="Times New Roman" w:cs="Times New Roman"/>
                <w:b/>
                <w:bCs/>
                <w:sz w:val="18"/>
                <w:szCs w:val="18"/>
                <w:lang w:val="en-GB"/>
              </w:rPr>
              <w:fldChar w:fldCharType="begin"/>
            </w:r>
            <w:r w:rsidR="007361C6" w:rsidRPr="002669EA">
              <w:rPr>
                <w:rFonts w:ascii="Times New Roman" w:hAnsi="Times New Roman" w:cs="Times New Roman"/>
                <w:b/>
                <w:bCs/>
                <w:sz w:val="18"/>
                <w:szCs w:val="18"/>
                <w:lang w:val="en-GB"/>
              </w:rPr>
              <w:instrText xml:space="preserve"> ADDIN ZOTERO_ITEM CSL_CITATION {"citationID":"ME4dsqC0","properties":{"formattedCitation":"[3\\uc0\\u8211{}5]","plainCitation":"[3–5]","noteIndex":0},"citationItems":[{"id":"uNES7Vp8/RbvLygUi","uris":["http://zotero.org/users/12893963/items/B2RX8MVQ"],"itemData":{"id":463,"type":"article-journal","abstract":"Although aminoglycosides are frequently prescribed to neonates and children, the ability to reach effective and safe target concentrations with the currently used dosing regimens remains unclear. This study aims to evaluate the target attainment of the currently used dosing regimens for gentamicin in neonates and children. We conducted a retrospective single-center cohort study in neonates and children receiving gentamicin between January 2019 and July 2022, in the Beatrix Children's Hospital. The first gentamicin concentration used for therapeutic drug monitoring was collected for each patient, in conjunction with information on dosing and clinical status. Target trough concentrations were ≤1 mg/L for neonates and ≤0.5 mg/L for children. Target peak concentrations were 8-12 mg/L for neonates and 15-20 mg/L for children. In total, 658 patients were included (335 neonates and 323 children). Trough concentrations were outside the target range in 46.2% and 9.9% of neonates and children, respectively. Peak concentrations were outside the target range in 46.0% and 68.7% of neonates and children, respectively. In children, higher creatinine concentrations were associated with higher gentamicin trough concentrations. This study corroborates earlier observational studies showing that, with a standard dose, drug concentration targets were met in only approximately 50% of the cases. Our findings show that additional parameters are needed to improve target attainment.","container-title":"Antibiotics (Basel, Switzerland)","DOI":"10.3390/antibiotics12050810","ISSN":"2079-6382","issue":"5","journalAbbreviation":"Antibiotics (Basel)","language":"eng","note":"PMID: 37237713\nPMCID: PMC10215193","page":"810","source":"PubMed","title":"Evaluation of Dosing Guidelines for Gentamicin in Neonates and Children","volume":"12","author":[{"family":"Hollander","given":"Esther M."},{"family":"Tuinen","given":"Eline L.","non-dropping-particle":"van"},{"family":"Schölvinck","given":"Elisabeth H."},{"family":"Bergman","given":"Klasien A."},{"family":"Bourgonje","given":"Arno R."},{"family":"Gracchi","given":"Valentina"},{"family":"Kneyber","given":"Martin C. J."},{"family":"Touw","given":"Daan J."},{"family":"Mian","given":"Paola"}],"issued":{"date-parts":[["2023",4,25]]}},"label":"page"},{"id":"uNES7Vp8/BVel5I0D","uris":["http://zotero.org/users/12893963/items/RW5WKCKQ"],"itemData":{"id":461,"type":"article-journal","abstract":"Clinical studies in preterm neonates are rarely performed due to ethical concerns and difficulties associated with trials and recruitment. Consequently, dose selection in this population is primarily empirical. Scaling neonatal doses from adult doses does not account for developmental changes and may not accurately predict drug kinetics. This is especially important for gentamicin, a narrow therapeutic index aminoglycoside antibiotic. While gentamicin's bactericidal effect is associated with its peak plasma concentration, keeping trough concentrations below 1 µg/mL prevents toxicity and also helps to counteract adaptive resistance in bacteria such as Escherichia coli. In this study, physiologically based pharmacokinetic-pharmacodynamic (PBPK-PD) modeling was used to support and/or guide dosing decisions and to predict the antibacterial effect in preterm neonates. A gentamicin PBPK model was successfully verified in healthy adults and preterm neonates across all gestational ages. Clinical data from a neonatal intensive care unit at NYU Langone Hospital-Long Island was used to identify dosing regimens associated with increased incidence of elevated gentamicin trough concentrations in different preterm patient cohorts. Model predictions demonstrated that a higher dose with an extended-dosing interval (every 36 hours) in neonates with a postmenstrual age of 30 to 34 weeks and ≥35 weeks, with postnatal age 8 to 28 days and 0 to 7 days, respectively, were more likely to have a trough &lt;1 µg/mL when compared with once-daily (every 24 hours) dosing. PBPK-PD modeling suggested that a higher dose administered every 36 hours may provide effective antibacterial therapy.","container-title":"Journal of Clinical Pharmacology","DOI":"10.1002/jcph.1890","ISSN":"1552-4604","issue":"10","journalAbbreviation":"J Clin Pharmacol","language":"eng","note":"PMID: 33945155","page":"1356-1365","source":"PubMed","title":"Application of Physiologically Based Pharmacokinetic-Pharmacodynamic Modeling in Preterm Neonates to Guide Gentamicin Dosing Decisions and Predict Antibacterial Effect","volume":"61","author":[{"family":"Neeli","given":"Harshith"},{"family":"Hanna","given":"Nazeeh"},{"family":"Abduljalil","given":"Khaled"},{"family":"Cusumano","given":"Jaclyn"},{"family":"Taft","given":"David R."}],"issued":{"date-parts":[["2021",10]]}},"label":"page"},{"id":"uNES7Vp8/aYbwHExn","uris":["http://zotero.org/users/12893963/items/G2G9AT6P"],"itemData":{"id":435,"type":"webpage","title":"Clinical Resources - ANMF - Australasian Neonatal Medicines Formulary","URL":"https://www.anmfonline.org/clinical-resources/","accessed":{"date-parts":[["2024",3,26]]}},"label":"page"}],"schema":"https://github.com/citation-style-language/schema/raw/master/csl-citation.json"} </w:instrText>
            </w:r>
            <w:r w:rsidRPr="002669EA">
              <w:rPr>
                <w:rFonts w:ascii="Times New Roman" w:hAnsi="Times New Roman" w:cs="Times New Roman"/>
                <w:b/>
                <w:bCs/>
                <w:sz w:val="18"/>
                <w:szCs w:val="18"/>
                <w:lang w:val="en-GB"/>
              </w:rPr>
              <w:fldChar w:fldCharType="separate"/>
            </w:r>
            <w:r w:rsidR="007361C6" w:rsidRPr="002669EA">
              <w:rPr>
                <w:rFonts w:ascii="Times New Roman" w:hAnsi="Times New Roman" w:cs="Times New Roman"/>
                <w:kern w:val="0"/>
                <w:sz w:val="18"/>
                <w:szCs w:val="18"/>
                <w:lang w:val="en-US"/>
              </w:rPr>
              <w:t>[3–5]</w:t>
            </w:r>
            <w:r w:rsidRPr="002669EA">
              <w:rPr>
                <w:rFonts w:ascii="Times New Roman" w:hAnsi="Times New Roman" w:cs="Times New Roman"/>
                <w:b/>
                <w:bCs/>
                <w:sz w:val="18"/>
                <w:szCs w:val="18"/>
                <w:lang w:val="en-GB"/>
              </w:rPr>
              <w:fldChar w:fldCharType="end"/>
            </w:r>
            <w:r w:rsidRPr="002669EA">
              <w:rPr>
                <w:rFonts w:ascii="Times New Roman" w:hAnsi="Times New Roman" w:cs="Times New Roman"/>
                <w:b/>
                <w:bCs/>
                <w:sz w:val="18"/>
                <w:szCs w:val="18"/>
                <w:lang w:val="en-GB"/>
              </w:rPr>
              <w:br/>
            </w:r>
          </w:p>
        </w:tc>
        <w:tc>
          <w:tcPr>
            <w:tcW w:w="3279" w:type="dxa"/>
          </w:tcPr>
          <w:p w14:paraId="46AC80C3" w14:textId="56E992B2" w:rsidR="00B658FD" w:rsidRPr="002669EA" w:rsidRDefault="00B658FD" w:rsidP="00B658FD">
            <w:pPr>
              <w:pStyle w:val="NormalWeb"/>
              <w:rPr>
                <w:sz w:val="18"/>
                <w:szCs w:val="18"/>
                <w:lang w:val="en-US"/>
              </w:rPr>
            </w:pPr>
            <w:r w:rsidRPr="002669EA">
              <w:rPr>
                <w:sz w:val="18"/>
                <w:szCs w:val="18"/>
                <w:lang w:val="en-US"/>
              </w:rPr>
              <w:t xml:space="preserve">- </w:t>
            </w:r>
            <w:r w:rsidRPr="002669EA">
              <w:rPr>
                <w:sz w:val="18"/>
                <w:szCs w:val="18"/>
                <w:shd w:val="clear" w:color="auto" w:fill="FFFFFF"/>
                <w:lang w:val="en-US"/>
              </w:rPr>
              <w:t>Bactericidal activity by b</w:t>
            </w:r>
            <w:r w:rsidRPr="002669EA">
              <w:rPr>
                <w:sz w:val="18"/>
                <w:szCs w:val="18"/>
                <w:lang w:val="en-US"/>
              </w:rPr>
              <w:t>inding irreversibly to 30S subunit of bacterial ribosomes, inhibiting protein synthesis and leading to cell death</w:t>
            </w:r>
            <w:r w:rsidR="00631824" w:rsidRPr="002669EA">
              <w:rPr>
                <w:sz w:val="18"/>
                <w:szCs w:val="18"/>
                <w:lang w:val="en-US"/>
              </w:rPr>
              <w:t>.</w:t>
            </w:r>
            <w:r w:rsidRPr="002669EA">
              <w:rPr>
                <w:sz w:val="18"/>
                <w:szCs w:val="18"/>
                <w:lang w:val="en-US"/>
              </w:rPr>
              <w:br/>
              <w:t xml:space="preserve">- </w:t>
            </w:r>
            <w:r w:rsidRPr="002669EA">
              <w:rPr>
                <w:sz w:val="18"/>
                <w:szCs w:val="18"/>
                <w:shd w:val="clear" w:color="auto" w:fill="FFFFFF"/>
                <w:lang w:val="en-US"/>
              </w:rPr>
              <w:t xml:space="preserve">Potent bactericidal activity against Enterobacteriaceae (E. coli, Klebsiella spp., Enterobacter cloacae, E. aerogenes, Providencia spp., Proteus spp., </w:t>
            </w:r>
            <w:proofErr w:type="spellStart"/>
            <w:r w:rsidRPr="002669EA">
              <w:rPr>
                <w:sz w:val="18"/>
                <w:szCs w:val="18"/>
                <w:shd w:val="clear" w:color="auto" w:fill="FFFFFF"/>
                <w:lang w:val="en-US"/>
              </w:rPr>
              <w:t>Morganella</w:t>
            </w:r>
            <w:proofErr w:type="spellEnd"/>
            <w:r w:rsidRPr="002669EA">
              <w:rPr>
                <w:sz w:val="18"/>
                <w:szCs w:val="18"/>
                <w:shd w:val="clear" w:color="auto" w:fill="FFFFFF"/>
                <w:lang w:val="en-US"/>
              </w:rPr>
              <w:t xml:space="preserve"> spp., Serratia spp</w:t>
            </w:r>
            <w:r w:rsidR="004464EE" w:rsidRPr="002669EA">
              <w:rPr>
                <w:sz w:val="18"/>
                <w:szCs w:val="18"/>
                <w:shd w:val="clear" w:color="auto" w:fill="FFFFFF"/>
                <w:lang w:val="en-US"/>
              </w:rPr>
              <w:t>.</w:t>
            </w:r>
            <w:r w:rsidRPr="002669EA">
              <w:rPr>
                <w:sz w:val="18"/>
                <w:szCs w:val="18"/>
                <w:shd w:val="clear" w:color="auto" w:fill="FFFFFF"/>
                <w:lang w:val="en-US"/>
              </w:rPr>
              <w:t>), good activity against Staph</w:t>
            </w:r>
            <w:r w:rsidR="004464EE" w:rsidRPr="002669EA">
              <w:rPr>
                <w:sz w:val="18"/>
                <w:szCs w:val="18"/>
                <w:shd w:val="clear" w:color="auto" w:fill="FFFFFF"/>
                <w:lang w:val="en-US"/>
              </w:rPr>
              <w:t>.</w:t>
            </w:r>
            <w:r w:rsidRPr="002669EA">
              <w:rPr>
                <w:sz w:val="18"/>
                <w:szCs w:val="18"/>
                <w:shd w:val="clear" w:color="auto" w:fill="FFFFFF"/>
                <w:lang w:val="en-US"/>
              </w:rPr>
              <w:t xml:space="preserve"> aureus (methicillin-resistant and vancomycin-intermediate and -resistant isolates)</w:t>
            </w:r>
            <w:r w:rsidR="00CA6148" w:rsidRPr="002669EA">
              <w:rPr>
                <w:sz w:val="18"/>
                <w:szCs w:val="18"/>
                <w:shd w:val="clear" w:color="auto" w:fill="FFFFFF"/>
                <w:lang w:val="en-US"/>
              </w:rPr>
              <w:t>,</w:t>
            </w:r>
            <w:r w:rsidRPr="002669EA">
              <w:rPr>
                <w:sz w:val="18"/>
                <w:szCs w:val="18"/>
                <w:shd w:val="clear" w:color="auto" w:fill="FFFFFF"/>
                <w:lang w:val="en-US"/>
              </w:rPr>
              <w:t xml:space="preserve"> P. aeruginosa and </w:t>
            </w:r>
            <w:r w:rsidRPr="002669EA">
              <w:rPr>
                <w:sz w:val="18"/>
                <w:szCs w:val="18"/>
                <w:shd w:val="clear" w:color="auto" w:fill="FFFFFF"/>
                <w:lang w:val="en-US"/>
              </w:rPr>
              <w:lastRenderedPageBreak/>
              <w:t>to a lesser extent Acinetobacter baumannii</w:t>
            </w:r>
            <w:r w:rsidR="00631824" w:rsidRPr="002669EA">
              <w:rPr>
                <w:sz w:val="18"/>
                <w:szCs w:val="18"/>
                <w:shd w:val="clear" w:color="auto" w:fill="FFFFFF"/>
                <w:lang w:val="en-US"/>
              </w:rPr>
              <w:t>.</w:t>
            </w:r>
          </w:p>
          <w:p w14:paraId="62D496B9" w14:textId="77777777" w:rsidR="00B658FD" w:rsidRPr="002669EA" w:rsidRDefault="00B658FD" w:rsidP="00B658FD">
            <w:pPr>
              <w:pStyle w:val="NormalWeb"/>
              <w:rPr>
                <w:sz w:val="18"/>
                <w:szCs w:val="18"/>
                <w:lang w:val="en-US"/>
              </w:rPr>
            </w:pPr>
          </w:p>
          <w:p w14:paraId="118D7426" w14:textId="77777777" w:rsidR="00B658FD" w:rsidRPr="002669EA" w:rsidRDefault="00B658FD" w:rsidP="00B658FD">
            <w:pPr>
              <w:autoSpaceDE w:val="0"/>
              <w:autoSpaceDN w:val="0"/>
              <w:adjustRightInd w:val="0"/>
              <w:rPr>
                <w:rFonts w:ascii="Times New Roman" w:hAnsi="Times New Roman" w:cs="Times New Roman"/>
                <w:sz w:val="18"/>
                <w:szCs w:val="18"/>
                <w:lang w:val="en-US"/>
              </w:rPr>
            </w:pPr>
          </w:p>
        </w:tc>
        <w:tc>
          <w:tcPr>
            <w:tcW w:w="2391" w:type="dxa"/>
          </w:tcPr>
          <w:p w14:paraId="5826ED66" w14:textId="15D2F71E" w:rsidR="00B658FD" w:rsidRPr="002669EA" w:rsidRDefault="00B658FD" w:rsidP="00B658FD">
            <w:pPr>
              <w:autoSpaceDE w:val="0"/>
              <w:autoSpaceDN w:val="0"/>
              <w:adjustRightInd w:val="0"/>
              <w:rPr>
                <w:rFonts w:ascii="Times New Roman" w:hAnsi="Times New Roman" w:cs="Times New Roman"/>
                <w:sz w:val="18"/>
                <w:szCs w:val="18"/>
                <w:shd w:val="clear" w:color="auto" w:fill="FFFFFF"/>
                <w:lang w:val="en-US"/>
              </w:rPr>
            </w:pPr>
            <w:r w:rsidRPr="002669EA">
              <w:rPr>
                <w:rFonts w:ascii="Times New Roman" w:hAnsi="Times New Roman" w:cs="Times New Roman"/>
                <w:sz w:val="18"/>
                <w:szCs w:val="18"/>
                <w:shd w:val="clear" w:color="auto" w:fill="FFFFFF"/>
                <w:lang w:val="en-US"/>
              </w:rPr>
              <w:lastRenderedPageBreak/>
              <w:t xml:space="preserve">- Empiric treatment of suspected </w:t>
            </w:r>
            <w:r w:rsidR="00631824" w:rsidRPr="002669EA">
              <w:rPr>
                <w:rFonts w:ascii="Times New Roman" w:hAnsi="Times New Roman" w:cs="Times New Roman"/>
                <w:sz w:val="18"/>
                <w:szCs w:val="18"/>
                <w:shd w:val="clear" w:color="auto" w:fill="FFFFFF"/>
                <w:lang w:val="en-US"/>
              </w:rPr>
              <w:t>EOS combined</w:t>
            </w:r>
            <w:r w:rsidRPr="002669EA">
              <w:rPr>
                <w:rFonts w:ascii="Times New Roman" w:hAnsi="Times New Roman" w:cs="Times New Roman"/>
                <w:sz w:val="18"/>
                <w:szCs w:val="18"/>
                <w:shd w:val="clear" w:color="auto" w:fill="FFFFFF"/>
                <w:lang w:val="en-US"/>
              </w:rPr>
              <w:t xml:space="preserve"> with ampicillin</w:t>
            </w:r>
            <w:r w:rsidR="00631824" w:rsidRPr="002669EA">
              <w:rPr>
                <w:rFonts w:ascii="Times New Roman" w:hAnsi="Times New Roman" w:cs="Times New Roman"/>
                <w:sz w:val="18"/>
                <w:szCs w:val="18"/>
                <w:shd w:val="clear" w:color="auto" w:fill="FFFFFF"/>
                <w:lang w:val="en-US"/>
              </w:rPr>
              <w:t>.</w:t>
            </w:r>
            <w:r w:rsidRPr="002669EA">
              <w:rPr>
                <w:rFonts w:ascii="Times New Roman" w:hAnsi="Times New Roman" w:cs="Times New Roman"/>
                <w:sz w:val="18"/>
                <w:szCs w:val="18"/>
                <w:shd w:val="clear" w:color="auto" w:fill="FFFFFF"/>
                <w:lang w:val="en-US"/>
              </w:rPr>
              <w:br/>
              <w:t>- Treatment of infections caused by susceptible aerobic gram-negative bacilli (e</w:t>
            </w:r>
            <w:r w:rsidR="00631824" w:rsidRPr="002669EA">
              <w:rPr>
                <w:rFonts w:ascii="Times New Roman" w:hAnsi="Times New Roman" w:cs="Times New Roman"/>
                <w:sz w:val="18"/>
                <w:szCs w:val="18"/>
                <w:shd w:val="clear" w:color="auto" w:fill="FFFFFF"/>
                <w:lang w:val="en-US"/>
              </w:rPr>
              <w:t>.</w:t>
            </w:r>
            <w:r w:rsidRPr="002669EA">
              <w:rPr>
                <w:rFonts w:ascii="Times New Roman" w:hAnsi="Times New Roman" w:cs="Times New Roman"/>
                <w:sz w:val="18"/>
                <w:szCs w:val="18"/>
                <w:shd w:val="clear" w:color="auto" w:fill="FFFFFF"/>
                <w:lang w:val="en-US"/>
              </w:rPr>
              <w:t>g</w:t>
            </w:r>
            <w:r w:rsidR="00631824" w:rsidRPr="002669EA">
              <w:rPr>
                <w:rFonts w:ascii="Times New Roman" w:hAnsi="Times New Roman" w:cs="Times New Roman"/>
                <w:sz w:val="18"/>
                <w:szCs w:val="18"/>
                <w:shd w:val="clear" w:color="auto" w:fill="FFFFFF"/>
                <w:lang w:val="en-US"/>
              </w:rPr>
              <w:t>.</w:t>
            </w:r>
            <w:r w:rsidRPr="002669EA">
              <w:rPr>
                <w:rFonts w:ascii="Times New Roman" w:hAnsi="Times New Roman" w:cs="Times New Roman"/>
                <w:sz w:val="18"/>
                <w:szCs w:val="18"/>
                <w:shd w:val="clear" w:color="auto" w:fill="FFFFFF"/>
                <w:lang w:val="en-US"/>
              </w:rPr>
              <w:t xml:space="preserve"> Pseudomonas, Klebsiella, E. coli) used in combination usually with a </w:t>
            </w:r>
            <w:r w:rsidRPr="002669EA">
              <w:rPr>
                <w:rFonts w:ascii="Times New Roman" w:hAnsi="Times New Roman" w:cs="Times New Roman"/>
                <w:sz w:val="18"/>
                <w:szCs w:val="18"/>
                <w:shd w:val="clear" w:color="auto" w:fill="FFFFFF"/>
              </w:rPr>
              <w:t>β</w:t>
            </w:r>
            <w:r w:rsidRPr="002669EA">
              <w:rPr>
                <w:rFonts w:ascii="Times New Roman" w:hAnsi="Times New Roman" w:cs="Times New Roman"/>
                <w:sz w:val="18"/>
                <w:szCs w:val="18"/>
                <w:shd w:val="clear" w:color="auto" w:fill="FFFFFF"/>
                <w:lang w:val="en-US"/>
              </w:rPr>
              <w:t>-lactam antibiotic.</w:t>
            </w:r>
          </w:p>
        </w:tc>
        <w:tc>
          <w:tcPr>
            <w:tcW w:w="4110" w:type="dxa"/>
          </w:tcPr>
          <w:p w14:paraId="1F8B01EF" w14:textId="21B2533C" w:rsidR="00B658FD" w:rsidRPr="002669EA" w:rsidRDefault="008E53A2" w:rsidP="00B658FD">
            <w:pPr>
              <w:pStyle w:val="Default"/>
              <w:rPr>
                <w:rFonts w:ascii="Times New Roman" w:hAnsi="Times New Roman" w:cs="Times New Roman"/>
                <w:color w:val="auto"/>
                <w:sz w:val="18"/>
                <w:szCs w:val="18"/>
              </w:rPr>
            </w:pPr>
            <w:r w:rsidRPr="002669EA">
              <w:rPr>
                <w:rFonts w:ascii="Times New Roman" w:hAnsi="Times New Roman" w:cs="Times New Roman"/>
                <w:color w:val="auto"/>
                <w:sz w:val="18"/>
                <w:szCs w:val="18"/>
              </w:rPr>
              <w:t xml:space="preserve">- </w:t>
            </w:r>
            <w:r w:rsidR="00B658FD" w:rsidRPr="002669EA">
              <w:rPr>
                <w:rFonts w:ascii="Times New Roman" w:hAnsi="Times New Roman" w:cs="Times New Roman"/>
                <w:color w:val="auto"/>
                <w:sz w:val="18"/>
                <w:szCs w:val="18"/>
              </w:rPr>
              <w:t xml:space="preserve">Several dosing regimens have been proposed </w:t>
            </w:r>
            <w:r w:rsidR="00631824" w:rsidRPr="002669EA">
              <w:rPr>
                <w:rFonts w:ascii="Times New Roman" w:hAnsi="Times New Roman" w:cs="Times New Roman"/>
                <w:color w:val="auto"/>
                <w:sz w:val="18"/>
                <w:szCs w:val="18"/>
              </w:rPr>
              <w:t>by</w:t>
            </w:r>
            <w:r w:rsidR="00B658FD" w:rsidRPr="002669EA">
              <w:rPr>
                <w:rFonts w:ascii="Times New Roman" w:hAnsi="Times New Roman" w:cs="Times New Roman"/>
                <w:color w:val="auto"/>
                <w:sz w:val="18"/>
                <w:szCs w:val="18"/>
              </w:rPr>
              <w:t xml:space="preserve"> most studies and neonatal drug formularies recommending dosages of 4–5 mg/kg/dose and prolonged dosing intervals (24–48 h) for term and preterm neonates with GA, PMA and PNA being the main determinant of the dosing interval. </w:t>
            </w:r>
            <w:r w:rsidR="00B658FD" w:rsidRPr="002669EA">
              <w:rPr>
                <w:rFonts w:ascii="Times New Roman" w:hAnsi="Times New Roman" w:cs="Times New Roman"/>
                <w:color w:val="auto"/>
                <w:sz w:val="18"/>
                <w:szCs w:val="18"/>
              </w:rPr>
              <w:br/>
              <w:t xml:space="preserve">- TDM is strongly suggested in: therapy duration &gt; 7 days, therapeutic hypothermia and renal impairment. </w:t>
            </w:r>
          </w:p>
          <w:p w14:paraId="260F8FE3" w14:textId="240F4033" w:rsidR="00B658FD" w:rsidRPr="002669EA" w:rsidRDefault="00B658FD" w:rsidP="00D13070">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(Measure trough concentrations before every dose</w:t>
            </w:r>
            <w:r w:rsidRPr="002669EA">
              <w:rPr>
                <w:rFonts w:ascii="Times New Roman" w:hAnsi="Times New Roman" w:cs="Times New Roman"/>
                <w:sz w:val="18"/>
                <w:szCs w:val="18"/>
                <w:lang w:val="en-US"/>
              </w:rPr>
              <w:t xml:space="preserve">. </w:t>
            </w:r>
            <w:r w:rsidRPr="002669EA">
              <w:rPr>
                <w:rFonts w:ascii="Times New Roman" w:hAnsi="Times New Roman" w:cs="Times New Roman"/>
                <w:sz w:val="18"/>
                <w:szCs w:val="18"/>
                <w:lang w:val="en-US"/>
              </w:rPr>
              <w:br/>
              <w:t xml:space="preserve">Target trough concentration: &lt; 2 </w:t>
            </w:r>
            <w:r w:rsidRPr="002669EA">
              <w:rPr>
                <w:rFonts w:ascii="Times New Roman" w:hAnsi="Times New Roman" w:cs="Times New Roman"/>
                <w:sz w:val="18"/>
                <w:szCs w:val="18"/>
                <w:lang w:val="en-GB"/>
              </w:rPr>
              <w:t>mg/L)</w:t>
            </w:r>
            <w:r w:rsidR="00631824" w:rsidRPr="002669EA">
              <w:rPr>
                <w:rFonts w:ascii="Times New Roman" w:hAnsi="Times New Roman" w:cs="Times New Roman"/>
                <w:sz w:val="18"/>
                <w:szCs w:val="18"/>
                <w:lang w:val="en-GB"/>
              </w:rPr>
              <w:t>.</w:t>
            </w:r>
            <w:r w:rsidRPr="002669EA">
              <w:rPr>
                <w:rFonts w:ascii="Times New Roman" w:hAnsi="Times New Roman" w:cs="Times New Roman"/>
                <w:sz w:val="18"/>
                <w:szCs w:val="18"/>
                <w:lang w:val="en-GB"/>
              </w:rPr>
              <w:br/>
            </w:r>
            <w:r w:rsidRPr="002669EA">
              <w:rPr>
                <w:rFonts w:ascii="Times New Roman" w:hAnsi="Times New Roman" w:cs="Times New Roman"/>
                <w:sz w:val="18"/>
                <w:szCs w:val="18"/>
                <w:lang w:val="en-GB"/>
              </w:rPr>
              <w:br/>
            </w:r>
            <w:r w:rsidRPr="002669EA">
              <w:rPr>
                <w:rFonts w:ascii="Times New Roman" w:hAnsi="Times New Roman" w:cs="Times New Roman"/>
                <w:sz w:val="18"/>
                <w:szCs w:val="18"/>
                <w:u w:val="single"/>
                <w:lang w:val="en-GB"/>
              </w:rPr>
              <w:t>Australasian Neonatal Medicines Formulary (2021)</w:t>
            </w:r>
            <w:r w:rsidRPr="002669EA">
              <w:rPr>
                <w:rFonts w:ascii="Times New Roman" w:hAnsi="Times New Roman" w:cs="Times New Roman"/>
                <w:sz w:val="18"/>
                <w:szCs w:val="18"/>
                <w:lang w:val="en-GB"/>
              </w:rPr>
              <w:br/>
            </w:r>
            <w:r w:rsidRPr="002669EA">
              <w:rPr>
                <w:rFonts w:ascii="Times New Roman" w:hAnsi="Times New Roman" w:cs="Times New Roman"/>
                <w:sz w:val="18"/>
                <w:szCs w:val="18"/>
                <w:lang w:val="en-US"/>
              </w:rPr>
              <w:t xml:space="preserve">GA </w:t>
            </w:r>
            <w:r w:rsidRPr="002669EA">
              <w:rPr>
                <w:rFonts w:ascii="Times New Roman" w:hAnsi="Times New Roman" w:cs="Times New Roman"/>
                <w:sz w:val="18"/>
                <w:szCs w:val="18"/>
                <w:lang w:val="en-GB"/>
              </w:rPr>
              <w:t xml:space="preserve">&lt; 30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5 mg/kg q48</w:t>
            </w:r>
            <w:r w:rsidRPr="002669EA">
              <w:rPr>
                <w:rFonts w:ascii="Times New Roman" w:hAnsi="Times New Roman" w:cs="Times New Roman"/>
                <w:sz w:val="18"/>
                <w:szCs w:val="18"/>
                <w:lang w:val="en-GB"/>
              </w:rPr>
              <w:br/>
              <w:t>GA = 30 - 34</w:t>
            </w:r>
            <w:r w:rsidRPr="002669EA">
              <w:rPr>
                <w:rFonts w:ascii="Times New Roman" w:hAnsi="Times New Roman" w:cs="Times New Roman"/>
                <w:sz w:val="18"/>
                <w:szCs w:val="18"/>
                <w:vertAlign w:val="superscript"/>
                <w:lang w:val="en-GB"/>
              </w:rPr>
              <w:t xml:space="preserve">+6 </w:t>
            </w:r>
            <w:r w:rsidRPr="002669EA">
              <w:rPr>
                <w:rFonts w:ascii="Times New Roman" w:hAnsi="Times New Roman" w:cs="Times New Roman"/>
                <w:sz w:val="18"/>
                <w:szCs w:val="18"/>
                <w:lang w:val="en-GB"/>
              </w:rPr>
              <w:t>: 5 mg/kg q36</w:t>
            </w:r>
            <w:r w:rsidRPr="002669EA">
              <w:rPr>
                <w:rFonts w:ascii="Times New Roman" w:hAnsi="Times New Roman" w:cs="Times New Roman"/>
                <w:sz w:val="18"/>
                <w:szCs w:val="18"/>
                <w:lang w:val="en-GB"/>
              </w:rPr>
              <w:br/>
            </w:r>
            <w:r w:rsidRPr="002669EA">
              <w:rPr>
                <w:rFonts w:ascii="Times New Roman" w:hAnsi="Times New Roman" w:cs="Times New Roman"/>
                <w:sz w:val="18"/>
                <w:szCs w:val="18"/>
                <w:lang w:val="en-GB"/>
              </w:rPr>
              <w:lastRenderedPageBreak/>
              <w:t>GA ≥ 35</w:t>
            </w:r>
            <w:r w:rsidRPr="002669EA">
              <w:rPr>
                <w:rFonts w:ascii="Times New Roman" w:hAnsi="Times New Roman" w:cs="Times New Roman"/>
                <w:sz w:val="18"/>
                <w:szCs w:val="18"/>
                <w:vertAlign w:val="superscript"/>
                <w:lang w:val="en-GB"/>
              </w:rPr>
              <w:t xml:space="preserve">+0 </w:t>
            </w:r>
            <w:r w:rsidRPr="002669EA">
              <w:rPr>
                <w:rFonts w:ascii="Times New Roman" w:hAnsi="Times New Roman" w:cs="Times New Roman"/>
                <w:sz w:val="18"/>
                <w:szCs w:val="18"/>
                <w:lang w:val="en-GB"/>
              </w:rPr>
              <w:t>: 5 mg/kg q24</w:t>
            </w:r>
            <w:r w:rsidRPr="002669EA">
              <w:rPr>
                <w:rFonts w:ascii="Times New Roman" w:hAnsi="Times New Roman" w:cs="Times New Roman"/>
                <w:sz w:val="18"/>
                <w:szCs w:val="18"/>
                <w:lang w:val="en-GB"/>
              </w:rPr>
              <w:br/>
              <w:t xml:space="preserve">- </w:t>
            </w:r>
            <w:r w:rsidRPr="002669EA">
              <w:rPr>
                <w:rFonts w:ascii="Times New Roman" w:hAnsi="Times New Roman" w:cs="Times New Roman"/>
                <w:sz w:val="18"/>
                <w:szCs w:val="18"/>
                <w:lang w:val="en-US"/>
              </w:rPr>
              <w:t>Treatment individualization can be achieved by measuring Gentamicin concentration</w:t>
            </w:r>
            <w:r w:rsidRPr="002669EA">
              <w:rPr>
                <w:rFonts w:ascii="Times New Roman" w:hAnsi="Times New Roman" w:cs="Times New Roman"/>
                <w:sz w:val="18"/>
                <w:szCs w:val="18"/>
                <w:lang w:val="en-GB"/>
              </w:rPr>
              <w:t xml:space="preserve"> at 22 h after the administration of the 2</w:t>
            </w:r>
            <w:r w:rsidRPr="002669EA">
              <w:rPr>
                <w:rFonts w:ascii="Times New Roman" w:hAnsi="Times New Roman" w:cs="Times New Roman"/>
                <w:sz w:val="18"/>
                <w:szCs w:val="18"/>
                <w:vertAlign w:val="superscript"/>
                <w:lang w:val="en-GB"/>
              </w:rPr>
              <w:t>nd</w:t>
            </w:r>
            <w:r w:rsidRPr="002669EA">
              <w:rPr>
                <w:rFonts w:ascii="Times New Roman" w:hAnsi="Times New Roman" w:cs="Times New Roman"/>
                <w:sz w:val="18"/>
                <w:szCs w:val="18"/>
                <w:lang w:val="en-GB"/>
              </w:rPr>
              <w:t xml:space="preserve"> dose </w:t>
            </w:r>
            <w:r w:rsidRPr="002669EA">
              <w:rPr>
                <w:rFonts w:ascii="Times New Roman" w:hAnsi="Times New Roman" w:cs="Times New Roman"/>
                <w:sz w:val="18"/>
                <w:szCs w:val="18"/>
                <w:lang w:val="en-US"/>
              </w:rPr>
              <w:t>and subsequent dose interval is regulated according to drug levels as indicated:</w:t>
            </w:r>
            <w:r w:rsidRPr="002669EA">
              <w:rPr>
                <w:rFonts w:ascii="Times New Roman" w:hAnsi="Times New Roman" w:cs="Times New Roman"/>
                <w:sz w:val="18"/>
                <w:szCs w:val="18"/>
                <w:lang w:val="en-US"/>
              </w:rPr>
              <w:br/>
            </w:r>
            <w:r w:rsidR="00F332A0" w:rsidRPr="002669EA">
              <w:rPr>
                <w:rFonts w:ascii="Times New Roman" w:hAnsi="Times New Roman" w:cs="Times New Roman"/>
                <w:sz w:val="18"/>
                <w:szCs w:val="18"/>
                <w:lang w:val="en-GB"/>
              </w:rPr>
              <w:t xml:space="preserve">     </w:t>
            </w:r>
            <w:r w:rsidRPr="002669EA">
              <w:rPr>
                <w:rFonts w:ascii="Times New Roman" w:hAnsi="Times New Roman" w:cs="Times New Roman"/>
                <w:sz w:val="18"/>
                <w:szCs w:val="18"/>
                <w:lang w:val="en-GB"/>
              </w:rPr>
              <w:t>≤ 1.2 mg/</w:t>
            </w:r>
            <w:r w:rsidR="00631824" w:rsidRPr="002669EA">
              <w:rPr>
                <w:rFonts w:ascii="Times New Roman" w:hAnsi="Times New Roman" w:cs="Times New Roman"/>
                <w:sz w:val="18"/>
                <w:szCs w:val="18"/>
                <w:lang w:val="en-GB"/>
              </w:rPr>
              <w:t>L</w:t>
            </w:r>
            <w:r w:rsidRPr="002669EA">
              <w:rPr>
                <w:rFonts w:ascii="Times New Roman" w:hAnsi="Times New Roman" w:cs="Times New Roman"/>
                <w:sz w:val="18"/>
                <w:szCs w:val="18"/>
                <w:lang w:val="en-GB"/>
              </w:rPr>
              <w:t>: every 24 h after previous dose</w:t>
            </w:r>
            <w:r w:rsidRPr="002669EA">
              <w:rPr>
                <w:rFonts w:ascii="Times New Roman" w:hAnsi="Times New Roman" w:cs="Times New Roman"/>
                <w:sz w:val="18"/>
                <w:szCs w:val="18"/>
                <w:lang w:val="en-GB"/>
              </w:rPr>
              <w:br/>
            </w:r>
            <w:r w:rsidR="00F332A0" w:rsidRPr="002669EA">
              <w:rPr>
                <w:rFonts w:ascii="Times New Roman" w:hAnsi="Times New Roman" w:cs="Times New Roman"/>
                <w:sz w:val="18"/>
                <w:szCs w:val="18"/>
                <w:lang w:val="en-GB"/>
              </w:rPr>
              <w:t xml:space="preserve">     </w:t>
            </w:r>
            <w:r w:rsidRPr="002669EA">
              <w:rPr>
                <w:rFonts w:ascii="Times New Roman" w:hAnsi="Times New Roman" w:cs="Times New Roman"/>
                <w:sz w:val="18"/>
                <w:szCs w:val="18"/>
                <w:lang w:val="en-GB"/>
              </w:rPr>
              <w:t>1.3-2.6 mg/</w:t>
            </w:r>
            <w:r w:rsidR="00631824" w:rsidRPr="002669EA">
              <w:rPr>
                <w:rFonts w:ascii="Times New Roman" w:hAnsi="Times New Roman" w:cs="Times New Roman"/>
                <w:sz w:val="18"/>
                <w:szCs w:val="18"/>
                <w:lang w:val="en-GB"/>
              </w:rPr>
              <w:t>L</w:t>
            </w:r>
            <w:r w:rsidRPr="002669EA">
              <w:rPr>
                <w:rFonts w:ascii="Times New Roman" w:hAnsi="Times New Roman" w:cs="Times New Roman"/>
                <w:sz w:val="18"/>
                <w:szCs w:val="18"/>
                <w:lang w:val="en-GB"/>
              </w:rPr>
              <w:t>: every 36 h</w:t>
            </w:r>
            <w:r w:rsidRPr="002669EA">
              <w:rPr>
                <w:rFonts w:ascii="Times New Roman" w:hAnsi="Times New Roman" w:cs="Times New Roman"/>
                <w:sz w:val="18"/>
                <w:szCs w:val="18"/>
                <w:lang w:val="en-GB"/>
              </w:rPr>
              <w:br/>
            </w:r>
            <w:r w:rsidR="00F332A0" w:rsidRPr="002669EA">
              <w:rPr>
                <w:rFonts w:ascii="Times New Roman" w:hAnsi="Times New Roman" w:cs="Times New Roman"/>
                <w:sz w:val="18"/>
                <w:szCs w:val="18"/>
                <w:lang w:val="en-GB"/>
              </w:rPr>
              <w:t xml:space="preserve">     </w:t>
            </w:r>
            <w:r w:rsidRPr="002669EA">
              <w:rPr>
                <w:rFonts w:ascii="Times New Roman" w:hAnsi="Times New Roman" w:cs="Times New Roman"/>
                <w:sz w:val="18"/>
                <w:szCs w:val="18"/>
                <w:lang w:val="en-GB"/>
              </w:rPr>
              <w:t>2.7-3.5 mg/</w:t>
            </w:r>
            <w:r w:rsidR="00631824" w:rsidRPr="002669EA">
              <w:rPr>
                <w:rFonts w:ascii="Times New Roman" w:hAnsi="Times New Roman" w:cs="Times New Roman"/>
                <w:sz w:val="18"/>
                <w:szCs w:val="18"/>
                <w:lang w:val="en-GB"/>
              </w:rPr>
              <w:t>L</w:t>
            </w:r>
            <w:r w:rsidRPr="002669EA">
              <w:rPr>
                <w:rFonts w:ascii="Times New Roman" w:hAnsi="Times New Roman" w:cs="Times New Roman"/>
                <w:sz w:val="18"/>
                <w:szCs w:val="18"/>
                <w:lang w:val="en-GB"/>
              </w:rPr>
              <w:t xml:space="preserve">: every 48 h </w:t>
            </w:r>
            <w:r w:rsidRPr="002669EA">
              <w:rPr>
                <w:rFonts w:ascii="Times New Roman" w:hAnsi="Times New Roman" w:cs="Times New Roman"/>
                <w:sz w:val="18"/>
                <w:szCs w:val="18"/>
                <w:lang w:val="en-GB"/>
              </w:rPr>
              <w:br/>
            </w:r>
            <w:r w:rsidR="00F332A0" w:rsidRPr="002669EA">
              <w:rPr>
                <w:rFonts w:ascii="Times New Roman" w:hAnsi="Times New Roman" w:cs="Times New Roman"/>
                <w:sz w:val="18"/>
                <w:szCs w:val="18"/>
                <w:lang w:val="en-GB"/>
              </w:rPr>
              <w:t xml:space="preserve">     </w:t>
            </w:r>
            <w:r w:rsidRPr="002669EA">
              <w:rPr>
                <w:rFonts w:ascii="Times New Roman" w:hAnsi="Times New Roman" w:cs="Times New Roman"/>
                <w:sz w:val="18"/>
                <w:szCs w:val="18"/>
                <w:lang w:val="en-GB"/>
              </w:rPr>
              <w:t>&gt; 3.6 mg/</w:t>
            </w:r>
            <w:r w:rsidR="00631824" w:rsidRPr="002669EA">
              <w:rPr>
                <w:rFonts w:ascii="Times New Roman" w:hAnsi="Times New Roman" w:cs="Times New Roman"/>
                <w:sz w:val="18"/>
                <w:szCs w:val="18"/>
                <w:lang w:val="en-GB"/>
              </w:rPr>
              <w:t>L</w:t>
            </w:r>
            <w:r w:rsidRPr="002669EA">
              <w:rPr>
                <w:rFonts w:ascii="Times New Roman" w:hAnsi="Times New Roman" w:cs="Times New Roman"/>
                <w:sz w:val="18"/>
                <w:szCs w:val="18"/>
                <w:lang w:val="en-GB"/>
              </w:rPr>
              <w:t>: hold</w:t>
            </w:r>
            <w:r w:rsidRPr="002669EA">
              <w:rPr>
                <w:rFonts w:ascii="Times New Roman" w:hAnsi="Times New Roman" w:cs="Times New Roman"/>
                <w:sz w:val="18"/>
                <w:szCs w:val="18"/>
                <w:lang w:val="en-US"/>
              </w:rPr>
              <w:t xml:space="preserve"> </w:t>
            </w:r>
            <w:r w:rsidRPr="002669EA">
              <w:rPr>
                <w:rFonts w:ascii="Times New Roman" w:hAnsi="Times New Roman" w:cs="Times New Roman"/>
                <w:sz w:val="18"/>
                <w:szCs w:val="18"/>
                <w:lang w:val="en-GB"/>
              </w:rPr>
              <w:t>dose, repeat drug level 24h later</w:t>
            </w:r>
            <w:r w:rsidRPr="002669EA">
              <w:rPr>
                <w:rFonts w:ascii="Times New Roman" w:hAnsi="Times New Roman" w:cs="Times New Roman"/>
                <w:sz w:val="18"/>
                <w:szCs w:val="18"/>
                <w:lang w:val="en-GB"/>
              </w:rPr>
              <w:br/>
              <w:t>- Extension of dose interval by 12h in case of ibuprofen/indomethacin co-administration</w:t>
            </w:r>
            <w:r w:rsidR="00631824" w:rsidRPr="002669EA">
              <w:rPr>
                <w:rFonts w:ascii="Times New Roman" w:hAnsi="Times New Roman" w:cs="Times New Roman"/>
                <w:sz w:val="18"/>
                <w:szCs w:val="18"/>
                <w:lang w:val="en-GB"/>
              </w:rPr>
              <w:t>.</w:t>
            </w:r>
          </w:p>
        </w:tc>
        <w:tc>
          <w:tcPr>
            <w:tcW w:w="3105" w:type="dxa"/>
          </w:tcPr>
          <w:p w14:paraId="3E0FB522" w14:textId="3AB74643" w:rsidR="00B658FD" w:rsidRPr="002669EA" w:rsidRDefault="00B658FD" w:rsidP="00B658FD">
            <w:pPr>
              <w:pStyle w:val="NormalWeb"/>
              <w:shd w:val="clear" w:color="auto" w:fill="FFFFFF"/>
              <w:rPr>
                <w:sz w:val="18"/>
                <w:szCs w:val="18"/>
                <w:shd w:val="clear" w:color="auto" w:fill="FFFFFF"/>
                <w:lang w:val="en-US"/>
              </w:rPr>
            </w:pPr>
            <w:r w:rsidRPr="002669EA">
              <w:rPr>
                <w:sz w:val="18"/>
                <w:szCs w:val="18"/>
                <w:lang w:val="en-GB"/>
              </w:rPr>
              <w:lastRenderedPageBreak/>
              <w:t>-</w:t>
            </w:r>
            <w:r w:rsidRPr="002669EA">
              <w:rPr>
                <w:sz w:val="18"/>
                <w:szCs w:val="18"/>
                <w:lang w:val="en-US"/>
              </w:rPr>
              <w:t xml:space="preserve"> </w:t>
            </w:r>
            <w:r w:rsidRPr="002669EA">
              <w:rPr>
                <w:sz w:val="18"/>
                <w:szCs w:val="18"/>
                <w:shd w:val="clear" w:color="auto" w:fill="FFFFFF"/>
                <w:lang w:val="en-US"/>
              </w:rPr>
              <w:t>Nephrotoxicity (renal tubular dysfunction with increased urinary losses of sodium, calcium, magnesium)</w:t>
            </w:r>
            <w:r w:rsidRPr="002669EA">
              <w:rPr>
                <w:sz w:val="18"/>
                <w:szCs w:val="18"/>
                <w:shd w:val="clear" w:color="auto" w:fill="FFFFFF"/>
                <w:lang w:val="en-US"/>
              </w:rPr>
              <w:br/>
              <w:t>- Ototoxicity</w:t>
            </w:r>
            <w:r w:rsidRPr="002669EA">
              <w:rPr>
                <w:sz w:val="18"/>
                <w:szCs w:val="18"/>
                <w:shd w:val="clear" w:color="auto" w:fill="FFFFFF"/>
                <w:lang w:val="en-US"/>
              </w:rPr>
              <w:br/>
              <w:t>- Hypersensitivity (very rare: rash, fever, eosinophilia, laryngeal oedema)</w:t>
            </w:r>
            <w:r w:rsidRPr="002669EA">
              <w:rPr>
                <w:sz w:val="18"/>
                <w:szCs w:val="18"/>
                <w:shd w:val="clear" w:color="auto" w:fill="FFFFFF"/>
                <w:lang w:val="en-US"/>
              </w:rPr>
              <w:br/>
              <w:t>- Neuromuscular blockade</w:t>
            </w:r>
            <w:r w:rsidRPr="002669EA">
              <w:rPr>
                <w:sz w:val="18"/>
                <w:szCs w:val="18"/>
                <w:lang w:val="en-US"/>
              </w:rPr>
              <w:t xml:space="preserve"> </w:t>
            </w:r>
            <w:r w:rsidRPr="002669EA">
              <w:rPr>
                <w:sz w:val="18"/>
                <w:szCs w:val="18"/>
                <w:shd w:val="clear" w:color="auto" w:fill="FFFFFF"/>
                <w:lang w:val="en-US"/>
              </w:rPr>
              <w:t>(rare, only reported in adults; increased risk when used with neuromuscular blocking agents, opioid analgesics and massive transfusions with citrate anticoagulated blood and in patients with hypermagnesemia)</w:t>
            </w:r>
            <w:r w:rsidR="00631824" w:rsidRPr="002669EA">
              <w:rPr>
                <w:sz w:val="18"/>
                <w:szCs w:val="18"/>
                <w:shd w:val="clear" w:color="auto" w:fill="FFFFFF"/>
                <w:lang w:val="en-US"/>
              </w:rPr>
              <w:t>.</w:t>
            </w:r>
          </w:p>
        </w:tc>
      </w:tr>
      <w:tr w:rsidR="00B96DD6" w:rsidRPr="002669EA" w14:paraId="4173210D" w14:textId="77777777" w:rsidTr="004464EE">
        <w:trPr>
          <w:trHeight w:val="546"/>
        </w:trPr>
        <w:tc>
          <w:tcPr>
            <w:tcW w:w="1844" w:type="dxa"/>
          </w:tcPr>
          <w:p w14:paraId="3E56128F" w14:textId="3AAF3637" w:rsidR="00B658FD" w:rsidRPr="002669EA" w:rsidRDefault="00B658FD" w:rsidP="00B658FD">
            <w:pPr>
              <w:jc w:val="center"/>
              <w:rPr>
                <w:rFonts w:ascii="Times New Roman" w:hAnsi="Times New Roman" w:cs="Times New Roman"/>
                <w:b/>
                <w:bCs/>
                <w:sz w:val="18"/>
                <w:szCs w:val="18"/>
                <w:lang w:val="en-GB"/>
              </w:rPr>
            </w:pPr>
            <w:r w:rsidRPr="002669EA">
              <w:rPr>
                <w:rFonts w:ascii="Times New Roman" w:hAnsi="Times New Roman" w:cs="Times New Roman"/>
                <w:b/>
                <w:bCs/>
                <w:sz w:val="18"/>
                <w:szCs w:val="18"/>
                <w:lang w:val="en-GB"/>
              </w:rPr>
              <w:t>AMIKACIN</w:t>
            </w:r>
            <w:r w:rsidRPr="002669EA">
              <w:rPr>
                <w:rFonts w:ascii="Times New Roman" w:hAnsi="Times New Roman" w:cs="Times New Roman"/>
                <w:b/>
                <w:bCs/>
                <w:sz w:val="18"/>
                <w:szCs w:val="18"/>
                <w:lang w:val="en-GB"/>
              </w:rPr>
              <w:br/>
            </w:r>
            <w:r w:rsidRPr="002669EA">
              <w:rPr>
                <w:rFonts w:ascii="Times New Roman" w:hAnsi="Times New Roman" w:cs="Times New Roman"/>
                <w:b/>
                <w:bCs/>
                <w:sz w:val="18"/>
                <w:szCs w:val="18"/>
                <w:lang w:val="en-GB"/>
              </w:rPr>
              <w:fldChar w:fldCharType="begin"/>
            </w:r>
            <w:r w:rsidR="00631824" w:rsidRPr="002669EA">
              <w:rPr>
                <w:rFonts w:ascii="Times New Roman" w:hAnsi="Times New Roman" w:cs="Times New Roman"/>
                <w:b/>
                <w:bCs/>
                <w:sz w:val="18"/>
                <w:szCs w:val="18"/>
                <w:lang w:val="en-GB"/>
              </w:rPr>
              <w:instrText xml:space="preserve"> ADDIN ZOTERO_ITEM CSL_CITATION {"citationID":"fVWt3Sn1","properties":{"formattedCitation":"[5\\uc0\\u8211{}9]","plainCitation":"[5–9]","noteIndex":0},"citationItems":[{"id":"uNES7Vp8/aYbwHExn","uris":["http://zotero.org/users/12893963/items/G2G9AT6P"],"itemData":{"id":435,"type":"webpage","title":"Clinical Resources - ANMF - Australasian Neonatal Medicines Formulary","URL":"https://www.anmfonline.org/clinical-resources/","accessed":{"date-parts":[["2024",3,26]]}},"label":"page"},{"id":"uNES7Vp8/B4sLmxis","uris":["http://zotero.org/users/12893963/items/5MRVTF9H"],"itemData":{"id":237,"type":"article-journal","abstract":"Neonatal sepsis causes up to an estimated 680,000 deaths annually worldwide, predominantly in low- and middle-income countries (LMICs). A significant and growing proportion of bacteria causing neonatal sepsis are resistant to multiple antibiotics, including the World Health Organization-recommended empiric neonatal sepsis regimen of ampicillin/gentamicin. The Global Antibiotic Research and Development Partnership is aiming to develop alternative empiric antibiotic regimens that fulfil several criteria: (1) affordable in LMIC settings; (2) activity against neonatal bacterial pathogens, including extended-spectrum β-lactamase producers, gentamicin-resistant Gram-negative bacteria, and methicillin-resistant Staphylococcus aureus (MRSA); (3) a licence for neonatal use or extensive experience of use in neonates; and (4) minimal toxicities. In this review, we identify five antibiotics that fulfil these criteria: amikacin, tobramycin, fosfomycin, flomoxef, and cefepime. We describe the available characteristics of each in terms of mechanism of action, resistance mechanisms, clinical pharmacokinetics, pharmacodynamics, and toxicity profile. We also identify some knowledge gaps: (1) the neonatal pharmacokinetics of cefepime is reliant on relatively small and limited datasets, and the pharmacokinetics of flomoxef are also reliant on data from a limited demographic range and (2) for all reviewed agents, the pharmacodynamic index and target has not been definitively established for both bactericidal effect and emergence of resistance, with many assumed to have an identical index/target to similar class molecules. These five agents have the potential to be used in novel combination empiric regimens for neonatal sepsis. However, the data gaps need addressing by pharmacokinetic trials and pharmacodynamic characterisation.","container-title":"Paediatric Drugs","DOI":"10.1007/s40272-021-00465-z","ISSN":"1174-5878","issue":"5","journalAbbreviation":"Paediatr Drugs","note":"PMID: 34435316\nPMCID: PMC8418595","page":"465-484","source":"PubMed Central","title":"Potential Antibiotics for the Treatment of Neonatal Sepsis Caused by Multidrug-Resistant Bacteria","volume":"23","author":[{"family":"Darlow","given":"Christopher A."},{"family":"Costa","given":"Renata M. A.","non-dropping-particle":"da"},{"family":"Ellis","given":"Sally"},{"family":"Franceschi","given":"François"},{"family":"Sharland","given":"Mike"},{"family":"Piddock","given":"Laura"},{"family":"Das","given":"Shampa"},{"family":"Hope","given":"William"}],"issued":{"date-parts":[["2021"]]}},"label":"page"},{"id":"uNES7Vp8/Zi14JnfN","uris":["http://zotero.org/users/12893963/items/ZDPPKA8J"],"itemData":{"id":474,"type":"article-journal","abstract":"Based on a previously derived population pharmacokinetic model, a novel neonatal amikacin dosing regimen was developed. The aim of the current study was to prospectively evaluate this dosing regimen. First, early (before and after second dose) therapeutic drug monitoring (TDM) observations were evaluated for achieving target trough (&lt;3 mg/liter) and peak (&gt;24 mg/liter) levels. Second, all observed TDM concentrations were compared with model-predicted concentrations, whereby the results of a normalized prediction distribution error (NPDE) were considered. Subsequently, Monte Carlo simulations were performed. Finally, remaining causes limiting amikacin predictability (i.e., prescription errors and disease characteristics of outliers) were explored. In 579 neonates (median birth body weight, 2,285 [range, 420 to 4,850] g; postnatal age 2 days [range, 1 to 30 days]; gestational age, 34 weeks [range, 24 to 41 weeks]), 90.5% of the observed early peak levels reached 24 mg/liter, and 60.2% of the trough levels were &lt;3 mg/liter (93.4% ≤5 mg/liter). Observations were accurately predicted by the model without bias, which was confirmed by the NPDE. Monte Carlo simulations showed that peak concentrations of &gt;24 mg/liter were reached at steady state in almost all patients. Trough values of &lt;3 mg/liter at steady state were documented in 78% to 100% and 45% to 96% of simulated cases with and without ibuprofen coadministration, respectively; suboptimal trough levels were found in patients with postnatal age &lt;14 days and current weight of &gt;2,000 g. Prospective evaluation of a model-based neonatal amikacin dosing regimen resulted in optimized peak and trough concentrations in almost all patients. Slightly adapted dosing for patient subgroups with suboptimal trough levels was proposed. This model-based approach improves neonatal dosing individualization.","container-title":"Antimicrobial Agents and Chemotherapy","DOI":"10.1128/AAC.01157-15","ISSN":"1098-6596","issue":"10","journalAbbreviation":"Antimicrob Agents Chemother","language":"eng","note":"PMID: 26248375\nPMCID: PMC4576045","page":"6344-6351","source":"PubMed","title":"Prospective Evaluation of a Model-Based Dosing Regimen for Amikacin in Preterm and Term Neonates in Clinical Practice","volume":"59","author":[{"family":"Smits","given":"A."},{"family":"De Cock","given":"R. F. W."},{"family":"Allegaert","given":"K."},{"family":"Vanhaesebrouck","given":"S."},{"family":"Danhof","given":"M."},{"family":"Knibbe","given":"C. a. J."}],"issued":{"date-parts":[["2015",10]]}},"label":"page"},{"id":"uNES7Vp8/1LGBgXQZ","uris":["http://zotero.org/users/12893963/items/TWAZV82D"],"itemData":{"id":472,"type":"article-journal","abstract":"For safe and effective use of antibacterial agents in neonates, specific knowledge on the pharmacokinetics (PK) and its covariates is needed. This necessitates a stepwise approach, including prospective validation. Areas covered: We describe our approach throughout almost two decades to improve amikacin exposure in neonates. A dosing regimen has been developed and validated using pharmacometrics, considering current weight, postnatal age, perinatal asphyxia, and ibuprofen use. This regimen has been developed based on clinical and therapeutic drug monitoring (TDM) data collected during routine care, and subsequently underwent prospective validation. A similar approach has been scheduled to quantify the impact of hypothermia. Besides plasma observations, datasets on deep compartment PK were also collected. Finally, the available literature on developmental toxicology (hearing, renal) of amikacin is summarized. Expert opinion: The amikacin model reflects a semi-physiological function for glomerular filtration. Consequently, this model can be used to develop dosing regimens for other aminoglycosides or to validate physiology-based pharmacokinetic models. Future studies should explore safety with incorporation of covariates like pharmacogenetics, biomarkers, and long-term outcomes. This includes a search for mechanisms of developmental toxicity. Following knowledge generation and grading the level of evidence in support of data, dissemination and implementation initiatives are needed.","container-title":"Expert Opinion on Drug Metabolism &amp; Toxicology","DOI":"10.1080/17425255.2017.1234606","ISSN":"1744-7607","issue":"2","journalAbbreviation":"Expert Opin Drug Metab Toxicol","language":"eng","note":"PMID: 27623706","page":"157-166","source":"PubMed","title":"The amikacin research program: a stepwise approach to validate dosing regimens in neonates","title-short":"The amikacin research program","volume":"13","author":[{"family":"Smits","given":"Anne"},{"family":"Kulo","given":"Aida"},{"family":"Anker","given":"John","non-dropping-particle":"van den"},{"family":"Allegaert","given":"Karel"}],"issued":{"date-parts":[["2017",2]]}},"label":"page"},{"id":"uNES7Vp8/qUhrX9k4","uris":["http://zotero.org/users/12893963/items/8S4J5DET"],"itemData":{"id":466,"type":"article-journal","abstract":"OBJECTIVES: The primary aim was to compare attainment of goal serum amikacin concentrations using two dosage regimens in patients admitted to a neonatal intensive care unit. Secondary objectives included comparison of percentages of supratherapeutic trough concentrations, and subtherapeutic and supratherapeutic peak concentrations.\nMETHODS: This was an Institutional Review Board-approved, retrospective study of neonates receiving amikacin during January-December 2013 (group 1) and January-December 2014 (group 2). Group 1 received amikacin dosage consistent with published recommendations, whereas group 2 was dosed using a modified protocol that was based on postmenstrual and postnatal age. Goal serum amikacin peak concentration was defined as 20 to 35 mg/L; hence, subtherapeutic and supratherapeutic peak concentrations were defined as &lt;20 mg/L and &gt;35 mg/L, respectively. Supratherapeutic trough concentrations were &gt;8 mg/L. Between-group analysis was performed using Wilcoxon-Mann-Whitney test, Student t-test or χ2, or Fisher exact analysis as appropriate with a p value &lt;0.05.\nRESULTS: A total of 278 neonates were included (group 1: n = 144; group 2: n = 134). Most patients were male (60%) and were admitted for prematurity or respiratory distress (77%). The median gestational age in group 1 was 34.4 weeks (range, 30.0-37.9 weeks) versus group 2 at 36.9 weeks (range, 31.4-38.9 weeks), whereas the postnatal age was similar between both groups at 4 days. There was a significant increase in attaining goal peak amikacin concentrations between groups 1 and 2, 34% versus 84%, p &lt; 0.001, and decrease in supratherapeutic peak concentrations, 65% versus 12%, p &lt; 0.001. There was no significant difference in subtherapeutic peak or supratherapeutic trough concentrations.\nCONCLUSIONS: A modified neonatal amikacin dosage protocol resulted in increased peak amikacin serum concentration compared with published dosage recommendations. Future research should focus on determination of the optimal dosage regimen in neonates.","container-title":"The journal of pediatric pharmacology and therapeutics: JPPT: the official journal of PPAG","DOI":"10.5863/1551-6776-22.1.33","ISSN":"1551-6776","issue":"1","journalAbbreviation":"J Pediatr Pharmacol Ther","language":"eng","note":"PMID: 28337079\nPMCID: PMC5341529","page":"33-40","source":"PubMed","title":"Comparison of Amikacin Pharmacokinetics in Neonates Following Implementation of a New Dosage Protocol","volume":"22","author":[{"family":"Hughes","given":"Kaitlin M."},{"family":"Johnson","given":"Peter N."},{"family":"Anderson","given":"Michael P."},{"family":"Sekar","given":"Kris C."},{"family":"Welliver","given":"Robert C."},{"family":"Miller","given":"Jamie L."}],"issued":{"date-parts":[["2017"]]}},"label":"page"}],"schema":"https://github.com/citation-style-language/schema/raw/master/csl-citation.json"} </w:instrText>
            </w:r>
            <w:r w:rsidRPr="002669EA">
              <w:rPr>
                <w:rFonts w:ascii="Times New Roman" w:hAnsi="Times New Roman" w:cs="Times New Roman"/>
                <w:b/>
                <w:bCs/>
                <w:sz w:val="18"/>
                <w:szCs w:val="18"/>
                <w:lang w:val="en-GB"/>
              </w:rPr>
              <w:fldChar w:fldCharType="separate"/>
            </w:r>
            <w:r w:rsidR="00631824" w:rsidRPr="002669EA">
              <w:rPr>
                <w:rFonts w:ascii="Times New Roman" w:hAnsi="Times New Roman" w:cs="Times New Roman"/>
                <w:kern w:val="0"/>
                <w:sz w:val="18"/>
                <w:szCs w:val="18"/>
                <w:lang w:val="en-US"/>
              </w:rPr>
              <w:t>[5–9]</w:t>
            </w:r>
            <w:r w:rsidRPr="002669EA">
              <w:rPr>
                <w:rFonts w:ascii="Times New Roman" w:hAnsi="Times New Roman" w:cs="Times New Roman"/>
                <w:b/>
                <w:bCs/>
                <w:sz w:val="18"/>
                <w:szCs w:val="18"/>
                <w:lang w:val="en-GB"/>
              </w:rPr>
              <w:fldChar w:fldCharType="end"/>
            </w:r>
          </w:p>
          <w:p w14:paraId="7643B85B" w14:textId="77777777" w:rsidR="00B658FD" w:rsidRPr="002669EA" w:rsidRDefault="00B658FD" w:rsidP="00B658FD">
            <w:pPr>
              <w:jc w:val="center"/>
              <w:rPr>
                <w:rFonts w:ascii="Times New Roman" w:hAnsi="Times New Roman" w:cs="Times New Roman"/>
                <w:b/>
                <w:bCs/>
                <w:sz w:val="18"/>
                <w:szCs w:val="18"/>
                <w:lang w:val="en-GB"/>
              </w:rPr>
            </w:pPr>
          </w:p>
          <w:p w14:paraId="758CF239" w14:textId="75FBCB61" w:rsidR="00B658FD" w:rsidRPr="002669EA" w:rsidRDefault="00B658FD" w:rsidP="00B658FD">
            <w:pPr>
              <w:jc w:val="center"/>
              <w:rPr>
                <w:rFonts w:ascii="Times New Roman" w:hAnsi="Times New Roman" w:cs="Times New Roman"/>
                <w:b/>
                <w:bCs/>
                <w:sz w:val="18"/>
                <w:szCs w:val="18"/>
                <w:lang w:val="en-US"/>
              </w:rPr>
            </w:pPr>
          </w:p>
        </w:tc>
        <w:tc>
          <w:tcPr>
            <w:tcW w:w="3279" w:type="dxa"/>
          </w:tcPr>
          <w:p w14:paraId="0CFB1E96" w14:textId="67A487EB" w:rsidR="00B658FD" w:rsidRPr="002669EA" w:rsidRDefault="00B658FD" w:rsidP="00631824">
            <w:pPr>
              <w:pStyle w:val="NormalWeb"/>
              <w:rPr>
                <w:sz w:val="18"/>
                <w:szCs w:val="18"/>
                <w:lang w:val="en-US"/>
              </w:rPr>
            </w:pPr>
            <w:r w:rsidRPr="002669EA">
              <w:rPr>
                <w:sz w:val="18"/>
                <w:szCs w:val="18"/>
                <w:shd w:val="clear" w:color="auto" w:fill="FFFFFF"/>
                <w:lang w:val="en-US"/>
              </w:rPr>
              <w:t>- Bactericidal activity by binding irreversibly to 30S subunit of bacterial ribosomes, inhibiting protein synthesis and leading to cell death</w:t>
            </w:r>
            <w:r w:rsidR="00631824" w:rsidRPr="002669EA">
              <w:rPr>
                <w:sz w:val="18"/>
                <w:szCs w:val="18"/>
                <w:shd w:val="clear" w:color="auto" w:fill="FFFFFF"/>
                <w:lang w:val="en-US"/>
              </w:rPr>
              <w:t>.</w:t>
            </w:r>
            <w:r w:rsidRPr="002669EA">
              <w:rPr>
                <w:sz w:val="18"/>
                <w:szCs w:val="18"/>
                <w:shd w:val="clear" w:color="auto" w:fill="FFFFFF"/>
                <w:lang w:val="en-US"/>
              </w:rPr>
              <w:br/>
              <w:t xml:space="preserve">- Potent bactericidal activity against Enterobacteriaceae (E. coli, Klebsiella spp., Enterobacter cloacae, E. aerogenes, Providencia spp., Proteus spp., </w:t>
            </w:r>
            <w:proofErr w:type="spellStart"/>
            <w:r w:rsidRPr="002669EA">
              <w:rPr>
                <w:sz w:val="18"/>
                <w:szCs w:val="18"/>
                <w:shd w:val="clear" w:color="auto" w:fill="FFFFFF"/>
                <w:lang w:val="en-US"/>
              </w:rPr>
              <w:t>Morganella</w:t>
            </w:r>
            <w:proofErr w:type="spellEnd"/>
            <w:r w:rsidRPr="002669EA">
              <w:rPr>
                <w:sz w:val="18"/>
                <w:szCs w:val="18"/>
                <w:shd w:val="clear" w:color="auto" w:fill="FFFFFF"/>
                <w:lang w:val="en-US"/>
              </w:rPr>
              <w:t xml:space="preserve"> spp., Serratia </w:t>
            </w:r>
            <w:proofErr w:type="spellStart"/>
            <w:r w:rsidRPr="002669EA">
              <w:rPr>
                <w:sz w:val="18"/>
                <w:szCs w:val="18"/>
                <w:shd w:val="clear" w:color="auto" w:fill="FFFFFF"/>
                <w:lang w:val="en-US"/>
              </w:rPr>
              <w:t>spp</w:t>
            </w:r>
            <w:proofErr w:type="spellEnd"/>
            <w:r w:rsidRPr="002669EA">
              <w:rPr>
                <w:sz w:val="18"/>
                <w:szCs w:val="18"/>
                <w:shd w:val="clear" w:color="auto" w:fill="FFFFFF"/>
                <w:lang w:val="en-US"/>
              </w:rPr>
              <w:t>), good activity against Staphylococcus aureus (methicillin-resistant and vancomycin-intermediate and -resistant isolates) P</w:t>
            </w:r>
            <w:r w:rsidR="002669EA" w:rsidRPr="002669EA">
              <w:rPr>
                <w:sz w:val="18"/>
                <w:szCs w:val="18"/>
                <w:shd w:val="clear" w:color="auto" w:fill="FFFFFF"/>
                <w:lang w:val="en-US"/>
              </w:rPr>
              <w:t>seudomonas</w:t>
            </w:r>
            <w:r w:rsidRPr="002669EA">
              <w:rPr>
                <w:sz w:val="18"/>
                <w:szCs w:val="18"/>
                <w:shd w:val="clear" w:color="auto" w:fill="FFFFFF"/>
                <w:lang w:val="en-US"/>
              </w:rPr>
              <w:t xml:space="preserve"> aeruginosa</w:t>
            </w:r>
            <w:r w:rsidR="002669EA" w:rsidRPr="002669EA">
              <w:rPr>
                <w:sz w:val="18"/>
                <w:szCs w:val="18"/>
                <w:shd w:val="clear" w:color="auto" w:fill="FFFFFF"/>
                <w:lang w:val="en-US"/>
              </w:rPr>
              <w:t>,</w:t>
            </w:r>
            <w:r w:rsidRPr="002669EA">
              <w:rPr>
                <w:sz w:val="18"/>
                <w:szCs w:val="18"/>
                <w:shd w:val="clear" w:color="auto" w:fill="FFFFFF"/>
                <w:lang w:val="en-US"/>
              </w:rPr>
              <w:t xml:space="preserve"> and to a lesser extent Acinetobacter baumannii</w:t>
            </w:r>
            <w:r w:rsidR="00631824" w:rsidRPr="002669EA">
              <w:rPr>
                <w:sz w:val="18"/>
                <w:szCs w:val="18"/>
                <w:shd w:val="clear" w:color="auto" w:fill="FFFFFF"/>
                <w:lang w:val="en-US"/>
              </w:rPr>
              <w:t>.</w:t>
            </w:r>
            <w:r w:rsidRPr="002669EA">
              <w:rPr>
                <w:sz w:val="18"/>
                <w:szCs w:val="18"/>
                <w:lang w:val="en-US"/>
              </w:rPr>
              <w:t xml:space="preserve"> </w:t>
            </w:r>
          </w:p>
        </w:tc>
        <w:tc>
          <w:tcPr>
            <w:tcW w:w="2391" w:type="dxa"/>
          </w:tcPr>
          <w:p w14:paraId="6822E47A" w14:textId="4F0C95E9" w:rsidR="00B658FD" w:rsidRPr="002669EA" w:rsidRDefault="00B658FD" w:rsidP="00B658FD">
            <w:pPr>
              <w:pStyle w:val="NormalWeb"/>
              <w:shd w:val="clear" w:color="auto" w:fill="FFFFFF"/>
              <w:rPr>
                <w:sz w:val="18"/>
                <w:szCs w:val="18"/>
                <w:shd w:val="clear" w:color="auto" w:fill="FFFFFF"/>
                <w:lang w:val="en-US"/>
              </w:rPr>
            </w:pPr>
            <w:r w:rsidRPr="002669EA">
              <w:rPr>
                <w:sz w:val="18"/>
                <w:szCs w:val="18"/>
                <w:shd w:val="clear" w:color="auto" w:fill="FFFFFF"/>
                <w:lang w:val="en-US"/>
              </w:rPr>
              <w:t xml:space="preserve">- Treatment of suspected or proven gram-negative infection resistant to other aminoglycosides used in combination usually with a </w:t>
            </w:r>
            <w:r w:rsidRPr="002669EA">
              <w:rPr>
                <w:sz w:val="18"/>
                <w:szCs w:val="18"/>
                <w:shd w:val="clear" w:color="auto" w:fill="FFFFFF"/>
              </w:rPr>
              <w:t>β</w:t>
            </w:r>
            <w:r w:rsidRPr="002669EA">
              <w:rPr>
                <w:sz w:val="18"/>
                <w:szCs w:val="18"/>
                <w:shd w:val="clear" w:color="auto" w:fill="FFFFFF"/>
                <w:lang w:val="en-US"/>
              </w:rPr>
              <w:t>-lactam antibiotic</w:t>
            </w:r>
            <w:r w:rsidR="00631824" w:rsidRPr="002669EA">
              <w:rPr>
                <w:sz w:val="18"/>
                <w:szCs w:val="18"/>
                <w:shd w:val="clear" w:color="auto" w:fill="FFFFFF"/>
                <w:lang w:val="en-US"/>
              </w:rPr>
              <w:t>.</w:t>
            </w:r>
          </w:p>
          <w:p w14:paraId="260C58E2" w14:textId="26AD79B5" w:rsidR="00B658FD" w:rsidRPr="002669EA" w:rsidRDefault="00B658FD" w:rsidP="00B658FD">
            <w:pPr>
              <w:pStyle w:val="NormalWeb"/>
              <w:shd w:val="clear" w:color="auto" w:fill="FFFFFF"/>
              <w:rPr>
                <w:sz w:val="18"/>
                <w:szCs w:val="18"/>
                <w:shd w:val="clear" w:color="auto" w:fill="FFFFFF"/>
                <w:lang w:val="en-US"/>
              </w:rPr>
            </w:pPr>
          </w:p>
        </w:tc>
        <w:tc>
          <w:tcPr>
            <w:tcW w:w="4110" w:type="dxa"/>
          </w:tcPr>
          <w:p w14:paraId="37AE42FB" w14:textId="35D0A14F" w:rsidR="00B658FD" w:rsidRPr="002669EA" w:rsidRDefault="00B658FD" w:rsidP="00B658FD">
            <w:pPr>
              <w:autoSpaceDE w:val="0"/>
              <w:autoSpaceDN w:val="0"/>
              <w:adjustRightInd w:val="0"/>
              <w:rPr>
                <w:rFonts w:ascii="Times New Roman" w:hAnsi="Times New Roman" w:cs="Times New Roman"/>
                <w:b/>
                <w:bCs/>
                <w:sz w:val="18"/>
                <w:szCs w:val="18"/>
                <w:lang w:val="en-GB"/>
              </w:rPr>
            </w:pPr>
            <w:r w:rsidRPr="002669EA">
              <w:rPr>
                <w:rFonts w:ascii="Times New Roman" w:hAnsi="Times New Roman" w:cs="Times New Roman"/>
                <w:sz w:val="18"/>
                <w:szCs w:val="18"/>
                <w:u w:val="single"/>
                <w:lang w:val="en-GB"/>
              </w:rPr>
              <w:t>Australasian Neonatal Medicines Formulary (2021)</w:t>
            </w:r>
            <w:r w:rsidRPr="002669EA">
              <w:rPr>
                <w:rFonts w:ascii="Times New Roman" w:hAnsi="Times New Roman" w:cs="Times New Roman"/>
                <w:sz w:val="18"/>
                <w:szCs w:val="18"/>
                <w:lang w:val="en-GB"/>
              </w:rPr>
              <w:br/>
            </w:r>
            <w:r w:rsidRPr="002669EA">
              <w:rPr>
                <w:rFonts w:ascii="Times New Roman" w:hAnsi="Times New Roman" w:cs="Times New Roman"/>
                <w:b/>
                <w:bCs/>
                <w:sz w:val="18"/>
                <w:szCs w:val="18"/>
                <w:lang w:val="en-GB"/>
              </w:rPr>
              <w:t xml:space="preserve">PMA≤ 29 </w:t>
            </w:r>
            <w:proofErr w:type="spellStart"/>
            <w:r w:rsidRPr="002669EA">
              <w:rPr>
                <w:rFonts w:ascii="Times New Roman" w:hAnsi="Times New Roman" w:cs="Times New Roman"/>
                <w:b/>
                <w:bCs/>
                <w:sz w:val="18"/>
                <w:szCs w:val="18"/>
                <w:lang w:val="en-GB"/>
              </w:rPr>
              <w:t>wks</w:t>
            </w:r>
            <w:proofErr w:type="spellEnd"/>
            <w:r w:rsidRPr="002669EA">
              <w:rPr>
                <w:rFonts w:ascii="Times New Roman" w:hAnsi="Times New Roman" w:cs="Times New Roman"/>
                <w:b/>
                <w:bCs/>
                <w:sz w:val="18"/>
                <w:szCs w:val="18"/>
                <w:lang w:val="en-GB"/>
              </w:rPr>
              <w:br/>
            </w:r>
            <w:r w:rsidRPr="002669EA">
              <w:rPr>
                <w:rFonts w:ascii="Times New Roman" w:hAnsi="Times New Roman" w:cs="Times New Roman"/>
                <w:sz w:val="18"/>
                <w:szCs w:val="18"/>
                <w:lang w:val="en-GB"/>
              </w:rPr>
              <w:t xml:space="preserve">         PNA 0-7 days: 14 mg/kg q48 (</w:t>
            </w:r>
            <w:proofErr w:type="spellStart"/>
            <w:r w:rsidRPr="002669EA">
              <w:rPr>
                <w:rFonts w:ascii="Times New Roman" w:hAnsi="Times New Roman" w:cs="Times New Roman"/>
                <w:sz w:val="18"/>
                <w:szCs w:val="18"/>
                <w:lang w:val="en-GB"/>
              </w:rPr>
              <w:t>i.v</w:t>
            </w:r>
            <w:proofErr w:type="spellEnd"/>
            <w:r w:rsidRPr="002669EA">
              <w:rPr>
                <w:rFonts w:ascii="Times New Roman" w:hAnsi="Times New Roman" w:cs="Times New Roman"/>
                <w:sz w:val="18"/>
                <w:szCs w:val="18"/>
                <w:lang w:val="en-GB"/>
              </w:rPr>
              <w:t>)</w:t>
            </w:r>
            <w:r w:rsidRPr="002669EA">
              <w:rPr>
                <w:rFonts w:ascii="Times New Roman" w:hAnsi="Times New Roman" w:cs="Times New Roman"/>
                <w:sz w:val="18"/>
                <w:szCs w:val="18"/>
                <w:lang w:val="en-GB"/>
              </w:rPr>
              <w:br/>
              <w:t xml:space="preserve">         </w:t>
            </w:r>
            <w:r w:rsidR="00F053F9" w:rsidRPr="002669EA">
              <w:rPr>
                <w:rFonts w:ascii="Times New Roman" w:hAnsi="Times New Roman" w:cs="Times New Roman"/>
                <w:sz w:val="18"/>
                <w:szCs w:val="18"/>
                <w:lang w:val="en-GB"/>
              </w:rPr>
              <w:t>PNA</w:t>
            </w:r>
            <w:r w:rsidRPr="002669EA">
              <w:rPr>
                <w:rFonts w:ascii="Times New Roman" w:hAnsi="Times New Roman" w:cs="Times New Roman"/>
                <w:sz w:val="18"/>
                <w:szCs w:val="18"/>
                <w:lang w:val="en-GB"/>
              </w:rPr>
              <w:t xml:space="preserve"> 8-28 days: 12 mg/kg q36</w:t>
            </w:r>
            <w:r w:rsidRPr="002669EA">
              <w:rPr>
                <w:rFonts w:ascii="Times New Roman" w:hAnsi="Times New Roman" w:cs="Times New Roman"/>
                <w:sz w:val="18"/>
                <w:szCs w:val="18"/>
                <w:lang w:val="en-GB"/>
              </w:rPr>
              <w:br/>
              <w:t xml:space="preserve">         </w:t>
            </w:r>
            <w:r w:rsidR="00F053F9" w:rsidRPr="002669EA">
              <w:rPr>
                <w:rFonts w:ascii="Times New Roman" w:hAnsi="Times New Roman" w:cs="Times New Roman"/>
                <w:sz w:val="18"/>
                <w:szCs w:val="18"/>
                <w:lang w:val="en-GB"/>
              </w:rPr>
              <w:t>PNA</w:t>
            </w:r>
            <w:r w:rsidRPr="002669EA">
              <w:rPr>
                <w:rFonts w:ascii="Times New Roman" w:hAnsi="Times New Roman" w:cs="Times New Roman"/>
                <w:sz w:val="18"/>
                <w:szCs w:val="18"/>
                <w:lang w:val="en-GB"/>
              </w:rPr>
              <w:t xml:space="preserve"> ≥ 29 days: 12 mg/kg q24</w:t>
            </w:r>
          </w:p>
          <w:p w14:paraId="334C5932" w14:textId="3A62AE7A" w:rsidR="00B658FD" w:rsidRPr="002669EA" w:rsidRDefault="00B658FD" w:rsidP="00B658FD">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b/>
                <w:bCs/>
                <w:sz w:val="18"/>
                <w:szCs w:val="18"/>
                <w:lang w:val="en-GB"/>
              </w:rPr>
              <w:t xml:space="preserve">PMA= 30-34 </w:t>
            </w:r>
            <w:proofErr w:type="spellStart"/>
            <w:r w:rsidRPr="002669EA">
              <w:rPr>
                <w:rFonts w:ascii="Times New Roman" w:hAnsi="Times New Roman" w:cs="Times New Roman"/>
                <w:b/>
                <w:bCs/>
                <w:sz w:val="18"/>
                <w:szCs w:val="18"/>
                <w:lang w:val="en-GB"/>
              </w:rPr>
              <w:t>wks</w:t>
            </w:r>
            <w:proofErr w:type="spellEnd"/>
            <w:r w:rsidRPr="002669EA">
              <w:rPr>
                <w:rFonts w:ascii="Times New Roman" w:hAnsi="Times New Roman" w:cs="Times New Roman"/>
                <w:b/>
                <w:bCs/>
                <w:sz w:val="18"/>
                <w:szCs w:val="18"/>
                <w:lang w:val="en-GB"/>
              </w:rPr>
              <w:br/>
            </w:r>
            <w:r w:rsidRPr="002669EA">
              <w:rPr>
                <w:rFonts w:ascii="Times New Roman" w:hAnsi="Times New Roman" w:cs="Times New Roman"/>
                <w:sz w:val="18"/>
                <w:szCs w:val="18"/>
                <w:lang w:val="en-GB"/>
              </w:rPr>
              <w:t xml:space="preserve">         PNA 0-7 days: 12 mg/kg q36</w:t>
            </w:r>
            <w:r w:rsidRPr="002669EA">
              <w:rPr>
                <w:rFonts w:ascii="Times New Roman" w:hAnsi="Times New Roman" w:cs="Times New Roman"/>
                <w:sz w:val="18"/>
                <w:szCs w:val="18"/>
                <w:lang w:val="en-GB"/>
              </w:rPr>
              <w:br/>
              <w:t xml:space="preserve">       </w:t>
            </w:r>
            <w:r w:rsidR="00F053F9" w:rsidRPr="002669EA">
              <w:rPr>
                <w:rFonts w:ascii="Times New Roman" w:hAnsi="Times New Roman" w:cs="Times New Roman"/>
                <w:sz w:val="18"/>
                <w:szCs w:val="18"/>
                <w:lang w:val="en-GB"/>
              </w:rPr>
              <w:t xml:space="preserve"> </w:t>
            </w:r>
            <w:r w:rsidRPr="002669EA">
              <w:rPr>
                <w:rFonts w:ascii="Times New Roman" w:hAnsi="Times New Roman" w:cs="Times New Roman"/>
                <w:sz w:val="18"/>
                <w:szCs w:val="18"/>
                <w:lang w:val="en-GB"/>
              </w:rPr>
              <w:t xml:space="preserve"> </w:t>
            </w:r>
            <w:r w:rsidR="00F053F9" w:rsidRPr="002669EA">
              <w:rPr>
                <w:rFonts w:ascii="Times New Roman" w:hAnsi="Times New Roman" w:cs="Times New Roman"/>
                <w:sz w:val="18"/>
                <w:szCs w:val="18"/>
                <w:lang w:val="en-GB"/>
              </w:rPr>
              <w:t>PNA</w:t>
            </w:r>
            <w:r w:rsidRPr="002669EA">
              <w:rPr>
                <w:rFonts w:ascii="Times New Roman" w:hAnsi="Times New Roman" w:cs="Times New Roman"/>
                <w:sz w:val="18"/>
                <w:szCs w:val="18"/>
                <w:lang w:val="en-GB"/>
              </w:rPr>
              <w:t xml:space="preserve">  ≥ 8 days: 12 mg/kg q24</w:t>
            </w:r>
          </w:p>
          <w:p w14:paraId="4F9E8811" w14:textId="63075101" w:rsidR="00B658FD" w:rsidRPr="002669EA" w:rsidRDefault="00B658FD" w:rsidP="00B658FD">
            <w:pPr>
              <w:pStyle w:val="Default"/>
              <w:rPr>
                <w:rFonts w:ascii="Times New Roman" w:hAnsi="Times New Roman" w:cs="Times New Roman"/>
                <w:color w:val="auto"/>
                <w:sz w:val="18"/>
                <w:szCs w:val="18"/>
              </w:rPr>
            </w:pPr>
            <w:r w:rsidRPr="002669EA">
              <w:rPr>
                <w:rFonts w:ascii="Times New Roman" w:hAnsi="Times New Roman" w:cs="Times New Roman"/>
                <w:b/>
                <w:bCs/>
                <w:color w:val="auto"/>
                <w:sz w:val="18"/>
                <w:szCs w:val="18"/>
              </w:rPr>
              <w:t xml:space="preserve">PMA ≥ 35 </w:t>
            </w:r>
            <w:proofErr w:type="spellStart"/>
            <w:r w:rsidRPr="002669EA">
              <w:rPr>
                <w:rFonts w:ascii="Times New Roman" w:hAnsi="Times New Roman" w:cs="Times New Roman"/>
                <w:b/>
                <w:bCs/>
                <w:color w:val="auto"/>
                <w:sz w:val="18"/>
                <w:szCs w:val="18"/>
              </w:rPr>
              <w:t>wks</w:t>
            </w:r>
            <w:proofErr w:type="spellEnd"/>
            <w:r w:rsidRPr="002669EA">
              <w:rPr>
                <w:rFonts w:ascii="Times New Roman" w:hAnsi="Times New Roman" w:cs="Times New Roman"/>
                <w:b/>
                <w:bCs/>
                <w:color w:val="auto"/>
                <w:sz w:val="18"/>
                <w:szCs w:val="18"/>
              </w:rPr>
              <w:br/>
              <w:t xml:space="preserve">          </w:t>
            </w:r>
            <w:r w:rsidRPr="002669EA">
              <w:rPr>
                <w:rFonts w:ascii="Times New Roman" w:hAnsi="Times New Roman" w:cs="Times New Roman"/>
                <w:color w:val="auto"/>
                <w:sz w:val="18"/>
                <w:szCs w:val="18"/>
              </w:rPr>
              <w:t>All: 12mg/kg q24</w:t>
            </w:r>
            <w:r w:rsidRPr="002669EA">
              <w:rPr>
                <w:rFonts w:ascii="Times New Roman" w:hAnsi="Times New Roman" w:cs="Times New Roman"/>
                <w:color w:val="auto"/>
                <w:sz w:val="18"/>
                <w:szCs w:val="18"/>
              </w:rPr>
              <w:br/>
            </w:r>
            <w:r w:rsidRPr="002669EA">
              <w:rPr>
                <w:rFonts w:ascii="Times New Roman" w:hAnsi="Times New Roman" w:cs="Times New Roman"/>
                <w:color w:val="auto"/>
                <w:sz w:val="18"/>
                <w:szCs w:val="18"/>
              </w:rPr>
              <w:br/>
              <w:t>- Increase of the dose interval by 12 h in neonates with perinatal asphyxia and therapeutic hypothermia and by 10 h in co-administration of indomethacin or ibuprofen</w:t>
            </w:r>
            <w:r w:rsidR="00631824" w:rsidRPr="002669EA">
              <w:rPr>
                <w:rFonts w:ascii="Times New Roman" w:hAnsi="Times New Roman" w:cs="Times New Roman"/>
                <w:color w:val="auto"/>
                <w:sz w:val="18"/>
                <w:szCs w:val="18"/>
              </w:rPr>
              <w:t>.</w:t>
            </w:r>
            <w:r w:rsidRPr="002669EA">
              <w:rPr>
                <w:rFonts w:ascii="Times New Roman" w:hAnsi="Times New Roman" w:cs="Times New Roman"/>
                <w:color w:val="auto"/>
                <w:sz w:val="18"/>
                <w:szCs w:val="18"/>
              </w:rPr>
              <w:br/>
              <w:t xml:space="preserve">- </w:t>
            </w:r>
            <w:r w:rsidRPr="002669EA">
              <w:rPr>
                <w:rFonts w:ascii="Times New Roman" w:hAnsi="Times New Roman" w:cs="Times New Roman"/>
                <w:color w:val="auto"/>
                <w:sz w:val="18"/>
                <w:szCs w:val="18"/>
                <w:lang w:val="en-US"/>
              </w:rPr>
              <w:t xml:space="preserve">For treatment ≥ 48 h and for neonates with renal impairment perform early </w:t>
            </w:r>
            <w:r w:rsidRPr="002669EA">
              <w:rPr>
                <w:rFonts w:ascii="Times New Roman" w:hAnsi="Times New Roman" w:cs="Times New Roman"/>
                <w:color w:val="auto"/>
                <w:sz w:val="18"/>
                <w:szCs w:val="18"/>
              </w:rPr>
              <w:t>trough and peak levels (prior to and 1 hour after the second amikacin dose). Target peak levels 24–35 mg/L and troughs &lt;5 mg/L</w:t>
            </w:r>
            <w:r w:rsidR="00631824" w:rsidRPr="002669EA">
              <w:rPr>
                <w:rFonts w:ascii="Times New Roman" w:hAnsi="Times New Roman" w:cs="Times New Roman"/>
                <w:color w:val="auto"/>
                <w:sz w:val="18"/>
                <w:szCs w:val="18"/>
              </w:rPr>
              <w:t>.</w:t>
            </w:r>
            <w:r w:rsidRPr="002669EA">
              <w:rPr>
                <w:rFonts w:ascii="Times New Roman" w:hAnsi="Times New Roman" w:cs="Times New Roman"/>
                <w:color w:val="auto"/>
                <w:sz w:val="18"/>
                <w:szCs w:val="18"/>
              </w:rPr>
              <w:t xml:space="preserve"> </w:t>
            </w:r>
          </w:p>
        </w:tc>
        <w:tc>
          <w:tcPr>
            <w:tcW w:w="3105" w:type="dxa"/>
          </w:tcPr>
          <w:p w14:paraId="0FD6E09A" w14:textId="267CD701" w:rsidR="00B658FD" w:rsidRPr="002669EA" w:rsidRDefault="00B658FD" w:rsidP="00B658FD">
            <w:pPr>
              <w:pStyle w:val="NormalWeb"/>
              <w:shd w:val="clear" w:color="auto" w:fill="FFFFFF"/>
              <w:rPr>
                <w:sz w:val="18"/>
                <w:szCs w:val="18"/>
                <w:shd w:val="clear" w:color="auto" w:fill="FFFFFF"/>
                <w:lang w:val="en-US"/>
              </w:rPr>
            </w:pPr>
            <w:r w:rsidRPr="002669EA">
              <w:rPr>
                <w:sz w:val="18"/>
                <w:szCs w:val="18"/>
                <w:shd w:val="clear" w:color="auto" w:fill="FFFFFF"/>
                <w:lang w:val="en-US"/>
              </w:rPr>
              <w:t xml:space="preserve">- Nephrotoxicity </w:t>
            </w:r>
            <w:r w:rsidRPr="002669EA">
              <w:rPr>
                <w:sz w:val="18"/>
                <w:szCs w:val="18"/>
                <w:shd w:val="clear" w:color="auto" w:fill="FFFFFF"/>
                <w:lang w:val="en-US"/>
              </w:rPr>
              <w:br/>
              <w:t>- Ototoxicity</w:t>
            </w:r>
            <w:r w:rsidRPr="002669EA">
              <w:rPr>
                <w:sz w:val="18"/>
                <w:szCs w:val="18"/>
                <w:shd w:val="clear" w:color="auto" w:fill="FFFFFF"/>
                <w:lang w:val="en-US"/>
              </w:rPr>
              <w:br/>
              <w:t>- Neuro-muscular blockade (rare, only reported in adults; increased risk when used with neuromuscular blocking agents, opioid analgesics and massive transfusions with citrate anticoagulated blood and in patients with hypermagnesemia)</w:t>
            </w:r>
            <w:r w:rsidR="00631824" w:rsidRPr="002669EA">
              <w:rPr>
                <w:sz w:val="18"/>
                <w:szCs w:val="18"/>
                <w:shd w:val="clear" w:color="auto" w:fill="FFFFFF"/>
                <w:lang w:val="en-US"/>
              </w:rPr>
              <w:t>.</w:t>
            </w:r>
          </w:p>
        </w:tc>
      </w:tr>
      <w:tr w:rsidR="00B96DD6" w:rsidRPr="002669EA" w14:paraId="74F7246D" w14:textId="77777777" w:rsidTr="004464EE">
        <w:trPr>
          <w:trHeight w:val="1833"/>
        </w:trPr>
        <w:tc>
          <w:tcPr>
            <w:tcW w:w="1844" w:type="dxa"/>
          </w:tcPr>
          <w:p w14:paraId="335E8CF1" w14:textId="72C499D4" w:rsidR="00B658FD" w:rsidRPr="002669EA" w:rsidRDefault="00B658FD" w:rsidP="007361C6">
            <w:pPr>
              <w:jc w:val="center"/>
              <w:rPr>
                <w:rFonts w:ascii="Times New Roman" w:hAnsi="Times New Roman" w:cs="Times New Roman"/>
                <w:b/>
                <w:bCs/>
                <w:sz w:val="18"/>
                <w:szCs w:val="18"/>
                <w:lang w:val="en-GB"/>
              </w:rPr>
            </w:pPr>
            <w:r w:rsidRPr="002669EA">
              <w:rPr>
                <w:rFonts w:ascii="Times New Roman" w:hAnsi="Times New Roman" w:cs="Times New Roman"/>
                <w:b/>
                <w:bCs/>
                <w:sz w:val="18"/>
                <w:szCs w:val="18"/>
                <w:lang w:val="en-GB"/>
              </w:rPr>
              <w:t>MEROPENEM</w:t>
            </w:r>
            <w:r w:rsidRPr="002669EA">
              <w:rPr>
                <w:rFonts w:ascii="Times New Roman" w:hAnsi="Times New Roman" w:cs="Times New Roman"/>
                <w:b/>
                <w:bCs/>
                <w:sz w:val="18"/>
                <w:szCs w:val="18"/>
                <w:lang w:val="en-GB"/>
              </w:rPr>
              <w:br/>
            </w:r>
            <w:r w:rsidRPr="002669EA">
              <w:rPr>
                <w:rFonts w:ascii="Times New Roman" w:hAnsi="Times New Roman" w:cs="Times New Roman"/>
                <w:b/>
                <w:bCs/>
                <w:sz w:val="18"/>
                <w:szCs w:val="18"/>
                <w:lang w:val="en-GB"/>
              </w:rPr>
              <w:fldChar w:fldCharType="begin"/>
            </w:r>
            <w:r w:rsidR="00412230" w:rsidRPr="002669EA">
              <w:rPr>
                <w:rFonts w:ascii="Times New Roman" w:hAnsi="Times New Roman" w:cs="Times New Roman"/>
                <w:b/>
                <w:bCs/>
                <w:sz w:val="18"/>
                <w:szCs w:val="18"/>
                <w:lang w:val="en-GB"/>
              </w:rPr>
              <w:instrText xml:space="preserve"> ADDIN ZOTERO_ITEM CSL_CITATION {"citationID":"m3qsQLsr","properties":{"formattedCitation":"[5,10\\uc0\\u8211{}12]","plainCitation":"[5,10–12]","noteIndex":0},"citationItems":[{"id":"uNES7Vp8/aYbwHExn","uris":["http://zotero.org/users/12893963/items/G2G9AT6P"],"itemData":{"id":435,"type":"webpage","title":"Clinical Resources - ANMF - Australasian Neonatal Medicines Formulary","URL":"https://www.anmfonline.org/clinical-resources/","accessed":{"date-parts":[["2024",3,26]]}},"label":"page"},{"id":"uNES7Vp8/PyYz1MYQ","uris":["http://zotero.org/users/12893963/items/8LUFRCVZ"],"itemData":{"id":437,"type":"article-journal","abstract":"Meropenem (Merrem, Meronem) is a broad-spectrum antibacterial agent of the carbapenem family, indicated as empirical therapy prior to the identification of causative organisms, or for disease caused by single or multiple susceptible bacteria in both adults and children with a broad range of serious infections. Meropenem is approved for use in complicated intra-abdominal infection (cIAI), complicated skin and skin structure infection (cSSSI) and bacterial meningitis (in paediatric patients aged &gt; or = 3 months) in the US, and in most other countries for nosocomial pneumonia, cIAI, septicaemia, febrile neutropenia, cSSSI, bacterial meningitis, complicated urinary tract infection (UTI), obstetric and gynaecological infections, in cystic fibrosis patients with pulmonary exacerbations, and for the treatment of severe community-acquired pneumonia (CAP). Meropenem has a broad spectrum of in vitro activity against Gram-positive and Gram-negative pathogens, including extended-spectrum beta-lactamase (ESBL)- and AmpC-producing Enterobacteriaceae. It has similar efficacy to comparator antibacterial agents, including: imipenem/cilastatin in cIAI, cSSSI, febrile neutropenia, complicated UTI, obstetric or gynaecological infections and severe CAP; clindamycin plus tobramycin or gentamicin in cIAI or obstetric/gynaecological infections; cefotaxime plus metronidazole in cIAI; cefepime and ceftazidime plus amikacin in septicaemia or febrile neutropenia; and ceftazidime, clarithromycin plus ceftriaxone or amikacin in severe CAP. Meropenem has also shown similar efficacy to cefotaxime in paediatric and adult patients with bacterial meningitis, and to ceftazidime when both agents were administered with or without tobramycin in patients with cystic fibrosis experiencing acute pulmonary exacerbations. Meropenem showed greater efficacy than ceftazidime or piperacillin/tazobactam in febrile neutropenia, and greater efficacy than ceftazidime plus amikacin or tobramycin in patients with nosocomial pneumonia. Meropenem is well tolerated and has the advantage of being suitable for administration as an intravenous bolus or infusion. Its low propensity for inducing seizures means that it is suitable for treating bacterial meningitis and is the only carbapenem approved in this indication. Thus, meropenem continues to be an important option for the empirical treatment of serious bacterial infections in hospitalized patients.","container-title":"Drugs","DOI":"10.2165/00003495-200868060-00006","ISSN":"0012-6667","issue":"6","journalAbbreviation":"Drugs","language":"eng","note":"PMID: 18416587","page":"803-838","source":"PubMed","title":"Meropenem: a review of its use in the treatment of serious bacterial infections","title-short":"Meropenem","volume":"68","author":[{"family":"Baldwin","given":"Claudine M."},{"family":"Lyseng-Williamson","given":"Katherine A."},{"family":"Keam","given":"Susan J."}],"issued":{"date-parts":[["2008"]]}},"label":"page"},{"id":"uNES7Vp8/dWJZCDJv","uris":["http://zotero.org/users/12893963/items/V2QUPENP"],"itemData":{"id":429,"type":"article-journal","abstract":"BACKGROUND: Sepsis and bacterial meningitis are major causes of mortality and morbidity in neonates and infants. Meropenem, a broad-spectrum antibiotic, is not licensed for use in neonates and infants below 3 months of age and sufficient information on its plasma and CSF disposition and dosing in neonates and infants is lacking.\nOBJECTIVES: To determine plasma and CSF pharmacokinetics of meropenem in neonates and young infants and the link between pharmacokinetics and clinical outcomes in babies with late-onset sepsis (LOS).\nMETHODS: Data were collected in two recently conducted studies, i.e. NeoMero-1 (neonatal LOS) and NeoMero-2 (neonatal meningitis). Optimally timed plasma samples (n = 401) from 167 patients and opportunistic CSF samples (n = 78) from 56 patients were analysed.\nRESULTS: A one-compartment model with allometric scaling and fixed maturation gave adequate fit to both plasma and CSF data; the CL and volume (standardized to 70 kg) were 16.7 (95% CI 14.7, 18.9) L/h and 38.6 (95% CI 34.9, 43.4) L, respectively. CSF penetration was low (8%), but rose with increasing CSF protein, with 40% penetration predicted at a protein concentration of 6 g/L. Increased infusion time improved plasma target attainment, but lowered CSF concentrations. For 24 patients with culture-proven Gram-negative LOS, pharmacodynamic target attainment was similar regardless of the test-of-cure visit outcome.\nCONCLUSIONS: Simulations showed that longer infusions increase plasma PTA but decrease CSF PTA. CSF penetration is worsened with long infusions so increasing dose frequency to achieve therapeutic targets should be considered.","container-title":"The Journal of Antimicrobial Chemotherapy","DOI":"10.1093/jac/dky128","ISSN":"1460-2091","issue":"7","journalAbbreviation":"J Antimicrob Chemother","language":"eng","note":"PMID: 29684147\nPMCID: PMC6005047","page":"1908-1916","source":"PubMed","title":"Plasma and CSF pharmacokinetics of meropenem in neonates and young infants: results from the NeoMero studies","title-short":"Plasma and CSF pharmacokinetics of meropenem in neonates and young infants","volume":"73","author":[{"family":"Germovsek","given":"Eva"},{"family":"Lutsar","given":"Irja"},{"family":"Kipper","given":"Karin"},{"family":"Karlsson","given":"Mats O."},{"family":"Planche","given":"Tim"},{"family":"Chazallon","given":"Corine"},{"family":"Meyer","given":"Laurence"},{"family":"Trafojer","given":"Ursula M. T."},{"family":"Metsvaht","given":"Tuuli"},{"family":"Fournier","given":"Isabelle"},{"family":"Sharland","given":"Mike"},{"family":"Heath","given":"Paul"},{"family":"Standing","given":"Joseph F."},{"literal":"NeoMero Consortium"}],"issued":{"date-parts":[["2018",7,1]]}},"label":"page"},{"id":8350,"uris":["http://zotero.org/users/9451856/items/59SLK5CT"],"itemData":{"id":8350,"type":"article-journal","abstract":"BACKGROUND: The early use of broad-spectrum antibiotics remains the cornerstone for the treatment of neonatal late onset sepsis (LOS). However, which antibiotics should be used is still debatable, as relevant studies were conducted more than 20 years ago, recruited in single centres or countries, evaluated antibiotics not in clinical use anymore and had variable inclusion/exclusion criteria and outcome measures. Moreover, antibiotic-resistant bacteria have become a major problem in many countries worldwide. We hypothesized that efficacy of meropenem as a broad-spectrum antibiotic is superior to standard of care regimens (SOC) in empiric treatment of LOS and aimed to compare meropenem to SOC in infants aged &lt;90 days with LOS.\nMETHODS AND FINDINGS: NeoMero-1 was a randomized, open-label, phase III superiority trial conducted in 18 neonatal units in 6 countries. Infants with post-menstrual age (PMA) of ≤44 weeks with positive blood culture and one, or those with negative culture and at least with two predefined clinical and laboratory signs suggestive of LOS, or those with PMA &gt;44 weeks meeting the Goldstein criteria of sepsis, were randomized in a 1:1 ratio to receive meropenem or one of the two SOC regimens (ampicillin+gentamicin or cefotaxime+gentamicin) chosen by each site prior to the start of the study for 8-14 days. The primary outcome was treatment success (survival, no modification of allocated therapy, resolution/improvement of clinical and laboratory markers, no need of additional antibiotics and presumed/confirmed eradication of pathogens) at test-of-cure visit (TOC) in full analysis set. Stool samples were tested at baseline and Day 28 for meropenem-resistant Gram-negative organisms (CRGNO). The primary analysis was performed in all randomised patients and in patients with culture confirmed LOS. Proportions of participants with successful outcome were compared by using a logistic regression model adjusted for the stratification factors. From September 3, 2012 to November 30th 2014, total of 136 patients (instead of planned 275) in each arm were randomized; 140 (52%) were culture positive. Successful outcome at TOC was achieved in 44/136 (32%) in the meropenem arm vs. 31/135 (23%) in the SOC arm (p = 0.087). The respective numbers in patients with positive cultures were 17/63 (27%) vs. 10/77 (13%) (p = 0.022). The main reason of failure was modification of allocated therapy. Treatment emergent adverse events occurred in 72% and serious adverse events in 17% of patients, the Day 28 mortality was 6%. Cumulative acquisition of CRGNO by Day 28 occurred in 4% of patients in the meropenem and 12% in the SOC arm (p = 0.052).\nCONCLUSIONS: Within this study population, we found no evidence that meropenem was superior to SOC in terms of success at TOC, short term hearing disturbances, safety or mortality were similar in both treatment arms but the study was underpowered to detect the planned effect. Meropenem treatment did not select for colonization with CRGNOs. We suggest that meropenem as broad-spectrum antibiotic should be reserved for neonates who are more likely to have Gram-negative LOS, especially in NICUs where microorganisms producing extended spectrum- and AmpC type beta-lactamases are circulating.","container-title":"PloS One","DOI":"10.1371/journal.pone.0229380","ISSN":"1932-6203","issue":"3","journalAbbreviation":"PLoS One","language":"eng","note":"PMID: 32130261\nPMCID: PMC7055900","page":"e0229380","source":"PubMed","title":"Meropenem vs standard of care for treatment of neonatal late onset sepsis (NeoMero1): A randomised controlled trial","title-short":"Meropenem vs standard of care for treatment of neonatal late onset sepsis (NeoMero1)","volume":"15","author":[{"family":"Lutsar","given":"Irja"},{"family":"Chazallon","given":"Corine"},{"family":"Trafojer","given":"Ursula"},{"family":"Cabre","given":"Vincent Meiffredy","non-dropping-particle":"de"},{"family":"Auriti","given":"Cinzia"},{"family":"Bertaina","given":"Chiara"},{"family":"Calo Carducci","given":"Francesca Ippolita"},{"family":"Canpolat","given":"Fuat Emre"},{"family":"Esposito","given":"Susanna"},{"family":"Fournier","given":"Isabelle"},{"family":"Hallik","given":"Maarja"},{"family":"Heath","given":"Paul T."},{"family":"Ilmoja","given":"Mari-Liis"},{"family":"Iosifidis","given":"Elias"},{"family":"Kuznetsova","given":"Jelena"},{"family":"Meyer","given":"Laurence"},{"family":"Metsvaht","given":"Tuuli"},{"family":"Mitsiakos","given":"George"},{"family":"Pana","given":"Zoi Dorothea"},{"family":"Mosca","given":"Fabio"},{"family":"Pugni","given":"Lorenza"},{"family":"Roilides","given":"Emmanuel"},{"family":"Rossi","given":"Paolo"},{"family":"Sarafidis","given":"Kosmas"},{"family":"Sanchez","given":"Laura"},{"family":"Sharland","given":"Michael"},{"family":"Usonis","given":"Vytautas"},{"family":"Warris","given":"Adilia"},{"family":"Aboulker","given":"Jean-Pierre"},{"family":"Giaquinto","given":"Carlo"},{"literal":"NeoMero Consortium"}],"issued":{"date-parts":[["2020"]]}}}],"schema":"https://github.com/citation-style-language/schema/raw/master/csl-citation.json"} </w:instrText>
            </w:r>
            <w:r w:rsidRPr="002669EA">
              <w:rPr>
                <w:rFonts w:ascii="Times New Roman" w:hAnsi="Times New Roman" w:cs="Times New Roman"/>
                <w:b/>
                <w:bCs/>
                <w:sz w:val="18"/>
                <w:szCs w:val="18"/>
                <w:lang w:val="en-GB"/>
              </w:rPr>
              <w:fldChar w:fldCharType="separate"/>
            </w:r>
            <w:r w:rsidR="00412230" w:rsidRPr="002669EA">
              <w:rPr>
                <w:rFonts w:ascii="Times New Roman" w:hAnsi="Times New Roman" w:cs="Times New Roman"/>
                <w:kern w:val="0"/>
                <w:sz w:val="18"/>
                <w:lang w:val="en-US"/>
              </w:rPr>
              <w:t>[5,10–12]</w:t>
            </w:r>
            <w:r w:rsidRPr="002669EA">
              <w:rPr>
                <w:rFonts w:ascii="Times New Roman" w:hAnsi="Times New Roman" w:cs="Times New Roman"/>
                <w:b/>
                <w:bCs/>
                <w:sz w:val="18"/>
                <w:szCs w:val="18"/>
                <w:lang w:val="en-GB"/>
              </w:rPr>
              <w:fldChar w:fldCharType="end"/>
            </w:r>
            <w:r w:rsidRPr="002669EA">
              <w:rPr>
                <w:rFonts w:ascii="Times New Roman" w:hAnsi="Times New Roman" w:cs="Times New Roman"/>
                <w:b/>
                <w:bCs/>
                <w:sz w:val="18"/>
                <w:szCs w:val="18"/>
                <w:lang w:val="en-GB"/>
              </w:rPr>
              <w:br/>
            </w:r>
          </w:p>
        </w:tc>
        <w:tc>
          <w:tcPr>
            <w:tcW w:w="3279" w:type="dxa"/>
          </w:tcPr>
          <w:p w14:paraId="4D51D4BD" w14:textId="2AF5317D" w:rsidR="00B658FD" w:rsidRPr="002669EA" w:rsidRDefault="00B658FD" w:rsidP="00B658FD">
            <w:pPr>
              <w:pStyle w:val="NormalWeb"/>
              <w:shd w:val="clear" w:color="auto" w:fill="FFFFFF"/>
              <w:rPr>
                <w:sz w:val="18"/>
                <w:szCs w:val="18"/>
                <w:shd w:val="clear" w:color="auto" w:fill="FFFFFF"/>
                <w:lang w:val="en-US"/>
              </w:rPr>
            </w:pPr>
            <w:r w:rsidRPr="002669EA">
              <w:rPr>
                <w:sz w:val="18"/>
                <w:szCs w:val="18"/>
                <w:shd w:val="clear" w:color="auto" w:fill="FFFFFF"/>
                <w:lang w:val="en-US"/>
              </w:rPr>
              <w:t>- It binds to PBPs, disrupting bacterial cell wall synthesis, leading to lysis and cell death</w:t>
            </w:r>
            <w:r w:rsidR="00631824" w:rsidRPr="002669EA">
              <w:rPr>
                <w:sz w:val="18"/>
                <w:szCs w:val="18"/>
                <w:shd w:val="clear" w:color="auto" w:fill="FFFFFF"/>
                <w:lang w:val="en-US"/>
              </w:rPr>
              <w:t>.</w:t>
            </w:r>
            <w:r w:rsidRPr="002669EA">
              <w:rPr>
                <w:sz w:val="18"/>
                <w:szCs w:val="18"/>
                <w:shd w:val="clear" w:color="auto" w:fill="FFFFFF"/>
                <w:lang w:val="en-US"/>
              </w:rPr>
              <w:br/>
              <w:t xml:space="preserve">- Broad spectrum bactericidal activity against </w:t>
            </w:r>
            <w:proofErr w:type="spellStart"/>
            <w:r w:rsidRPr="002669EA">
              <w:rPr>
                <w:sz w:val="18"/>
                <w:szCs w:val="18"/>
                <w:shd w:val="clear" w:color="auto" w:fill="FFFFFF"/>
                <w:lang w:val="en-US"/>
              </w:rPr>
              <w:t>i</w:t>
            </w:r>
            <w:proofErr w:type="spellEnd"/>
            <w:r w:rsidRPr="002669EA">
              <w:rPr>
                <w:sz w:val="18"/>
                <w:szCs w:val="18"/>
                <w:shd w:val="clear" w:color="auto" w:fill="FFFFFF"/>
                <w:lang w:val="en-US"/>
              </w:rPr>
              <w:t xml:space="preserve">) Gram-negative pathogens: Enterobacteriaceae, ESBL- and </w:t>
            </w:r>
            <w:proofErr w:type="spellStart"/>
            <w:r w:rsidRPr="002669EA">
              <w:rPr>
                <w:sz w:val="18"/>
                <w:szCs w:val="18"/>
                <w:shd w:val="clear" w:color="auto" w:fill="FFFFFF"/>
                <w:lang w:val="en-US"/>
              </w:rPr>
              <w:t>AmpC</w:t>
            </w:r>
            <w:proofErr w:type="spellEnd"/>
            <w:r w:rsidRPr="002669EA">
              <w:rPr>
                <w:sz w:val="18"/>
                <w:szCs w:val="18"/>
                <w:shd w:val="clear" w:color="auto" w:fill="FFFFFF"/>
                <w:lang w:val="en-US"/>
              </w:rPr>
              <w:t xml:space="preserve">-producing Enterobacteriaceae, </w:t>
            </w:r>
            <w:proofErr w:type="spellStart"/>
            <w:r w:rsidRPr="002669EA">
              <w:rPr>
                <w:sz w:val="18"/>
                <w:szCs w:val="18"/>
                <w:shd w:val="clear" w:color="auto" w:fill="FFFFFF"/>
                <w:lang w:val="en-US"/>
              </w:rPr>
              <w:t>Haemophilus</w:t>
            </w:r>
            <w:proofErr w:type="spellEnd"/>
            <w:r w:rsidRPr="002669EA">
              <w:rPr>
                <w:sz w:val="18"/>
                <w:szCs w:val="18"/>
                <w:shd w:val="clear" w:color="auto" w:fill="FFFFFF"/>
                <w:lang w:val="en-US"/>
              </w:rPr>
              <w:t xml:space="preserve"> influenzae and Neisseria </w:t>
            </w:r>
            <w:r w:rsidRPr="002669EA">
              <w:rPr>
                <w:sz w:val="18"/>
                <w:szCs w:val="18"/>
                <w:shd w:val="clear" w:color="auto" w:fill="FFFFFF"/>
                <w:lang w:val="en-US"/>
              </w:rPr>
              <w:lastRenderedPageBreak/>
              <w:t xml:space="preserve">meningitidis, Pseudomonas aeruginosa, Acinetobacter </w:t>
            </w:r>
            <w:proofErr w:type="spellStart"/>
            <w:r w:rsidRPr="002669EA">
              <w:rPr>
                <w:sz w:val="18"/>
                <w:szCs w:val="18"/>
                <w:shd w:val="clear" w:color="auto" w:fill="FFFFFF"/>
                <w:lang w:val="en-US"/>
              </w:rPr>
              <w:t>baumannii</w:t>
            </w:r>
            <w:proofErr w:type="spellEnd"/>
            <w:r w:rsidRPr="002669EA">
              <w:rPr>
                <w:sz w:val="18"/>
                <w:szCs w:val="18"/>
                <w:shd w:val="clear" w:color="auto" w:fill="FFFFFF"/>
                <w:lang w:val="en-US"/>
              </w:rPr>
              <w:t xml:space="preserve">, </w:t>
            </w:r>
            <w:proofErr w:type="spellStart"/>
            <w:r w:rsidRPr="002669EA">
              <w:rPr>
                <w:sz w:val="18"/>
                <w:szCs w:val="18"/>
                <w:shd w:val="clear" w:color="auto" w:fill="FFFFFF"/>
                <w:lang w:val="en-US"/>
              </w:rPr>
              <w:t>Burkholderia</w:t>
            </w:r>
            <w:proofErr w:type="spellEnd"/>
            <w:r w:rsidRPr="002669EA">
              <w:rPr>
                <w:sz w:val="18"/>
                <w:szCs w:val="18"/>
                <w:shd w:val="clear" w:color="auto" w:fill="FFFFFF"/>
                <w:lang w:val="en-US"/>
              </w:rPr>
              <w:t xml:space="preserve"> </w:t>
            </w:r>
            <w:r w:rsidR="00631824" w:rsidRPr="002669EA">
              <w:rPr>
                <w:sz w:val="18"/>
                <w:szCs w:val="18"/>
                <w:shd w:val="clear" w:color="auto" w:fill="FFFFFF"/>
                <w:lang w:val="en-US"/>
              </w:rPr>
              <w:t>cepacian.</w:t>
            </w:r>
            <w:r w:rsidRPr="002669EA">
              <w:rPr>
                <w:sz w:val="18"/>
                <w:szCs w:val="18"/>
                <w:shd w:val="clear" w:color="auto" w:fill="FFFFFF"/>
                <w:lang w:val="en-US"/>
              </w:rPr>
              <w:t xml:space="preserve"> </w:t>
            </w:r>
            <w:r w:rsidRPr="002669EA">
              <w:rPr>
                <w:sz w:val="18"/>
                <w:szCs w:val="18"/>
                <w:shd w:val="clear" w:color="auto" w:fill="FFFFFF"/>
                <w:lang w:val="en-US"/>
              </w:rPr>
              <w:br/>
              <w:t xml:space="preserve">ii) Gram-positive pathogens: </w:t>
            </w:r>
            <w:r w:rsidRPr="002669EA">
              <w:rPr>
                <w:sz w:val="18"/>
                <w:szCs w:val="18"/>
                <w:shd w:val="clear" w:color="auto" w:fill="FFFFFF"/>
                <w:lang w:val="en-US"/>
              </w:rPr>
              <w:br/>
              <w:t>Staph</w:t>
            </w:r>
            <w:r w:rsidR="00631824" w:rsidRPr="002669EA">
              <w:rPr>
                <w:sz w:val="18"/>
                <w:szCs w:val="18"/>
                <w:shd w:val="clear" w:color="auto" w:fill="FFFFFF"/>
                <w:lang w:val="en-US"/>
              </w:rPr>
              <w:t>.</w:t>
            </w:r>
            <w:r w:rsidRPr="002669EA">
              <w:rPr>
                <w:sz w:val="18"/>
                <w:szCs w:val="18"/>
                <w:shd w:val="clear" w:color="auto" w:fill="FFFFFF"/>
                <w:lang w:val="en-US"/>
              </w:rPr>
              <w:t xml:space="preserve"> aureus (methicillin/oxacillin-susceptible), S</w:t>
            </w:r>
            <w:r w:rsidR="00631824" w:rsidRPr="002669EA">
              <w:rPr>
                <w:sz w:val="18"/>
                <w:szCs w:val="18"/>
                <w:shd w:val="clear" w:color="auto" w:fill="FFFFFF"/>
                <w:lang w:val="en-US"/>
              </w:rPr>
              <w:t>taph. e</w:t>
            </w:r>
            <w:r w:rsidRPr="002669EA">
              <w:rPr>
                <w:sz w:val="18"/>
                <w:szCs w:val="18"/>
                <w:shd w:val="clear" w:color="auto" w:fill="FFFFFF"/>
                <w:lang w:val="en-US"/>
              </w:rPr>
              <w:t xml:space="preserve">pidermidis (oxacillin-susceptible), </w:t>
            </w:r>
            <w:proofErr w:type="spellStart"/>
            <w:r w:rsidRPr="002669EA">
              <w:rPr>
                <w:sz w:val="18"/>
                <w:szCs w:val="18"/>
                <w:shd w:val="clear" w:color="auto" w:fill="FFFFFF"/>
                <w:lang w:val="en-US"/>
              </w:rPr>
              <w:t>Strept</w:t>
            </w:r>
            <w:proofErr w:type="spellEnd"/>
            <w:r w:rsidR="00631824" w:rsidRPr="002669EA">
              <w:rPr>
                <w:sz w:val="18"/>
                <w:szCs w:val="18"/>
                <w:shd w:val="clear" w:color="auto" w:fill="FFFFFF"/>
                <w:lang w:val="en-US"/>
              </w:rPr>
              <w:t>.</w:t>
            </w:r>
            <w:r w:rsidRPr="002669EA">
              <w:rPr>
                <w:sz w:val="18"/>
                <w:szCs w:val="18"/>
                <w:shd w:val="clear" w:color="auto" w:fill="FFFFFF"/>
                <w:lang w:val="en-US"/>
              </w:rPr>
              <w:t xml:space="preserve"> pneumoniae (including penicillin resistant strains) and </w:t>
            </w:r>
            <w:proofErr w:type="spellStart"/>
            <w:r w:rsidRPr="002669EA">
              <w:rPr>
                <w:sz w:val="18"/>
                <w:szCs w:val="18"/>
                <w:shd w:val="clear" w:color="auto" w:fill="FFFFFF"/>
                <w:lang w:val="en-US"/>
              </w:rPr>
              <w:t>viridans</w:t>
            </w:r>
            <w:proofErr w:type="spellEnd"/>
            <w:r w:rsidRPr="002669EA">
              <w:rPr>
                <w:sz w:val="18"/>
                <w:szCs w:val="18"/>
                <w:shd w:val="clear" w:color="auto" w:fill="FFFFFF"/>
                <w:lang w:val="en-US"/>
              </w:rPr>
              <w:t xml:space="preserve"> group </w:t>
            </w:r>
            <w:proofErr w:type="spellStart"/>
            <w:r w:rsidRPr="002669EA">
              <w:rPr>
                <w:sz w:val="18"/>
                <w:szCs w:val="18"/>
                <w:shd w:val="clear" w:color="auto" w:fill="FFFFFF"/>
                <w:lang w:val="en-US"/>
              </w:rPr>
              <w:t>strept</w:t>
            </w:r>
            <w:proofErr w:type="spellEnd"/>
            <w:r w:rsidR="00631824" w:rsidRPr="002669EA">
              <w:rPr>
                <w:sz w:val="18"/>
                <w:szCs w:val="18"/>
                <w:shd w:val="clear" w:color="auto" w:fill="FFFFFF"/>
                <w:lang w:val="en-US"/>
              </w:rPr>
              <w:t>.</w:t>
            </w:r>
            <w:r w:rsidRPr="002669EA">
              <w:rPr>
                <w:sz w:val="18"/>
                <w:szCs w:val="18"/>
                <w:shd w:val="clear" w:color="auto" w:fill="FFFFFF"/>
                <w:lang w:val="en-US"/>
              </w:rPr>
              <w:br/>
              <w:t>iii) anaerobes (Cl. difficile, C</w:t>
            </w:r>
            <w:r w:rsidR="00631824" w:rsidRPr="002669EA">
              <w:rPr>
                <w:sz w:val="18"/>
                <w:szCs w:val="18"/>
                <w:shd w:val="clear" w:color="auto" w:fill="FFFFFF"/>
                <w:lang w:val="en-US"/>
              </w:rPr>
              <w:t>l</w:t>
            </w:r>
            <w:r w:rsidRPr="002669EA">
              <w:rPr>
                <w:sz w:val="18"/>
                <w:szCs w:val="18"/>
                <w:shd w:val="clear" w:color="auto" w:fill="FFFFFF"/>
                <w:lang w:val="en-US"/>
              </w:rPr>
              <w:t>. perfringens)</w:t>
            </w:r>
            <w:r w:rsidR="00631824" w:rsidRPr="002669EA">
              <w:rPr>
                <w:sz w:val="18"/>
                <w:szCs w:val="18"/>
                <w:shd w:val="clear" w:color="auto" w:fill="FFFFFF"/>
                <w:lang w:val="en-US"/>
              </w:rPr>
              <w:t>.</w:t>
            </w:r>
          </w:p>
        </w:tc>
        <w:tc>
          <w:tcPr>
            <w:tcW w:w="2391" w:type="dxa"/>
          </w:tcPr>
          <w:p w14:paraId="575B32AC" w14:textId="6A29E527" w:rsidR="00B658FD" w:rsidRPr="002669EA" w:rsidRDefault="00B658FD" w:rsidP="00B658FD">
            <w:pPr>
              <w:pStyle w:val="NormalWeb"/>
              <w:shd w:val="clear" w:color="auto" w:fill="FFFFFF"/>
              <w:rPr>
                <w:sz w:val="18"/>
                <w:szCs w:val="18"/>
                <w:lang w:val="en-US"/>
              </w:rPr>
            </w:pPr>
            <w:r w:rsidRPr="002669EA">
              <w:rPr>
                <w:sz w:val="18"/>
                <w:szCs w:val="18"/>
                <w:lang w:val="en-GB"/>
              </w:rPr>
              <w:lastRenderedPageBreak/>
              <w:t xml:space="preserve">- </w:t>
            </w:r>
            <w:r w:rsidRPr="002669EA">
              <w:rPr>
                <w:sz w:val="18"/>
                <w:szCs w:val="18"/>
                <w:shd w:val="clear" w:color="auto" w:fill="FFFFFF"/>
                <w:lang w:val="en-US"/>
              </w:rPr>
              <w:t xml:space="preserve">Severe neonatal infections (e.g. </w:t>
            </w:r>
            <w:proofErr w:type="spellStart"/>
            <w:r w:rsidRPr="002669EA">
              <w:rPr>
                <w:sz w:val="18"/>
                <w:szCs w:val="18"/>
                <w:shd w:val="clear" w:color="auto" w:fill="FFFFFF"/>
                <w:lang w:val="en-US"/>
              </w:rPr>
              <w:t>septicaemia</w:t>
            </w:r>
            <w:proofErr w:type="spellEnd"/>
            <w:r w:rsidRPr="002669EA">
              <w:rPr>
                <w:sz w:val="18"/>
                <w:szCs w:val="18"/>
                <w:shd w:val="clear" w:color="auto" w:fill="FFFFFF"/>
                <w:lang w:val="en-US"/>
              </w:rPr>
              <w:t xml:space="preserve">, complicated intra-abdominal, urinary tract, skin and skin structure infections, pneumonia, bacterial meningitis) due to multi drug </w:t>
            </w:r>
            <w:r w:rsidRPr="002669EA">
              <w:rPr>
                <w:sz w:val="18"/>
                <w:szCs w:val="18"/>
                <w:shd w:val="clear" w:color="auto" w:fill="FFFFFF"/>
                <w:lang w:val="en-US"/>
              </w:rPr>
              <w:lastRenderedPageBreak/>
              <w:t xml:space="preserve">resistant </w:t>
            </w:r>
            <w:r w:rsidR="00631824" w:rsidRPr="002669EA">
              <w:rPr>
                <w:sz w:val="18"/>
                <w:szCs w:val="18"/>
                <w:shd w:val="clear" w:color="auto" w:fill="FFFFFF"/>
                <w:lang w:val="en-US"/>
              </w:rPr>
              <w:t>Gram-negative</w:t>
            </w:r>
            <w:r w:rsidRPr="002669EA">
              <w:rPr>
                <w:sz w:val="18"/>
                <w:szCs w:val="18"/>
                <w:shd w:val="clear" w:color="auto" w:fill="FFFFFF"/>
                <w:lang w:val="en-US"/>
              </w:rPr>
              <w:t xml:space="preserve"> organisms</w:t>
            </w:r>
            <w:r w:rsidR="00631824" w:rsidRPr="002669EA">
              <w:rPr>
                <w:sz w:val="18"/>
                <w:szCs w:val="18"/>
                <w:shd w:val="clear" w:color="auto" w:fill="FFFFFF"/>
                <w:lang w:val="en-US"/>
              </w:rPr>
              <w:t>.</w:t>
            </w:r>
            <w:r w:rsidRPr="002669EA">
              <w:rPr>
                <w:sz w:val="18"/>
                <w:szCs w:val="18"/>
                <w:shd w:val="clear" w:color="auto" w:fill="FFFFFF"/>
                <w:lang w:val="en-US"/>
              </w:rPr>
              <w:t xml:space="preserve"> </w:t>
            </w:r>
          </w:p>
        </w:tc>
        <w:tc>
          <w:tcPr>
            <w:tcW w:w="4110" w:type="dxa"/>
          </w:tcPr>
          <w:p w14:paraId="3B74505A" w14:textId="77777777" w:rsidR="00B658FD" w:rsidRPr="002669EA" w:rsidRDefault="00B658FD" w:rsidP="00B658FD">
            <w:pPr>
              <w:autoSpaceDE w:val="0"/>
              <w:autoSpaceDN w:val="0"/>
              <w:adjustRightInd w:val="0"/>
              <w:rPr>
                <w:rFonts w:ascii="Times New Roman" w:hAnsi="Times New Roman" w:cs="Times New Roman"/>
                <w:b/>
                <w:bCs/>
                <w:sz w:val="18"/>
                <w:szCs w:val="18"/>
                <w:lang w:val="en-US"/>
              </w:rPr>
            </w:pPr>
            <w:r w:rsidRPr="002669EA">
              <w:rPr>
                <w:rFonts w:ascii="Times New Roman" w:hAnsi="Times New Roman" w:cs="Times New Roman"/>
                <w:b/>
                <w:bCs/>
                <w:sz w:val="18"/>
                <w:szCs w:val="18"/>
                <w:lang w:val="en-US"/>
              </w:rPr>
              <w:lastRenderedPageBreak/>
              <w:t>FDA LABEL</w:t>
            </w:r>
          </w:p>
          <w:p w14:paraId="783B6868" w14:textId="1B0868CA" w:rsidR="00B658FD" w:rsidRPr="002669EA" w:rsidRDefault="00B658FD" w:rsidP="00B658FD">
            <w:pPr>
              <w:autoSpaceDE w:val="0"/>
              <w:autoSpaceDN w:val="0"/>
              <w:adjustRightInd w:val="0"/>
              <w:rPr>
                <w:rFonts w:ascii="Times New Roman" w:hAnsi="Times New Roman" w:cs="Times New Roman"/>
                <w:sz w:val="18"/>
                <w:szCs w:val="18"/>
                <w:u w:val="single"/>
                <w:lang w:val="en-US"/>
              </w:rPr>
            </w:pPr>
            <w:r w:rsidRPr="002669EA">
              <w:rPr>
                <w:rFonts w:ascii="Times New Roman" w:hAnsi="Times New Roman" w:cs="Times New Roman"/>
                <w:b/>
                <w:bCs/>
                <w:sz w:val="18"/>
                <w:szCs w:val="18"/>
                <w:u w:val="single"/>
                <w:lang w:val="en-US"/>
              </w:rPr>
              <w:t>Dosage regimen for</w:t>
            </w:r>
            <w:r w:rsidR="00F053F9" w:rsidRPr="002669EA">
              <w:rPr>
                <w:rFonts w:ascii="Times New Roman" w:hAnsi="Times New Roman" w:cs="Times New Roman"/>
                <w:b/>
                <w:bCs/>
                <w:sz w:val="18"/>
                <w:szCs w:val="18"/>
                <w:u w:val="single"/>
                <w:lang w:val="en-US"/>
              </w:rPr>
              <w:t>:</w:t>
            </w:r>
            <w:r w:rsidRPr="002669EA">
              <w:rPr>
                <w:rFonts w:ascii="Times New Roman" w:hAnsi="Times New Roman" w:cs="Times New Roman"/>
                <w:b/>
                <w:bCs/>
                <w:sz w:val="18"/>
                <w:szCs w:val="18"/>
                <w:u w:val="single"/>
                <w:lang w:val="en-US"/>
              </w:rPr>
              <w:t xml:space="preserve"> </w:t>
            </w:r>
            <w:r w:rsidRPr="002669EA">
              <w:rPr>
                <w:rFonts w:ascii="Times New Roman" w:hAnsi="Times New Roman" w:cs="Times New Roman"/>
                <w:b/>
                <w:bCs/>
                <w:sz w:val="18"/>
                <w:szCs w:val="18"/>
                <w:u w:val="single"/>
                <w:lang w:val="en-US"/>
              </w:rPr>
              <w:br/>
            </w:r>
            <w:r w:rsidR="00F053F9" w:rsidRPr="002669EA">
              <w:rPr>
                <w:rFonts w:ascii="Times New Roman" w:hAnsi="Times New Roman" w:cs="Times New Roman"/>
                <w:sz w:val="18"/>
                <w:szCs w:val="18"/>
                <w:u w:val="single"/>
                <w:lang w:val="en-US"/>
              </w:rPr>
              <w:t xml:space="preserve">A) </w:t>
            </w:r>
            <w:r w:rsidRPr="002669EA">
              <w:rPr>
                <w:rFonts w:ascii="Times New Roman" w:hAnsi="Times New Roman" w:cs="Times New Roman"/>
                <w:sz w:val="18"/>
                <w:szCs w:val="18"/>
                <w:u w:val="single"/>
                <w:lang w:val="en-US"/>
              </w:rPr>
              <w:t>intra-abdominal and non-CNS infections</w:t>
            </w:r>
            <w:r w:rsidRPr="002669EA">
              <w:rPr>
                <w:rFonts w:ascii="Times New Roman" w:hAnsi="Times New Roman" w:cs="Times New Roman"/>
                <w:b/>
                <w:bCs/>
                <w:sz w:val="18"/>
                <w:szCs w:val="18"/>
                <w:u w:val="single"/>
                <w:lang w:val="en-US"/>
              </w:rPr>
              <w:br/>
            </w:r>
            <w:r w:rsidRPr="002669EA">
              <w:rPr>
                <w:rFonts w:ascii="Times New Roman" w:hAnsi="Times New Roman" w:cs="Times New Roman"/>
                <w:sz w:val="18"/>
                <w:szCs w:val="18"/>
                <w:lang w:val="en-GB"/>
              </w:rPr>
              <w:t xml:space="preserve">GA &lt; 32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xml:space="preserve">, PNA &lt; 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20 mg/kg/dose q12</w:t>
            </w:r>
            <w:r w:rsidRPr="002669EA">
              <w:rPr>
                <w:rFonts w:ascii="Times New Roman" w:hAnsi="Times New Roman" w:cs="Times New Roman"/>
                <w:sz w:val="18"/>
                <w:szCs w:val="18"/>
                <w:lang w:val="en-GB"/>
              </w:rPr>
              <w:br/>
              <w:t xml:space="preserve">GA &lt; 32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xml:space="preserve">, PNA ≥ 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20 mg/kg/dose q8</w:t>
            </w:r>
            <w:r w:rsidRPr="002669EA">
              <w:rPr>
                <w:rFonts w:ascii="Times New Roman" w:hAnsi="Times New Roman" w:cs="Times New Roman"/>
                <w:sz w:val="18"/>
                <w:szCs w:val="18"/>
                <w:lang w:val="en-GB"/>
              </w:rPr>
              <w:br/>
              <w:t xml:space="preserve">GA ≥ 32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xml:space="preserve">, PNA &lt; 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20 mg/kg/dose q8</w:t>
            </w:r>
          </w:p>
          <w:p w14:paraId="5EFE4FA9" w14:textId="44FDE5C5" w:rsidR="00B658FD" w:rsidRPr="002669EA" w:rsidRDefault="00B658FD" w:rsidP="00CA6148">
            <w:pPr>
              <w:autoSpaceDE w:val="0"/>
              <w:autoSpaceDN w:val="0"/>
              <w:adjustRightInd w:val="0"/>
              <w:rPr>
                <w:rFonts w:ascii="Times New Roman" w:hAnsi="Times New Roman" w:cs="Times New Roman"/>
                <w:sz w:val="18"/>
                <w:szCs w:val="18"/>
                <w:shd w:val="clear" w:color="auto" w:fill="FFFFFF"/>
                <w:vertAlign w:val="superscript"/>
                <w:lang w:val="en-US"/>
              </w:rPr>
            </w:pPr>
            <w:r w:rsidRPr="002669EA">
              <w:rPr>
                <w:rFonts w:ascii="Times New Roman" w:hAnsi="Times New Roman" w:cs="Times New Roman"/>
                <w:sz w:val="18"/>
                <w:szCs w:val="18"/>
                <w:lang w:val="en-GB"/>
              </w:rPr>
              <w:t xml:space="preserve">GA ≥ 32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xml:space="preserve">, PNA ≥ 2 </w:t>
            </w:r>
            <w:proofErr w:type="spellStart"/>
            <w:r w:rsidRPr="002669EA">
              <w:rPr>
                <w:rFonts w:ascii="Times New Roman" w:hAnsi="Times New Roman" w:cs="Times New Roman"/>
                <w:sz w:val="18"/>
                <w:szCs w:val="18"/>
                <w:lang w:val="en-GB"/>
              </w:rPr>
              <w:t>wks</w:t>
            </w:r>
            <w:proofErr w:type="spellEnd"/>
            <w:r w:rsidRPr="002669EA">
              <w:rPr>
                <w:rFonts w:ascii="Times New Roman" w:hAnsi="Times New Roman" w:cs="Times New Roman"/>
                <w:sz w:val="18"/>
                <w:szCs w:val="18"/>
                <w:lang w:val="en-GB"/>
              </w:rPr>
              <w:t>: 30 mg/kg/dose q8</w:t>
            </w:r>
            <w:r w:rsidRPr="002669EA">
              <w:rPr>
                <w:rFonts w:ascii="Times New Roman" w:hAnsi="Times New Roman" w:cs="Times New Roman"/>
                <w:sz w:val="18"/>
                <w:szCs w:val="18"/>
                <w:lang w:val="en-GB"/>
              </w:rPr>
              <w:br/>
            </w:r>
            <w:r w:rsidRPr="002669EA">
              <w:rPr>
                <w:rFonts w:ascii="Times New Roman" w:hAnsi="Times New Roman" w:cs="Times New Roman"/>
                <w:sz w:val="18"/>
                <w:szCs w:val="18"/>
                <w:lang w:val="en-GB"/>
              </w:rPr>
              <w:br/>
            </w:r>
            <w:r w:rsidR="00F053F9" w:rsidRPr="002669EA">
              <w:rPr>
                <w:rFonts w:ascii="Times New Roman" w:hAnsi="Times New Roman" w:cs="Times New Roman"/>
                <w:sz w:val="18"/>
                <w:szCs w:val="18"/>
                <w:u w:val="single"/>
                <w:lang w:val="en-GB"/>
              </w:rPr>
              <w:lastRenderedPageBreak/>
              <w:t xml:space="preserve">B) </w:t>
            </w:r>
            <w:r w:rsidRPr="002669EA">
              <w:rPr>
                <w:rFonts w:ascii="Times New Roman" w:hAnsi="Times New Roman" w:cs="Times New Roman"/>
                <w:sz w:val="18"/>
                <w:szCs w:val="18"/>
                <w:u w:val="single"/>
                <w:lang w:val="en-GB"/>
              </w:rPr>
              <w:t>CNS infections (off-label)</w:t>
            </w:r>
            <w:r w:rsidRPr="002669EA">
              <w:rPr>
                <w:rFonts w:ascii="Times New Roman" w:hAnsi="Times New Roman" w:cs="Times New Roman"/>
                <w:sz w:val="18"/>
                <w:szCs w:val="18"/>
                <w:u w:val="single"/>
                <w:lang w:val="en-GB"/>
              </w:rPr>
              <w:br/>
            </w:r>
            <w:r w:rsidRPr="002669EA">
              <w:rPr>
                <w:rFonts w:ascii="Times New Roman" w:hAnsi="Times New Roman" w:cs="Times New Roman"/>
                <w:sz w:val="18"/>
                <w:szCs w:val="18"/>
                <w:shd w:val="clear" w:color="auto" w:fill="FFFFFF"/>
                <w:lang w:val="en-US"/>
              </w:rPr>
              <w:t>Data regarding appropriate dosing for neonatal CNS infections are lacking</w:t>
            </w:r>
            <w:r w:rsidR="00CA6148" w:rsidRPr="002669EA">
              <w:rPr>
                <w:rFonts w:ascii="Times New Roman" w:hAnsi="Times New Roman" w:cs="Times New Roman"/>
                <w:sz w:val="18"/>
                <w:szCs w:val="18"/>
                <w:shd w:val="clear" w:color="auto" w:fill="FFFFFF"/>
                <w:lang w:val="en-US"/>
              </w:rPr>
              <w:t>; s</w:t>
            </w:r>
            <w:r w:rsidR="00631824" w:rsidRPr="002669EA">
              <w:rPr>
                <w:rFonts w:ascii="Times New Roman" w:hAnsi="Times New Roman" w:cs="Times New Roman"/>
                <w:sz w:val="18"/>
                <w:szCs w:val="18"/>
                <w:shd w:val="clear" w:color="auto" w:fill="FFFFFF"/>
                <w:lang w:val="en-US"/>
              </w:rPr>
              <w:t>uggested dose</w:t>
            </w:r>
            <w:r w:rsidR="00CA6148" w:rsidRPr="002669EA">
              <w:rPr>
                <w:rFonts w:ascii="Times New Roman" w:hAnsi="Times New Roman" w:cs="Times New Roman"/>
                <w:sz w:val="18"/>
                <w:szCs w:val="18"/>
                <w:shd w:val="clear" w:color="auto" w:fill="FFFFFF"/>
                <w:lang w:val="en-US"/>
              </w:rPr>
              <w:t>:</w:t>
            </w:r>
            <w:r w:rsidR="00631824" w:rsidRPr="002669EA">
              <w:rPr>
                <w:rFonts w:ascii="Times New Roman" w:hAnsi="Times New Roman" w:cs="Times New Roman"/>
                <w:sz w:val="18"/>
                <w:szCs w:val="18"/>
                <w:shd w:val="clear" w:color="auto" w:fill="FFFFFF"/>
                <w:lang w:val="en-US"/>
              </w:rPr>
              <w:t xml:space="preserve"> </w:t>
            </w:r>
            <w:r w:rsidRPr="002669EA">
              <w:rPr>
                <w:rFonts w:ascii="Times New Roman" w:hAnsi="Times New Roman" w:cs="Times New Roman"/>
                <w:sz w:val="18"/>
                <w:szCs w:val="18"/>
                <w:shd w:val="clear" w:color="auto" w:fill="FFFFFF"/>
                <w:lang w:val="en-US"/>
              </w:rPr>
              <w:t>40 mg/kg/dose at the recommended age-specific dosing interval</w:t>
            </w:r>
            <w:r w:rsidR="00631824" w:rsidRPr="002669EA">
              <w:rPr>
                <w:rFonts w:ascii="Times New Roman" w:hAnsi="Times New Roman" w:cs="Times New Roman"/>
                <w:sz w:val="18"/>
                <w:szCs w:val="18"/>
                <w:shd w:val="clear" w:color="auto" w:fill="FFFFFF"/>
                <w:lang w:val="en-US"/>
              </w:rPr>
              <w:t>.</w:t>
            </w:r>
          </w:p>
        </w:tc>
        <w:tc>
          <w:tcPr>
            <w:tcW w:w="3105" w:type="dxa"/>
          </w:tcPr>
          <w:p w14:paraId="58D2F937" w14:textId="49031547" w:rsidR="00B658FD" w:rsidRPr="002669EA" w:rsidRDefault="00B658FD" w:rsidP="00B658FD">
            <w:pPr>
              <w:pStyle w:val="NormalWeb"/>
              <w:shd w:val="clear" w:color="auto" w:fill="FFFFFF"/>
              <w:rPr>
                <w:sz w:val="18"/>
                <w:szCs w:val="18"/>
                <w:shd w:val="clear" w:color="auto" w:fill="FFFFFF"/>
                <w:lang w:val="en-US"/>
              </w:rPr>
            </w:pPr>
            <w:r w:rsidRPr="002669EA">
              <w:rPr>
                <w:sz w:val="18"/>
                <w:szCs w:val="18"/>
                <w:shd w:val="clear" w:color="auto" w:fill="FFFFFF"/>
                <w:lang w:val="en-US"/>
              </w:rPr>
              <w:lastRenderedPageBreak/>
              <w:t>- Diarrhea, rash, vomiting, glossitis</w:t>
            </w:r>
            <w:r w:rsidRPr="002669EA">
              <w:rPr>
                <w:sz w:val="18"/>
                <w:szCs w:val="18"/>
                <w:shd w:val="clear" w:color="auto" w:fill="FFFFFF"/>
                <w:lang w:val="en-US"/>
              </w:rPr>
              <w:br/>
              <w:t>- Hematologic abnormalities: agranulocytosis, neutropenia, leukopenia</w:t>
            </w:r>
            <w:r w:rsidRPr="002669EA">
              <w:rPr>
                <w:sz w:val="18"/>
                <w:szCs w:val="18"/>
                <w:shd w:val="clear" w:color="auto" w:fill="FFFFFF"/>
                <w:lang w:val="en-US"/>
              </w:rPr>
              <w:br/>
              <w:t>- Elevated creatinine</w:t>
            </w:r>
            <w:r w:rsidRPr="002669EA">
              <w:rPr>
                <w:sz w:val="18"/>
                <w:szCs w:val="18"/>
                <w:shd w:val="clear" w:color="auto" w:fill="FFFFFF"/>
                <w:lang w:val="en-US"/>
              </w:rPr>
              <w:br/>
              <w:t xml:space="preserve">- Elevated direct bilirubin, aspartate </w:t>
            </w:r>
            <w:r w:rsidRPr="002669EA">
              <w:rPr>
                <w:sz w:val="18"/>
                <w:szCs w:val="18"/>
                <w:shd w:val="clear" w:color="auto" w:fill="FFFFFF"/>
                <w:lang w:val="en-US"/>
              </w:rPr>
              <w:lastRenderedPageBreak/>
              <w:t>transaminase (AST), alanine aminotransferase (ALT)</w:t>
            </w:r>
            <w:r w:rsidR="00631824" w:rsidRPr="002669EA">
              <w:rPr>
                <w:sz w:val="18"/>
                <w:szCs w:val="18"/>
                <w:shd w:val="clear" w:color="auto" w:fill="FFFFFF"/>
                <w:lang w:val="en-US"/>
              </w:rPr>
              <w:t>.</w:t>
            </w:r>
            <w:r w:rsidRPr="002669EA">
              <w:rPr>
                <w:sz w:val="18"/>
                <w:szCs w:val="18"/>
                <w:shd w:val="clear" w:color="auto" w:fill="FFFFFF"/>
                <w:lang w:val="en-US"/>
              </w:rPr>
              <w:t xml:space="preserve"> </w:t>
            </w:r>
          </w:p>
          <w:p w14:paraId="6C758EE0" w14:textId="77777777" w:rsidR="00B658FD" w:rsidRPr="002669EA" w:rsidRDefault="00B658FD" w:rsidP="00B658FD">
            <w:pPr>
              <w:autoSpaceDE w:val="0"/>
              <w:autoSpaceDN w:val="0"/>
              <w:adjustRightInd w:val="0"/>
              <w:rPr>
                <w:rFonts w:ascii="Times New Roman" w:hAnsi="Times New Roman" w:cs="Times New Roman"/>
                <w:sz w:val="18"/>
                <w:szCs w:val="18"/>
                <w:lang w:val="en-US"/>
              </w:rPr>
            </w:pPr>
          </w:p>
        </w:tc>
      </w:tr>
      <w:tr w:rsidR="00B96DD6" w:rsidRPr="002669EA" w14:paraId="46BCCEAD" w14:textId="77777777" w:rsidTr="004464EE">
        <w:trPr>
          <w:trHeight w:val="1833"/>
        </w:trPr>
        <w:tc>
          <w:tcPr>
            <w:tcW w:w="1844" w:type="dxa"/>
          </w:tcPr>
          <w:p w14:paraId="0A401AB5" w14:textId="36D56033" w:rsidR="00FA191D" w:rsidRPr="002669EA" w:rsidRDefault="00E54882" w:rsidP="007361C6">
            <w:pPr>
              <w:jc w:val="center"/>
              <w:rPr>
                <w:rFonts w:ascii="Times New Roman" w:hAnsi="Times New Roman" w:cs="Times New Roman"/>
                <w:b/>
                <w:bCs/>
                <w:sz w:val="18"/>
                <w:szCs w:val="18"/>
                <w:lang w:val="en-US"/>
              </w:rPr>
            </w:pPr>
            <w:r w:rsidRPr="002669EA">
              <w:rPr>
                <w:rFonts w:ascii="Times New Roman" w:hAnsi="Times New Roman" w:cs="Times New Roman"/>
                <w:b/>
                <w:bCs/>
                <w:sz w:val="18"/>
                <w:szCs w:val="18"/>
                <w:lang w:val="en-US"/>
              </w:rPr>
              <w:lastRenderedPageBreak/>
              <w:t>VANCOMYCIN</w:t>
            </w:r>
            <w:r w:rsidR="004A3F59" w:rsidRPr="002669EA">
              <w:rPr>
                <w:rFonts w:ascii="Times New Roman" w:hAnsi="Times New Roman" w:cs="Times New Roman"/>
                <w:b/>
                <w:bCs/>
                <w:sz w:val="18"/>
                <w:szCs w:val="18"/>
                <w:lang w:val="en-US"/>
              </w:rPr>
              <w:t xml:space="preserve"> </w:t>
            </w:r>
            <w:r w:rsidR="004A3F59" w:rsidRPr="002669EA">
              <w:rPr>
                <w:rFonts w:ascii="Times New Roman" w:hAnsi="Times New Roman" w:cs="Times New Roman"/>
                <w:b/>
                <w:bCs/>
                <w:sz w:val="18"/>
                <w:szCs w:val="18"/>
                <w:lang w:val="en-US"/>
              </w:rPr>
              <w:fldChar w:fldCharType="begin"/>
            </w:r>
            <w:r w:rsidR="00FD0A75" w:rsidRPr="002669EA">
              <w:rPr>
                <w:rFonts w:ascii="Times New Roman" w:hAnsi="Times New Roman" w:cs="Times New Roman"/>
                <w:b/>
                <w:bCs/>
                <w:sz w:val="18"/>
                <w:szCs w:val="18"/>
                <w:lang w:val="en-US"/>
              </w:rPr>
              <w:instrText xml:space="preserve"> ADDIN ZOTERO_ITEM CSL_CITATION {"citationID":"m6kpnhaY","properties":{"formattedCitation":"[5,13,14]","plainCitation":"[5,13,14]","noteIndex":0},"citationItems":[{"id":"uNES7Vp8/aYbwHExn","uris":["http://zotero.org/users/12893963/items/G2G9AT6P"],"itemData":{"id":"UuObPpXM/BwlQwsHC","type":"webpage","title":"Clinical Resources - ANMF - Australasian Neonatal Medicines Formulary","URL":"https://www.anmfonline.org/clinical-resources/","accessed":{"date-parts":[["2024",3,26]]}}},{"id":8190,"uris":["http://zotero.org/users/9451856/items/MBE7MJV3"],"itemData":{"id":8190,"type":"article-journal","abstract":"We determined optimal vancomycin starting dose regimens in infants ≤180 days of age to achieve the highest probability of target attainment with an area under the concentration-time curve for 24 h (AUC24) of ≥400 using population pharmacokinetic (PK) modeling. Secondarily, determination of the relationship between serum creatinine (SCR) and vancomycin clearance in neonates was done. A retrospective population PK study was designed and included pediatric patients ≤180 days old who had received vancomycin and had a serum vancomycin concentration sampled. A population PK model was developed using Pumas (v1.0.5). Simulation was performed with various dosing regimens to evaluate the probability of AUC24 target attainment and probability of trough of ≤20 mg/liter, and comparison to published models was performed. Individual clearance estimates, obtained from the final model, were plotted against SCR and faceted by age quartiles to assess the relationship between SCR and vancomycin clearance. A total of 934 patients were included in the study (58.6% male; median age, 43.6 days [range of 0 to 184]; median number of concentration samples, 1 [range of 1 to 29]). A one-compartment model was developed with body weight (WT), SCR, and postmenstrual age (PMA) identified as significant covariates on clearance. Plotting vancomycin clearance versus SCR demonstrated no clear relationship between the two at &lt;10 days postnatal age (PNA). Dosing regimens to attain AUC24 and trough targets were stratified according to SCR for ≥10 days PNA and PMA for &lt;10 days PNA. A vancomycin population PK model was developed for pediatric patients &lt;180 days of age incorporating WT, SCR, and PMA. The relationship between vancomycin clearance and serum creatinine is not clear at &lt;10 days PNA.","container-title":"Antimicrobial Agents and Chemotherapy","DOI":"10.1128/aac.01899-21","ISSN":"1098-6596","issue":"4","journalAbbreviation":"Antimicrob Agents Chemother","language":"eng","note":"PMID: 35293782\nPMCID: PMC9046768","page":"e0189921","source":"PubMed","title":"Optimizing Vancomycin Dosing and Monitoring in Neonates and Infants Using Population Pharmacokinetic Modeling","volume":"66","author":[{"family":"Jarugula","given":"Praneeth"},{"family":"Akcan-Arikan","given":"Ayse"},{"family":"Munoz-Rivas","given":"Flor"},{"family":"Moffett","given":"Brady S."},{"family":"Ivaturi","given":"Vijay"},{"family":"Rios","given":"Danielle"}],"issued":{"date-parts":[["2022",4,19]]}}},{"id":8130,"uris":["http://zotero.org/users/9451856/items/GZ2UR6BH"],"itemData":{"id":8130,"type":"article-journal","abstract":"There are approximately 1.3 million cases of neonatal sepsis reported worldwide with deaths occurring more commonly in preterm and low-weight newborns. Neonatal sepsis is the third major cause of neonatal deaths resulting in 203,000 deaths per year. It is divided into two subtypes based on time of occurrence: early-onset neonatal sepsis (ENS), occurring within the first 72 hours of birth usually due to perinatal risk factors, and late-onset neonatal sepsis (LOS) usually occurring after the first week of life and up to 28th day of life. There are many complications associated with neonatal sepsis including septic shock, multiple organ failure, and death. It is vital for clinicians to know the signs and symptoms of neonatal sepsis in order to diagnose it early. Preventive measures, early diagnosis, appropriate antibiotic administration, timely supportive management, and the establishment of efficient management are vital in the prevention of severe complications or death. In this review, we aim to provide the most up-to-date information regarding risk factors, pathophysiology, signs and symptoms, diagnosis, and treatment of neonatal sepsis. We discuss the maternal and neonatal risk factors involved in the pathogenesis of neonatal sepsis and the signs and symptoms of early and late neonatal sepsis. We focus on the different pathogens involved and the markers used in the diagnosis and treatments available for each.","container-title":"Cureus","DOI":"10.7759/cureus.45530","ISSN":"2168-8184","issue":"9","journalAbbreviation":"Cureus","language":"eng","note":"PMID: 37868444\nPMCID: PMC10585949","page":"e45530","source":"PubMed","title":"Insight Into Neonatal Sepsis: An Overview","title-short":"Insight Into Neonatal Sepsis","volume":"15","author":[{"family":"Attia Hussein Mahmoud","given":"Hussein"},{"family":"Parekh","given":"Ritika"},{"family":"Dhandibhotla","given":"Sarvani"},{"family":"Sai","given":"Tarun"},{"family":"Pradhan","given":"Aayush"},{"family":"Alugula","given":"Shiny"},{"family":"Cevallos-Cueva","given":"Martin"},{"family":"Hayes","given":"Barbara K."},{"family":"Athanti","given":"Saranya"},{"family":"Abdin","given":"Zain"},{"family":"K","given":"Basant"}],"issued":{"date-parts":[["2023",9]]}},"label":"page"}],"schema":"https://github.com/citation-style-language/schema/raw/master/csl-citation.json"} </w:instrText>
            </w:r>
            <w:r w:rsidR="004A3F59" w:rsidRPr="002669EA">
              <w:rPr>
                <w:rFonts w:ascii="Times New Roman" w:hAnsi="Times New Roman" w:cs="Times New Roman"/>
                <w:b/>
                <w:bCs/>
                <w:sz w:val="18"/>
                <w:szCs w:val="18"/>
                <w:lang w:val="en-US"/>
              </w:rPr>
              <w:fldChar w:fldCharType="separate"/>
            </w:r>
            <w:r w:rsidR="00FD0A75" w:rsidRPr="002669EA">
              <w:rPr>
                <w:rFonts w:ascii="Times New Roman" w:hAnsi="Times New Roman" w:cs="Times New Roman"/>
                <w:sz w:val="18"/>
                <w:szCs w:val="18"/>
                <w:lang w:val="en-US"/>
              </w:rPr>
              <w:t>[5,13,14]</w:t>
            </w:r>
            <w:r w:rsidR="004A3F59" w:rsidRPr="002669EA">
              <w:rPr>
                <w:rFonts w:ascii="Times New Roman" w:hAnsi="Times New Roman" w:cs="Times New Roman"/>
                <w:b/>
                <w:bCs/>
                <w:sz w:val="18"/>
                <w:szCs w:val="18"/>
                <w:lang w:val="en-US"/>
              </w:rPr>
              <w:fldChar w:fldCharType="end"/>
            </w:r>
          </w:p>
        </w:tc>
        <w:tc>
          <w:tcPr>
            <w:tcW w:w="3279" w:type="dxa"/>
          </w:tcPr>
          <w:p w14:paraId="7DAA5919" w14:textId="04C2008E" w:rsidR="00E54882" w:rsidRPr="002669EA" w:rsidRDefault="00CA6148" w:rsidP="00E54882">
            <w:pPr>
              <w:pStyle w:val="NormalWeb"/>
              <w:shd w:val="clear" w:color="auto" w:fill="FFFFFF"/>
              <w:rPr>
                <w:sz w:val="18"/>
                <w:szCs w:val="18"/>
                <w:lang w:val="en-US"/>
              </w:rPr>
            </w:pPr>
            <w:r w:rsidRPr="002669EA">
              <w:rPr>
                <w:sz w:val="18"/>
                <w:szCs w:val="18"/>
                <w:lang w:val="en-US"/>
              </w:rPr>
              <w:t xml:space="preserve">- </w:t>
            </w:r>
            <w:r w:rsidR="00E54882" w:rsidRPr="002669EA">
              <w:rPr>
                <w:sz w:val="18"/>
                <w:szCs w:val="18"/>
                <w:lang w:val="en-US"/>
              </w:rPr>
              <w:t>Bactericidal agent which interferes with cell wall synthesis, inhibits RNA synthesis and alters plasma membrane function</w:t>
            </w:r>
            <w:r w:rsidR="00B658FD" w:rsidRPr="002669EA">
              <w:rPr>
                <w:sz w:val="18"/>
                <w:szCs w:val="18"/>
                <w:lang w:val="en-US"/>
              </w:rPr>
              <w:t xml:space="preserve"> leading to cell death.</w:t>
            </w:r>
          </w:p>
          <w:p w14:paraId="584D55A3" w14:textId="75214755" w:rsidR="00631824" w:rsidRPr="002669EA" w:rsidRDefault="00CA6148" w:rsidP="00E54882">
            <w:pPr>
              <w:pStyle w:val="NormalWeb"/>
              <w:shd w:val="clear" w:color="auto" w:fill="FFFFFF"/>
              <w:rPr>
                <w:b/>
                <w:bCs/>
                <w:sz w:val="18"/>
                <w:szCs w:val="18"/>
                <w:shd w:val="clear" w:color="auto" w:fill="FFFFFF"/>
                <w:lang w:val="en-US"/>
              </w:rPr>
            </w:pPr>
            <w:r w:rsidRPr="002669EA">
              <w:rPr>
                <w:sz w:val="18"/>
                <w:szCs w:val="18"/>
                <w:shd w:val="clear" w:color="auto" w:fill="FFFFFF"/>
                <w:lang w:val="en-US"/>
              </w:rPr>
              <w:t xml:space="preserve">- </w:t>
            </w:r>
            <w:r w:rsidR="00631824" w:rsidRPr="002669EA">
              <w:rPr>
                <w:sz w:val="18"/>
                <w:szCs w:val="18"/>
                <w:shd w:val="clear" w:color="auto" w:fill="FFFFFF"/>
                <w:lang w:val="en-US"/>
              </w:rPr>
              <w:t>Bactericidal spectrum:</w:t>
            </w:r>
            <w:r w:rsidR="00631824" w:rsidRPr="002669EA">
              <w:rPr>
                <w:b/>
                <w:bCs/>
                <w:sz w:val="18"/>
                <w:szCs w:val="18"/>
                <w:shd w:val="clear" w:color="auto" w:fill="FFFFFF"/>
                <w:lang w:val="en-US"/>
              </w:rPr>
              <w:t xml:space="preserve"> </w:t>
            </w:r>
            <w:r w:rsidR="00631824" w:rsidRPr="002669EA">
              <w:rPr>
                <w:sz w:val="18"/>
                <w:szCs w:val="18"/>
                <w:lang w:val="en-US"/>
              </w:rPr>
              <w:t xml:space="preserve">Staphylococci (including MRSA), Streptococci, Enterococci, </w:t>
            </w:r>
            <w:proofErr w:type="spellStart"/>
            <w:r w:rsidR="00631824" w:rsidRPr="002669EA">
              <w:rPr>
                <w:sz w:val="18"/>
                <w:szCs w:val="18"/>
                <w:lang w:val="en-US"/>
              </w:rPr>
              <w:t>Diphtheroids</w:t>
            </w:r>
            <w:proofErr w:type="spellEnd"/>
            <w:r w:rsidR="00631824" w:rsidRPr="002669EA">
              <w:rPr>
                <w:sz w:val="18"/>
                <w:szCs w:val="18"/>
                <w:lang w:val="en-US"/>
              </w:rPr>
              <w:t>, Listeria monocytogenes, Actinomyces Bacillus spp.</w:t>
            </w:r>
          </w:p>
        </w:tc>
        <w:tc>
          <w:tcPr>
            <w:tcW w:w="2391" w:type="dxa"/>
          </w:tcPr>
          <w:p w14:paraId="6A4E9745" w14:textId="42D60F7C" w:rsidR="00B658FD" w:rsidRPr="002669EA" w:rsidRDefault="00CA6148" w:rsidP="00E54882">
            <w:pPr>
              <w:pStyle w:val="NormalWeb"/>
              <w:shd w:val="clear" w:color="auto" w:fill="FFFFFF"/>
              <w:rPr>
                <w:sz w:val="18"/>
                <w:szCs w:val="18"/>
                <w:lang w:val="en-US"/>
              </w:rPr>
            </w:pPr>
            <w:r w:rsidRPr="002669EA">
              <w:rPr>
                <w:sz w:val="18"/>
                <w:szCs w:val="18"/>
                <w:lang w:val="en-US"/>
              </w:rPr>
              <w:t xml:space="preserve">- </w:t>
            </w:r>
            <w:r w:rsidR="00E54882" w:rsidRPr="002669EA">
              <w:rPr>
                <w:sz w:val="18"/>
                <w:szCs w:val="18"/>
                <w:lang w:val="en-US"/>
              </w:rPr>
              <w:t xml:space="preserve">Infections due to susceptible strains of </w:t>
            </w:r>
            <w:r w:rsidR="004D65DD" w:rsidRPr="002669EA">
              <w:rPr>
                <w:sz w:val="18"/>
                <w:szCs w:val="18"/>
                <w:lang w:val="en-US"/>
              </w:rPr>
              <w:t xml:space="preserve">gram-positive microbes; </w:t>
            </w:r>
            <w:r w:rsidR="00E54882" w:rsidRPr="002669EA">
              <w:rPr>
                <w:sz w:val="18"/>
                <w:szCs w:val="18"/>
                <w:lang w:val="en-US"/>
              </w:rPr>
              <w:t xml:space="preserve">Staphylococci (including MRSA), Streptococci, Enterococci, </w:t>
            </w:r>
            <w:proofErr w:type="spellStart"/>
            <w:r w:rsidR="00E54882" w:rsidRPr="002669EA">
              <w:rPr>
                <w:sz w:val="18"/>
                <w:szCs w:val="18"/>
                <w:lang w:val="en-US"/>
              </w:rPr>
              <w:t>Dip</w:t>
            </w:r>
            <w:r w:rsidR="00B658FD" w:rsidRPr="002669EA">
              <w:rPr>
                <w:sz w:val="18"/>
                <w:szCs w:val="18"/>
                <w:lang w:val="en-US"/>
              </w:rPr>
              <w:t>h</w:t>
            </w:r>
            <w:r w:rsidR="00E54882" w:rsidRPr="002669EA">
              <w:rPr>
                <w:sz w:val="18"/>
                <w:szCs w:val="18"/>
                <w:lang w:val="en-US"/>
              </w:rPr>
              <w:t>theroids</w:t>
            </w:r>
            <w:proofErr w:type="spellEnd"/>
            <w:r w:rsidR="00E54882" w:rsidRPr="002669EA">
              <w:rPr>
                <w:sz w:val="18"/>
                <w:szCs w:val="18"/>
                <w:lang w:val="en-US"/>
              </w:rPr>
              <w:t>, Listeria monocytogenes, Actinomyces sp</w:t>
            </w:r>
            <w:r w:rsidR="00B658FD" w:rsidRPr="002669EA">
              <w:rPr>
                <w:sz w:val="18"/>
                <w:szCs w:val="18"/>
                <w:lang w:val="en-US"/>
              </w:rPr>
              <w:t>p.</w:t>
            </w:r>
          </w:p>
          <w:p w14:paraId="29DB3DC9" w14:textId="2EB196F1" w:rsidR="00FD0A75" w:rsidRPr="002669EA" w:rsidRDefault="00FD0A75" w:rsidP="004D65DD">
            <w:pPr>
              <w:autoSpaceDE w:val="0"/>
              <w:autoSpaceDN w:val="0"/>
              <w:adjustRightInd w:val="0"/>
              <w:rPr>
                <w:rFonts w:ascii="Times New Roman" w:hAnsi="Times New Roman" w:cs="Times New Roman"/>
                <w:sz w:val="18"/>
                <w:szCs w:val="18"/>
                <w:lang w:val="en-US"/>
              </w:rPr>
            </w:pPr>
          </w:p>
        </w:tc>
        <w:tc>
          <w:tcPr>
            <w:tcW w:w="4110" w:type="dxa"/>
          </w:tcPr>
          <w:p w14:paraId="77F6DE2F" w14:textId="77777777" w:rsidR="00FD0A75" w:rsidRPr="002669EA" w:rsidRDefault="00FD0A75" w:rsidP="00FD0A75">
            <w:pPr>
              <w:autoSpaceDE w:val="0"/>
              <w:autoSpaceDN w:val="0"/>
              <w:adjustRightInd w:val="0"/>
              <w:rPr>
                <w:rFonts w:ascii="Times New Roman" w:hAnsi="Times New Roman" w:cs="Times New Roman"/>
                <w:sz w:val="18"/>
                <w:szCs w:val="18"/>
                <w:lang w:val="en-US"/>
              </w:rPr>
            </w:pPr>
            <w:r w:rsidRPr="002669EA">
              <w:rPr>
                <w:rFonts w:ascii="Times New Roman" w:hAnsi="Times New Roman" w:cs="Times New Roman"/>
                <w:sz w:val="18"/>
                <w:szCs w:val="18"/>
              </w:rPr>
              <w:t>Ν</w:t>
            </w:r>
            <w:r w:rsidRPr="002669EA">
              <w:rPr>
                <w:rFonts w:ascii="Times New Roman" w:hAnsi="Times New Roman" w:cs="Times New Roman"/>
                <w:sz w:val="18"/>
                <w:szCs w:val="18"/>
                <w:lang w:val="en-US"/>
              </w:rPr>
              <w:t xml:space="preserve">o consensus on optimal dosing and monitoring in neonates. Various dosing regimens have been recommended and/or used in relevant studies which are mainly based on neonatal age (GA, PMA, PNA), body weight and serum creatinine. </w:t>
            </w:r>
          </w:p>
          <w:p w14:paraId="6C758A9C" w14:textId="77777777" w:rsidR="00830CDD" w:rsidRPr="002669EA" w:rsidRDefault="00830CDD" w:rsidP="00835CBD">
            <w:pPr>
              <w:autoSpaceDE w:val="0"/>
              <w:autoSpaceDN w:val="0"/>
              <w:adjustRightInd w:val="0"/>
              <w:rPr>
                <w:rFonts w:ascii="Times New Roman" w:hAnsi="Times New Roman" w:cs="Times New Roman"/>
                <w:sz w:val="18"/>
                <w:szCs w:val="18"/>
                <w:u w:val="single"/>
                <w:lang w:val="en-US"/>
              </w:rPr>
            </w:pPr>
          </w:p>
          <w:p w14:paraId="6E73BB0A" w14:textId="1662EEF2" w:rsidR="00835CBD" w:rsidRPr="002669EA" w:rsidRDefault="00E54882" w:rsidP="00835CBD">
            <w:pPr>
              <w:autoSpaceDE w:val="0"/>
              <w:autoSpaceDN w:val="0"/>
              <w:adjustRightInd w:val="0"/>
              <w:rPr>
                <w:rFonts w:ascii="Times New Roman" w:hAnsi="Times New Roman" w:cs="Times New Roman"/>
                <w:b/>
                <w:bCs/>
                <w:sz w:val="18"/>
                <w:szCs w:val="18"/>
                <w:lang w:val="en-GB"/>
              </w:rPr>
            </w:pPr>
            <w:r w:rsidRPr="002669EA">
              <w:rPr>
                <w:rFonts w:ascii="Times New Roman" w:hAnsi="Times New Roman" w:cs="Times New Roman"/>
                <w:sz w:val="18"/>
                <w:szCs w:val="18"/>
                <w:u w:val="single"/>
                <w:lang w:val="en-US"/>
              </w:rPr>
              <w:t xml:space="preserve">Most recently suggested dosing regimen by </w:t>
            </w:r>
            <w:r w:rsidRPr="002669EA">
              <w:rPr>
                <w:rFonts w:ascii="Times New Roman" w:hAnsi="Times New Roman" w:cs="Times New Roman"/>
                <w:sz w:val="18"/>
                <w:szCs w:val="18"/>
                <w:u w:val="single"/>
                <w:lang w:val="en-GB"/>
              </w:rPr>
              <w:t>Australasian Neonatal Medicines Formulary (2021)</w:t>
            </w:r>
            <w:r w:rsidR="00835CBD" w:rsidRPr="002669EA">
              <w:rPr>
                <w:rFonts w:ascii="Times New Roman" w:hAnsi="Times New Roman" w:cs="Times New Roman"/>
                <w:b/>
                <w:bCs/>
                <w:sz w:val="18"/>
                <w:szCs w:val="18"/>
                <w:u w:val="single"/>
                <w:lang w:val="en-GB"/>
              </w:rPr>
              <w:t xml:space="preserve"> </w:t>
            </w:r>
            <w:r w:rsidR="00835CBD" w:rsidRPr="002669EA">
              <w:rPr>
                <w:rFonts w:ascii="Times New Roman" w:hAnsi="Times New Roman" w:cs="Times New Roman"/>
                <w:sz w:val="18"/>
                <w:szCs w:val="18"/>
                <w:lang w:val="en-US"/>
              </w:rPr>
              <w:br/>
              <w:t>Standard dose: 15 mg/kg/dose (</w:t>
            </w:r>
            <w:r w:rsidR="004D65DD" w:rsidRPr="002669EA">
              <w:rPr>
                <w:rFonts w:ascii="Times New Roman" w:hAnsi="Times New Roman" w:cs="Times New Roman"/>
                <w:sz w:val="18"/>
                <w:szCs w:val="18"/>
                <w:lang w:val="en-US"/>
              </w:rPr>
              <w:t>IV</w:t>
            </w:r>
            <w:r w:rsidR="00835CBD" w:rsidRPr="002669EA">
              <w:rPr>
                <w:rFonts w:ascii="Times New Roman" w:hAnsi="Times New Roman" w:cs="Times New Roman"/>
                <w:sz w:val="18"/>
                <w:szCs w:val="18"/>
                <w:lang w:val="en-US"/>
              </w:rPr>
              <w:t>)</w:t>
            </w:r>
            <w:r w:rsidR="00835CBD" w:rsidRPr="002669EA">
              <w:rPr>
                <w:rFonts w:ascii="Times New Roman" w:hAnsi="Times New Roman" w:cs="Times New Roman"/>
                <w:sz w:val="18"/>
                <w:szCs w:val="18"/>
                <w:lang w:val="en-US"/>
              </w:rPr>
              <w:br/>
              <w:t>Consideration for giving a loading dose 20 mg/kg/dose in cases of severe sepsis, MRSA, bone infection, meningitis, endocarditis, although evidence is limited</w:t>
            </w:r>
          </w:p>
          <w:tbl>
            <w:tblPr>
              <w:tblStyle w:val="TableGrid"/>
              <w:tblW w:w="0" w:type="auto"/>
              <w:tblLook w:val="04A0" w:firstRow="1" w:lastRow="0" w:firstColumn="1" w:lastColumn="0" w:noHBand="0" w:noVBand="1"/>
            </w:tblPr>
            <w:tblGrid>
              <w:gridCol w:w="1036"/>
              <w:gridCol w:w="968"/>
              <w:gridCol w:w="1167"/>
            </w:tblGrid>
            <w:tr w:rsidR="00B96DD6" w:rsidRPr="002669EA" w14:paraId="3997A1A9" w14:textId="77777777" w:rsidTr="005427D9">
              <w:tc>
                <w:tcPr>
                  <w:tcW w:w="1036" w:type="dxa"/>
                </w:tcPr>
                <w:p w14:paraId="68DB63BE" w14:textId="77777777" w:rsidR="00835CBD" w:rsidRPr="002669EA" w:rsidRDefault="00835CBD" w:rsidP="00835CBD">
                  <w:pPr>
                    <w:pStyle w:val="NormalWeb"/>
                    <w:rPr>
                      <w:b/>
                      <w:bCs/>
                      <w:sz w:val="18"/>
                      <w:szCs w:val="18"/>
                      <w:lang w:val="en-GB"/>
                    </w:rPr>
                  </w:pPr>
                  <w:r w:rsidRPr="002669EA">
                    <w:rPr>
                      <w:b/>
                      <w:bCs/>
                      <w:sz w:val="18"/>
                      <w:szCs w:val="18"/>
                      <w:lang w:val="en-GB"/>
                    </w:rPr>
                    <w:t xml:space="preserve">PMA </w:t>
                  </w:r>
                  <w:r w:rsidRPr="002669EA">
                    <w:rPr>
                      <w:sz w:val="18"/>
                      <w:szCs w:val="18"/>
                      <w:lang w:val="en-GB"/>
                    </w:rPr>
                    <w:t>(</w:t>
                  </w:r>
                  <w:proofErr w:type="spellStart"/>
                  <w:r w:rsidRPr="002669EA">
                    <w:rPr>
                      <w:sz w:val="18"/>
                      <w:szCs w:val="18"/>
                      <w:lang w:val="en-GB"/>
                    </w:rPr>
                    <w:t>wks</w:t>
                  </w:r>
                  <w:proofErr w:type="spellEnd"/>
                  <w:r w:rsidRPr="002669EA">
                    <w:rPr>
                      <w:sz w:val="18"/>
                      <w:szCs w:val="18"/>
                      <w:lang w:val="en-GB"/>
                    </w:rPr>
                    <w:t>)</w:t>
                  </w:r>
                </w:p>
              </w:tc>
              <w:tc>
                <w:tcPr>
                  <w:tcW w:w="968" w:type="dxa"/>
                </w:tcPr>
                <w:p w14:paraId="438E6CA1" w14:textId="77777777" w:rsidR="00835CBD" w:rsidRPr="002669EA" w:rsidRDefault="00835CBD" w:rsidP="00835CBD">
                  <w:pPr>
                    <w:pStyle w:val="NormalWeb"/>
                    <w:rPr>
                      <w:b/>
                      <w:bCs/>
                      <w:sz w:val="18"/>
                      <w:szCs w:val="18"/>
                      <w:lang w:val="en-GB"/>
                    </w:rPr>
                  </w:pPr>
                  <w:r w:rsidRPr="002669EA">
                    <w:rPr>
                      <w:b/>
                      <w:bCs/>
                      <w:sz w:val="18"/>
                      <w:szCs w:val="18"/>
                      <w:lang w:val="en-GB"/>
                    </w:rPr>
                    <w:t>PNA</w:t>
                  </w:r>
                  <w:r w:rsidRPr="002669EA">
                    <w:rPr>
                      <w:b/>
                      <w:bCs/>
                      <w:sz w:val="18"/>
                      <w:szCs w:val="18"/>
                      <w:lang w:val="en-GB"/>
                    </w:rPr>
                    <w:br/>
                  </w:r>
                  <w:r w:rsidRPr="002669EA">
                    <w:rPr>
                      <w:sz w:val="18"/>
                      <w:szCs w:val="18"/>
                      <w:lang w:val="en-GB"/>
                    </w:rPr>
                    <w:t>(days)</w:t>
                  </w:r>
                </w:p>
              </w:tc>
              <w:tc>
                <w:tcPr>
                  <w:tcW w:w="860" w:type="dxa"/>
                </w:tcPr>
                <w:p w14:paraId="49EA38F3" w14:textId="77777777" w:rsidR="00835CBD" w:rsidRPr="002669EA" w:rsidRDefault="00835CBD" w:rsidP="00835CBD">
                  <w:pPr>
                    <w:pStyle w:val="NormalWeb"/>
                    <w:rPr>
                      <w:b/>
                      <w:bCs/>
                      <w:sz w:val="18"/>
                      <w:szCs w:val="18"/>
                      <w:lang w:val="en-GB"/>
                    </w:rPr>
                  </w:pPr>
                  <w:r w:rsidRPr="002669EA">
                    <w:rPr>
                      <w:b/>
                      <w:bCs/>
                      <w:sz w:val="18"/>
                      <w:szCs w:val="18"/>
                      <w:lang w:val="en-GB"/>
                    </w:rPr>
                    <w:t>INTERVAL</w:t>
                  </w:r>
                </w:p>
              </w:tc>
            </w:tr>
            <w:tr w:rsidR="00B96DD6" w:rsidRPr="002669EA" w14:paraId="722916A5" w14:textId="77777777" w:rsidTr="005427D9">
              <w:tc>
                <w:tcPr>
                  <w:tcW w:w="1036" w:type="dxa"/>
                </w:tcPr>
                <w:p w14:paraId="0921B301" w14:textId="77777777" w:rsidR="00835CBD" w:rsidRPr="002669EA" w:rsidRDefault="00835CBD" w:rsidP="00835CBD">
                  <w:pPr>
                    <w:pStyle w:val="NormalWeb"/>
                    <w:rPr>
                      <w:sz w:val="18"/>
                      <w:szCs w:val="18"/>
                      <w:lang w:val="en-GB"/>
                    </w:rPr>
                  </w:pPr>
                  <w:r w:rsidRPr="002669EA">
                    <w:rPr>
                      <w:sz w:val="18"/>
                      <w:szCs w:val="18"/>
                      <w:lang w:val="en-GB"/>
                    </w:rPr>
                    <w:t>&lt; 30</w:t>
                  </w:r>
                </w:p>
              </w:tc>
              <w:tc>
                <w:tcPr>
                  <w:tcW w:w="968" w:type="dxa"/>
                </w:tcPr>
                <w:p w14:paraId="6CDCE256" w14:textId="77777777" w:rsidR="00835CBD" w:rsidRPr="002669EA" w:rsidRDefault="00835CBD" w:rsidP="00835CBD">
                  <w:pPr>
                    <w:pStyle w:val="NormalWeb"/>
                    <w:rPr>
                      <w:sz w:val="18"/>
                      <w:szCs w:val="18"/>
                      <w:lang w:val="en-GB"/>
                    </w:rPr>
                  </w:pPr>
                  <w:r w:rsidRPr="002669EA">
                    <w:rPr>
                      <w:sz w:val="18"/>
                      <w:szCs w:val="18"/>
                      <w:lang w:val="en-GB"/>
                    </w:rPr>
                    <w:t>0-2</w:t>
                  </w:r>
                </w:p>
              </w:tc>
              <w:tc>
                <w:tcPr>
                  <w:tcW w:w="860" w:type="dxa"/>
                </w:tcPr>
                <w:p w14:paraId="70E3E730" w14:textId="77777777" w:rsidR="00835CBD" w:rsidRPr="002669EA" w:rsidRDefault="00835CBD" w:rsidP="00835CBD">
                  <w:pPr>
                    <w:pStyle w:val="NormalWeb"/>
                    <w:rPr>
                      <w:sz w:val="18"/>
                      <w:szCs w:val="18"/>
                      <w:lang w:val="en-GB"/>
                    </w:rPr>
                  </w:pPr>
                  <w:r w:rsidRPr="002669EA">
                    <w:rPr>
                      <w:sz w:val="18"/>
                      <w:szCs w:val="18"/>
                      <w:lang w:val="en-GB"/>
                    </w:rPr>
                    <w:t>q18 h</w:t>
                  </w:r>
                </w:p>
              </w:tc>
            </w:tr>
            <w:tr w:rsidR="00B96DD6" w:rsidRPr="002669EA" w14:paraId="043A1951" w14:textId="77777777" w:rsidTr="005427D9">
              <w:tc>
                <w:tcPr>
                  <w:tcW w:w="1036" w:type="dxa"/>
                </w:tcPr>
                <w:p w14:paraId="2D569BAC" w14:textId="77777777" w:rsidR="00835CBD" w:rsidRPr="002669EA" w:rsidRDefault="00835CBD" w:rsidP="00835CBD">
                  <w:pPr>
                    <w:pStyle w:val="NormalWeb"/>
                    <w:rPr>
                      <w:sz w:val="18"/>
                      <w:szCs w:val="18"/>
                      <w:lang w:val="en-GB"/>
                    </w:rPr>
                  </w:pPr>
                </w:p>
              </w:tc>
              <w:tc>
                <w:tcPr>
                  <w:tcW w:w="968" w:type="dxa"/>
                </w:tcPr>
                <w:p w14:paraId="6E9EE654" w14:textId="77777777" w:rsidR="00835CBD" w:rsidRPr="002669EA" w:rsidRDefault="00835CBD" w:rsidP="00835CBD">
                  <w:pPr>
                    <w:pStyle w:val="NormalWeb"/>
                    <w:rPr>
                      <w:sz w:val="18"/>
                      <w:szCs w:val="18"/>
                      <w:lang w:val="en-GB"/>
                    </w:rPr>
                  </w:pPr>
                  <w:r w:rsidRPr="002669EA">
                    <w:rPr>
                      <w:sz w:val="18"/>
                      <w:szCs w:val="18"/>
                      <w:lang w:val="en-GB"/>
                    </w:rPr>
                    <w:t xml:space="preserve">3+ </w:t>
                  </w:r>
                </w:p>
              </w:tc>
              <w:tc>
                <w:tcPr>
                  <w:tcW w:w="860" w:type="dxa"/>
                </w:tcPr>
                <w:p w14:paraId="60F72457" w14:textId="77777777" w:rsidR="00835CBD" w:rsidRPr="002669EA" w:rsidRDefault="00835CBD" w:rsidP="00835CBD">
                  <w:pPr>
                    <w:pStyle w:val="NormalWeb"/>
                    <w:rPr>
                      <w:sz w:val="18"/>
                      <w:szCs w:val="18"/>
                      <w:lang w:val="en-GB"/>
                    </w:rPr>
                  </w:pPr>
                  <w:r w:rsidRPr="002669EA">
                    <w:rPr>
                      <w:sz w:val="18"/>
                      <w:szCs w:val="18"/>
                      <w:lang w:val="en-GB"/>
                    </w:rPr>
                    <w:t>q12 h</w:t>
                  </w:r>
                </w:p>
              </w:tc>
            </w:tr>
            <w:tr w:rsidR="00B96DD6" w:rsidRPr="002669EA" w14:paraId="7172738D" w14:textId="77777777" w:rsidTr="005427D9">
              <w:tc>
                <w:tcPr>
                  <w:tcW w:w="1036" w:type="dxa"/>
                </w:tcPr>
                <w:p w14:paraId="43E9E7A1" w14:textId="77777777" w:rsidR="00835CBD" w:rsidRPr="002669EA" w:rsidRDefault="00835CBD" w:rsidP="00835CBD">
                  <w:pPr>
                    <w:pStyle w:val="NormalWeb"/>
                    <w:rPr>
                      <w:sz w:val="18"/>
                      <w:szCs w:val="18"/>
                      <w:lang w:val="en-GB"/>
                    </w:rPr>
                  </w:pPr>
                  <w:r w:rsidRPr="002669EA">
                    <w:rPr>
                      <w:sz w:val="18"/>
                      <w:szCs w:val="18"/>
                      <w:lang w:val="en-GB"/>
                    </w:rPr>
                    <w:t>30</w:t>
                  </w:r>
                  <w:r w:rsidRPr="002669EA">
                    <w:rPr>
                      <w:sz w:val="18"/>
                      <w:szCs w:val="18"/>
                      <w:vertAlign w:val="superscript"/>
                      <w:lang w:val="en-GB"/>
                    </w:rPr>
                    <w:t>+0</w:t>
                  </w:r>
                  <w:r w:rsidRPr="002669EA">
                    <w:rPr>
                      <w:sz w:val="18"/>
                      <w:szCs w:val="18"/>
                      <w:lang w:val="en-GB"/>
                    </w:rPr>
                    <w:t>-36</w:t>
                  </w:r>
                  <w:r w:rsidRPr="002669EA">
                    <w:rPr>
                      <w:sz w:val="18"/>
                      <w:szCs w:val="18"/>
                      <w:vertAlign w:val="superscript"/>
                      <w:lang w:val="en-GB"/>
                    </w:rPr>
                    <w:t>+6</w:t>
                  </w:r>
                  <w:r w:rsidRPr="002669EA">
                    <w:rPr>
                      <w:sz w:val="18"/>
                      <w:szCs w:val="18"/>
                      <w:lang w:val="en-GB"/>
                    </w:rPr>
                    <w:t xml:space="preserve"> </w:t>
                  </w:r>
                </w:p>
              </w:tc>
              <w:tc>
                <w:tcPr>
                  <w:tcW w:w="968" w:type="dxa"/>
                </w:tcPr>
                <w:p w14:paraId="7F67F5F5" w14:textId="77777777" w:rsidR="00835CBD" w:rsidRPr="002669EA" w:rsidRDefault="00835CBD" w:rsidP="00835CBD">
                  <w:pPr>
                    <w:pStyle w:val="NormalWeb"/>
                    <w:rPr>
                      <w:sz w:val="18"/>
                      <w:szCs w:val="18"/>
                      <w:lang w:val="en-GB"/>
                    </w:rPr>
                  </w:pPr>
                  <w:r w:rsidRPr="002669EA">
                    <w:rPr>
                      <w:sz w:val="18"/>
                      <w:szCs w:val="18"/>
                      <w:lang w:val="en-GB"/>
                    </w:rPr>
                    <w:t xml:space="preserve">0-14 </w:t>
                  </w:r>
                </w:p>
              </w:tc>
              <w:tc>
                <w:tcPr>
                  <w:tcW w:w="860" w:type="dxa"/>
                </w:tcPr>
                <w:p w14:paraId="5253BC7A" w14:textId="77777777" w:rsidR="00835CBD" w:rsidRPr="002669EA" w:rsidRDefault="00835CBD" w:rsidP="00835CBD">
                  <w:pPr>
                    <w:pStyle w:val="NormalWeb"/>
                    <w:rPr>
                      <w:sz w:val="18"/>
                      <w:szCs w:val="18"/>
                      <w:lang w:val="en-GB"/>
                    </w:rPr>
                  </w:pPr>
                  <w:r w:rsidRPr="002669EA">
                    <w:rPr>
                      <w:sz w:val="18"/>
                      <w:szCs w:val="18"/>
                      <w:lang w:val="en-GB"/>
                    </w:rPr>
                    <w:t>q12 h</w:t>
                  </w:r>
                </w:p>
              </w:tc>
            </w:tr>
            <w:tr w:rsidR="00B96DD6" w:rsidRPr="002669EA" w14:paraId="347C2385" w14:textId="77777777" w:rsidTr="005427D9">
              <w:tc>
                <w:tcPr>
                  <w:tcW w:w="1036" w:type="dxa"/>
                </w:tcPr>
                <w:p w14:paraId="4EC7E341" w14:textId="77777777" w:rsidR="00835CBD" w:rsidRPr="002669EA" w:rsidRDefault="00835CBD" w:rsidP="00835CBD">
                  <w:pPr>
                    <w:pStyle w:val="NormalWeb"/>
                    <w:rPr>
                      <w:sz w:val="18"/>
                      <w:szCs w:val="18"/>
                      <w:lang w:val="en-GB"/>
                    </w:rPr>
                  </w:pPr>
                </w:p>
              </w:tc>
              <w:tc>
                <w:tcPr>
                  <w:tcW w:w="968" w:type="dxa"/>
                </w:tcPr>
                <w:p w14:paraId="65661857" w14:textId="77777777" w:rsidR="00835CBD" w:rsidRPr="002669EA" w:rsidRDefault="00835CBD" w:rsidP="00835CBD">
                  <w:pPr>
                    <w:pStyle w:val="NormalWeb"/>
                    <w:rPr>
                      <w:sz w:val="18"/>
                      <w:szCs w:val="18"/>
                      <w:lang w:val="en-GB"/>
                    </w:rPr>
                  </w:pPr>
                  <w:r w:rsidRPr="002669EA">
                    <w:rPr>
                      <w:sz w:val="18"/>
                      <w:szCs w:val="18"/>
                      <w:lang w:val="en-GB"/>
                    </w:rPr>
                    <w:t xml:space="preserve">15+ </w:t>
                  </w:r>
                </w:p>
              </w:tc>
              <w:tc>
                <w:tcPr>
                  <w:tcW w:w="860" w:type="dxa"/>
                </w:tcPr>
                <w:p w14:paraId="18C0B8BF" w14:textId="77777777" w:rsidR="00835CBD" w:rsidRPr="002669EA" w:rsidRDefault="00835CBD" w:rsidP="00835CBD">
                  <w:pPr>
                    <w:pStyle w:val="NormalWeb"/>
                    <w:rPr>
                      <w:sz w:val="18"/>
                      <w:szCs w:val="18"/>
                      <w:lang w:val="en-GB"/>
                    </w:rPr>
                  </w:pPr>
                  <w:r w:rsidRPr="002669EA">
                    <w:rPr>
                      <w:sz w:val="18"/>
                      <w:szCs w:val="18"/>
                      <w:lang w:val="en-GB"/>
                    </w:rPr>
                    <w:t>q8 h</w:t>
                  </w:r>
                </w:p>
              </w:tc>
            </w:tr>
            <w:tr w:rsidR="00B96DD6" w:rsidRPr="002669EA" w14:paraId="677FC5F6" w14:textId="77777777" w:rsidTr="005427D9">
              <w:trPr>
                <w:trHeight w:val="60"/>
              </w:trPr>
              <w:tc>
                <w:tcPr>
                  <w:tcW w:w="1036" w:type="dxa"/>
                </w:tcPr>
                <w:p w14:paraId="196B7EA2" w14:textId="77777777" w:rsidR="00835CBD" w:rsidRPr="002669EA" w:rsidRDefault="00835CBD" w:rsidP="00835CBD">
                  <w:pPr>
                    <w:pStyle w:val="NormalWeb"/>
                    <w:rPr>
                      <w:sz w:val="18"/>
                      <w:szCs w:val="18"/>
                      <w:lang w:val="en-GB"/>
                    </w:rPr>
                  </w:pPr>
                  <w:r w:rsidRPr="002669EA">
                    <w:rPr>
                      <w:sz w:val="18"/>
                      <w:szCs w:val="18"/>
                      <w:lang w:val="en-GB"/>
                    </w:rPr>
                    <w:t>37</w:t>
                  </w:r>
                  <w:r w:rsidRPr="002669EA">
                    <w:rPr>
                      <w:sz w:val="18"/>
                      <w:szCs w:val="18"/>
                      <w:vertAlign w:val="superscript"/>
                      <w:lang w:val="en-GB"/>
                    </w:rPr>
                    <w:t xml:space="preserve">+0 </w:t>
                  </w:r>
                  <w:r w:rsidRPr="002669EA">
                    <w:rPr>
                      <w:sz w:val="18"/>
                      <w:szCs w:val="18"/>
                      <w:lang w:val="en-GB"/>
                    </w:rPr>
                    <w:t>-44</w:t>
                  </w:r>
                  <w:r w:rsidRPr="002669EA">
                    <w:rPr>
                      <w:sz w:val="18"/>
                      <w:szCs w:val="18"/>
                      <w:vertAlign w:val="superscript"/>
                      <w:lang w:val="en-GB"/>
                    </w:rPr>
                    <w:t xml:space="preserve">+6 </w:t>
                  </w:r>
                </w:p>
              </w:tc>
              <w:tc>
                <w:tcPr>
                  <w:tcW w:w="968" w:type="dxa"/>
                </w:tcPr>
                <w:p w14:paraId="4BE5D41C" w14:textId="77777777" w:rsidR="00835CBD" w:rsidRPr="002669EA" w:rsidRDefault="00835CBD" w:rsidP="00835CBD">
                  <w:pPr>
                    <w:pStyle w:val="NormalWeb"/>
                    <w:rPr>
                      <w:sz w:val="18"/>
                      <w:szCs w:val="18"/>
                      <w:lang w:val="en-GB"/>
                    </w:rPr>
                  </w:pPr>
                  <w:r w:rsidRPr="002669EA">
                    <w:rPr>
                      <w:sz w:val="18"/>
                      <w:szCs w:val="18"/>
                      <w:lang w:val="en-GB"/>
                    </w:rPr>
                    <w:t xml:space="preserve">0-7 </w:t>
                  </w:r>
                </w:p>
              </w:tc>
              <w:tc>
                <w:tcPr>
                  <w:tcW w:w="860" w:type="dxa"/>
                </w:tcPr>
                <w:p w14:paraId="4B07060C" w14:textId="77777777" w:rsidR="00835CBD" w:rsidRPr="002669EA" w:rsidRDefault="00835CBD" w:rsidP="00835CBD">
                  <w:pPr>
                    <w:pStyle w:val="NormalWeb"/>
                    <w:rPr>
                      <w:sz w:val="18"/>
                      <w:szCs w:val="18"/>
                      <w:lang w:val="en-GB"/>
                    </w:rPr>
                  </w:pPr>
                  <w:r w:rsidRPr="002669EA">
                    <w:rPr>
                      <w:sz w:val="18"/>
                      <w:szCs w:val="18"/>
                      <w:lang w:val="en-GB"/>
                    </w:rPr>
                    <w:t>q12 h</w:t>
                  </w:r>
                </w:p>
              </w:tc>
            </w:tr>
            <w:tr w:rsidR="00B96DD6" w:rsidRPr="002669EA" w14:paraId="0A913961" w14:textId="77777777" w:rsidTr="005427D9">
              <w:trPr>
                <w:trHeight w:val="60"/>
              </w:trPr>
              <w:tc>
                <w:tcPr>
                  <w:tcW w:w="1036" w:type="dxa"/>
                </w:tcPr>
                <w:p w14:paraId="2BDA52C6" w14:textId="77777777" w:rsidR="00835CBD" w:rsidRPr="002669EA" w:rsidRDefault="00835CBD" w:rsidP="00835CBD">
                  <w:pPr>
                    <w:pStyle w:val="NormalWeb"/>
                    <w:rPr>
                      <w:sz w:val="18"/>
                      <w:szCs w:val="18"/>
                      <w:lang w:val="en-GB"/>
                    </w:rPr>
                  </w:pPr>
                </w:p>
              </w:tc>
              <w:tc>
                <w:tcPr>
                  <w:tcW w:w="968" w:type="dxa"/>
                </w:tcPr>
                <w:p w14:paraId="71A638B0" w14:textId="77777777" w:rsidR="00835CBD" w:rsidRPr="002669EA" w:rsidRDefault="00835CBD" w:rsidP="00835CBD">
                  <w:pPr>
                    <w:pStyle w:val="NormalWeb"/>
                    <w:rPr>
                      <w:sz w:val="18"/>
                      <w:szCs w:val="18"/>
                      <w:lang w:val="en-GB"/>
                    </w:rPr>
                  </w:pPr>
                  <w:r w:rsidRPr="002669EA">
                    <w:rPr>
                      <w:sz w:val="18"/>
                      <w:szCs w:val="18"/>
                      <w:lang w:val="en-GB"/>
                    </w:rPr>
                    <w:t xml:space="preserve">8+ </w:t>
                  </w:r>
                </w:p>
              </w:tc>
              <w:tc>
                <w:tcPr>
                  <w:tcW w:w="860" w:type="dxa"/>
                </w:tcPr>
                <w:p w14:paraId="10D9B213" w14:textId="77777777" w:rsidR="00835CBD" w:rsidRPr="002669EA" w:rsidRDefault="00835CBD" w:rsidP="00835CBD">
                  <w:pPr>
                    <w:pStyle w:val="NormalWeb"/>
                    <w:rPr>
                      <w:sz w:val="18"/>
                      <w:szCs w:val="18"/>
                      <w:lang w:val="en-GB"/>
                    </w:rPr>
                  </w:pPr>
                  <w:r w:rsidRPr="002669EA">
                    <w:rPr>
                      <w:sz w:val="18"/>
                      <w:szCs w:val="18"/>
                      <w:lang w:val="en-GB"/>
                    </w:rPr>
                    <w:t>q8 h</w:t>
                  </w:r>
                </w:p>
              </w:tc>
            </w:tr>
            <w:tr w:rsidR="00B96DD6" w:rsidRPr="002669EA" w14:paraId="4B847007" w14:textId="77777777" w:rsidTr="005427D9">
              <w:trPr>
                <w:trHeight w:val="60"/>
              </w:trPr>
              <w:tc>
                <w:tcPr>
                  <w:tcW w:w="1036" w:type="dxa"/>
                </w:tcPr>
                <w:p w14:paraId="0052F3BE" w14:textId="77777777" w:rsidR="00835CBD" w:rsidRPr="002669EA" w:rsidRDefault="00835CBD" w:rsidP="00835CBD">
                  <w:pPr>
                    <w:pStyle w:val="NormalWeb"/>
                    <w:rPr>
                      <w:sz w:val="18"/>
                      <w:szCs w:val="18"/>
                      <w:lang w:val="en-GB"/>
                    </w:rPr>
                  </w:pPr>
                  <w:r w:rsidRPr="002669EA">
                    <w:rPr>
                      <w:sz w:val="18"/>
                      <w:szCs w:val="18"/>
                      <w:lang w:val="en-GB"/>
                    </w:rPr>
                    <w:t>≥45</w:t>
                  </w:r>
                  <w:r w:rsidRPr="002669EA">
                    <w:rPr>
                      <w:sz w:val="18"/>
                      <w:szCs w:val="18"/>
                      <w:vertAlign w:val="superscript"/>
                      <w:lang w:val="en-GB"/>
                    </w:rPr>
                    <w:t xml:space="preserve">+0 </w:t>
                  </w:r>
                </w:p>
              </w:tc>
              <w:tc>
                <w:tcPr>
                  <w:tcW w:w="968" w:type="dxa"/>
                </w:tcPr>
                <w:p w14:paraId="095D67AA" w14:textId="77777777" w:rsidR="00835CBD" w:rsidRPr="002669EA" w:rsidRDefault="00835CBD" w:rsidP="00835CBD">
                  <w:pPr>
                    <w:pStyle w:val="NormalWeb"/>
                    <w:rPr>
                      <w:sz w:val="18"/>
                      <w:szCs w:val="18"/>
                      <w:lang w:val="en-GB"/>
                    </w:rPr>
                  </w:pPr>
                  <w:r w:rsidRPr="002669EA">
                    <w:rPr>
                      <w:sz w:val="18"/>
                      <w:szCs w:val="18"/>
                      <w:lang w:val="en-GB"/>
                    </w:rPr>
                    <w:t xml:space="preserve">0+ </w:t>
                  </w:r>
                </w:p>
              </w:tc>
              <w:tc>
                <w:tcPr>
                  <w:tcW w:w="860" w:type="dxa"/>
                </w:tcPr>
                <w:p w14:paraId="5F5E9B9B" w14:textId="77777777" w:rsidR="00835CBD" w:rsidRPr="002669EA" w:rsidRDefault="00835CBD" w:rsidP="00835CBD">
                  <w:pPr>
                    <w:pStyle w:val="NormalWeb"/>
                    <w:rPr>
                      <w:sz w:val="18"/>
                      <w:szCs w:val="18"/>
                      <w:lang w:val="en-GB"/>
                    </w:rPr>
                  </w:pPr>
                  <w:r w:rsidRPr="002669EA">
                    <w:rPr>
                      <w:sz w:val="18"/>
                      <w:szCs w:val="18"/>
                      <w:lang w:val="en-GB"/>
                    </w:rPr>
                    <w:t>q6 h</w:t>
                  </w:r>
                </w:p>
              </w:tc>
            </w:tr>
          </w:tbl>
          <w:p w14:paraId="41307485" w14:textId="390A1653" w:rsidR="00835CBD" w:rsidRPr="002669EA" w:rsidRDefault="00835CBD" w:rsidP="00835CBD">
            <w:pPr>
              <w:pStyle w:val="Default"/>
              <w:rPr>
                <w:rFonts w:ascii="Times New Roman" w:hAnsi="Times New Roman" w:cs="Times New Roman"/>
                <w:b/>
                <w:bCs/>
                <w:color w:val="auto"/>
                <w:sz w:val="18"/>
                <w:szCs w:val="18"/>
              </w:rPr>
            </w:pPr>
          </w:p>
          <w:p w14:paraId="5ADE0D41" w14:textId="3BA7575C" w:rsidR="00FE1666" w:rsidRPr="002669EA" w:rsidRDefault="00FE1666" w:rsidP="004D65DD">
            <w:pPr>
              <w:autoSpaceDE w:val="0"/>
              <w:autoSpaceDN w:val="0"/>
              <w:adjustRightInd w:val="0"/>
              <w:rPr>
                <w:rFonts w:ascii="Times New Roman" w:hAnsi="Times New Roman" w:cs="Times New Roman"/>
                <w:b/>
                <w:bCs/>
                <w:sz w:val="18"/>
                <w:szCs w:val="18"/>
                <w:lang w:val="en-US"/>
              </w:rPr>
            </w:pPr>
          </w:p>
        </w:tc>
        <w:tc>
          <w:tcPr>
            <w:tcW w:w="3105" w:type="dxa"/>
          </w:tcPr>
          <w:p w14:paraId="37C40B7B" w14:textId="5F50D995" w:rsidR="00E54882" w:rsidRPr="002669EA" w:rsidRDefault="00CA6148" w:rsidP="003455D6">
            <w:pPr>
              <w:autoSpaceDE w:val="0"/>
              <w:autoSpaceDN w:val="0"/>
              <w:adjustRightInd w:val="0"/>
              <w:rPr>
                <w:rFonts w:ascii="Times New Roman" w:hAnsi="Times New Roman" w:cs="Times New Roman"/>
                <w:sz w:val="18"/>
                <w:szCs w:val="18"/>
                <w:shd w:val="clear" w:color="auto" w:fill="FFFFFF"/>
                <w:lang w:val="en-US"/>
              </w:rPr>
            </w:pPr>
            <w:r w:rsidRPr="002669EA">
              <w:rPr>
                <w:rFonts w:ascii="Times New Roman" w:hAnsi="Times New Roman" w:cs="Times New Roman"/>
                <w:sz w:val="18"/>
                <w:szCs w:val="18"/>
                <w:shd w:val="clear" w:color="auto" w:fill="FFFFFF"/>
                <w:lang w:val="en-US"/>
              </w:rPr>
              <w:t xml:space="preserve">- </w:t>
            </w:r>
            <w:r w:rsidR="00E54882" w:rsidRPr="002669EA">
              <w:rPr>
                <w:rFonts w:ascii="Times New Roman" w:hAnsi="Times New Roman" w:cs="Times New Roman"/>
                <w:sz w:val="18"/>
                <w:szCs w:val="18"/>
                <w:shd w:val="clear" w:color="auto" w:fill="FFFFFF"/>
                <w:lang w:val="en-US"/>
              </w:rPr>
              <w:t>Nephrotoxicity; ototoxicity;</w:t>
            </w:r>
            <w:r w:rsidR="00E54882" w:rsidRPr="002669EA">
              <w:rPr>
                <w:rFonts w:ascii="Times New Roman" w:hAnsi="Times New Roman" w:cs="Times New Roman"/>
                <w:i/>
                <w:iCs/>
                <w:sz w:val="18"/>
                <w:szCs w:val="18"/>
                <w:lang w:val="en-GB"/>
              </w:rPr>
              <w:t xml:space="preserve"> </w:t>
            </w:r>
            <w:r w:rsidR="00E54882" w:rsidRPr="002669EA">
              <w:rPr>
                <w:rFonts w:ascii="Times New Roman" w:hAnsi="Times New Roman" w:cs="Times New Roman"/>
                <w:sz w:val="18"/>
                <w:szCs w:val="18"/>
                <w:shd w:val="clear" w:color="auto" w:fill="FFFFFF"/>
                <w:lang w:val="en-US"/>
              </w:rPr>
              <w:t>Rash and hypotension (red man syndrome): may appear rapidly and resolves within</w:t>
            </w:r>
            <w:r w:rsidR="003455D6" w:rsidRPr="002669EA">
              <w:rPr>
                <w:rFonts w:ascii="Times New Roman" w:hAnsi="Times New Roman" w:cs="Times New Roman"/>
                <w:sz w:val="18"/>
                <w:szCs w:val="18"/>
                <w:shd w:val="clear" w:color="auto" w:fill="FFFFFF"/>
                <w:lang w:val="en-US"/>
              </w:rPr>
              <w:t xml:space="preserve"> </w:t>
            </w:r>
            <w:r w:rsidR="00E54882" w:rsidRPr="002669EA">
              <w:rPr>
                <w:rFonts w:ascii="Times New Roman" w:hAnsi="Times New Roman" w:cs="Times New Roman"/>
                <w:sz w:val="18"/>
                <w:szCs w:val="18"/>
                <w:shd w:val="clear" w:color="auto" w:fill="FFFFFF"/>
                <w:lang w:val="en-US"/>
              </w:rPr>
              <w:t xml:space="preserve">minutes to hours, by increasing the infusion time we eliminate the risk for subsequent doses; neutropenia (reported after administration for &gt;3 </w:t>
            </w:r>
            <w:proofErr w:type="spellStart"/>
            <w:r w:rsidR="00E54882" w:rsidRPr="002669EA">
              <w:rPr>
                <w:rFonts w:ascii="Times New Roman" w:hAnsi="Times New Roman" w:cs="Times New Roman"/>
                <w:sz w:val="18"/>
                <w:szCs w:val="18"/>
                <w:shd w:val="clear" w:color="auto" w:fill="FFFFFF"/>
                <w:lang w:val="en-US"/>
              </w:rPr>
              <w:t>wks</w:t>
            </w:r>
            <w:proofErr w:type="spellEnd"/>
            <w:r w:rsidR="00E54882" w:rsidRPr="002669EA">
              <w:rPr>
                <w:rFonts w:ascii="Times New Roman" w:hAnsi="Times New Roman" w:cs="Times New Roman"/>
                <w:sz w:val="18"/>
                <w:szCs w:val="18"/>
                <w:shd w:val="clear" w:color="auto" w:fill="FFFFFF"/>
                <w:lang w:val="en-US"/>
              </w:rPr>
              <w:t>)</w:t>
            </w:r>
            <w:r w:rsidR="00FD0A75" w:rsidRPr="002669EA">
              <w:rPr>
                <w:rFonts w:ascii="Times New Roman" w:hAnsi="Times New Roman" w:cs="Times New Roman"/>
                <w:sz w:val="18"/>
                <w:szCs w:val="18"/>
                <w:shd w:val="clear" w:color="auto" w:fill="FFFFFF"/>
                <w:lang w:val="en-US"/>
              </w:rPr>
              <w:t>.</w:t>
            </w:r>
          </w:p>
          <w:p w14:paraId="3D6641AB" w14:textId="77777777" w:rsidR="00CA6148" w:rsidRPr="002669EA" w:rsidRDefault="00CA6148" w:rsidP="003455D6">
            <w:pPr>
              <w:autoSpaceDE w:val="0"/>
              <w:autoSpaceDN w:val="0"/>
              <w:adjustRightInd w:val="0"/>
              <w:rPr>
                <w:rFonts w:ascii="Times New Roman" w:hAnsi="Times New Roman" w:cs="Times New Roman"/>
                <w:sz w:val="18"/>
                <w:szCs w:val="18"/>
                <w:shd w:val="clear" w:color="auto" w:fill="FFFFFF"/>
                <w:lang w:val="en-US"/>
              </w:rPr>
            </w:pPr>
          </w:p>
          <w:p w14:paraId="76F933D0" w14:textId="1FAF7ABD" w:rsidR="00FD0A75" w:rsidRPr="002669EA" w:rsidRDefault="00CA6148" w:rsidP="00FD0A75">
            <w:pPr>
              <w:pStyle w:val="Default"/>
              <w:rPr>
                <w:rFonts w:ascii="Times New Roman" w:hAnsi="Times New Roman" w:cs="Times New Roman"/>
                <w:color w:val="auto"/>
                <w:sz w:val="18"/>
                <w:szCs w:val="18"/>
              </w:rPr>
            </w:pPr>
            <w:r w:rsidRPr="002669EA">
              <w:rPr>
                <w:rFonts w:ascii="Times New Roman" w:hAnsi="Times New Roman" w:cs="Times New Roman"/>
                <w:b/>
                <w:bCs/>
                <w:color w:val="auto"/>
                <w:sz w:val="18"/>
                <w:szCs w:val="18"/>
              </w:rPr>
              <w:t xml:space="preserve">- </w:t>
            </w:r>
            <w:r w:rsidR="00FD0A75" w:rsidRPr="002669EA">
              <w:rPr>
                <w:rFonts w:ascii="Times New Roman" w:hAnsi="Times New Roman" w:cs="Times New Roman"/>
                <w:b/>
                <w:bCs/>
                <w:color w:val="auto"/>
                <w:sz w:val="18"/>
                <w:szCs w:val="18"/>
              </w:rPr>
              <w:t>TDM is strongly suggested:</w:t>
            </w:r>
            <w:r w:rsidR="00FD0A75" w:rsidRPr="002669EA">
              <w:rPr>
                <w:rFonts w:ascii="Times New Roman" w:hAnsi="Times New Roman" w:cs="Times New Roman"/>
                <w:color w:val="auto"/>
                <w:sz w:val="18"/>
                <w:szCs w:val="18"/>
              </w:rPr>
              <w:t xml:space="preserve"> Target </w:t>
            </w:r>
            <w:proofErr w:type="spellStart"/>
            <w:r w:rsidR="00FD0A75" w:rsidRPr="002669EA">
              <w:rPr>
                <w:rFonts w:ascii="Times New Roman" w:hAnsi="Times New Roman" w:cs="Times New Roman"/>
                <w:color w:val="auto"/>
                <w:sz w:val="18"/>
                <w:szCs w:val="18"/>
              </w:rPr>
              <w:t>C</w:t>
            </w:r>
            <w:r w:rsidR="00FD0A75" w:rsidRPr="002669EA">
              <w:rPr>
                <w:rFonts w:ascii="Times New Roman" w:hAnsi="Times New Roman" w:cs="Times New Roman"/>
                <w:color w:val="auto"/>
                <w:sz w:val="18"/>
                <w:szCs w:val="18"/>
                <w:vertAlign w:val="subscript"/>
              </w:rPr>
              <w:t>trough</w:t>
            </w:r>
            <w:proofErr w:type="spellEnd"/>
            <w:r w:rsidR="00FD0A75" w:rsidRPr="002669EA">
              <w:rPr>
                <w:rFonts w:ascii="Times New Roman" w:hAnsi="Times New Roman" w:cs="Times New Roman"/>
                <w:color w:val="auto"/>
                <w:sz w:val="18"/>
                <w:szCs w:val="18"/>
              </w:rPr>
              <w:t xml:space="preserve"> = 10-15 mg/kg. Measure </w:t>
            </w:r>
            <w:proofErr w:type="spellStart"/>
            <w:r w:rsidR="00FD0A75" w:rsidRPr="002669EA">
              <w:rPr>
                <w:rFonts w:ascii="Times New Roman" w:hAnsi="Times New Roman" w:cs="Times New Roman"/>
                <w:color w:val="auto"/>
                <w:sz w:val="18"/>
                <w:szCs w:val="18"/>
              </w:rPr>
              <w:t>C</w:t>
            </w:r>
            <w:r w:rsidR="00FD0A75" w:rsidRPr="002669EA">
              <w:rPr>
                <w:rFonts w:ascii="Times New Roman" w:hAnsi="Times New Roman" w:cs="Times New Roman"/>
                <w:color w:val="auto"/>
                <w:sz w:val="18"/>
                <w:szCs w:val="18"/>
                <w:vertAlign w:val="subscript"/>
              </w:rPr>
              <w:t>trough</w:t>
            </w:r>
            <w:proofErr w:type="spellEnd"/>
            <w:r w:rsidR="00FD0A75" w:rsidRPr="002669EA">
              <w:rPr>
                <w:rFonts w:ascii="Times New Roman" w:hAnsi="Times New Roman" w:cs="Times New Roman"/>
                <w:color w:val="auto"/>
                <w:sz w:val="18"/>
                <w:szCs w:val="18"/>
              </w:rPr>
              <w:t xml:space="preserve"> immediately prior to 3</w:t>
            </w:r>
            <w:r w:rsidR="00FD0A75" w:rsidRPr="002669EA">
              <w:rPr>
                <w:rFonts w:ascii="Times New Roman" w:hAnsi="Times New Roman" w:cs="Times New Roman"/>
                <w:color w:val="auto"/>
                <w:sz w:val="18"/>
                <w:szCs w:val="18"/>
                <w:vertAlign w:val="superscript"/>
              </w:rPr>
              <w:t xml:space="preserve">rd </w:t>
            </w:r>
            <w:r w:rsidR="00FD0A75" w:rsidRPr="002669EA">
              <w:rPr>
                <w:rFonts w:ascii="Times New Roman" w:hAnsi="Times New Roman" w:cs="Times New Roman"/>
                <w:color w:val="auto"/>
                <w:sz w:val="18"/>
                <w:szCs w:val="18"/>
              </w:rPr>
              <w:t>dose with the exception of:</w:t>
            </w:r>
            <w:r w:rsidR="00FD0A75" w:rsidRPr="002669EA">
              <w:rPr>
                <w:rFonts w:ascii="Times New Roman" w:hAnsi="Times New Roman" w:cs="Times New Roman"/>
                <w:b/>
                <w:bCs/>
                <w:color w:val="auto"/>
                <w:sz w:val="18"/>
                <w:szCs w:val="18"/>
              </w:rPr>
              <w:t xml:space="preserve"> </w:t>
            </w:r>
          </w:p>
          <w:p w14:paraId="5145B35D" w14:textId="77777777" w:rsidR="00FD0A75" w:rsidRPr="002669EA" w:rsidRDefault="00FD0A75" w:rsidP="00FD0A75">
            <w:pPr>
              <w:pStyle w:val="Default"/>
              <w:rPr>
                <w:rFonts w:ascii="Times New Roman" w:hAnsi="Times New Roman" w:cs="Times New Roman"/>
                <w:color w:val="auto"/>
                <w:sz w:val="18"/>
                <w:szCs w:val="18"/>
              </w:rPr>
            </w:pPr>
            <w:r w:rsidRPr="002669EA">
              <w:rPr>
                <w:rFonts w:ascii="Times New Roman" w:hAnsi="Times New Roman" w:cs="Times New Roman"/>
                <w:color w:val="auto"/>
                <w:sz w:val="18"/>
                <w:szCs w:val="18"/>
              </w:rPr>
              <w:t>1. &lt;29</w:t>
            </w:r>
            <w:r w:rsidRPr="002669EA">
              <w:rPr>
                <w:rFonts w:ascii="Times New Roman" w:hAnsi="Times New Roman" w:cs="Times New Roman"/>
                <w:color w:val="auto"/>
                <w:sz w:val="18"/>
                <w:szCs w:val="18"/>
                <w:vertAlign w:val="superscript"/>
              </w:rPr>
              <w:t>+0</w:t>
            </w:r>
            <w:r w:rsidRPr="002669EA">
              <w:rPr>
                <w:rFonts w:ascii="Times New Roman" w:hAnsi="Times New Roman" w:cs="Times New Roman"/>
                <w:color w:val="auto"/>
                <w:sz w:val="18"/>
                <w:szCs w:val="18"/>
              </w:rPr>
              <w:t xml:space="preserve"> PMA </w:t>
            </w:r>
            <w:proofErr w:type="spellStart"/>
            <w:r w:rsidRPr="002669EA">
              <w:rPr>
                <w:rFonts w:ascii="Times New Roman" w:hAnsi="Times New Roman" w:cs="Times New Roman"/>
                <w:color w:val="auto"/>
                <w:sz w:val="18"/>
                <w:szCs w:val="18"/>
              </w:rPr>
              <w:t>wks</w:t>
            </w:r>
            <w:proofErr w:type="spellEnd"/>
            <w:r w:rsidRPr="002669EA">
              <w:rPr>
                <w:rFonts w:ascii="Times New Roman" w:hAnsi="Times New Roman" w:cs="Times New Roman"/>
                <w:color w:val="auto"/>
                <w:sz w:val="18"/>
                <w:szCs w:val="18"/>
              </w:rPr>
              <w:t xml:space="preserve"> – before 2</w:t>
            </w:r>
            <w:r w:rsidRPr="002669EA">
              <w:rPr>
                <w:rFonts w:ascii="Times New Roman" w:hAnsi="Times New Roman" w:cs="Times New Roman"/>
                <w:color w:val="auto"/>
                <w:sz w:val="18"/>
                <w:szCs w:val="18"/>
                <w:vertAlign w:val="superscript"/>
              </w:rPr>
              <w:t>nd</w:t>
            </w:r>
            <w:r w:rsidRPr="002669EA">
              <w:rPr>
                <w:rFonts w:ascii="Times New Roman" w:hAnsi="Times New Roman" w:cs="Times New Roman"/>
                <w:color w:val="auto"/>
                <w:sz w:val="18"/>
                <w:szCs w:val="18"/>
              </w:rPr>
              <w:t xml:space="preserve"> dose, </w:t>
            </w:r>
          </w:p>
          <w:p w14:paraId="79FED9E9" w14:textId="77777777" w:rsidR="00FD0A75" w:rsidRPr="002669EA" w:rsidRDefault="00FD0A75" w:rsidP="00FD0A75">
            <w:pPr>
              <w:pStyle w:val="Default"/>
              <w:rPr>
                <w:rFonts w:ascii="Times New Roman" w:hAnsi="Times New Roman" w:cs="Times New Roman"/>
                <w:color w:val="auto"/>
                <w:sz w:val="18"/>
                <w:szCs w:val="18"/>
              </w:rPr>
            </w:pPr>
            <w:r w:rsidRPr="002669EA">
              <w:rPr>
                <w:rFonts w:ascii="Times New Roman" w:hAnsi="Times New Roman" w:cs="Times New Roman"/>
                <w:color w:val="auto"/>
                <w:sz w:val="18"/>
                <w:szCs w:val="18"/>
              </w:rPr>
              <w:t>2. therapeutic hypothermia – before 2</w:t>
            </w:r>
            <w:r w:rsidRPr="002669EA">
              <w:rPr>
                <w:rFonts w:ascii="Times New Roman" w:hAnsi="Times New Roman" w:cs="Times New Roman"/>
                <w:color w:val="auto"/>
                <w:sz w:val="18"/>
                <w:szCs w:val="18"/>
                <w:vertAlign w:val="superscript"/>
              </w:rPr>
              <w:t xml:space="preserve">nd </w:t>
            </w:r>
            <w:r w:rsidRPr="002669EA">
              <w:rPr>
                <w:rFonts w:ascii="Times New Roman" w:hAnsi="Times New Roman" w:cs="Times New Roman"/>
                <w:color w:val="auto"/>
                <w:sz w:val="18"/>
                <w:szCs w:val="18"/>
              </w:rPr>
              <w:t xml:space="preserve">dose </w:t>
            </w:r>
          </w:p>
          <w:p w14:paraId="40FACBC3" w14:textId="77777777" w:rsidR="00FD0A75" w:rsidRPr="002669EA" w:rsidRDefault="00FD0A75" w:rsidP="00FD0A75">
            <w:pPr>
              <w:pStyle w:val="Default"/>
              <w:rPr>
                <w:rFonts w:ascii="Times New Roman" w:hAnsi="Times New Roman" w:cs="Times New Roman"/>
                <w:color w:val="auto"/>
                <w:sz w:val="18"/>
                <w:szCs w:val="18"/>
              </w:rPr>
            </w:pPr>
            <w:r w:rsidRPr="002669EA">
              <w:rPr>
                <w:rFonts w:ascii="Times New Roman" w:hAnsi="Times New Roman" w:cs="Times New Roman"/>
                <w:color w:val="auto"/>
                <w:sz w:val="18"/>
                <w:szCs w:val="18"/>
              </w:rPr>
              <w:t>3. renal impairment – before 2</w:t>
            </w:r>
            <w:r w:rsidRPr="002669EA">
              <w:rPr>
                <w:rFonts w:ascii="Times New Roman" w:hAnsi="Times New Roman" w:cs="Times New Roman"/>
                <w:color w:val="auto"/>
                <w:sz w:val="18"/>
                <w:szCs w:val="18"/>
                <w:vertAlign w:val="superscript"/>
              </w:rPr>
              <w:t xml:space="preserve">nd </w:t>
            </w:r>
            <w:r w:rsidRPr="002669EA">
              <w:rPr>
                <w:rFonts w:ascii="Times New Roman" w:hAnsi="Times New Roman" w:cs="Times New Roman"/>
                <w:color w:val="auto"/>
                <w:sz w:val="18"/>
                <w:szCs w:val="18"/>
              </w:rPr>
              <w:t xml:space="preserve">dose </w:t>
            </w:r>
          </w:p>
          <w:p w14:paraId="7067C517" w14:textId="06CC84D3" w:rsidR="00FD0A75" w:rsidRPr="002669EA" w:rsidRDefault="00CA6148" w:rsidP="00FD0A75">
            <w:pPr>
              <w:pStyle w:val="Default"/>
              <w:rPr>
                <w:rFonts w:ascii="Times New Roman" w:hAnsi="Times New Roman" w:cs="Times New Roman"/>
                <w:color w:val="auto"/>
                <w:sz w:val="18"/>
                <w:szCs w:val="18"/>
              </w:rPr>
            </w:pPr>
            <w:r w:rsidRPr="002669EA">
              <w:rPr>
                <w:rFonts w:ascii="Times New Roman" w:hAnsi="Times New Roman" w:cs="Times New Roman"/>
                <w:color w:val="auto"/>
                <w:sz w:val="18"/>
                <w:szCs w:val="18"/>
              </w:rPr>
              <w:t xml:space="preserve">- </w:t>
            </w:r>
            <w:r w:rsidR="00FD0A75" w:rsidRPr="002669EA">
              <w:rPr>
                <w:rFonts w:ascii="Times New Roman" w:hAnsi="Times New Roman" w:cs="Times New Roman"/>
                <w:color w:val="auto"/>
                <w:sz w:val="18"/>
                <w:szCs w:val="18"/>
              </w:rPr>
              <w:t>Check concentration prior to the 4</w:t>
            </w:r>
            <w:r w:rsidR="00FD0A75" w:rsidRPr="002669EA">
              <w:rPr>
                <w:rFonts w:ascii="Times New Roman" w:hAnsi="Times New Roman" w:cs="Times New Roman"/>
                <w:color w:val="auto"/>
                <w:sz w:val="18"/>
                <w:szCs w:val="18"/>
                <w:vertAlign w:val="superscript"/>
              </w:rPr>
              <w:t xml:space="preserve">th </w:t>
            </w:r>
            <w:r w:rsidR="00FD0A75" w:rsidRPr="002669EA">
              <w:rPr>
                <w:rFonts w:ascii="Times New Roman" w:hAnsi="Times New Roman" w:cs="Times New Roman"/>
                <w:color w:val="auto"/>
                <w:sz w:val="18"/>
                <w:szCs w:val="18"/>
              </w:rPr>
              <w:t xml:space="preserve">dose after any change in dose or frequency. Once </w:t>
            </w:r>
            <w:proofErr w:type="spellStart"/>
            <w:r w:rsidR="00FD0A75" w:rsidRPr="002669EA">
              <w:rPr>
                <w:rFonts w:ascii="Times New Roman" w:hAnsi="Times New Roman" w:cs="Times New Roman"/>
                <w:color w:val="auto"/>
                <w:sz w:val="18"/>
                <w:szCs w:val="18"/>
              </w:rPr>
              <w:t>C</w:t>
            </w:r>
            <w:r w:rsidR="00FD0A75" w:rsidRPr="002669EA">
              <w:rPr>
                <w:rFonts w:ascii="Times New Roman" w:hAnsi="Times New Roman" w:cs="Times New Roman"/>
                <w:color w:val="auto"/>
                <w:sz w:val="18"/>
                <w:szCs w:val="18"/>
                <w:vertAlign w:val="subscript"/>
              </w:rPr>
              <w:t>trough</w:t>
            </w:r>
            <w:proofErr w:type="spellEnd"/>
            <w:r w:rsidR="00FD0A75" w:rsidRPr="002669EA">
              <w:rPr>
                <w:rFonts w:ascii="Times New Roman" w:hAnsi="Times New Roman" w:cs="Times New Roman"/>
                <w:color w:val="auto"/>
                <w:sz w:val="18"/>
                <w:szCs w:val="18"/>
              </w:rPr>
              <w:t xml:space="preserve"> target </w:t>
            </w:r>
            <w:r w:rsidRPr="002669EA">
              <w:rPr>
                <w:rFonts w:ascii="Times New Roman" w:hAnsi="Times New Roman" w:cs="Times New Roman"/>
                <w:color w:val="auto"/>
                <w:sz w:val="18"/>
                <w:szCs w:val="18"/>
              </w:rPr>
              <w:t>is</w:t>
            </w:r>
            <w:r w:rsidR="00FD0A75" w:rsidRPr="002669EA">
              <w:rPr>
                <w:rFonts w:ascii="Times New Roman" w:hAnsi="Times New Roman" w:cs="Times New Roman"/>
                <w:color w:val="auto"/>
                <w:sz w:val="18"/>
                <w:szCs w:val="18"/>
              </w:rPr>
              <w:t xml:space="preserve"> reached, measure </w:t>
            </w:r>
            <w:proofErr w:type="spellStart"/>
            <w:r w:rsidR="00FD0A75" w:rsidRPr="002669EA">
              <w:rPr>
                <w:rFonts w:ascii="Times New Roman" w:hAnsi="Times New Roman" w:cs="Times New Roman"/>
                <w:color w:val="auto"/>
                <w:sz w:val="18"/>
                <w:szCs w:val="18"/>
              </w:rPr>
              <w:t>C</w:t>
            </w:r>
            <w:r w:rsidR="00FD0A75" w:rsidRPr="002669EA">
              <w:rPr>
                <w:rFonts w:ascii="Times New Roman" w:hAnsi="Times New Roman" w:cs="Times New Roman"/>
                <w:color w:val="auto"/>
                <w:sz w:val="18"/>
                <w:szCs w:val="18"/>
                <w:vertAlign w:val="subscript"/>
              </w:rPr>
              <w:t>trough</w:t>
            </w:r>
            <w:proofErr w:type="spellEnd"/>
            <w:r w:rsidR="00FD0A75" w:rsidRPr="002669EA">
              <w:rPr>
                <w:rFonts w:ascii="Times New Roman" w:hAnsi="Times New Roman" w:cs="Times New Roman"/>
                <w:color w:val="auto"/>
                <w:sz w:val="18"/>
                <w:szCs w:val="18"/>
              </w:rPr>
              <w:t xml:space="preserve"> every 3 days prior to consecutive doses. </w:t>
            </w:r>
          </w:p>
          <w:p w14:paraId="5800E79C" w14:textId="60F1740B" w:rsidR="00FD0A75" w:rsidRPr="002669EA" w:rsidRDefault="00CA6148" w:rsidP="00FD0A75">
            <w:pPr>
              <w:autoSpaceDE w:val="0"/>
              <w:autoSpaceDN w:val="0"/>
              <w:adjustRightInd w:val="0"/>
              <w:rPr>
                <w:rFonts w:ascii="Times New Roman" w:hAnsi="Times New Roman" w:cs="Times New Roman"/>
                <w:b/>
                <w:bCs/>
                <w:sz w:val="18"/>
                <w:szCs w:val="18"/>
                <w:lang w:val="en-US"/>
              </w:rPr>
            </w:pPr>
            <w:r w:rsidRPr="002669EA">
              <w:rPr>
                <w:rFonts w:ascii="Times New Roman" w:hAnsi="Times New Roman" w:cs="Times New Roman"/>
                <w:sz w:val="18"/>
                <w:szCs w:val="18"/>
                <w:lang w:val="en-US"/>
              </w:rPr>
              <w:t xml:space="preserve">- </w:t>
            </w:r>
            <w:r w:rsidR="00FD0A75" w:rsidRPr="002669EA">
              <w:rPr>
                <w:rFonts w:ascii="Times New Roman" w:hAnsi="Times New Roman" w:cs="Times New Roman"/>
                <w:sz w:val="18"/>
                <w:szCs w:val="18"/>
                <w:lang w:val="en-US"/>
              </w:rPr>
              <w:t>More frequent monitoring may be required in renal impairment, infants receiving other nephrotoxic drugs or suspected severe sepsis.</w:t>
            </w:r>
          </w:p>
          <w:p w14:paraId="13AF4A29" w14:textId="21A80D62" w:rsidR="00FD0A75" w:rsidRPr="002669EA" w:rsidRDefault="00FD0A75" w:rsidP="003455D6">
            <w:pPr>
              <w:autoSpaceDE w:val="0"/>
              <w:autoSpaceDN w:val="0"/>
              <w:adjustRightInd w:val="0"/>
              <w:rPr>
                <w:rFonts w:ascii="Times New Roman" w:hAnsi="Times New Roman" w:cs="Times New Roman"/>
                <w:sz w:val="18"/>
                <w:szCs w:val="18"/>
                <w:shd w:val="clear" w:color="auto" w:fill="FFFFFF"/>
                <w:lang w:val="en-US"/>
              </w:rPr>
            </w:pPr>
          </w:p>
        </w:tc>
      </w:tr>
    </w:tbl>
    <w:p w14:paraId="233E2216" w14:textId="77777777" w:rsidR="00C92CC4" w:rsidRPr="002669EA" w:rsidRDefault="00C92CC4">
      <w:pPr>
        <w:rPr>
          <w:rFonts w:ascii="Times New Roman" w:hAnsi="Times New Roman" w:cs="Times New Roman"/>
          <w:lang w:val="en-US"/>
        </w:rPr>
      </w:pPr>
    </w:p>
    <w:p w14:paraId="746AC0B4" w14:textId="3FF11007" w:rsidR="004E75D3" w:rsidRPr="002669EA" w:rsidRDefault="004E75D3" w:rsidP="004E75D3">
      <w:pPr>
        <w:rPr>
          <w:rFonts w:ascii="Times New Roman" w:hAnsi="Times New Roman" w:cs="Times New Roman"/>
          <w:color w:val="000000" w:themeColor="text1"/>
          <w:sz w:val="24"/>
          <w:szCs w:val="24"/>
          <w:shd w:val="clear" w:color="auto" w:fill="FFFFFF"/>
          <w:lang w:val="en-US"/>
        </w:rPr>
      </w:pPr>
      <w:bookmarkStart w:id="0" w:name="_Hlk164869330"/>
      <w:proofErr w:type="spellStart"/>
      <w:r w:rsidRPr="002669EA">
        <w:rPr>
          <w:rFonts w:ascii="Times New Roman" w:hAnsi="Times New Roman" w:cs="Times New Roman"/>
          <w:sz w:val="24"/>
          <w:szCs w:val="24"/>
          <w:lang w:val="en-US"/>
        </w:rPr>
        <w:lastRenderedPageBreak/>
        <w:t>C</w:t>
      </w:r>
      <w:r w:rsidRPr="002669EA">
        <w:rPr>
          <w:rFonts w:ascii="Times New Roman" w:hAnsi="Times New Roman" w:cs="Times New Roman"/>
          <w:sz w:val="24"/>
          <w:szCs w:val="24"/>
          <w:vertAlign w:val="subscript"/>
          <w:lang w:val="en-US"/>
        </w:rPr>
        <w:t>trough</w:t>
      </w:r>
      <w:proofErr w:type="spellEnd"/>
      <w:r w:rsidRPr="002669EA">
        <w:rPr>
          <w:rFonts w:ascii="Times New Roman" w:hAnsi="Times New Roman" w:cs="Times New Roman"/>
          <w:sz w:val="24"/>
          <w:szCs w:val="24"/>
          <w:vertAlign w:val="subscript"/>
          <w:lang w:val="en-US"/>
        </w:rPr>
        <w:t xml:space="preserve"> </w:t>
      </w:r>
      <w:r w:rsidRPr="002669EA">
        <w:rPr>
          <w:rFonts w:ascii="Times New Roman" w:hAnsi="Times New Roman" w:cs="Times New Roman"/>
          <w:sz w:val="24"/>
          <w:szCs w:val="24"/>
          <w:lang w:val="en-US"/>
        </w:rPr>
        <w:t>= Trough concentration;</w:t>
      </w:r>
      <w:r w:rsidRPr="002669EA">
        <w:rPr>
          <w:rFonts w:ascii="Times New Roman" w:hAnsi="Times New Roman" w:cs="Times New Roman"/>
          <w:color w:val="000000" w:themeColor="text1"/>
          <w:sz w:val="24"/>
          <w:szCs w:val="24"/>
          <w:shd w:val="clear" w:color="auto" w:fill="FFFFFF"/>
          <w:lang w:val="en-US"/>
        </w:rPr>
        <w:t xml:space="preserve"> </w:t>
      </w:r>
      <w:r w:rsidR="00371FE6" w:rsidRPr="002669EA">
        <w:rPr>
          <w:rFonts w:ascii="Times New Roman" w:hAnsi="Times New Roman" w:cs="Times New Roman"/>
          <w:color w:val="000000" w:themeColor="text1"/>
          <w:sz w:val="24"/>
          <w:szCs w:val="24"/>
          <w:shd w:val="clear" w:color="auto" w:fill="FFFFFF"/>
          <w:lang w:val="en-US"/>
        </w:rPr>
        <w:t xml:space="preserve">Cl, Clostridium; </w:t>
      </w:r>
      <w:r w:rsidR="004464EE" w:rsidRPr="002669EA">
        <w:rPr>
          <w:rFonts w:ascii="Times New Roman" w:hAnsi="Times New Roman" w:cs="Times New Roman"/>
          <w:color w:val="000000" w:themeColor="text1"/>
          <w:sz w:val="24"/>
          <w:szCs w:val="24"/>
          <w:shd w:val="clear" w:color="auto" w:fill="FFFFFF"/>
          <w:lang w:val="en-US"/>
        </w:rPr>
        <w:t>E. coli</w:t>
      </w:r>
      <w:r w:rsidR="002669EA" w:rsidRPr="002669EA">
        <w:rPr>
          <w:rFonts w:ascii="Times New Roman" w:hAnsi="Times New Roman" w:cs="Times New Roman"/>
          <w:color w:val="000000" w:themeColor="text1"/>
          <w:sz w:val="24"/>
          <w:szCs w:val="24"/>
          <w:shd w:val="clear" w:color="auto" w:fill="FFFFFF"/>
          <w:lang w:val="en-US"/>
        </w:rPr>
        <w:t xml:space="preserve">; </w:t>
      </w:r>
      <w:r w:rsidR="002669EA" w:rsidRPr="002669EA">
        <w:rPr>
          <w:rFonts w:ascii="Times New Roman" w:hAnsi="Times New Roman" w:cs="Times New Roman"/>
          <w:sz w:val="24"/>
          <w:szCs w:val="24"/>
          <w:lang w:val="en-US"/>
        </w:rPr>
        <w:t>ESBL, extensive-spectrum beta-lactamase;</w:t>
      </w:r>
      <w:r w:rsidR="002669EA" w:rsidRPr="002669EA">
        <w:rPr>
          <w:rFonts w:ascii="Times New Roman" w:hAnsi="Times New Roman" w:cs="Times New Roman"/>
          <w:color w:val="000000" w:themeColor="text1"/>
          <w:sz w:val="24"/>
          <w:szCs w:val="24"/>
          <w:shd w:val="clear" w:color="auto" w:fill="FFFFFF"/>
          <w:lang w:val="en-US"/>
        </w:rPr>
        <w:t xml:space="preserve"> </w:t>
      </w:r>
      <w:r w:rsidR="004464EE" w:rsidRPr="002669EA">
        <w:rPr>
          <w:rFonts w:ascii="Times New Roman" w:hAnsi="Times New Roman" w:cs="Times New Roman"/>
          <w:color w:val="000000" w:themeColor="text1"/>
          <w:sz w:val="24"/>
          <w:szCs w:val="24"/>
          <w:shd w:val="clear" w:color="auto" w:fill="FFFFFF"/>
          <w:lang w:val="en-US"/>
        </w:rPr>
        <w:t xml:space="preserve"> </w:t>
      </w:r>
      <w:r w:rsidR="004464EE" w:rsidRPr="002669EA">
        <w:rPr>
          <w:rFonts w:ascii="Times New Roman" w:hAnsi="Times New Roman" w:cs="Times New Roman"/>
          <w:sz w:val="24"/>
          <w:szCs w:val="24"/>
          <w:shd w:val="clear" w:color="auto" w:fill="FFFFFF"/>
          <w:lang w:val="en-US"/>
        </w:rPr>
        <w:t xml:space="preserve">Escherichia coli; </w:t>
      </w:r>
      <w:r w:rsidR="004464EE" w:rsidRPr="002669EA">
        <w:rPr>
          <w:rFonts w:ascii="Times New Roman" w:hAnsi="Times New Roman" w:cs="Times New Roman"/>
          <w:color w:val="000000" w:themeColor="text1"/>
          <w:sz w:val="24"/>
          <w:szCs w:val="24"/>
          <w:shd w:val="clear" w:color="auto" w:fill="FFFFFF"/>
          <w:lang w:val="en-US"/>
        </w:rPr>
        <w:t xml:space="preserve">EOS, </w:t>
      </w:r>
      <w:r w:rsidRPr="002669EA">
        <w:rPr>
          <w:rFonts w:ascii="Times New Roman" w:hAnsi="Times New Roman" w:cs="Times New Roman"/>
          <w:color w:val="000000" w:themeColor="text1"/>
          <w:sz w:val="24"/>
          <w:szCs w:val="24"/>
          <w:shd w:val="clear" w:color="auto" w:fill="FFFFFF"/>
          <w:lang w:val="en-US"/>
        </w:rPr>
        <w:t xml:space="preserve">early-onset sepsis; GA, gestational age; </w:t>
      </w:r>
      <w:r w:rsidR="00BA78D8" w:rsidRPr="002669EA">
        <w:rPr>
          <w:rFonts w:ascii="Times New Roman" w:hAnsi="Times New Roman" w:cs="Times New Roman"/>
          <w:sz w:val="24"/>
          <w:szCs w:val="24"/>
          <w:lang w:val="en-US"/>
        </w:rPr>
        <w:t xml:space="preserve">h, hour(s); </w:t>
      </w:r>
      <w:r w:rsidR="00371FE6" w:rsidRPr="002669EA">
        <w:rPr>
          <w:rFonts w:ascii="Times New Roman" w:hAnsi="Times New Roman" w:cs="Times New Roman"/>
          <w:sz w:val="24"/>
          <w:szCs w:val="24"/>
          <w:lang w:val="en-US"/>
        </w:rPr>
        <w:t xml:space="preserve">MRSA, Methicillin-resistant Staphylococcus aureus; </w:t>
      </w:r>
      <w:r w:rsidRPr="002669EA">
        <w:rPr>
          <w:rFonts w:ascii="Times New Roman" w:hAnsi="Times New Roman" w:cs="Times New Roman"/>
          <w:color w:val="000000" w:themeColor="text1"/>
          <w:sz w:val="24"/>
          <w:szCs w:val="24"/>
          <w:shd w:val="clear" w:color="auto" w:fill="FFFFFF"/>
          <w:lang w:val="en-US"/>
        </w:rPr>
        <w:t xml:space="preserve">PBPs, penicillin-binding proteins; </w:t>
      </w:r>
      <w:r w:rsidRPr="002669EA">
        <w:rPr>
          <w:rFonts w:ascii="Times New Roman" w:hAnsi="Times New Roman" w:cs="Times New Roman"/>
          <w:color w:val="131413"/>
          <w:sz w:val="24"/>
          <w:szCs w:val="24"/>
          <w:lang w:val="en-GB"/>
        </w:rPr>
        <w:t>PNA</w:t>
      </w:r>
      <w:r w:rsidR="002669EA" w:rsidRPr="002669EA">
        <w:rPr>
          <w:rFonts w:ascii="Times New Roman" w:hAnsi="Times New Roman" w:cs="Times New Roman"/>
          <w:color w:val="131413"/>
          <w:sz w:val="24"/>
          <w:szCs w:val="24"/>
          <w:lang w:val="en-GB"/>
        </w:rPr>
        <w:t xml:space="preserve">, </w:t>
      </w:r>
      <w:r w:rsidRPr="002669EA">
        <w:rPr>
          <w:rFonts w:ascii="Times New Roman" w:hAnsi="Times New Roman" w:cs="Times New Roman"/>
          <w:color w:val="131413"/>
          <w:sz w:val="24"/>
          <w:szCs w:val="24"/>
          <w:lang w:val="en-GB"/>
        </w:rPr>
        <w:t>postnatal age; PMA</w:t>
      </w:r>
      <w:r w:rsidR="002669EA" w:rsidRPr="002669EA">
        <w:rPr>
          <w:rFonts w:ascii="Times New Roman" w:hAnsi="Times New Roman" w:cs="Times New Roman"/>
          <w:color w:val="131413"/>
          <w:sz w:val="24"/>
          <w:szCs w:val="24"/>
          <w:lang w:val="en-GB"/>
        </w:rPr>
        <w:t xml:space="preserve">, </w:t>
      </w:r>
      <w:r w:rsidRPr="002669EA">
        <w:rPr>
          <w:rFonts w:ascii="Times New Roman" w:hAnsi="Times New Roman" w:cs="Times New Roman"/>
          <w:color w:val="131413"/>
          <w:sz w:val="24"/>
          <w:szCs w:val="24"/>
          <w:lang w:val="en-GB"/>
        </w:rPr>
        <w:t xml:space="preserve">postmenstrual age (PMA= GA+PNA); </w:t>
      </w:r>
      <w:proofErr w:type="spellStart"/>
      <w:r w:rsidRPr="002669EA">
        <w:rPr>
          <w:rFonts w:ascii="Times New Roman" w:hAnsi="Times New Roman" w:cs="Times New Roman"/>
          <w:color w:val="000000" w:themeColor="text1"/>
          <w:sz w:val="24"/>
          <w:szCs w:val="24"/>
          <w:shd w:val="clear" w:color="auto" w:fill="FFFFFF"/>
          <w:lang w:val="en-US"/>
        </w:rPr>
        <w:t>spp</w:t>
      </w:r>
      <w:proofErr w:type="spellEnd"/>
      <w:r w:rsidRPr="002669EA">
        <w:rPr>
          <w:rFonts w:ascii="Times New Roman" w:hAnsi="Times New Roman" w:cs="Times New Roman"/>
          <w:color w:val="000000" w:themeColor="text1"/>
          <w:sz w:val="24"/>
          <w:szCs w:val="24"/>
          <w:shd w:val="clear" w:color="auto" w:fill="FFFFFF"/>
          <w:lang w:val="en-US"/>
        </w:rPr>
        <w:t xml:space="preserve">, species; </w:t>
      </w:r>
      <w:r w:rsidRPr="002669EA">
        <w:rPr>
          <w:rFonts w:ascii="Times New Roman" w:hAnsi="Times New Roman" w:cs="Times New Roman"/>
          <w:color w:val="131413"/>
          <w:sz w:val="24"/>
          <w:szCs w:val="24"/>
          <w:lang w:val="en-GB"/>
        </w:rPr>
        <w:t>TDM</w:t>
      </w:r>
      <w:r w:rsidR="002669EA" w:rsidRPr="002669EA">
        <w:rPr>
          <w:rFonts w:ascii="Times New Roman" w:hAnsi="Times New Roman" w:cs="Times New Roman"/>
          <w:color w:val="131413"/>
          <w:sz w:val="24"/>
          <w:szCs w:val="24"/>
          <w:lang w:val="en-GB"/>
        </w:rPr>
        <w:t>,</w:t>
      </w:r>
      <w:r w:rsidRPr="002669EA">
        <w:rPr>
          <w:rFonts w:ascii="Times New Roman" w:hAnsi="Times New Roman" w:cs="Times New Roman"/>
          <w:color w:val="131413"/>
          <w:sz w:val="24"/>
          <w:szCs w:val="24"/>
          <w:lang w:val="en-GB"/>
        </w:rPr>
        <w:t xml:space="preserve"> therapeutic drug monitoring; </w:t>
      </w:r>
      <w:proofErr w:type="spellStart"/>
      <w:r w:rsidR="00BA78D8" w:rsidRPr="002669EA">
        <w:rPr>
          <w:rFonts w:ascii="Times New Roman" w:hAnsi="Times New Roman" w:cs="Times New Roman"/>
          <w:color w:val="131413"/>
          <w:sz w:val="24"/>
          <w:szCs w:val="24"/>
          <w:lang w:val="en-GB"/>
        </w:rPr>
        <w:t>wks</w:t>
      </w:r>
      <w:proofErr w:type="spellEnd"/>
      <w:r w:rsidR="00BA78D8" w:rsidRPr="002669EA">
        <w:rPr>
          <w:rFonts w:ascii="Times New Roman" w:hAnsi="Times New Roman" w:cs="Times New Roman"/>
          <w:color w:val="131413"/>
          <w:sz w:val="24"/>
          <w:szCs w:val="24"/>
          <w:lang w:val="en-GB"/>
        </w:rPr>
        <w:t>, weeks.</w:t>
      </w:r>
    </w:p>
    <w:bookmarkEnd w:id="0"/>
    <w:p w14:paraId="500D1D60" w14:textId="77777777" w:rsidR="00835CBD" w:rsidRPr="002669EA" w:rsidRDefault="00835CBD">
      <w:pPr>
        <w:rPr>
          <w:rFonts w:ascii="Times New Roman" w:hAnsi="Times New Roman" w:cs="Times New Roman"/>
          <w:lang w:val="en-US"/>
        </w:rPr>
      </w:pPr>
    </w:p>
    <w:p w14:paraId="3AA4ADEC" w14:textId="77777777" w:rsidR="00230C7A" w:rsidRPr="002669EA" w:rsidRDefault="00230C7A">
      <w:pPr>
        <w:rPr>
          <w:rFonts w:ascii="Times New Roman" w:hAnsi="Times New Roman" w:cs="Times New Roman"/>
          <w:lang w:val="en-US"/>
        </w:rPr>
      </w:pPr>
    </w:p>
    <w:p w14:paraId="6BDB92FD" w14:textId="435F0F93" w:rsidR="00507063" w:rsidRPr="002669EA" w:rsidRDefault="00507063" w:rsidP="00507063">
      <w:pPr>
        <w:spacing w:line="276" w:lineRule="auto"/>
        <w:jc w:val="both"/>
        <w:rPr>
          <w:rFonts w:ascii="Times New Roman" w:hAnsi="Times New Roman" w:cs="Times New Roman"/>
          <w:lang w:val="en-US"/>
        </w:rPr>
      </w:pPr>
      <w:r w:rsidRPr="002669EA">
        <w:rPr>
          <w:rFonts w:ascii="Times New Roman" w:hAnsi="Times New Roman" w:cs="Times New Roman"/>
          <w:lang w:val="en-US"/>
        </w:rPr>
        <w:t xml:space="preserve">SUPPLEMENTARY </w:t>
      </w:r>
      <w:r w:rsidR="00C92CC4" w:rsidRPr="002669EA">
        <w:rPr>
          <w:rFonts w:ascii="Times New Roman" w:hAnsi="Times New Roman" w:cs="Times New Roman"/>
          <w:lang w:val="en-US"/>
        </w:rPr>
        <w:t xml:space="preserve">TABLE </w:t>
      </w:r>
      <w:r w:rsidRPr="002669EA">
        <w:rPr>
          <w:rFonts w:ascii="Times New Roman" w:hAnsi="Times New Roman" w:cs="Times New Roman"/>
          <w:lang w:val="en-US"/>
        </w:rPr>
        <w:t>S</w:t>
      </w:r>
      <w:r w:rsidR="00C92CC4" w:rsidRPr="002669EA">
        <w:rPr>
          <w:rFonts w:ascii="Times New Roman" w:hAnsi="Times New Roman" w:cs="Times New Roman"/>
          <w:lang w:val="en-US"/>
        </w:rPr>
        <w:t xml:space="preserve">2. </w:t>
      </w:r>
      <w:r w:rsidRPr="002669EA">
        <w:rPr>
          <w:rFonts w:ascii="Times New Roman" w:hAnsi="Times New Roman" w:cs="Times New Roman"/>
          <w:lang w:val="en-US" w:eastAsia="el-GR"/>
        </w:rPr>
        <w:t>Detailed presentation of s</w:t>
      </w:r>
      <w:r w:rsidRPr="002669EA">
        <w:rPr>
          <w:rFonts w:ascii="Times New Roman" w:hAnsi="Times New Roman" w:cs="Times New Roman"/>
          <w:lang w:val="en-US"/>
        </w:rPr>
        <w:t>elective antifungal medications commonly used in neonates.</w:t>
      </w:r>
    </w:p>
    <w:p w14:paraId="5C32449E" w14:textId="30E55D9C" w:rsidR="00CF24BE" w:rsidRPr="002669EA" w:rsidRDefault="00CF24BE">
      <w:pPr>
        <w:rPr>
          <w:rFonts w:ascii="Times New Roman" w:hAnsi="Times New Roman" w:cs="Times New Roman"/>
          <w:lang w:val="en-US"/>
        </w:rPr>
      </w:pPr>
    </w:p>
    <w:tbl>
      <w:tblPr>
        <w:tblStyle w:val="TableGrid"/>
        <w:tblW w:w="15877" w:type="dxa"/>
        <w:tblInd w:w="-998" w:type="dxa"/>
        <w:tblLook w:val="04A0" w:firstRow="1" w:lastRow="0" w:firstColumn="1" w:lastColumn="0" w:noHBand="0" w:noVBand="1"/>
      </w:tblPr>
      <w:tblGrid>
        <w:gridCol w:w="1960"/>
        <w:gridCol w:w="2492"/>
        <w:gridCol w:w="3846"/>
        <w:gridCol w:w="1977"/>
        <w:gridCol w:w="5602"/>
      </w:tblGrid>
      <w:tr w:rsidR="00C92CC4" w:rsidRPr="002669EA" w14:paraId="26E281EC" w14:textId="77777777" w:rsidTr="00F053F9">
        <w:trPr>
          <w:trHeight w:val="132"/>
        </w:trPr>
        <w:tc>
          <w:tcPr>
            <w:tcW w:w="1960" w:type="dxa"/>
          </w:tcPr>
          <w:p w14:paraId="0AF418C2" w14:textId="77777777" w:rsidR="00C92CC4" w:rsidRPr="002669EA" w:rsidRDefault="00C92CC4" w:rsidP="00512AF2">
            <w:pPr>
              <w:jc w:val="center"/>
              <w:rPr>
                <w:rFonts w:ascii="Times New Roman" w:hAnsi="Times New Roman" w:cs="Times New Roman"/>
                <w:b/>
                <w:bCs/>
                <w:sz w:val="20"/>
                <w:szCs w:val="20"/>
              </w:rPr>
            </w:pPr>
            <w:r w:rsidRPr="002669EA">
              <w:rPr>
                <w:rFonts w:ascii="Times New Roman" w:hAnsi="Times New Roman" w:cs="Times New Roman"/>
                <w:b/>
                <w:bCs/>
                <w:sz w:val="20"/>
                <w:szCs w:val="20"/>
                <w:lang w:val="en-US"/>
              </w:rPr>
              <w:t>Medication [references]</w:t>
            </w:r>
          </w:p>
        </w:tc>
        <w:tc>
          <w:tcPr>
            <w:tcW w:w="2492" w:type="dxa"/>
          </w:tcPr>
          <w:p w14:paraId="516674A9" w14:textId="067B93DF" w:rsidR="00C92CC4" w:rsidRPr="002669EA" w:rsidRDefault="00C92CC4" w:rsidP="00512AF2">
            <w:pPr>
              <w:spacing w:before="120" w:after="240"/>
              <w:jc w:val="center"/>
              <w:rPr>
                <w:rFonts w:ascii="Times New Roman" w:hAnsi="Times New Roman" w:cs="Times New Roman"/>
                <w:b/>
                <w:bCs/>
                <w:sz w:val="20"/>
                <w:szCs w:val="20"/>
                <w:lang w:val="en-US"/>
              </w:rPr>
            </w:pPr>
            <w:r w:rsidRPr="002669EA">
              <w:rPr>
                <w:rFonts w:ascii="Times New Roman" w:hAnsi="Times New Roman" w:cs="Times New Roman"/>
                <w:b/>
                <w:bCs/>
                <w:sz w:val="20"/>
                <w:szCs w:val="20"/>
                <w:lang w:val="en-US"/>
              </w:rPr>
              <w:t>Mechanisms of action</w:t>
            </w:r>
            <w:r w:rsidR="009804E7" w:rsidRPr="002669EA">
              <w:rPr>
                <w:rFonts w:ascii="Times New Roman" w:hAnsi="Times New Roman" w:cs="Times New Roman"/>
                <w:b/>
                <w:bCs/>
                <w:sz w:val="20"/>
                <w:szCs w:val="20"/>
                <w:lang w:val="en-US"/>
              </w:rPr>
              <w:t xml:space="preserve"> / fungicide spectrum</w:t>
            </w:r>
          </w:p>
        </w:tc>
        <w:tc>
          <w:tcPr>
            <w:tcW w:w="3846" w:type="dxa"/>
          </w:tcPr>
          <w:p w14:paraId="62965B59" w14:textId="77777777" w:rsidR="00C92CC4" w:rsidRPr="002669EA" w:rsidRDefault="00C92CC4" w:rsidP="00512AF2">
            <w:pPr>
              <w:rPr>
                <w:rFonts w:ascii="Times New Roman" w:hAnsi="Times New Roman" w:cs="Times New Roman"/>
                <w:b/>
                <w:bCs/>
                <w:sz w:val="20"/>
                <w:szCs w:val="20"/>
                <w:lang w:val="en-US"/>
              </w:rPr>
            </w:pPr>
          </w:p>
          <w:p w14:paraId="3D3B4B03" w14:textId="77777777" w:rsidR="00C92CC4" w:rsidRPr="002669EA" w:rsidRDefault="00C92CC4" w:rsidP="00512AF2">
            <w:pPr>
              <w:jc w:val="center"/>
              <w:rPr>
                <w:rFonts w:ascii="Times New Roman" w:hAnsi="Times New Roman" w:cs="Times New Roman"/>
                <w:b/>
                <w:bCs/>
                <w:sz w:val="20"/>
                <w:szCs w:val="20"/>
              </w:rPr>
            </w:pPr>
            <w:r w:rsidRPr="002669EA">
              <w:rPr>
                <w:rFonts w:ascii="Times New Roman" w:hAnsi="Times New Roman" w:cs="Times New Roman"/>
                <w:b/>
                <w:bCs/>
                <w:sz w:val="20"/>
                <w:szCs w:val="20"/>
                <w:lang w:val="en-US"/>
              </w:rPr>
              <w:t>Main neonatal indications</w:t>
            </w:r>
          </w:p>
        </w:tc>
        <w:tc>
          <w:tcPr>
            <w:tcW w:w="1977" w:type="dxa"/>
          </w:tcPr>
          <w:p w14:paraId="26B97839" w14:textId="77777777" w:rsidR="00C92CC4" w:rsidRPr="002669EA" w:rsidRDefault="00C92CC4" w:rsidP="00512AF2">
            <w:pPr>
              <w:jc w:val="center"/>
              <w:rPr>
                <w:rFonts w:ascii="Times New Roman" w:hAnsi="Times New Roman" w:cs="Times New Roman"/>
                <w:b/>
                <w:bCs/>
                <w:sz w:val="20"/>
                <w:szCs w:val="20"/>
              </w:rPr>
            </w:pPr>
            <w:r w:rsidRPr="002669EA">
              <w:rPr>
                <w:rFonts w:ascii="Times New Roman" w:hAnsi="Times New Roman" w:cs="Times New Roman"/>
                <w:b/>
                <w:bCs/>
                <w:sz w:val="20"/>
                <w:szCs w:val="20"/>
                <w:lang w:val="en-US"/>
              </w:rPr>
              <w:t>Neonatal dosing regimen</w:t>
            </w:r>
          </w:p>
        </w:tc>
        <w:tc>
          <w:tcPr>
            <w:tcW w:w="5602" w:type="dxa"/>
          </w:tcPr>
          <w:p w14:paraId="3445FD26" w14:textId="77777777" w:rsidR="00C92CC4" w:rsidRPr="002669EA" w:rsidRDefault="00C92CC4" w:rsidP="00512AF2">
            <w:pPr>
              <w:jc w:val="center"/>
              <w:rPr>
                <w:rFonts w:ascii="Times New Roman" w:hAnsi="Times New Roman" w:cs="Times New Roman"/>
                <w:b/>
                <w:bCs/>
                <w:sz w:val="20"/>
                <w:szCs w:val="20"/>
                <w:lang w:val="en-US"/>
              </w:rPr>
            </w:pPr>
          </w:p>
          <w:p w14:paraId="7C0D577E" w14:textId="77777777" w:rsidR="00C92CC4" w:rsidRPr="002669EA" w:rsidRDefault="00C92CC4" w:rsidP="00512AF2">
            <w:pPr>
              <w:jc w:val="center"/>
              <w:rPr>
                <w:rFonts w:ascii="Times New Roman" w:hAnsi="Times New Roman" w:cs="Times New Roman"/>
                <w:b/>
                <w:bCs/>
                <w:sz w:val="20"/>
                <w:szCs w:val="20"/>
              </w:rPr>
            </w:pPr>
            <w:r w:rsidRPr="002669EA">
              <w:rPr>
                <w:rFonts w:ascii="Times New Roman" w:hAnsi="Times New Roman" w:cs="Times New Roman"/>
                <w:b/>
                <w:bCs/>
                <w:sz w:val="20"/>
                <w:szCs w:val="20"/>
                <w:lang w:val="en-US"/>
              </w:rPr>
              <w:t>Side effects</w:t>
            </w:r>
          </w:p>
        </w:tc>
      </w:tr>
      <w:tr w:rsidR="00F053F9" w:rsidRPr="002669EA" w14:paraId="75B29A41" w14:textId="77777777" w:rsidTr="00F053F9">
        <w:trPr>
          <w:trHeight w:val="1671"/>
        </w:trPr>
        <w:tc>
          <w:tcPr>
            <w:tcW w:w="1960" w:type="dxa"/>
          </w:tcPr>
          <w:p w14:paraId="5D511A35" w14:textId="15123733" w:rsidR="00F053F9" w:rsidRPr="002669EA" w:rsidRDefault="00F053F9" w:rsidP="00F053F9">
            <w:pPr>
              <w:jc w:val="center"/>
              <w:rPr>
                <w:rFonts w:ascii="Times New Roman" w:hAnsi="Times New Roman" w:cs="Times New Roman"/>
                <w:sz w:val="18"/>
                <w:szCs w:val="18"/>
                <w:lang w:val="en-GB"/>
              </w:rPr>
            </w:pPr>
            <w:bookmarkStart w:id="1" w:name="_Hlk164880311"/>
            <w:r w:rsidRPr="002669EA">
              <w:rPr>
                <w:rFonts w:ascii="Times New Roman" w:hAnsi="Times New Roman" w:cs="Times New Roman"/>
                <w:b/>
                <w:bCs/>
                <w:sz w:val="18"/>
                <w:szCs w:val="18"/>
                <w:lang w:val="en-GB"/>
              </w:rPr>
              <w:t>Amphotericin</w:t>
            </w:r>
            <w:r w:rsidRPr="002669EA">
              <w:rPr>
                <w:rFonts w:ascii="Times New Roman" w:hAnsi="Times New Roman" w:cs="Times New Roman"/>
                <w:b/>
                <w:bCs/>
                <w:sz w:val="18"/>
                <w:szCs w:val="18"/>
                <w:lang w:val="en-US"/>
              </w:rPr>
              <w:t xml:space="preserve"> B</w:t>
            </w:r>
            <w:r w:rsidRPr="002669EA">
              <w:rPr>
                <w:rFonts w:ascii="Times New Roman" w:hAnsi="Times New Roman" w:cs="Times New Roman"/>
                <w:b/>
                <w:bCs/>
                <w:sz w:val="18"/>
                <w:szCs w:val="18"/>
                <w:lang w:val="en-GB"/>
              </w:rPr>
              <w:t xml:space="preserve"> Deoxycholate</w:t>
            </w:r>
            <w:r w:rsidRPr="002669EA">
              <w:rPr>
                <w:rFonts w:ascii="Times New Roman" w:hAnsi="Times New Roman" w:cs="Times New Roman"/>
                <w:sz w:val="18"/>
                <w:szCs w:val="18"/>
                <w:lang w:val="en-US"/>
              </w:rPr>
              <w:t xml:space="preserve"> </w:t>
            </w:r>
            <w:bookmarkEnd w:id="1"/>
            <w:r w:rsidRPr="002669EA">
              <w:rPr>
                <w:rFonts w:ascii="Times New Roman" w:hAnsi="Times New Roman" w:cs="Times New Roman"/>
                <w:sz w:val="18"/>
                <w:szCs w:val="18"/>
                <w:lang w:val="en-US"/>
              </w:rPr>
              <w:t>(</w:t>
            </w:r>
            <w:proofErr w:type="spellStart"/>
            <w:r w:rsidRPr="002669EA">
              <w:rPr>
                <w:rFonts w:ascii="Times New Roman" w:hAnsi="Times New Roman" w:cs="Times New Roman"/>
                <w:sz w:val="18"/>
                <w:szCs w:val="18"/>
                <w:lang w:val="en-GB"/>
              </w:rPr>
              <w:t>AmB</w:t>
            </w:r>
            <w:proofErr w:type="spellEnd"/>
            <w:r w:rsidRPr="002669EA">
              <w:rPr>
                <w:rFonts w:ascii="Times New Roman" w:hAnsi="Times New Roman" w:cs="Times New Roman"/>
                <w:sz w:val="18"/>
                <w:szCs w:val="18"/>
                <w:lang w:val="en-GB"/>
              </w:rPr>
              <w:t>-D</w:t>
            </w:r>
            <w:r w:rsidRPr="002669EA">
              <w:rPr>
                <w:rFonts w:ascii="Times New Roman" w:hAnsi="Times New Roman" w:cs="Times New Roman"/>
                <w:sz w:val="18"/>
                <w:szCs w:val="18"/>
                <w:lang w:val="en-US"/>
              </w:rPr>
              <w:t>)</w:t>
            </w:r>
            <w:r w:rsidRPr="002669EA">
              <w:rPr>
                <w:rFonts w:ascii="Times New Roman" w:hAnsi="Times New Roman" w:cs="Times New Roman"/>
                <w:sz w:val="18"/>
                <w:szCs w:val="18"/>
                <w:lang w:val="en-GB"/>
              </w:rPr>
              <w:t xml:space="preserve"> (Polyene)</w:t>
            </w:r>
          </w:p>
          <w:p w14:paraId="4488C35B" w14:textId="40AB95C0" w:rsidR="00F053F9" w:rsidRPr="002669EA" w:rsidRDefault="00F053F9" w:rsidP="00830CDD">
            <w:pPr>
              <w:jc w:val="center"/>
              <w:rPr>
                <w:rFonts w:ascii="Times New Roman" w:hAnsi="Times New Roman" w:cs="Times New Roman"/>
                <w:sz w:val="18"/>
                <w:szCs w:val="18"/>
                <w:lang w:val="en-US"/>
              </w:rPr>
            </w:pPr>
            <w:r w:rsidRPr="002669EA">
              <w:rPr>
                <w:rFonts w:ascii="Times New Roman" w:hAnsi="Times New Roman" w:cs="Times New Roman"/>
                <w:sz w:val="18"/>
                <w:szCs w:val="18"/>
                <w:lang w:val="en-US"/>
              </w:rPr>
              <w:t xml:space="preserve"> </w:t>
            </w:r>
            <w:r w:rsidRPr="002669EA">
              <w:rPr>
                <w:rFonts w:ascii="Times New Roman" w:hAnsi="Times New Roman" w:cs="Times New Roman"/>
                <w:sz w:val="18"/>
                <w:szCs w:val="18"/>
                <w:lang w:val="en-US"/>
              </w:rPr>
              <w:fldChar w:fldCharType="begin"/>
            </w:r>
            <w:r w:rsidR="00FD0A75" w:rsidRPr="002669EA">
              <w:rPr>
                <w:rFonts w:ascii="Times New Roman" w:hAnsi="Times New Roman" w:cs="Times New Roman"/>
                <w:sz w:val="18"/>
                <w:szCs w:val="18"/>
                <w:lang w:val="en-US"/>
              </w:rPr>
              <w:instrText xml:space="preserve"> ADDIN ZOTERO_ITEM CSL_CITATION {"citationID":"yUXENEmU","properties":{"formattedCitation":"[15\\uc0\\u8211{}18]","plainCitation":"[15–18]","noteIndex":0},"citationItems":[{"id":"uNES7Vp8/UKLi4YLo","uris":["http://zotero.org/users/12893963/items/75HWVE9E"],"itemData":{"id":"UuObPpXM/VB0UXvGB","type":"article-journal","abstract":"Neonates and immunosuppressed/immunocompromised pediatric patients are at high risk of invasive fungal diseases. Appropriate antifungal selection and optimized dosing are imperative to the successful prevention and treatment of these life-threatening infections. Conventional amphotericin B was the mainstay of antifungal therapy for many decades, but dose-limiting nephrotoxicity and infusion-related adverse events impeded its use. Despite the development of several new antifungal classes and agents in the past 20 years, and their now routine use in at-risk pediatric populations, data to guide the optimal dosing of antifungals in children are limited. This paper reviews the spectra of activity for approved antifungal agents and summarizes the current literature specific to pediatric patients regarding pharmacokinetic/pharmacodynamic data, dosing, and therapeutic drug monitoring.","container-title":"Paediatric Drugs","DOI":"10.1007/s40272-020-00379-2","ISSN":"1179-2019","issue":"2","journalAbbreviation":"Paediatr Drugs","language":"eng","note":"PMID: 31974859\nPMCID: PMC7085453","page":"165-188","source":"PubMed","title":"Administration and Dosing of Systemic Antifungal Agents in Pediatric Patients","volume":"22","author":[{"family":"Downes","given":"Kevin J."},{"family":"Fisher","given":"Brian T."},{"family":"Zane","given":"Nicole R."}],"issued":{"date-parts":[["2020",4]]}}},{"id":"uNES7Vp8/tM1Wak1E","uris":["http://zotero.org/users/12893963/items/TA94HK5Z"],"itemData":{"id":"UuObPpXM/5xhGEvp7","type":"article-journal","abstract":"It is important to realize that guidelines cannot always account for individual variation among patients. They are not intended to supplant physician judgment with respect to particular patients or special clinical situations. IDSA considers adherence to these guidelines to be voluntary, with the ultimate determination regarding their application to be made by the physician in the light of each patient's individual circumstances.","container-title":"Clinical Infectious Diseases: An Official Publication of the Infectious Diseases Society of America","DOI":"10.1093/cid/civ933","ISSN":"1058-4838","issue":"4","journalAbbreviation":"Clin Infect Dis","note":"PMID: 26679628\nPMCID: PMC4725385","page":"e1-e50","source":"PubMed Central","title":"Clinical Practice Guideline for the Management of Candidiasis: 2016 Update by the Infectious Diseases Society of America","title-short":"Clinical Practice Guideline for the Management of Candidiasis","volume":"62","author":[{"family":"Pappas","given":"Peter G."},{"family":"Kauffman","given":"Carol A."},{"family":"Andes","given":"David R."},{"family":"Clancy","given":"Cornelius J."},{"family":"Marr","given":"Kieren A."},{"family":"Ostrosky-Zeichner","given":"Luis"},{"family":"Reboli","given":"Annette C."},{"family":"Schuster","given":"Mindy G."},{"family":"Vazquez","given":"Jose A."},{"family":"Walsh","given":"Thomas J."},{"family":"Zaoutis","given":"Theoklis E."},{"family":"Sobel","given":"Jack D."}],"issued":{"date-parts":[["2016",2,15]]}}},{"id":7595,"uris":["http://zotero.org/users/9451856/items/D3HEY28H"],"itemData":{"id":7595,"type":"article-journal","abstract":"BACKGROUND: Invasive candidiasis is a leading cause of mortality and morbidity in neonatal intensive care units. Treatment recommendations are limited by a lack of comparative outcomes data.\nMETHODS: We identified all infants ≤ 120 days of age with positive blood, urine, or cerebrospinal fluid cultures for Candida species who received amphotericin B deoxycholate, fluconazole, amphotericin B lipid products, or combination therapy admitted to one of 192 neonatal intensive care units in the United States between 1997 and 2003. Primary outcome measures included overall mortality and therapeutic failure (combined outcome of duration of infection &gt;7 days, need for additional antifungal therapy, or death before discharge). We compared outcomes by antifungal therapy using logistic regression, controlling for gestational age, day of life at start of antifungal therapy, delay in therapy, and site of infection.\nRESULTS: Overall, 138 of 730 (19%) infants died. On multivariable logistic regression, we observed higher overall mortality for infants receiving amphotericin B lipid products compared with infants receiving amphotericin B deoxycholate (odds ratio 1.96 [95% confidence intervals: 1.16, 3.33]; P = 0.01) or fluconazole (odds ratio 2.39 [1.18, 4.83]; P = 0.02).\nCONCLUSIONS: Infants treated with amphotericin B lipid products had higher mortality than infants treated with either amphotericin B deoxycholate or fluconazole. This finding may be related to inadequate penetration of amphotericin B lipid products into the kidneys, inappropriate dosing in premature infants, or unknown differences in acuity of illness in infants treated with amphotericin B lipid products.","container-title":"The Pediatric Infectious Disease Journal","DOI":"10.1097/INF.0b013e3182467a72","ISSN":"1532-0987","issue":"5","journalAbbreviation":"Pediatr Infect Dis J","language":"eng","note":"PMID: 22189522\nPMCID: PMC3329577","page":"439-443","source":"PubMed","title":"Antifungal therapy and outcomes in infants with invasive Candida infections","volume":"31","author":[{"family":"Ascher","given":"Simon B."},{"family":"Smith","given":"P. Brian"},{"family":"Watt","given":"Kevin"},{"family":"Benjamin","given":"Daniel K."},{"family":"Cohen-Wolkowiez","given":"Michael"},{"family":"Clark","given":"Reese H."},{"family":"Benjamin","given":"Daniel K."},{"family":"Moran","given":"Cassandra"}],"issued":{"date-parts":[["2012",5]]}}},{"id":7600,"uris":["http://zotero.org/users/9451856/items/LQ5ADVPQ"],"itemData":{"id":7600,"type":"article-journal","abstract":"AIMS: Lipid formulations of amphotericin B, rather than conventional amphotericin (c-amB), are increasingly used despite limited data comparing these preparations in children. Data on the incidence of adverse effects with amphotericin B at standard doses are scarce. This study aimed to compare the adverse effects associated with standard doses of c-amB and liposomal amphotericin (l-amB) in children.\nMETHODS: Children admitted to the Royal Children's Hospital Melbourne and treated with c-amB or l-amB between January 2010 and September 2013 were included. Clinical and laboratory data were retrospectively extracted from medical records to compare amphotericin-related infusion reactions, nephrotoxicity (glomerulotoxicity and tubulopathy) and hepatotoxicity.\nRESULTS: Seventy-six children received c-amB and 39 received l-amB. Standard drug administration (recommended dose and infusion time) occurred in 74% (56/76) of patients on c-amB and 85% (33/39) on l-amB. In these 89 children, infusion-related reactions were similar for both c-amB and l-amB (23% (13/56) vs. 9% (3/33); P = 0.15); none occurred in children aged &lt;90 days. There was no difference in amphotericin-associated glomerulotoxicity (c-amB 14% (8/56) vs. l-amB 21% (7/33); P = 0.40) or in the median maximum potassium requirements (c-amB 3.1 vs. l-amB 2.3 mmol kg-1  d-1 ; P = 0.29). Hepatotoxicity occurred more frequently with l-amB than c-amB (83% (24/29) vs. 56% (20/36); P = 0.032).\nCONCLUSIONS: When appropriately administered, l-amB was associated with more hepatotoxicity than c-amB, with no difference in infusion-related reactions or nephrotoxicity. Differences in adverse effects between the preparations is not as marked in children as reported in adults.","container-title":"British Journal of Clinical Pharmacology","DOI":"10.1111/bcp.13521","ISSN":"1365-2125","issue":"5","journalAbbreviation":"Br J Clin Pharmacol","language":"eng","note":"PMID: 29352486\nPMCID: PMC5903243","page":"1006-1012","source":"PubMed","title":"Adverse effects of amphotericin B in children; a retrospective comparison of conventional and liposomal formulations","volume":"84","author":[{"family":"Andrew","given":"Eden C."},{"family":"Curtis","given":"Nigel"},{"family":"Coghlan","given":"Ben"},{"family":"Cranswick","given":"Noel"},{"family":"Gwee","given":"Amanda"}],"issued":{"date-parts":[["2018",5]]}}}],"schema":"https://github.com/citation-style-language/schema/raw/master/csl-citation.json"} </w:instrText>
            </w:r>
            <w:r w:rsidRPr="002669EA">
              <w:rPr>
                <w:rFonts w:ascii="Times New Roman" w:hAnsi="Times New Roman" w:cs="Times New Roman"/>
                <w:sz w:val="18"/>
                <w:szCs w:val="18"/>
                <w:lang w:val="en-US"/>
              </w:rPr>
              <w:fldChar w:fldCharType="separate"/>
            </w:r>
            <w:r w:rsidR="00FD0A75" w:rsidRPr="002669EA">
              <w:rPr>
                <w:rFonts w:ascii="Times New Roman" w:hAnsi="Times New Roman" w:cs="Times New Roman"/>
                <w:kern w:val="0"/>
                <w:sz w:val="18"/>
                <w:lang w:val="en-US"/>
              </w:rPr>
              <w:t>[15–18]</w:t>
            </w:r>
            <w:r w:rsidRPr="002669EA">
              <w:rPr>
                <w:rFonts w:ascii="Times New Roman" w:hAnsi="Times New Roman" w:cs="Times New Roman"/>
                <w:sz w:val="18"/>
                <w:szCs w:val="18"/>
                <w:lang w:val="en-US"/>
              </w:rPr>
              <w:fldChar w:fldCharType="end"/>
            </w:r>
          </w:p>
        </w:tc>
        <w:tc>
          <w:tcPr>
            <w:tcW w:w="2492" w:type="dxa"/>
          </w:tcPr>
          <w:p w14:paraId="4DBB57A5" w14:textId="3B840894" w:rsidR="00F053F9" w:rsidRPr="002669EA" w:rsidRDefault="00F053F9" w:rsidP="00F053F9">
            <w:pPr>
              <w:pStyle w:val="Default"/>
              <w:rPr>
                <w:rFonts w:ascii="Times New Roman" w:hAnsi="Times New Roman" w:cs="Times New Roman"/>
                <w:sz w:val="18"/>
                <w:szCs w:val="18"/>
              </w:rPr>
            </w:pPr>
            <w:r w:rsidRPr="002669EA">
              <w:rPr>
                <w:rFonts w:ascii="Times New Roman" w:hAnsi="Times New Roman" w:cs="Times New Roman"/>
                <w:sz w:val="18"/>
                <w:szCs w:val="18"/>
              </w:rPr>
              <w:t>- Loss of cell membrane integrity by binding to ergosterol. The polyene-ergosterol complex creates pores in the fungal cell membrane, leading to electrolyte leakage, cell lysis and cell death. Potent and broad fungicidal activity</w:t>
            </w:r>
            <w:r w:rsidR="0045681C" w:rsidRPr="002669EA">
              <w:rPr>
                <w:rFonts w:ascii="Times New Roman" w:hAnsi="Times New Roman" w:cs="Times New Roman"/>
                <w:sz w:val="18"/>
                <w:szCs w:val="18"/>
              </w:rPr>
              <w:t>.</w:t>
            </w:r>
          </w:p>
        </w:tc>
        <w:tc>
          <w:tcPr>
            <w:tcW w:w="3846" w:type="dxa"/>
          </w:tcPr>
          <w:p w14:paraId="1CC5865B" w14:textId="77777777" w:rsidR="00F053F9" w:rsidRPr="002669EA" w:rsidRDefault="00F053F9" w:rsidP="00F053F9">
            <w:pPr>
              <w:autoSpaceDE w:val="0"/>
              <w:autoSpaceDN w:val="0"/>
              <w:adjustRightInd w:val="0"/>
              <w:rPr>
                <w:rFonts w:ascii="Times New Roman" w:hAnsi="Times New Roman" w:cs="Times New Roman"/>
                <w:sz w:val="18"/>
                <w:szCs w:val="18"/>
                <w:lang w:val="en-US"/>
              </w:rPr>
            </w:pPr>
            <w:r w:rsidRPr="002669EA">
              <w:rPr>
                <w:rFonts w:ascii="Times New Roman" w:hAnsi="Times New Roman" w:cs="Times New Roman"/>
                <w:sz w:val="18"/>
                <w:szCs w:val="18"/>
                <w:lang w:val="en-GB"/>
              </w:rPr>
              <w:t>- Treatment of invasive fungal infections by susceptible fungi including Candida spp., Aspergillus spp. and Cryptococcus spp.</w:t>
            </w:r>
            <w:r w:rsidRPr="002669EA">
              <w:rPr>
                <w:rFonts w:ascii="Times New Roman" w:hAnsi="Times New Roman" w:cs="Times New Roman"/>
                <w:sz w:val="18"/>
                <w:szCs w:val="18"/>
                <w:lang w:val="en-GB"/>
              </w:rPr>
              <w:br/>
              <w:t xml:space="preserve">- First-line therapy for neonatal IC including </w:t>
            </w:r>
            <w:r w:rsidRPr="002669EA">
              <w:rPr>
                <w:rFonts w:ascii="Times New Roman" w:hAnsi="Times New Roman" w:cs="Times New Roman"/>
                <w:sz w:val="18"/>
                <w:szCs w:val="18"/>
                <w:lang w:val="en-US"/>
              </w:rPr>
              <w:t xml:space="preserve">CNS infections. </w:t>
            </w:r>
          </w:p>
          <w:p w14:paraId="4B34E8FE" w14:textId="5349FA65" w:rsidR="00F053F9" w:rsidRPr="002669EA" w:rsidRDefault="00F053F9" w:rsidP="00F053F9">
            <w:pPr>
              <w:autoSpaceDE w:val="0"/>
              <w:autoSpaceDN w:val="0"/>
              <w:adjustRightInd w:val="0"/>
              <w:rPr>
                <w:rFonts w:ascii="Times New Roman" w:hAnsi="Times New Roman" w:cs="Times New Roman"/>
                <w:sz w:val="18"/>
                <w:szCs w:val="18"/>
                <w:lang w:val="en-US"/>
              </w:rPr>
            </w:pPr>
            <w:r w:rsidRPr="002669EA">
              <w:rPr>
                <w:rFonts w:ascii="Times New Roman" w:hAnsi="Times New Roman" w:cs="Times New Roman"/>
                <w:sz w:val="18"/>
                <w:szCs w:val="18"/>
                <w:lang w:val="en-US"/>
              </w:rPr>
              <w:t>- A</w:t>
            </w:r>
            <w:r w:rsidRPr="002669EA">
              <w:rPr>
                <w:rFonts w:ascii="Times New Roman" w:hAnsi="Times New Roman" w:cs="Times New Roman"/>
                <w:sz w:val="18"/>
                <w:szCs w:val="18"/>
                <w:lang w:val="en-GB"/>
              </w:rPr>
              <w:t>n alternative therapy of invasive aspergillosis in neonates</w:t>
            </w:r>
            <w:r w:rsidR="0045681C" w:rsidRPr="002669EA">
              <w:rPr>
                <w:rFonts w:ascii="Times New Roman" w:hAnsi="Times New Roman" w:cs="Times New Roman"/>
                <w:sz w:val="18"/>
                <w:szCs w:val="18"/>
                <w:lang w:val="en-GB"/>
              </w:rPr>
              <w:t>.</w:t>
            </w:r>
          </w:p>
        </w:tc>
        <w:tc>
          <w:tcPr>
            <w:tcW w:w="1977" w:type="dxa"/>
          </w:tcPr>
          <w:p w14:paraId="47DB393B" w14:textId="2A76F117" w:rsidR="00F053F9" w:rsidRPr="002669EA" w:rsidRDefault="00F053F9" w:rsidP="00F053F9">
            <w:pPr>
              <w:autoSpaceDE w:val="0"/>
              <w:autoSpaceDN w:val="0"/>
              <w:adjustRightInd w:val="0"/>
              <w:rPr>
                <w:rFonts w:ascii="Times New Roman" w:hAnsi="Times New Roman" w:cs="Times New Roman"/>
                <w:b/>
                <w:bCs/>
                <w:sz w:val="18"/>
                <w:szCs w:val="18"/>
                <w:lang w:val="en-GB"/>
              </w:rPr>
            </w:pPr>
            <w:r w:rsidRPr="002669EA">
              <w:rPr>
                <w:rFonts w:ascii="Times New Roman" w:hAnsi="Times New Roman" w:cs="Times New Roman"/>
                <w:sz w:val="18"/>
                <w:szCs w:val="18"/>
                <w:lang w:val="en-GB"/>
              </w:rPr>
              <w:t>1 mg/kg</w:t>
            </w:r>
            <w:r w:rsidR="0045681C" w:rsidRPr="002669EA">
              <w:rPr>
                <w:rFonts w:ascii="Times New Roman" w:hAnsi="Times New Roman" w:cs="Times New Roman"/>
                <w:sz w:val="18"/>
                <w:szCs w:val="18"/>
                <w:lang w:val="en-GB"/>
              </w:rPr>
              <w:t>,</w:t>
            </w:r>
            <w:r w:rsidRPr="002669EA">
              <w:rPr>
                <w:rFonts w:ascii="Times New Roman" w:hAnsi="Times New Roman" w:cs="Times New Roman"/>
                <w:sz w:val="18"/>
                <w:szCs w:val="18"/>
                <w:lang w:val="en-GB"/>
              </w:rPr>
              <w:t xml:space="preserve"> </w:t>
            </w:r>
            <w:r w:rsidR="0045681C" w:rsidRPr="002669EA">
              <w:rPr>
                <w:rFonts w:ascii="Times New Roman" w:hAnsi="Times New Roman" w:cs="Times New Roman"/>
                <w:sz w:val="18"/>
                <w:szCs w:val="18"/>
                <w:lang w:val="en-GB"/>
              </w:rPr>
              <w:t xml:space="preserve">IV, </w:t>
            </w:r>
            <w:r w:rsidRPr="002669EA">
              <w:rPr>
                <w:rFonts w:ascii="Times New Roman" w:hAnsi="Times New Roman" w:cs="Times New Roman"/>
                <w:sz w:val="18"/>
                <w:szCs w:val="18"/>
                <w:lang w:val="en-GB"/>
              </w:rPr>
              <w:t>daily</w:t>
            </w:r>
            <w:r w:rsidR="0045681C" w:rsidRPr="002669EA">
              <w:rPr>
                <w:rFonts w:ascii="Times New Roman" w:hAnsi="Times New Roman" w:cs="Times New Roman"/>
                <w:sz w:val="18"/>
                <w:szCs w:val="18"/>
                <w:lang w:val="en-GB"/>
              </w:rPr>
              <w:t>.</w:t>
            </w:r>
          </w:p>
        </w:tc>
        <w:tc>
          <w:tcPr>
            <w:tcW w:w="5602" w:type="dxa"/>
          </w:tcPr>
          <w:p w14:paraId="402F67EC" w14:textId="510B7DC9" w:rsidR="00F053F9" w:rsidRPr="002669EA" w:rsidRDefault="00F053F9" w:rsidP="00F053F9">
            <w:pPr>
              <w:pStyle w:val="NormalWeb"/>
              <w:shd w:val="clear" w:color="auto" w:fill="FFFFFF"/>
              <w:rPr>
                <w:lang w:val="en-US"/>
              </w:rPr>
            </w:pPr>
            <w:r w:rsidRPr="002669EA">
              <w:rPr>
                <w:sz w:val="18"/>
                <w:szCs w:val="18"/>
                <w:u w:val="single"/>
                <w:lang w:val="en-GB"/>
              </w:rPr>
              <w:t>Nephrotoxicity</w:t>
            </w:r>
            <w:r w:rsidRPr="002669EA">
              <w:rPr>
                <w:sz w:val="18"/>
                <w:szCs w:val="18"/>
                <w:lang w:val="en-GB"/>
              </w:rPr>
              <w:t xml:space="preserve"> (acute kidney injury and electrolyte-wasting tubular acidosis)</w:t>
            </w:r>
            <w:r w:rsidR="0045681C" w:rsidRPr="002669EA">
              <w:rPr>
                <w:sz w:val="18"/>
                <w:szCs w:val="18"/>
                <w:lang w:val="en-GB"/>
              </w:rPr>
              <w:t>;</w:t>
            </w:r>
            <w:r w:rsidRPr="002669EA">
              <w:rPr>
                <w:sz w:val="18"/>
                <w:szCs w:val="18"/>
                <w:lang w:val="en-GB"/>
              </w:rPr>
              <w:t xml:space="preserve"> Increased risk of nephrotoxicity in co- administration with other nephrotoxic drugs (vancomycin, </w:t>
            </w:r>
            <w:proofErr w:type="spellStart"/>
            <w:r w:rsidRPr="002669EA">
              <w:rPr>
                <w:sz w:val="18"/>
                <w:szCs w:val="18"/>
                <w:lang w:val="en-GB"/>
              </w:rPr>
              <w:t>aminoglycocides</w:t>
            </w:r>
            <w:proofErr w:type="spellEnd"/>
            <w:r w:rsidRPr="002669EA">
              <w:rPr>
                <w:sz w:val="18"/>
                <w:szCs w:val="18"/>
                <w:lang w:val="en-GB"/>
              </w:rPr>
              <w:t>)</w:t>
            </w:r>
            <w:r w:rsidR="0045681C" w:rsidRPr="002669EA">
              <w:rPr>
                <w:sz w:val="18"/>
                <w:szCs w:val="18"/>
                <w:lang w:val="en-GB"/>
              </w:rPr>
              <w:t>.</w:t>
            </w:r>
            <w:r w:rsidRPr="002669EA">
              <w:rPr>
                <w:sz w:val="18"/>
                <w:szCs w:val="18"/>
                <w:lang w:val="en-GB"/>
              </w:rPr>
              <w:t xml:space="preserve"> </w:t>
            </w:r>
            <w:r w:rsidRPr="002669EA">
              <w:rPr>
                <w:sz w:val="18"/>
                <w:szCs w:val="18"/>
                <w:u w:val="single"/>
                <w:lang w:val="en-GB"/>
              </w:rPr>
              <w:t>Electrolyte disturbances</w:t>
            </w:r>
            <w:r w:rsidRPr="002669EA">
              <w:rPr>
                <w:sz w:val="18"/>
                <w:szCs w:val="18"/>
                <w:lang w:val="en-GB"/>
              </w:rPr>
              <w:t xml:space="preserve">: </w:t>
            </w:r>
            <w:proofErr w:type="spellStart"/>
            <w:r w:rsidRPr="002669EA">
              <w:rPr>
                <w:sz w:val="18"/>
                <w:szCs w:val="18"/>
                <w:lang w:val="en-GB"/>
              </w:rPr>
              <w:t>hypokalemia</w:t>
            </w:r>
            <w:proofErr w:type="spellEnd"/>
            <w:r w:rsidRPr="002669EA">
              <w:rPr>
                <w:sz w:val="18"/>
                <w:szCs w:val="18"/>
                <w:lang w:val="en-GB"/>
              </w:rPr>
              <w:t>, hypomagnesaemia, hypocalcaemia</w:t>
            </w:r>
            <w:r w:rsidR="0045681C" w:rsidRPr="002669EA">
              <w:rPr>
                <w:sz w:val="18"/>
                <w:szCs w:val="18"/>
                <w:lang w:val="en-GB"/>
              </w:rPr>
              <w:t>.</w:t>
            </w:r>
            <w:r w:rsidRPr="002669EA">
              <w:rPr>
                <w:sz w:val="18"/>
                <w:szCs w:val="18"/>
                <w:lang w:val="en-GB"/>
              </w:rPr>
              <w:t xml:space="preserve"> </w:t>
            </w:r>
            <w:proofErr w:type="spellStart"/>
            <w:r w:rsidRPr="002669EA">
              <w:rPr>
                <w:sz w:val="18"/>
                <w:szCs w:val="18"/>
                <w:u w:val="single"/>
                <w:lang w:val="en-GB"/>
              </w:rPr>
              <w:t>Hematological</w:t>
            </w:r>
            <w:proofErr w:type="spellEnd"/>
            <w:r w:rsidRPr="002669EA">
              <w:rPr>
                <w:sz w:val="18"/>
                <w:szCs w:val="18"/>
                <w:lang w:val="en-GB"/>
              </w:rPr>
              <w:t xml:space="preserve">: anaemia, </w:t>
            </w:r>
            <w:r w:rsidR="0045681C" w:rsidRPr="002669EA">
              <w:rPr>
                <w:sz w:val="18"/>
                <w:szCs w:val="18"/>
                <w:lang w:val="en-GB"/>
              </w:rPr>
              <w:t>leukopenia</w:t>
            </w:r>
            <w:r w:rsidRPr="002669EA">
              <w:rPr>
                <w:sz w:val="18"/>
                <w:szCs w:val="18"/>
                <w:lang w:val="en-GB"/>
              </w:rPr>
              <w:t>, thrombocytopenia</w:t>
            </w:r>
            <w:r w:rsidR="0045681C" w:rsidRPr="002669EA">
              <w:rPr>
                <w:sz w:val="18"/>
                <w:szCs w:val="18"/>
                <w:lang w:val="en-GB"/>
              </w:rPr>
              <w:t>.</w:t>
            </w:r>
            <w:r w:rsidRPr="002669EA">
              <w:rPr>
                <w:sz w:val="18"/>
                <w:szCs w:val="18"/>
                <w:lang w:val="en-GB"/>
              </w:rPr>
              <w:t xml:space="preserve"> </w:t>
            </w:r>
            <w:r w:rsidRPr="002669EA">
              <w:rPr>
                <w:sz w:val="18"/>
                <w:szCs w:val="18"/>
                <w:u w:val="single"/>
                <w:lang w:val="en-GB"/>
              </w:rPr>
              <w:t>Gastrointestinal</w:t>
            </w:r>
            <w:r w:rsidRPr="002669EA">
              <w:rPr>
                <w:sz w:val="18"/>
                <w:szCs w:val="18"/>
                <w:lang w:val="en-GB"/>
              </w:rPr>
              <w:t>: elevated liver enzymes, diarrhoea, vomiting</w:t>
            </w:r>
            <w:r w:rsidR="0045681C" w:rsidRPr="002669EA">
              <w:rPr>
                <w:sz w:val="18"/>
                <w:szCs w:val="18"/>
                <w:lang w:val="en-GB"/>
              </w:rPr>
              <w:t>.</w:t>
            </w:r>
            <w:r w:rsidRPr="002669EA">
              <w:rPr>
                <w:sz w:val="18"/>
                <w:szCs w:val="18"/>
                <w:lang w:val="en-GB"/>
              </w:rPr>
              <w:t xml:space="preserve"> Thrombophlebitis at the injection site</w:t>
            </w:r>
            <w:r w:rsidR="0045681C" w:rsidRPr="002669EA">
              <w:rPr>
                <w:sz w:val="18"/>
                <w:szCs w:val="18"/>
                <w:lang w:val="en-GB"/>
              </w:rPr>
              <w:t>.</w:t>
            </w:r>
            <w:r w:rsidRPr="002669EA">
              <w:rPr>
                <w:sz w:val="18"/>
                <w:szCs w:val="18"/>
                <w:lang w:val="en-GB"/>
              </w:rPr>
              <w:t xml:space="preserve"> </w:t>
            </w:r>
            <w:r w:rsidRPr="002669EA">
              <w:rPr>
                <w:sz w:val="18"/>
                <w:szCs w:val="18"/>
                <w:u w:val="single"/>
                <w:lang w:val="en-US"/>
              </w:rPr>
              <w:t>I</w:t>
            </w:r>
            <w:proofErr w:type="spellStart"/>
            <w:r w:rsidRPr="002669EA">
              <w:rPr>
                <w:sz w:val="18"/>
                <w:szCs w:val="18"/>
                <w:u w:val="single"/>
                <w:lang w:val="en-GB"/>
              </w:rPr>
              <w:t>nfusion</w:t>
            </w:r>
            <w:proofErr w:type="spellEnd"/>
            <w:r w:rsidRPr="002669EA">
              <w:rPr>
                <w:sz w:val="18"/>
                <w:szCs w:val="18"/>
                <w:u w:val="single"/>
                <w:lang w:val="en-GB"/>
              </w:rPr>
              <w:t>-related reactions</w:t>
            </w:r>
            <w:r w:rsidRPr="002669EA">
              <w:rPr>
                <w:sz w:val="18"/>
                <w:szCs w:val="18"/>
                <w:lang w:val="en-GB"/>
              </w:rPr>
              <w:t>: fever, hypotension (rare in neonates). Skin rashes. Monitoring of renal function, liver function, electrolytes and full blood count</w:t>
            </w:r>
            <w:r w:rsidR="0045681C" w:rsidRPr="002669EA">
              <w:rPr>
                <w:sz w:val="18"/>
                <w:szCs w:val="18"/>
                <w:lang w:val="en-GB"/>
              </w:rPr>
              <w:t>.</w:t>
            </w:r>
            <w:r w:rsidRPr="002669EA">
              <w:rPr>
                <w:sz w:val="18"/>
                <w:szCs w:val="18"/>
                <w:lang w:val="en-GB"/>
              </w:rPr>
              <w:t xml:space="preserve"> </w:t>
            </w:r>
          </w:p>
        </w:tc>
      </w:tr>
      <w:tr w:rsidR="00F053F9" w:rsidRPr="002669EA" w14:paraId="5D60F185" w14:textId="77777777" w:rsidTr="00F053F9">
        <w:trPr>
          <w:trHeight w:val="702"/>
        </w:trPr>
        <w:tc>
          <w:tcPr>
            <w:tcW w:w="1960" w:type="dxa"/>
          </w:tcPr>
          <w:p w14:paraId="5FD4A16E" w14:textId="77777777" w:rsidR="00F053F9" w:rsidRPr="002669EA" w:rsidRDefault="00F053F9" w:rsidP="00F053F9">
            <w:pPr>
              <w:jc w:val="center"/>
              <w:rPr>
                <w:rFonts w:ascii="Times New Roman" w:hAnsi="Times New Roman" w:cs="Times New Roman"/>
                <w:b/>
                <w:bCs/>
                <w:sz w:val="18"/>
                <w:szCs w:val="18"/>
                <w:lang w:val="en-GB"/>
              </w:rPr>
            </w:pPr>
          </w:p>
          <w:p w14:paraId="7B41CF80" w14:textId="77777777" w:rsidR="00F053F9" w:rsidRPr="002669EA" w:rsidRDefault="00F053F9" w:rsidP="00F053F9">
            <w:pPr>
              <w:jc w:val="center"/>
              <w:rPr>
                <w:rFonts w:ascii="Times New Roman" w:hAnsi="Times New Roman" w:cs="Times New Roman"/>
                <w:b/>
                <w:bCs/>
                <w:sz w:val="18"/>
                <w:szCs w:val="18"/>
                <w:lang w:val="en-GB"/>
              </w:rPr>
            </w:pPr>
            <w:r w:rsidRPr="002669EA">
              <w:rPr>
                <w:rFonts w:ascii="Times New Roman" w:hAnsi="Times New Roman" w:cs="Times New Roman"/>
                <w:b/>
                <w:bCs/>
                <w:sz w:val="18"/>
                <w:szCs w:val="18"/>
                <w:lang w:val="en-GB"/>
              </w:rPr>
              <w:t>Liposomal Amphotericin B</w:t>
            </w:r>
          </w:p>
          <w:p w14:paraId="7505786C" w14:textId="300BBA7A" w:rsidR="00F053F9" w:rsidRPr="002669EA" w:rsidRDefault="00F053F9" w:rsidP="0045681C">
            <w:pPr>
              <w:jc w:val="center"/>
              <w:rPr>
                <w:rFonts w:ascii="Times New Roman" w:hAnsi="Times New Roman" w:cs="Times New Roman"/>
                <w:sz w:val="18"/>
                <w:szCs w:val="18"/>
                <w:lang w:val="en-GB"/>
              </w:rPr>
            </w:pPr>
            <w:r w:rsidRPr="002669EA">
              <w:rPr>
                <w:rFonts w:ascii="Times New Roman" w:hAnsi="Times New Roman" w:cs="Times New Roman"/>
                <w:sz w:val="18"/>
                <w:szCs w:val="18"/>
                <w:lang w:val="en-GB"/>
              </w:rPr>
              <w:t xml:space="preserve">(Polyene) </w:t>
            </w:r>
            <w:r w:rsidRPr="002669EA">
              <w:rPr>
                <w:rFonts w:ascii="Times New Roman" w:hAnsi="Times New Roman" w:cs="Times New Roman"/>
                <w:sz w:val="18"/>
                <w:szCs w:val="18"/>
                <w:lang w:val="en-GB"/>
              </w:rPr>
              <w:fldChar w:fldCharType="begin"/>
            </w:r>
            <w:r w:rsidR="00FD0A75" w:rsidRPr="002669EA">
              <w:rPr>
                <w:rFonts w:ascii="Times New Roman" w:hAnsi="Times New Roman" w:cs="Times New Roman"/>
                <w:sz w:val="18"/>
                <w:szCs w:val="18"/>
                <w:lang w:val="en-GB"/>
              </w:rPr>
              <w:instrText xml:space="preserve"> ADDIN ZOTERO_ITEM CSL_CITATION {"citationID":"oV8V0VHa","properties":{"formattedCitation":"[15]","plainCitation":"[15]","noteIndex":0},"citationItems":[{"id":"uNES7Vp8/UKLi4YLo","uris":["http://zotero.org/users/12893963/items/75HWVE9E"],"itemData":{"id":"UuObPpXM/VB0UXvGB","type":"article-journal","abstract":"Neonates and immunosuppressed/immunocompromised pediatric patients are at high risk of invasive fungal diseases. Appropriate antifungal selection and optimized dosing are imperative to the successful prevention and treatment of these life-threatening infections. Conventional amphotericin B was the mainstay of antifungal therapy for many decades, but dose-limiting nephrotoxicity and infusion-related adverse events impeded its use. Despite the development of several new antifungal classes and agents in the past 20 years, and their now routine use in at-risk pediatric populations, data to guide the optimal dosing of antifungals in children are limited. This paper reviews the spectra of activity for approved antifungal agents and summarizes the current literature specific to pediatric patients regarding pharmacokinetic/pharmacodynamic data, dosing, and therapeutic drug monitoring.","container-title":"Paediatric Drugs","DOI":"10.1007/s40272-020-00379-2","ISSN":"1179-2019","issue":"2","journalAbbreviation":"Paediatr Drugs","language":"eng","note":"PMID: 31974859\nPMCID: PMC7085453","page":"165-188","source":"PubMed","title":"Administration and Dosing of Systemic Antifungal Agents in Pediatric Patients","volume":"22","author":[{"family":"Downes","given":"Kevin J."},{"family":"Fisher","given":"Brian T."},{"family":"Zane","given":"Nicole R."}],"issued":{"date-parts":[["2020",4]]}}}],"schema":"https://github.com/citation-style-language/schema/raw/master/csl-citation.json"} </w:instrText>
            </w:r>
            <w:r w:rsidRPr="002669EA">
              <w:rPr>
                <w:rFonts w:ascii="Times New Roman" w:hAnsi="Times New Roman" w:cs="Times New Roman"/>
                <w:sz w:val="18"/>
                <w:szCs w:val="18"/>
                <w:lang w:val="en-GB"/>
              </w:rPr>
              <w:fldChar w:fldCharType="separate"/>
            </w:r>
            <w:r w:rsidR="00FD0A75" w:rsidRPr="002669EA">
              <w:rPr>
                <w:rFonts w:ascii="Times New Roman" w:hAnsi="Times New Roman" w:cs="Times New Roman"/>
                <w:sz w:val="18"/>
              </w:rPr>
              <w:t>[15]</w:t>
            </w:r>
            <w:r w:rsidRPr="002669EA">
              <w:rPr>
                <w:rFonts w:ascii="Times New Roman" w:hAnsi="Times New Roman" w:cs="Times New Roman"/>
                <w:sz w:val="18"/>
                <w:szCs w:val="18"/>
                <w:lang w:val="en-GB"/>
              </w:rPr>
              <w:fldChar w:fldCharType="end"/>
            </w:r>
          </w:p>
        </w:tc>
        <w:tc>
          <w:tcPr>
            <w:tcW w:w="2492" w:type="dxa"/>
          </w:tcPr>
          <w:p w14:paraId="4DDFF005" w14:textId="77777777" w:rsidR="00F053F9" w:rsidRPr="002669EA" w:rsidRDefault="00F053F9" w:rsidP="00F053F9">
            <w:pPr>
              <w:autoSpaceDE w:val="0"/>
              <w:autoSpaceDN w:val="0"/>
              <w:adjustRightInd w:val="0"/>
              <w:rPr>
                <w:rFonts w:ascii="Times New Roman" w:hAnsi="Times New Roman" w:cs="Times New Roman"/>
                <w:sz w:val="18"/>
                <w:szCs w:val="18"/>
                <w:lang w:val="en-GB"/>
              </w:rPr>
            </w:pPr>
          </w:p>
          <w:p w14:paraId="3975C963" w14:textId="1C8400CE" w:rsidR="00F053F9" w:rsidRPr="002669EA" w:rsidRDefault="00F053F9" w:rsidP="00F053F9">
            <w:pPr>
              <w:autoSpaceDE w:val="0"/>
              <w:autoSpaceDN w:val="0"/>
              <w:adjustRightInd w:val="0"/>
              <w:rPr>
                <w:rFonts w:ascii="Times New Roman" w:hAnsi="Times New Roman" w:cs="Times New Roman"/>
                <w:color w:val="3A7C22" w:themeColor="accent6" w:themeShade="BF"/>
                <w:sz w:val="18"/>
                <w:szCs w:val="18"/>
                <w:lang w:val="en-GB"/>
              </w:rPr>
            </w:pPr>
            <w:r w:rsidRPr="002669EA">
              <w:rPr>
                <w:rFonts w:ascii="Times New Roman" w:hAnsi="Times New Roman" w:cs="Times New Roman"/>
                <w:sz w:val="18"/>
                <w:szCs w:val="18"/>
                <w:lang w:val="en-GB"/>
              </w:rPr>
              <w:t xml:space="preserve">Same as </w:t>
            </w:r>
            <w:proofErr w:type="spellStart"/>
            <w:r w:rsidRPr="002669EA">
              <w:rPr>
                <w:rFonts w:ascii="Times New Roman" w:hAnsi="Times New Roman" w:cs="Times New Roman"/>
                <w:sz w:val="18"/>
                <w:szCs w:val="18"/>
                <w:lang w:val="en-GB"/>
              </w:rPr>
              <w:t>AmB</w:t>
            </w:r>
            <w:proofErr w:type="spellEnd"/>
            <w:r w:rsidR="0045681C" w:rsidRPr="002669EA">
              <w:rPr>
                <w:rFonts w:ascii="Times New Roman" w:hAnsi="Times New Roman" w:cs="Times New Roman"/>
                <w:sz w:val="18"/>
                <w:szCs w:val="18"/>
                <w:lang w:val="en-GB"/>
              </w:rPr>
              <w:t>-D</w:t>
            </w:r>
          </w:p>
        </w:tc>
        <w:tc>
          <w:tcPr>
            <w:tcW w:w="3846" w:type="dxa"/>
          </w:tcPr>
          <w:p w14:paraId="52AE755A" w14:textId="2108F600" w:rsidR="00F053F9" w:rsidRPr="002669EA" w:rsidRDefault="00F053F9"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xml:space="preserve">- Same as </w:t>
            </w:r>
            <w:proofErr w:type="spellStart"/>
            <w:r w:rsidR="0045681C" w:rsidRPr="002669EA">
              <w:rPr>
                <w:rFonts w:ascii="Times New Roman" w:hAnsi="Times New Roman" w:cs="Times New Roman"/>
                <w:sz w:val="18"/>
                <w:szCs w:val="18"/>
                <w:lang w:val="en-GB"/>
              </w:rPr>
              <w:t>AmB</w:t>
            </w:r>
            <w:proofErr w:type="spellEnd"/>
            <w:r w:rsidR="0045681C" w:rsidRPr="002669EA">
              <w:rPr>
                <w:rFonts w:ascii="Times New Roman" w:hAnsi="Times New Roman" w:cs="Times New Roman"/>
                <w:sz w:val="18"/>
                <w:szCs w:val="18"/>
                <w:lang w:val="en-GB"/>
              </w:rPr>
              <w:t>-D</w:t>
            </w:r>
            <w:r w:rsidRPr="002669EA">
              <w:rPr>
                <w:rFonts w:ascii="Times New Roman" w:hAnsi="Times New Roman" w:cs="Times New Roman"/>
                <w:sz w:val="18"/>
                <w:szCs w:val="18"/>
                <w:lang w:val="en-GB"/>
              </w:rPr>
              <w:t xml:space="preserve">. </w:t>
            </w:r>
            <w:r w:rsidRPr="002669EA">
              <w:rPr>
                <w:rFonts w:ascii="Times New Roman" w:hAnsi="Times New Roman" w:cs="Times New Roman"/>
                <w:sz w:val="18"/>
                <w:szCs w:val="18"/>
                <w:lang w:val="en-GB"/>
              </w:rPr>
              <w:br/>
              <w:t xml:space="preserve">- An alternative therapy for neonatal IC with caution in the presence of urinary tract infections because of reduced renal excretion. </w:t>
            </w:r>
          </w:p>
          <w:p w14:paraId="1A47D22F" w14:textId="4AF5381E" w:rsidR="00F053F9" w:rsidRPr="002669EA" w:rsidRDefault="00F053F9"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Drug of choice for neonatal invasive aspergillosis</w:t>
            </w:r>
            <w:r w:rsidR="0045681C" w:rsidRPr="002669EA">
              <w:rPr>
                <w:rFonts w:ascii="Times New Roman" w:hAnsi="Times New Roman" w:cs="Times New Roman"/>
                <w:sz w:val="18"/>
                <w:szCs w:val="18"/>
                <w:lang w:val="en-GB"/>
              </w:rPr>
              <w:t>.</w:t>
            </w:r>
          </w:p>
        </w:tc>
        <w:tc>
          <w:tcPr>
            <w:tcW w:w="1977" w:type="dxa"/>
          </w:tcPr>
          <w:p w14:paraId="50570AA6" w14:textId="2D8A3744" w:rsidR="00F053F9" w:rsidRPr="002669EA" w:rsidRDefault="00F053F9"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3-5 mg/kg</w:t>
            </w:r>
            <w:r w:rsidR="0045681C" w:rsidRPr="002669EA">
              <w:rPr>
                <w:rFonts w:ascii="Times New Roman" w:hAnsi="Times New Roman" w:cs="Times New Roman"/>
                <w:sz w:val="18"/>
                <w:szCs w:val="18"/>
                <w:lang w:val="en-GB"/>
              </w:rPr>
              <w:t>, IV, daily.</w:t>
            </w:r>
            <w:r w:rsidRPr="002669EA">
              <w:rPr>
                <w:rFonts w:ascii="Times New Roman" w:hAnsi="Times New Roman" w:cs="Times New Roman"/>
                <w:sz w:val="18"/>
                <w:szCs w:val="18"/>
                <w:lang w:val="en-GB"/>
              </w:rPr>
              <w:t xml:space="preserve"> </w:t>
            </w:r>
          </w:p>
        </w:tc>
        <w:tc>
          <w:tcPr>
            <w:tcW w:w="5602" w:type="dxa"/>
          </w:tcPr>
          <w:p w14:paraId="36405746" w14:textId="200EBEFB" w:rsidR="00F053F9" w:rsidRPr="002669EA" w:rsidRDefault="0045681C" w:rsidP="00F053F9">
            <w:pPr>
              <w:pStyle w:val="Default"/>
              <w:rPr>
                <w:rFonts w:ascii="Times New Roman" w:hAnsi="Times New Roman" w:cs="Times New Roman"/>
              </w:rPr>
            </w:pPr>
            <w:r w:rsidRPr="002669EA">
              <w:rPr>
                <w:rFonts w:ascii="Times New Roman" w:hAnsi="Times New Roman" w:cs="Times New Roman"/>
                <w:sz w:val="18"/>
                <w:szCs w:val="18"/>
                <w:lang w:val="en-US"/>
              </w:rPr>
              <w:t xml:space="preserve">- </w:t>
            </w:r>
            <w:r w:rsidR="00F053F9" w:rsidRPr="002669EA">
              <w:rPr>
                <w:rFonts w:ascii="Times New Roman" w:hAnsi="Times New Roman" w:cs="Times New Roman"/>
                <w:sz w:val="18"/>
                <w:szCs w:val="18"/>
                <w:lang w:val="en-US"/>
              </w:rPr>
              <w:t xml:space="preserve">Similar adverse events with </w:t>
            </w:r>
            <w:proofErr w:type="spellStart"/>
            <w:r w:rsidRPr="002669EA">
              <w:rPr>
                <w:rFonts w:ascii="Times New Roman" w:hAnsi="Times New Roman" w:cs="Times New Roman"/>
                <w:sz w:val="18"/>
                <w:szCs w:val="18"/>
              </w:rPr>
              <w:t>AmB</w:t>
            </w:r>
            <w:proofErr w:type="spellEnd"/>
            <w:r w:rsidRPr="002669EA">
              <w:rPr>
                <w:rFonts w:ascii="Times New Roman" w:hAnsi="Times New Roman" w:cs="Times New Roman"/>
                <w:sz w:val="18"/>
                <w:szCs w:val="18"/>
              </w:rPr>
              <w:t>-D</w:t>
            </w:r>
            <w:r w:rsidR="00F053F9" w:rsidRPr="002669EA">
              <w:rPr>
                <w:rFonts w:ascii="Times New Roman" w:hAnsi="Times New Roman" w:cs="Times New Roman"/>
                <w:sz w:val="18"/>
                <w:szCs w:val="18"/>
              </w:rPr>
              <w:t xml:space="preserve">. </w:t>
            </w:r>
            <w:r w:rsidR="00F053F9" w:rsidRPr="002669EA">
              <w:rPr>
                <w:rFonts w:ascii="Times New Roman" w:hAnsi="Times New Roman" w:cs="Times New Roman"/>
                <w:sz w:val="18"/>
                <w:szCs w:val="18"/>
              </w:rPr>
              <w:br/>
            </w:r>
            <w:r w:rsidRPr="002669EA">
              <w:rPr>
                <w:rFonts w:ascii="Times New Roman" w:hAnsi="Times New Roman" w:cs="Times New Roman"/>
                <w:sz w:val="18"/>
                <w:szCs w:val="18"/>
              </w:rPr>
              <w:t xml:space="preserve">- </w:t>
            </w:r>
            <w:r w:rsidR="00F053F9" w:rsidRPr="002669EA">
              <w:rPr>
                <w:rFonts w:ascii="Times New Roman" w:hAnsi="Times New Roman" w:cs="Times New Roman"/>
                <w:sz w:val="18"/>
                <w:szCs w:val="18"/>
              </w:rPr>
              <w:t xml:space="preserve">Reduced toxicity as compared with </w:t>
            </w:r>
            <w:proofErr w:type="spellStart"/>
            <w:r w:rsidRPr="002669EA">
              <w:rPr>
                <w:rFonts w:ascii="Times New Roman" w:hAnsi="Times New Roman" w:cs="Times New Roman"/>
                <w:sz w:val="18"/>
                <w:szCs w:val="18"/>
              </w:rPr>
              <w:t>AmB</w:t>
            </w:r>
            <w:proofErr w:type="spellEnd"/>
            <w:r w:rsidRPr="002669EA">
              <w:rPr>
                <w:rFonts w:ascii="Times New Roman" w:hAnsi="Times New Roman" w:cs="Times New Roman"/>
                <w:sz w:val="18"/>
                <w:szCs w:val="18"/>
              </w:rPr>
              <w:t>-D.</w:t>
            </w:r>
            <w:r w:rsidR="00F053F9" w:rsidRPr="002669EA">
              <w:rPr>
                <w:rFonts w:ascii="Times New Roman" w:hAnsi="Times New Roman" w:cs="Times New Roman"/>
                <w:sz w:val="18"/>
                <w:szCs w:val="18"/>
              </w:rPr>
              <w:t xml:space="preserve"> </w:t>
            </w:r>
            <w:r w:rsidR="00F053F9" w:rsidRPr="002669EA">
              <w:rPr>
                <w:rFonts w:ascii="Times New Roman" w:hAnsi="Times New Roman" w:cs="Times New Roman"/>
                <w:sz w:val="18"/>
                <w:szCs w:val="18"/>
              </w:rPr>
              <w:br/>
            </w:r>
            <w:r w:rsidRPr="002669EA">
              <w:rPr>
                <w:rFonts w:ascii="Times New Roman" w:hAnsi="Times New Roman" w:cs="Times New Roman"/>
                <w:sz w:val="18"/>
                <w:szCs w:val="18"/>
              </w:rPr>
              <w:t xml:space="preserve">- </w:t>
            </w:r>
            <w:r w:rsidR="00F053F9" w:rsidRPr="002669EA">
              <w:rPr>
                <w:rFonts w:ascii="Times New Roman" w:hAnsi="Times New Roman" w:cs="Times New Roman"/>
                <w:sz w:val="18"/>
                <w:szCs w:val="18"/>
              </w:rPr>
              <w:t>Monitoring of renal function, liver function, electrolytes and full blood count</w:t>
            </w:r>
            <w:r w:rsidRPr="002669EA">
              <w:rPr>
                <w:rFonts w:ascii="Times New Roman" w:hAnsi="Times New Roman" w:cs="Times New Roman"/>
                <w:sz w:val="18"/>
                <w:szCs w:val="18"/>
              </w:rPr>
              <w:t>.</w:t>
            </w:r>
          </w:p>
        </w:tc>
      </w:tr>
      <w:tr w:rsidR="00F053F9" w:rsidRPr="002669EA" w14:paraId="38F72C0A" w14:textId="77777777" w:rsidTr="00F053F9">
        <w:trPr>
          <w:trHeight w:val="2064"/>
        </w:trPr>
        <w:tc>
          <w:tcPr>
            <w:tcW w:w="1960" w:type="dxa"/>
          </w:tcPr>
          <w:p w14:paraId="4C34B7B6" w14:textId="0D321ECE" w:rsidR="00F053F9" w:rsidRPr="002669EA" w:rsidRDefault="00F053F9" w:rsidP="0045681C">
            <w:pPr>
              <w:jc w:val="center"/>
              <w:rPr>
                <w:rFonts w:ascii="Times New Roman" w:hAnsi="Times New Roman" w:cs="Times New Roman"/>
                <w:b/>
                <w:bCs/>
                <w:sz w:val="18"/>
                <w:szCs w:val="18"/>
                <w:lang w:val="en-GB"/>
              </w:rPr>
            </w:pPr>
            <w:r w:rsidRPr="002669EA">
              <w:rPr>
                <w:rFonts w:ascii="Times New Roman" w:hAnsi="Times New Roman" w:cs="Times New Roman"/>
                <w:b/>
                <w:bCs/>
                <w:sz w:val="18"/>
                <w:szCs w:val="18"/>
                <w:lang w:val="en-GB"/>
              </w:rPr>
              <w:lastRenderedPageBreak/>
              <w:t>Fluconazole</w:t>
            </w:r>
            <w:r w:rsidRPr="002669EA">
              <w:rPr>
                <w:rFonts w:ascii="Times New Roman" w:hAnsi="Times New Roman" w:cs="Times New Roman"/>
                <w:b/>
                <w:bCs/>
                <w:sz w:val="18"/>
                <w:szCs w:val="18"/>
                <w:lang w:val="en-GB"/>
              </w:rPr>
              <w:br/>
            </w:r>
            <w:r w:rsidRPr="002669EA">
              <w:rPr>
                <w:rFonts w:ascii="Times New Roman" w:hAnsi="Times New Roman" w:cs="Times New Roman"/>
                <w:sz w:val="18"/>
                <w:szCs w:val="18"/>
                <w:lang w:val="en-GB"/>
              </w:rPr>
              <w:t>(T</w:t>
            </w:r>
            <w:r w:rsidRPr="002669EA">
              <w:rPr>
                <w:rFonts w:ascii="Times New Roman" w:hAnsi="Times New Roman" w:cs="Times New Roman"/>
                <w:sz w:val="16"/>
                <w:szCs w:val="16"/>
                <w:lang w:val="en-GB"/>
              </w:rPr>
              <w:t>riazole</w:t>
            </w:r>
            <w:r w:rsidRPr="002669EA">
              <w:rPr>
                <w:rFonts w:ascii="Times New Roman" w:hAnsi="Times New Roman" w:cs="Times New Roman"/>
                <w:sz w:val="18"/>
                <w:szCs w:val="18"/>
                <w:lang w:val="en-GB"/>
              </w:rPr>
              <w:t>)</w:t>
            </w:r>
            <w:r w:rsidRPr="002669EA">
              <w:rPr>
                <w:rFonts w:ascii="Times New Roman" w:hAnsi="Times New Roman" w:cs="Times New Roman"/>
                <w:b/>
                <w:bCs/>
                <w:sz w:val="18"/>
                <w:szCs w:val="18"/>
                <w:lang w:val="en-GB"/>
              </w:rPr>
              <w:br/>
              <w:t xml:space="preserve"> </w:t>
            </w:r>
            <w:r w:rsidRPr="002669EA">
              <w:rPr>
                <w:rFonts w:ascii="Times New Roman" w:hAnsi="Times New Roman" w:cs="Times New Roman"/>
                <w:b/>
                <w:bCs/>
                <w:sz w:val="18"/>
                <w:szCs w:val="18"/>
                <w:lang w:val="en-GB"/>
              </w:rPr>
              <w:fldChar w:fldCharType="begin"/>
            </w:r>
            <w:r w:rsidR="00FD0A75" w:rsidRPr="002669EA">
              <w:rPr>
                <w:rFonts w:ascii="Times New Roman" w:hAnsi="Times New Roman" w:cs="Times New Roman"/>
                <w:b/>
                <w:bCs/>
                <w:sz w:val="18"/>
                <w:szCs w:val="18"/>
                <w:lang w:val="en-GB"/>
              </w:rPr>
              <w:instrText xml:space="preserve"> ADDIN ZOTERO_ITEM CSL_CITATION {"citationID":"B93iY6r0","properties":{"formattedCitation":"[15,19\\uc0\\u8211{}25]","plainCitation":"[15,19–25]","noteIndex":0},"citationItems":[{"id":"uNES7Vp8/UKLi4YLo","uris":["http://zotero.org/users/12893963/items/75HWVE9E"],"itemData":{"id":407,"type":"article-journal","abstract":"Neonates and immunosuppressed/immunocompromised pediatric patients are at high risk of invasive fungal diseases. Appropriate antifungal selection and optimized dosing are imperative to the successful prevention and treatment of these life-threatening infections. Conventional amphotericin B was the mainstay of antifungal therapy for many decades, but dose-limiting nephrotoxicity and infusion-related adverse events impeded its use. Despite the development of several new antifungal classes and agents in the past 20 years, and their now routine use in at-risk pediatric populations, data to guide the optimal dosing of antifungals in children are limited. This paper reviews the spectra of activity for approved antifungal agents and summarizes the current literature specific to pediatric patients regarding pharmacokinetic/pharmacodynamic data, dosing, and therapeutic drug monitoring.","container-title":"Paediatric Drugs","DOI":"10.1007/s40272-020-00379-2","ISSN":"1179-2019","issue":"2","journalAbbreviation":"Paediatr Drugs","language":"eng","note":"PMID: 31974859\nPMCID: PMC7085453","page":"165-188","source":"PubMed","title":"Administration and Dosing of Systemic Antifungal Agents in Pediatric Patients","volume":"22","author":[{"family":"Downes","given":"Kevin J."},{"family":"Fisher","given":"Brian T."},{"family":"Zane","given":"Nicole R."}],"issued":{"date-parts":[["2020",4]]}},"label":"page"},{"id":"uNES7Vp8/EjIxxxip","uris":["http://zotero.org/users/12893963/items/J7CQM2C4"],"itemData":{"id":167,"type":"article-journal","abstract":"Invasive candidiasis (IC) is a relatively common syndrome in neonates and children and is associated with significant morbidity and mortality. These guidelines provide recommendations for the prevention and treatment of IC in neonates and children. Appropriate agents for the prevention of IC in neonates at high risk include fluconazole (A-I), nystatin (B-II) or lactoferrin ± Lactobacillus (B-II). The treatment of IC in neonates is complicated by the high likelihood of disseminated disease, including the possibility of infection within the central nervous system. Amphotericin B deoxycholate (B-II), liposomal amphotericin B (B-II), amphotericin B lipid complex (ABLC) (C-II), fluconazole (B-II), micafungin (B-II) and caspofungin (C-II) can all be potentially used. Recommendations for the prevention of IC in children are largely extrapolated from studies performed in adults with concomitant pharmacokinetic data and models in children. For allogeneic HSCT recipients, fluconazole (A-I), voriconazole (A-I), micafungin (A-I), itraconazole (B-II) and posaconazole (B-II) can all be used. Similar recommendations are made for the prevention of IC in children in other risk groups. With several exceptions, recommendations for the treatment of IC in children are extrapolated from adult studies, with concomitant pharmacokinetic studies. Amphotericin B deoxycholate (C-I), liposomal amphotericin B (A-I), ABLC (B-II), micafungin (A-I), caspofungin (A-I), anidulafungin (B-II), fluconazole (B-I) and voriconazole (B-I) can all be used.","container-title":"Clinical Microbiology and Infection: The Official Publication of the European Society of Clinical Microbiology and Infectious Diseases","DOI":"10.1111/1469-0691.12040","ISSN":"1469-0691","journalAbbreviation":"Clin Microbiol Infect","language":"eng","note":"PMID: 23137136","page":"38-52","source":"PubMed","title":"ESCMID* guideline for the diagnosis and management of Candida diseases 2012: prevention and management of invasive infections in neonates and children caused by Candida spp","title-short":"ESCMID* guideline for the diagnosis and management of Candida diseases 2012","volume":"18 Suppl 7","author":[{"family":"Hope","given":"W. W."},{"family":"Castagnola","given":"E."},{"family":"Groll","given":"A. H."},{"family":"Roilides","given":"E."},{"family":"Akova","given":"M."},{"family":"Arendrup","given":"M. C."},{"family":"Arikan-Akdagli","given":"S."},{"family":"Bassetti","given":"M."},{"family":"Bille","given":"J."},{"family":"Cornely","given":"O. A."},{"family":"Cuenca-Estrella","given":"M."},{"family":"Donnelly","given":"J. P."},{"family":"Garbino","given":"J."},{"family":"Herbrecht","given":"R."},{"family":"Jensen","given":"H. E."},{"family":"Kullberg","given":"B. J."},{"family":"Lass-Flörl","given":"C."},{"family":"Lortholary","given":"O."},{"family":"Meersseman","given":"W."},{"family":"Petrikkos","given":"G."},{"family":"Richardson","given":"M. D."},{"family":"Verweij","given":"P. E."},{"family":"Viscoli","given":"C."},{"family":"Ullmann","given":"A. J."},{"literal":"ESCMID Fungal Infection Study Group"}],"issued":{"date-parts":[["2012",12]]}},"label":"page"},{"id":"uNES7Vp8/pzDO8PVI","uris":["http://zotero.org/users/12893963/items/WKNEPPF2"],"itemData":{"id":170,"type":"article-journal","abstract":"Invasive candidiasis accounts for approximately 10% of nosocomial infections in preterm infants, with an incidence of 1% to 4% among neonatal intensive care unit (NICU) admissions and a mortality as high as 20% to 30%. These outcomes warrant improved treatment and prevention strategies for infants at highest risk. The Infectious Diseases Society of America provides guidelines on antifungal medications for the prophylaxis and treatment of candidiasis in NICUs; however, there are still variations in practice on the use of fluconazole for prophylaxis and treatment of invasive candidiasis. This review provides specific information regarding fluconazole activity, pharmacokinetics, and a literature evaluation of dosing strategies and comparisons to other treatments in the neonatal population.","container-title":"The journal of pediatric pharmacology and therapeutics: JPPT: the official journal of PPAG","DOI":"10.5863/1551-6776-26.2.115","ISSN":"1551-6776","issue":"2","journalAbbreviation":"J Pediatr Pharmacol Ther","language":"eng","note":"PMID: 33603574\nPMCID: PMC7887891","page":"115-122","source":"PubMed","title":"Review of Fluconazole Treatment and Prophylaxis for Invasive Candidiasis in Neonates","volume":"26","author":[{"family":"Hornik","given":"Chi D."},{"family":"Bondi","given":"Deborah S."},{"family":"Greene","given":"Nicole M."},{"family":"Cober","given":"M. Petrea"},{"family":"John","given":"Barnabas"}],"issued":{"date-parts":[["2021"]]}},"label":"page"},{"id":"uNES7Vp8/kM57IJKG","uris":["http://zotero.org/users/12893963/items/WFXEIC3Z"],"itemData":{"id":137,"type":"article-journal","abstract":"Background\nYoung infants are susceptible to developmental factors influencing the pharmacokinetics of drugs. Fluconazole is increasingly used to prevent and treat invasive candidiasis in infants. Dosing guidance remains empiric and variable because limited pharmacokinetic data exist.\n\nMethods\nOur population PK model derived from 357 fluconazole plasma concentrations from 55 infants (23–40 week gestation) illustrates expected changes in fluconazole clearance based upon gestational age, postnatal age, weight, and creatinine. We used a Monte Carlo simulation approach based on parametric description of a patient population’s pharmacokinetic response to fluconazole to predict fluconazole exposure (median, 10th and 90th percentile population variability range) after 3, 6 and 12 mg/kg dosing.\n\nResults\nFor the treatment of invasive candidiasis, a dose of at least 12 mg/kg/day in the 1st 90 days after birth is needed to achieve an AUC of &gt;400 mg*h/L and an AUC/MIC&gt;50 for Candida species with MIC&lt;8 µg/ml in ≥ 90% of &lt;30 week gestation infants and 80% of 30–40 week gestation infants. The more preterm infants achieve a higher median AUC (682 mg*hr/L) compared with more mature infants (520 mg*hr/L). For early prevention of candidiasis in 23–29 week infants, a dose of 3 or 6 mg/kg twice weekly during the first 42 days of life is equivalent to an AUC of 50 and 100 mg*hr/L, respectively, and maintains fluconazole concentrations ≥ 2 or 4 µg/ml, respectively, for half of the dosing interval. For late prevention, the 6 mg/kg dose every 72 hours provides similar exposure to 3 mg/kg daily dose. Infants with serum creatinine ≥ 1.3 mg/dl have delayed drug clearance and dose adjustment is indicated if creatinine does not improve within 96 hours.\n\nConclusions\nA therapeutic concentration of fluconazole in premature infants with invasive candidiasis requires dosing substantially greater than commonly recommended in most reference texts. To prevent invasive candidiasis, twice weekly prophylaxis regimens can provide adequate exposure when unit specific MICs are taken into account.","container-title":"The Pediatric infectious disease journal","DOI":"10.1097/INF.0b013e31819f1f50","ISSN":"0891-3668","issue":"8","journalAbbreviation":"Pediatr Infect Dis J","note":"PMID: 19593252\nPMCID: PMC2771384","page":"717-723","source":"PubMed Central","title":"Fluconazole Dosing for the Prevention or Treatment of Invasive Candidiasis in Young Infants","volume":"28","author":[{"family":"Wade","given":"Kelly C."},{"family":"Benjamin","given":"Daniel K."},{"family":"Kaufman","given":"David A."},{"family":"Ward","given":"Robert M."},{"family":"Smith","given":"P. Brian"},{"family":"Jayaraman","given":"Bhuvana"},{"family":"Adamson","given":"Peter C."},{"family":"Gastonguay","given":"Marc R."},{"family":"Barrett","given":"Jeffrey S."}],"issued":{"date-parts":[["2009",8]]}},"label":"page"},{"id":"uNES7Vp8/emwOSI5m","uris":["http://zotero.org/users/12893963/items/HC3QGQC6"],"itemData":{"id":157,"type":"article-journal","abstract":"AIMS: The pharmacokinetics (PK) of fluconazole and micafungin differ in neonates compared with children and adults. Dosing instructions in product labels appear to be inconsistent with the emerging scientific evidence. Limited information is available on the safety profile of these agents in neonates. Our objective was to study the population PK and safety of both drugs, randomly administered in neonates with suspected or confirmed systemic candidiasis.\nMETHODS: Neonates were randomized 1:1 to fluconazole (loading dose 25 mg kg-1 ; maintenance dose 12 mg kg-1 day-1 or 20 mg kg-1 day-1 , respectively, for infants &lt;30 weeks or ≥30 weeks' corrected gestational age) or micafungin (loading dose 15 mg kg-1 day-1 ; maintenance dose 10 mg kg-1 day-1 ). PK samples were taken on treatment days 1 and 5. Population parameters were determined using NONMEM and Monte Carlo simulations performed to reach predefined targets. Clinical and laboratory data, and adverse events were collected up to 36 weeks' corrected gestational age or hospital discharge.\nRESULTS: Thirty-six neonates were enrolled. The median (range) gestational age was 28.2 (24.1-40.1) and 26.8 (23.5-40.0) weeks for fluconazole and micafungin, respectively. Based on 163 PK samples, the median population clearance (l h-1 kg-1 ) and volume of distribution (l kg-1 ) for fluconazole were: 0.015 [95% confidence interval (CI) 0.008, 0.039] and 0.913, and for micafungin were: 0.020 (95% CI 0.010, 0.023) and 0.354 (95% CI 0.225, 0.482), respectively. The loading dose was well tolerated. No adverse events associated with micafungin or fluconazole were reported.\nCONCLUSION: Based on Monte Carlo simulations, a loading dose for fluconazole and dosing higher than recommended for both drugs are required to increase the area under the plasma drug concentration-time curve target attainment rate in neonates.","container-title":"British Journal of Clinical Pharmacology","DOI":"10.1111/bcp.13628","ISSN":"1365-2125","issue":"9","journalAbbreviation":"Br J Clin Pharmacol","language":"eng","note":"PMID: 29744900\nPMCID: PMC6089805","page":"1989-1999","source":"PubMed","title":"Pharmacokinetics and safety of fluconazole and micafungin in neonates with systemic candidiasis: a randomized, open-label clinical trial","title-short":"Pharmacokinetics and safety of fluconazole and micafungin in neonates with systemic candidiasis","volume":"84","author":[{"family":"Leroux","given":"S."},{"family":"Jacqz-Aigrain","given":"E."},{"family":"Elie","given":"V."},{"family":"Legrand","given":"F."},{"family":"Barin-Le Guellec","given":"C."},{"family":"Aurich","given":"B."},{"family":"Biran","given":"V."},{"family":"Dusang","given":"B."},{"family":"Goudjil","given":"S."},{"family":"Coopman","given":"S."},{"family":"Garcia Sanchez","given":"R."},{"family":"Zhao","given":"W."},{"family":"Manzoni","given":"P."},{"literal":"FP7 TINN (Treat Infections in NeoNates) consortium"}],"issued":{"date-parts":[["2018",9]]}},"label":"page"},{"id":"uNES7Vp8/hi2mIhDh","uris":["http://zotero.org/users/12893963/items/IMSQIM29"],"itemData":{"id":208,"type":"article-journal","abstract":"BACKGROUND: Invasive candidiasis is a leading cause of morbidity and mortality in critically ill infants. Prompt administration of fluconazole and achievement of the therapeutic target (area under the curve 0 to 24 hours &gt;400 mg*h/L) improve outcomes in candidemic patients. A loading dose of fluconazole is advised for older patients but has not been evaluated in infants. We sought to determine the pharmacokinetics and safety of a fluconazole loading dose in infants at risk for invasive fungal infection.\nMETHODS: We enrolled 10 hospitalized infants &lt;60 days old with suspected systemic fungal infection in this open-label study; 9 received a 25-mg/kg fluconazole loading dose followed by a maintenance dose of 12 mg/kg every 24 hours for 4 additional days. Plasma samples were obtained following the loading and steady-state doses (doses 3-5). We used a 1-compartment model to fit the data to estimate pharmacokinetic indices.\nRESULTS: Data from 57 drug concentrations obtained from 8 infants (median postnatal age, 16 days [interquartile range, 13-32] and median gestational age, 37 weeks [35-38]) showed that the median fluconazole area under the curve 0 to 24 hours (mg*h/L) in this population was 479 (347-496). Of the 8 infants who received the loading dose, 5 (63%) achieved the therapeutic target on the first day of dosing, and all infants achieved a fluconazole 24-hour trough concentration &gt;8 μg/mL. No adverse events were thought to be related to fluconazole therapy.\nCONCLUSIONS: A loading dose of fluconazole (25 mg/kg) was safe in this small cohort of young infants and achieved the therapeutic target more rapidly than traditional dosing.","container-title":"The Pediatric Infectious Disease Journal","DOI":"10.1097/INF.0b013e318202cbb3","ISSN":"1532-0987","issue":"5","journalAbbreviation":"Pediatr Infect Dis J","language":"eng","note":"PMID: 21085048\nPMCID: PMC3078721","page":"375-378","source":"PubMed","title":"Fluconazole loading dose pharmacokinetics and safety in infants","volume":"30","author":[{"family":"Piper","given":"Lauren"},{"family":"Smith","given":"P. Brian"},{"family":"Hornik","given":"Christoph P."},{"family":"Cheifetz","given":"Ira M."},{"family":"Barrett","given":"Jeffrey S."},{"family":"Moorthy","given":"Ganesh"},{"family":"Hope","given":"William W."},{"family":"Wade","given":"Kelly C."},{"family":"Cohen-Wolkowiez","given":"Michael"},{"family":"Benjamin","given":"Daniel K."}],"issued":{"date-parts":[["2011",5]]}},"label":"page"},{"id":7622,"uris":["http://zotero.org/users/9451856/items/NQ7ARXBZ"],"itemData":{"id":7622,"type":"article-journal","abstract":"BACKGROUND: Invasive candidiasis (IC) is an important cause of sepsis in premature infants and is associated with a high risk of death and neurodevelopmental impairment. Prevention of IC has become a major focus in very low birth weight infants, with fluconazole increasingly used as prophylaxis.\nMETHODS: We identified all randomized, placebo-controlled trials evaluating fluconazole prophylaxis in premature infants conducted in the United States. We obtained patient-level data from the study investigators and performed an aggregated analysis. The occurrence of each endpoint in infants who received prophylaxis with fluconazole vs placebo was compared. Endpoints evaluated were IC or death, IC, death, Candida colonization, and fluconazole resistance among tested isolates. Safety endpoints evaluated included clinical and laboratory parameters.\nRESULTS: Fluconazole prophylaxis reduced the odds of IC or death, IC, and Candida colonization during the drug exposure period compared with infants given placebo: odds ratios of 0.48 (95% confidence interval [CI], .30-.78), 0.20 (95% CI, .08-.51), and 0.28 (95% CI, .18-.41), respectively. The incidence of clinical and laboratory adverse events was similar for infants who received fluconazole compared with placebo. There was no statistically significant difference in the proportion of tested isolates that were resistant to fluconazole between the fluconazole and placebo groups.\nCONCLUSIONS: Fluconazole prophylaxis is effective and safe in reducing IC and Candida colonization in premature infants, and has no impact on resistance.","container-title":"Clinical Infectious Diseases: An Official Publication of the Infectious Diseases Society of America","DOI":"10.1093/cid/ciw363","ISSN":"1537-6591","issue":"5","journalAbbreviation":"Clin Infect Dis","language":"eng","note":"PMID: 27298330\nPMCID: PMC4981761","page":"604-610","source":"PubMed","title":"Fluconazole Prophylaxis for the Prevention of Candidiasis in Premature Infants: A Meta-analysis Using Patient-level Data","title-short":"Fluconazole Prophylaxis for the Prevention of Candidiasis in Premature Infants","volume":"63","author":[{"family":"Ericson","given":"Jessica E."},{"family":"Kaufman","given":"David A."},{"family":"Kicklighter","given":"Stephen D."},{"family":"Bhatia","given":"Jatinder"},{"family":"Testoni","given":"Daniela"},{"family":"Gao","given":"Jamie"},{"family":"Smith","given":"P. Brian"},{"family":"Prather","given":"Kristi O."},{"family":"Benjamin","given":"Daniel K."},{"literal":"Fluconazole Prophylaxis Study Team on behalf of the Best Pharmaceuticals for Children Act–Pediatric Trials Network Steering Committeea"},{"literal":"Fluconazole Prophylaxis Study Team on behalf of the Best Pharmaceuticals for Children Act–Pediatric Trials Network Steering Committee"}],"issued":{"date-parts":[["2016",9,1]]}}},{"id":7630,"uris":["http://zotero.org/users/9451856/items/F62NI25C"],"itemData":{"id":7630,"type":"article-journal","abstract":"OBJECTIVES: To evaluate the safety and efficacy of different doses of fluconazole used for invasive prophylaxis of fungal infection in neonates.\nSTUDY DESIGN: A systematic search was conducted with PubMed, Scopus, and Web of Science. A manual search was performed as well. Only randomized controlled trials of neonates in a neonatal intensive care unit (NICU) who received fluconazole prophylaxis for invasive fungal infection, regardless of the dose or therapeutic regimen, were included in this review. Data on baseline characteristics, outcomes incidence of proven invasive Candida infection, overall mortality, and invasive Candida infection-related mortality were extracted.\nRESULTS: Eleven studies were included in the review, with fluconazole doses of 3, 4, or 6?mg/kg. When the incidence of invasive Candida and invasive Candida-related mortality were considered as outcomes, the 3 and 6?mg/kg fluconazole doses were found to be statistically superior to placebo (OR, 5.48 [95% credible interval, 1.81-18.94] and 2.63 [1.18-7.02], respectively, and 15.32 [1.54-54.31] and 9.14 [1.26-142.7], respectively), but data for the 3 doses were not statistically significantly different.\nCONCLUSIONS: Use of the lowest fluconazole dose (3?mg/kg) should be recommended for Candida prophylaxis in neonates, given that increasing the fluconazole dose is not associated with higher efficacy and has greater potential for toxicity and increased cost.","container-title":"The Journal of Pediatrics","DOI":"10.1016/j.jpeds.2017.02.039","ISSN":"1097-6833","journalAbbreviation":"J Pediatr","language":"eng","note":"PMID: 28285752","page":"129-135.e6","source":"PubMed","title":"Fluconazole Doses Used for Prophylaxis of Invasive Fungal Infection in Neonatal Intensive Care Units: A Network Meta-Analysis","title-short":"Fluconazole Doses Used for Prophylaxis of Invasive Fungal Infection in Neonatal Intensive Care Units","volume":"185","author":[{"family":"Leonart","given":"Letícia Paula"},{"family":"Tonin","given":"Fernanda Stumpf"},{"family":"Ferreira","given":"Vinicius Lins"},{"family":"Tavares da Silva Penteado","given":"Suelem"},{"family":"Araújo Motta","given":"Fábio","non-dropping-particle":"de"},{"family":"Pontarolo","given":"Roberto"}],"issued":{"date-parts":[["2017",6]]}}}],"schema":"https://github.com/citation-style-language/schema/raw/master/csl-citation.json"} </w:instrText>
            </w:r>
            <w:r w:rsidRPr="002669EA">
              <w:rPr>
                <w:rFonts w:ascii="Times New Roman" w:hAnsi="Times New Roman" w:cs="Times New Roman"/>
                <w:b/>
                <w:bCs/>
                <w:sz w:val="18"/>
                <w:szCs w:val="18"/>
                <w:lang w:val="en-GB"/>
              </w:rPr>
              <w:fldChar w:fldCharType="separate"/>
            </w:r>
            <w:r w:rsidR="00FD0A75" w:rsidRPr="002669EA">
              <w:rPr>
                <w:rFonts w:ascii="Times New Roman" w:hAnsi="Times New Roman" w:cs="Times New Roman"/>
                <w:kern w:val="0"/>
                <w:sz w:val="18"/>
                <w:lang w:val="en-US"/>
              </w:rPr>
              <w:t>[15,19–25]</w:t>
            </w:r>
            <w:r w:rsidRPr="002669EA">
              <w:rPr>
                <w:rFonts w:ascii="Times New Roman" w:hAnsi="Times New Roman" w:cs="Times New Roman"/>
                <w:b/>
                <w:bCs/>
                <w:sz w:val="18"/>
                <w:szCs w:val="18"/>
                <w:lang w:val="en-GB"/>
              </w:rPr>
              <w:fldChar w:fldCharType="end"/>
            </w:r>
            <w:r w:rsidRPr="002669EA">
              <w:rPr>
                <w:rFonts w:ascii="Times New Roman" w:hAnsi="Times New Roman" w:cs="Times New Roman"/>
                <w:b/>
                <w:bCs/>
                <w:sz w:val="18"/>
                <w:szCs w:val="18"/>
                <w:lang w:val="en-GB"/>
              </w:rPr>
              <w:t xml:space="preserve"> </w:t>
            </w:r>
          </w:p>
          <w:p w14:paraId="1D788FB8" w14:textId="77777777" w:rsidR="00F053F9" w:rsidRPr="002669EA" w:rsidRDefault="00F053F9" w:rsidP="00F053F9">
            <w:pPr>
              <w:jc w:val="center"/>
              <w:rPr>
                <w:rFonts w:ascii="Times New Roman" w:hAnsi="Times New Roman" w:cs="Times New Roman"/>
                <w:b/>
                <w:bCs/>
                <w:lang w:val="en-GB"/>
              </w:rPr>
            </w:pPr>
          </w:p>
          <w:p w14:paraId="352E4E13" w14:textId="77777777" w:rsidR="00F053F9" w:rsidRPr="002669EA" w:rsidRDefault="00F053F9" w:rsidP="00F053F9">
            <w:pPr>
              <w:jc w:val="center"/>
              <w:rPr>
                <w:rFonts w:ascii="Times New Roman" w:hAnsi="Times New Roman" w:cs="Times New Roman"/>
                <w:b/>
                <w:bCs/>
                <w:lang w:val="en-US"/>
              </w:rPr>
            </w:pPr>
          </w:p>
        </w:tc>
        <w:tc>
          <w:tcPr>
            <w:tcW w:w="2492" w:type="dxa"/>
          </w:tcPr>
          <w:p w14:paraId="4C760CA3" w14:textId="56D47A09" w:rsidR="00F053F9" w:rsidRPr="002669EA" w:rsidRDefault="00F053F9"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Inhibition of fungal cytochrome P450 activity and ergosterol synthesis, with accumulation of toxic sterols in the cell membrane leading to fungal cell membrane disruption, cell content leakage, lysis and cell death</w:t>
            </w:r>
            <w:r w:rsidR="0045681C" w:rsidRPr="002669EA">
              <w:rPr>
                <w:rFonts w:ascii="Times New Roman" w:hAnsi="Times New Roman" w:cs="Times New Roman"/>
                <w:sz w:val="18"/>
                <w:szCs w:val="18"/>
                <w:lang w:val="en-GB"/>
              </w:rPr>
              <w:t>.</w:t>
            </w:r>
          </w:p>
        </w:tc>
        <w:tc>
          <w:tcPr>
            <w:tcW w:w="3846" w:type="dxa"/>
          </w:tcPr>
          <w:p w14:paraId="0CBEDCE8" w14:textId="3C1D49D4" w:rsidR="00F053F9" w:rsidRPr="002669EA" w:rsidRDefault="00F053F9"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Treatment of invasive infections by susceptible Candida species (minimal activity against </w:t>
            </w:r>
            <w:r w:rsidRPr="002669EA">
              <w:rPr>
                <w:rFonts w:ascii="Times New Roman" w:hAnsi="Times New Roman" w:cs="Times New Roman"/>
                <w:i/>
                <w:iCs/>
                <w:sz w:val="18"/>
                <w:szCs w:val="18"/>
                <w:lang w:val="en-GB"/>
              </w:rPr>
              <w:t xml:space="preserve">C. glabrata, </w:t>
            </w:r>
            <w:r w:rsidRPr="002669EA">
              <w:rPr>
                <w:rFonts w:ascii="Times New Roman" w:hAnsi="Times New Roman" w:cs="Times New Roman"/>
                <w:sz w:val="18"/>
                <w:szCs w:val="18"/>
                <w:lang w:val="en-GB"/>
              </w:rPr>
              <w:t>no activity against </w:t>
            </w:r>
            <w:r w:rsidRPr="002669EA">
              <w:rPr>
                <w:rFonts w:ascii="Times New Roman" w:hAnsi="Times New Roman" w:cs="Times New Roman"/>
                <w:i/>
                <w:iCs/>
                <w:sz w:val="18"/>
                <w:szCs w:val="18"/>
                <w:lang w:val="en-GB"/>
              </w:rPr>
              <w:t xml:space="preserve">C. </w:t>
            </w:r>
            <w:proofErr w:type="spellStart"/>
            <w:r w:rsidRPr="002669EA">
              <w:rPr>
                <w:rFonts w:ascii="Times New Roman" w:hAnsi="Times New Roman" w:cs="Times New Roman"/>
                <w:i/>
                <w:iCs/>
                <w:sz w:val="18"/>
                <w:szCs w:val="18"/>
                <w:lang w:val="en-GB"/>
              </w:rPr>
              <w:t>kruseii</w:t>
            </w:r>
            <w:proofErr w:type="spellEnd"/>
            <w:r w:rsidRPr="002669EA">
              <w:rPr>
                <w:rFonts w:ascii="Times New Roman" w:hAnsi="Times New Roman" w:cs="Times New Roman"/>
                <w:i/>
                <w:iCs/>
                <w:sz w:val="18"/>
                <w:szCs w:val="18"/>
                <w:lang w:val="en-GB"/>
              </w:rPr>
              <w:t xml:space="preserve">), </w:t>
            </w:r>
            <w:r w:rsidRPr="002669EA">
              <w:rPr>
                <w:rFonts w:ascii="Times New Roman" w:hAnsi="Times New Roman" w:cs="Times New Roman"/>
                <w:sz w:val="18"/>
                <w:szCs w:val="18"/>
                <w:lang w:val="en-GB"/>
              </w:rPr>
              <w:t>mucosal candidiasis (oropharyngeal, oesophageal), cryptococcal meningitis</w:t>
            </w:r>
            <w:r w:rsidR="0045681C" w:rsidRPr="002669EA">
              <w:rPr>
                <w:rFonts w:ascii="Times New Roman" w:hAnsi="Times New Roman" w:cs="Times New Roman"/>
                <w:sz w:val="18"/>
                <w:szCs w:val="18"/>
                <w:lang w:val="en-GB"/>
              </w:rPr>
              <w:t>.</w:t>
            </w:r>
            <w:r w:rsidRPr="002669EA">
              <w:rPr>
                <w:rFonts w:ascii="Times New Roman" w:hAnsi="Times New Roman" w:cs="Times New Roman"/>
                <w:sz w:val="18"/>
                <w:szCs w:val="18"/>
                <w:lang w:val="en-GB"/>
              </w:rPr>
              <w:br/>
              <w:t>- An alternative therapy of IC in neonates not been on fluconazole prophylaxis.</w:t>
            </w:r>
          </w:p>
          <w:p w14:paraId="2505325F" w14:textId="189DC82E" w:rsidR="00F053F9" w:rsidRPr="002669EA" w:rsidRDefault="00F053F9" w:rsidP="00F053F9">
            <w:pPr>
              <w:autoSpaceDE w:val="0"/>
              <w:autoSpaceDN w:val="0"/>
              <w:adjustRightInd w:val="0"/>
              <w:rPr>
                <w:rFonts w:ascii="Times New Roman" w:hAnsi="Times New Roman" w:cs="Times New Roman"/>
                <w:i/>
                <w:iCs/>
                <w:sz w:val="19"/>
                <w:szCs w:val="19"/>
                <w:lang w:val="en-GB"/>
              </w:rPr>
            </w:pPr>
            <w:r w:rsidRPr="002669EA">
              <w:rPr>
                <w:rFonts w:ascii="Times New Roman" w:hAnsi="Times New Roman" w:cs="Times New Roman"/>
                <w:sz w:val="18"/>
                <w:szCs w:val="18"/>
                <w:lang w:val="en-GB"/>
              </w:rPr>
              <w:t>- A step-down treatment of Candida meningitis after response to initial therapy</w:t>
            </w:r>
            <w:r w:rsidR="0045681C" w:rsidRPr="002669EA">
              <w:rPr>
                <w:rFonts w:ascii="Times New Roman" w:hAnsi="Times New Roman" w:cs="Times New Roman"/>
                <w:sz w:val="18"/>
                <w:szCs w:val="18"/>
                <w:lang w:val="en-GB"/>
              </w:rPr>
              <w:t>.</w:t>
            </w:r>
            <w:r w:rsidRPr="002669EA">
              <w:rPr>
                <w:rFonts w:ascii="Times New Roman" w:hAnsi="Times New Roman" w:cs="Times New Roman"/>
                <w:sz w:val="18"/>
                <w:szCs w:val="18"/>
                <w:lang w:val="en-GB"/>
              </w:rPr>
              <w:t xml:space="preserve"> </w:t>
            </w:r>
            <w:r w:rsidRPr="002669EA">
              <w:rPr>
                <w:rFonts w:ascii="Times New Roman" w:hAnsi="Times New Roman" w:cs="Times New Roman"/>
                <w:sz w:val="18"/>
                <w:szCs w:val="18"/>
                <w:highlight w:val="yellow"/>
                <w:lang w:val="en-GB"/>
              </w:rPr>
              <w:br/>
            </w:r>
            <w:r w:rsidRPr="002669EA">
              <w:rPr>
                <w:rFonts w:ascii="Times New Roman" w:hAnsi="Times New Roman" w:cs="Times New Roman"/>
                <w:sz w:val="18"/>
                <w:szCs w:val="18"/>
                <w:lang w:val="en-GB"/>
              </w:rPr>
              <w:t xml:space="preserve">- Prophylaxis of Candida infections, in nurseries with high rates (&gt;10%) of </w:t>
            </w:r>
            <w:r w:rsidR="00371FE6" w:rsidRPr="002669EA">
              <w:rPr>
                <w:rFonts w:ascii="Times New Roman" w:hAnsi="Times New Roman" w:cs="Times New Roman"/>
                <w:sz w:val="18"/>
                <w:szCs w:val="18"/>
                <w:lang w:val="en-GB"/>
              </w:rPr>
              <w:t>IC</w:t>
            </w:r>
            <w:r w:rsidR="0045681C" w:rsidRPr="002669EA">
              <w:rPr>
                <w:rFonts w:ascii="Times New Roman" w:hAnsi="Times New Roman" w:cs="Times New Roman"/>
                <w:sz w:val="18"/>
                <w:szCs w:val="18"/>
                <w:lang w:val="en-GB"/>
              </w:rPr>
              <w:t>.</w:t>
            </w:r>
          </w:p>
        </w:tc>
        <w:tc>
          <w:tcPr>
            <w:tcW w:w="1977" w:type="dxa"/>
          </w:tcPr>
          <w:p w14:paraId="536A21DB" w14:textId="44A05994" w:rsidR="00F053F9" w:rsidRPr="002669EA" w:rsidRDefault="00B71248" w:rsidP="00F053F9">
            <w:pPr>
              <w:autoSpaceDE w:val="0"/>
              <w:autoSpaceDN w:val="0"/>
              <w:adjustRightInd w:val="0"/>
              <w:rPr>
                <w:rFonts w:ascii="Times New Roman" w:hAnsi="Times New Roman" w:cs="Times New Roman"/>
                <w:lang w:val="en-US"/>
              </w:rPr>
            </w:pPr>
            <w:r w:rsidRPr="002669EA">
              <w:rPr>
                <w:rFonts w:ascii="Times New Roman" w:hAnsi="Times New Roman" w:cs="Times New Roman"/>
                <w:sz w:val="18"/>
                <w:szCs w:val="18"/>
                <w:u w:val="single"/>
                <w:lang w:val="en-GB"/>
              </w:rPr>
              <w:t xml:space="preserve">- </w:t>
            </w:r>
            <w:r w:rsidR="00F053F9" w:rsidRPr="002669EA">
              <w:rPr>
                <w:rFonts w:ascii="Times New Roman" w:hAnsi="Times New Roman" w:cs="Times New Roman"/>
                <w:sz w:val="18"/>
                <w:szCs w:val="18"/>
                <w:u w:val="single"/>
                <w:lang w:val="en-GB"/>
              </w:rPr>
              <w:t>Treatment:</w:t>
            </w:r>
            <w:r w:rsidR="00F053F9" w:rsidRPr="002669EA">
              <w:rPr>
                <w:rFonts w:ascii="Times New Roman" w:hAnsi="Times New Roman" w:cs="Times New Roman"/>
                <w:sz w:val="18"/>
                <w:szCs w:val="18"/>
                <w:lang w:val="en-GB"/>
              </w:rPr>
              <w:br/>
              <w:t xml:space="preserve">Loading dose: 25 mg/kg, </w:t>
            </w:r>
            <w:r w:rsidR="0045681C" w:rsidRPr="002669EA">
              <w:rPr>
                <w:rFonts w:ascii="Times New Roman" w:hAnsi="Times New Roman" w:cs="Times New Roman"/>
                <w:sz w:val="18"/>
                <w:szCs w:val="18"/>
                <w:lang w:val="en-GB"/>
              </w:rPr>
              <w:t>IV;</w:t>
            </w:r>
            <w:r w:rsidR="00F053F9" w:rsidRPr="002669EA">
              <w:rPr>
                <w:rFonts w:ascii="Times New Roman" w:hAnsi="Times New Roman" w:cs="Times New Roman"/>
                <w:sz w:val="18"/>
                <w:szCs w:val="18"/>
                <w:lang w:val="en-GB"/>
              </w:rPr>
              <w:br/>
              <w:t>maintenance dose: 12 mg/kg/d once a day, start</w:t>
            </w:r>
            <w:r w:rsidR="0045681C" w:rsidRPr="002669EA">
              <w:rPr>
                <w:rFonts w:ascii="Times New Roman" w:hAnsi="Times New Roman" w:cs="Times New Roman"/>
                <w:sz w:val="18"/>
                <w:szCs w:val="18"/>
                <w:lang w:val="en-GB"/>
              </w:rPr>
              <w:t>ing</w:t>
            </w:r>
            <w:r w:rsidR="00F053F9" w:rsidRPr="002669EA">
              <w:rPr>
                <w:rFonts w:ascii="Times New Roman" w:hAnsi="Times New Roman" w:cs="Times New Roman"/>
                <w:sz w:val="18"/>
                <w:szCs w:val="18"/>
                <w:lang w:val="en-GB"/>
              </w:rPr>
              <w:t xml:space="preserve"> 24 hours after loading dose</w:t>
            </w:r>
            <w:r w:rsidR="0045681C" w:rsidRPr="002669EA">
              <w:rPr>
                <w:rFonts w:ascii="Times New Roman" w:hAnsi="Times New Roman" w:cs="Times New Roman"/>
                <w:sz w:val="18"/>
                <w:szCs w:val="18"/>
                <w:lang w:val="en-GB"/>
              </w:rPr>
              <w:t>.</w:t>
            </w:r>
            <w:r w:rsidR="00F053F9" w:rsidRPr="002669EA">
              <w:rPr>
                <w:rFonts w:ascii="Times New Roman" w:hAnsi="Times New Roman" w:cs="Times New Roman"/>
                <w:sz w:val="18"/>
                <w:szCs w:val="18"/>
                <w:lang w:val="en-GB"/>
              </w:rPr>
              <w:br/>
            </w:r>
            <w:r w:rsidR="0045681C" w:rsidRPr="002669EA">
              <w:rPr>
                <w:rFonts w:ascii="Times New Roman" w:hAnsi="Times New Roman" w:cs="Times New Roman"/>
                <w:sz w:val="18"/>
                <w:szCs w:val="18"/>
                <w:u w:val="single"/>
                <w:lang w:val="en-GB"/>
              </w:rPr>
              <w:t xml:space="preserve">- </w:t>
            </w:r>
            <w:r w:rsidR="00F053F9" w:rsidRPr="002669EA">
              <w:rPr>
                <w:rFonts w:ascii="Times New Roman" w:hAnsi="Times New Roman" w:cs="Times New Roman"/>
                <w:sz w:val="18"/>
                <w:szCs w:val="18"/>
                <w:u w:val="single"/>
                <w:lang w:val="en-GB"/>
              </w:rPr>
              <w:t>Prophylaxis:</w:t>
            </w:r>
            <w:r w:rsidR="00F053F9" w:rsidRPr="002669EA">
              <w:rPr>
                <w:rFonts w:ascii="Times New Roman" w:hAnsi="Times New Roman" w:cs="Times New Roman"/>
                <w:sz w:val="18"/>
                <w:szCs w:val="18"/>
                <w:lang w:val="en-GB"/>
              </w:rPr>
              <w:br/>
              <w:t>3-6 mg/kg every 72h for 4-6 weeks</w:t>
            </w:r>
            <w:r w:rsidR="0045681C" w:rsidRPr="002669EA">
              <w:rPr>
                <w:rFonts w:ascii="Times New Roman" w:hAnsi="Times New Roman" w:cs="Times New Roman"/>
                <w:sz w:val="18"/>
                <w:szCs w:val="18"/>
                <w:lang w:val="en-GB"/>
              </w:rPr>
              <w:t>.</w:t>
            </w:r>
          </w:p>
        </w:tc>
        <w:tc>
          <w:tcPr>
            <w:tcW w:w="5602" w:type="dxa"/>
          </w:tcPr>
          <w:p w14:paraId="29A1A301" w14:textId="708D48BE" w:rsidR="00F053F9" w:rsidRPr="002669EA" w:rsidRDefault="0045681C"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xml:space="preserve">- </w:t>
            </w:r>
            <w:r w:rsidR="00F053F9" w:rsidRPr="002669EA">
              <w:rPr>
                <w:rFonts w:ascii="Times New Roman" w:hAnsi="Times New Roman" w:cs="Times New Roman"/>
                <w:sz w:val="18"/>
                <w:szCs w:val="18"/>
                <w:lang w:val="en-GB"/>
              </w:rPr>
              <w:t xml:space="preserve">Most common adverse effects: gastrointestinal irritation and elevation in liver function tests. </w:t>
            </w:r>
            <w:r w:rsidR="00F053F9" w:rsidRPr="002669EA">
              <w:rPr>
                <w:rFonts w:ascii="Times New Roman" w:hAnsi="Times New Roman" w:cs="Times New Roman"/>
                <w:sz w:val="18"/>
                <w:szCs w:val="18"/>
                <w:lang w:val="en-GB"/>
              </w:rPr>
              <w:br/>
            </w:r>
            <w:r w:rsidRPr="002669EA">
              <w:rPr>
                <w:rFonts w:ascii="Times New Roman" w:hAnsi="Times New Roman" w:cs="Times New Roman"/>
                <w:sz w:val="18"/>
                <w:szCs w:val="18"/>
                <w:lang w:val="en-GB"/>
              </w:rPr>
              <w:t xml:space="preserve">- </w:t>
            </w:r>
            <w:r w:rsidR="00F053F9" w:rsidRPr="002669EA">
              <w:rPr>
                <w:rFonts w:ascii="Times New Roman" w:hAnsi="Times New Roman" w:cs="Times New Roman"/>
                <w:sz w:val="18"/>
                <w:szCs w:val="18"/>
                <w:lang w:val="en-GB"/>
              </w:rPr>
              <w:t xml:space="preserve">Rare: Rash, leukopenia, neutropenia, agranulocytosis and thrombocytopenia. Weekly monitoring of </w:t>
            </w:r>
            <w:r w:rsidRPr="002669EA">
              <w:rPr>
                <w:rFonts w:ascii="Times New Roman" w:hAnsi="Times New Roman" w:cs="Times New Roman"/>
                <w:sz w:val="18"/>
                <w:szCs w:val="18"/>
                <w:lang w:val="en-GB"/>
              </w:rPr>
              <w:t>liver enzymes.</w:t>
            </w:r>
            <w:r w:rsidR="00F053F9" w:rsidRPr="002669EA">
              <w:rPr>
                <w:rFonts w:ascii="Times New Roman" w:hAnsi="Times New Roman" w:cs="Times New Roman"/>
                <w:sz w:val="18"/>
                <w:szCs w:val="18"/>
                <w:lang w:val="en-GB"/>
              </w:rPr>
              <w:t xml:space="preserve"> </w:t>
            </w:r>
          </w:p>
        </w:tc>
      </w:tr>
      <w:tr w:rsidR="00F053F9" w:rsidRPr="002669EA" w14:paraId="470211E9" w14:textId="77777777" w:rsidTr="00F053F9">
        <w:tc>
          <w:tcPr>
            <w:tcW w:w="1960" w:type="dxa"/>
          </w:tcPr>
          <w:p w14:paraId="7D614AD4" w14:textId="77777777" w:rsidR="00F053F9" w:rsidRPr="002669EA" w:rsidRDefault="00F053F9" w:rsidP="00F053F9">
            <w:pPr>
              <w:autoSpaceDE w:val="0"/>
              <w:autoSpaceDN w:val="0"/>
              <w:adjustRightInd w:val="0"/>
              <w:jc w:val="center"/>
              <w:rPr>
                <w:rFonts w:ascii="Times New Roman" w:hAnsi="Times New Roman" w:cs="Times New Roman"/>
                <w:b/>
                <w:bCs/>
                <w:sz w:val="18"/>
                <w:szCs w:val="18"/>
                <w:lang w:val="en-GB"/>
              </w:rPr>
            </w:pPr>
            <w:r w:rsidRPr="002669EA">
              <w:rPr>
                <w:rFonts w:ascii="Times New Roman" w:hAnsi="Times New Roman" w:cs="Times New Roman"/>
                <w:b/>
                <w:bCs/>
                <w:sz w:val="18"/>
                <w:szCs w:val="18"/>
                <w:lang w:val="en-GB"/>
              </w:rPr>
              <w:t>Micafungin</w:t>
            </w:r>
          </w:p>
          <w:p w14:paraId="2B02E746" w14:textId="6424E575" w:rsidR="00F053F9" w:rsidRPr="002669EA" w:rsidRDefault="00F053F9" w:rsidP="00F053F9">
            <w:pPr>
              <w:autoSpaceDE w:val="0"/>
              <w:autoSpaceDN w:val="0"/>
              <w:adjustRightInd w:val="0"/>
              <w:jc w:val="center"/>
              <w:rPr>
                <w:rFonts w:ascii="Times New Roman" w:hAnsi="Times New Roman" w:cs="Times New Roman"/>
                <w:sz w:val="18"/>
                <w:szCs w:val="18"/>
                <w:lang w:val="en-US"/>
              </w:rPr>
            </w:pPr>
            <w:r w:rsidRPr="002669EA">
              <w:rPr>
                <w:rFonts w:ascii="Times New Roman" w:hAnsi="Times New Roman" w:cs="Times New Roman"/>
                <w:sz w:val="18"/>
                <w:szCs w:val="18"/>
                <w:lang w:val="en-GB"/>
              </w:rPr>
              <w:t>(</w:t>
            </w:r>
            <w:r w:rsidRPr="002669EA">
              <w:rPr>
                <w:rFonts w:ascii="Times New Roman" w:hAnsi="Times New Roman" w:cs="Times New Roman"/>
                <w:sz w:val="18"/>
                <w:szCs w:val="18"/>
                <w:lang w:val="en-US"/>
              </w:rPr>
              <w:t xml:space="preserve">Echinocandin) </w:t>
            </w:r>
          </w:p>
          <w:p w14:paraId="0E211B22" w14:textId="1C9B34C2" w:rsidR="00F053F9" w:rsidRPr="002669EA" w:rsidRDefault="00F053F9" w:rsidP="0045681C">
            <w:pPr>
              <w:autoSpaceDE w:val="0"/>
              <w:autoSpaceDN w:val="0"/>
              <w:adjustRightInd w:val="0"/>
              <w:jc w:val="center"/>
              <w:rPr>
                <w:rFonts w:ascii="Times New Roman" w:hAnsi="Times New Roman" w:cs="Times New Roman"/>
                <w:sz w:val="18"/>
                <w:szCs w:val="18"/>
                <w:lang w:val="en-US"/>
              </w:rPr>
            </w:pPr>
            <w:r w:rsidRPr="002669EA">
              <w:rPr>
                <w:rFonts w:ascii="Times New Roman" w:hAnsi="Times New Roman" w:cs="Times New Roman"/>
                <w:sz w:val="18"/>
                <w:szCs w:val="18"/>
                <w:lang w:val="en-US"/>
              </w:rPr>
              <w:fldChar w:fldCharType="begin"/>
            </w:r>
            <w:r w:rsidR="00FD0A75" w:rsidRPr="002669EA">
              <w:rPr>
                <w:rFonts w:ascii="Times New Roman" w:hAnsi="Times New Roman" w:cs="Times New Roman"/>
                <w:sz w:val="18"/>
                <w:szCs w:val="18"/>
                <w:lang w:val="en-US"/>
              </w:rPr>
              <w:instrText xml:space="preserve"> ADDIN ZOTERO_ITEM CSL_CITATION {"citationID":"cBpUj31R","properties":{"formattedCitation":"[15,16,26]","plainCitation":"[15,16,26]","noteIndex":0},"citationItems":[{"id":"uNES7Vp8/UKLi4YLo","uris":["http://zotero.org/users/12893963/items/75HWVE9E"],"itemData":{"id":407,"type":"article-journal","abstract":"Neonates and immunosuppressed/immunocompromised pediatric patients are at high risk of invasive fungal diseases. Appropriate antifungal selection and optimized dosing are imperative to the successful prevention and treatment of these life-threatening infections. Conventional amphotericin B was the mainstay of antifungal therapy for many decades, but dose-limiting nephrotoxicity and infusion-related adverse events impeded its use. Despite the development of several new antifungal classes and agents in the past 20 years, and their now routine use in at-risk pediatric populations, data to guide the optimal dosing of antifungals in children are limited. This paper reviews the spectra of activity for approved antifungal agents and summarizes the current literature specific to pediatric patients regarding pharmacokinetic/pharmacodynamic data, dosing, and therapeutic drug monitoring.","container-title":"Paediatric Drugs","DOI":"10.1007/s40272-020-00379-2","ISSN":"1179-2019","issue":"2","journalAbbreviation":"Paediatr Drugs","language":"eng","note":"PMID: 31974859\nPMCID: PMC7085453","page":"165-188","source":"PubMed","title":"Administration and Dosing of Systemic Antifungal Agents in Pediatric Patients","volume":"22","author":[{"family":"Downes","given":"Kevin J."},{"family":"Fisher","given":"Brian T."},{"family":"Zane","given":"Nicole R."}],"issued":{"date-parts":[["2020",4]]}},"label":"page"},{"id":"uNES7Vp8/dBwQs4iz","uris":["http://zotero.org/users/12893963/items/FYVK278Y"],"itemData":{"id":396,"type":"article-journal","abstract":"Pathogenesis of neonatal candidiasis (NC) is distinct from systemic candidiasis in adults and older pediatric patients due to the significant incidence of central nervous system involvement in neonates. Thus, although adequate and well-controlled trials in NC are often unfeasible due to difficulty enrolling patients, extrapolation of efficacy from antifungal drug trials in adults is generally not appropriate. However, treatment of NC is an area of great unmet need. We describe a regulatory review approach that combined the assessment of limited clinical efficacy, pharmacokinetics, and safety data from neonates and young infants along with microbiology outcomes and pharmacokinetic data from relevant nonclinical models of candidemia/invasive candidiasis to inform the use of micafungin in pediatric patients younger than 4 months, while communicating areas of remaining uncertainty in labeling.","container-title":"Clinical Infectious Diseases: An Official Publication of the Infectious Diseases Society of America","DOI":"10.1093/cid/ciab025","ISSN":"1537-6591","issue":"12","journalAbbreviation":"Clin Infect Dis","language":"eng","note":"PMID: 33458754","page":"2335-2340","source":"PubMed","title":"A Regulatory Review Approach for Evaluation of Micafungin for Treatment of Neonatal Candidiasis","volume":"73","author":[{"family":"Taormina","given":"Gillian"},{"family":"Gopinath","given":"Ramya"},{"family":"Moore","given":"Jason"},{"family":"Yasinskaya","given":"Yuliya"},{"family":"Colangelo","given":"Philip"},{"family":"Reynolds","given":"Kellie"},{"family":"Nambiar","given":"Sumati"}],"issued":{"date-parts":[["2021",12,16]]}},"label":"page"},{"id":"uNES7Vp8/tM1Wak1E","uris":["http://zotero.org/users/12893963/items/TA94HK5Z"],"itemData":{"id":19,"type":"article-journal","abstract":"It is important to realize that guidelines cannot always account for individual variation among patients. They are not intended to supplant physician judgment with respect to particular patients or special clinical situations. IDSA considers adherence to these guidelines to be voluntary, with the ultimate determination regarding their application to be made by the physician in the light of each patient's individual circumstances.","container-title":"Clinical Infectious Diseases: An Official Publication of the Infectious Diseases Society of America","DOI":"10.1093/cid/civ933","ISSN":"1058-4838","issue":"4","journalAbbreviation":"Clin Infect Dis","note":"PMID: 26679628\nPMCID: PMC4725385","page":"e1-e50","source":"PubMed Central","title":"Clinical Practice Guideline for the Management of Candidiasis: 2016 Update by the Infectious Diseases Society of America","title-short":"Clinical Practice Guideline for the Management of Candidiasis","volume":"62","author":[{"family":"Pappas","given":"Peter G."},{"family":"Kauffman","given":"Carol A."},{"family":"Andes","given":"David R."},{"family":"Clancy","given":"Cornelius J."},{"family":"Marr","given":"Kieren A."},{"family":"Ostrosky-Zeichner","given":"Luis"},{"family":"Reboli","given":"Annette C."},{"family":"Schuster","given":"Mindy G."},{"family":"Vazquez","given":"Jose A."},{"family":"Walsh","given":"Thomas J."},{"family":"Zaoutis","given":"Theoklis E."},{"family":"Sobel","given":"Jack D."}],"issued":{"date-parts":[["2016",2,15]]}},"label":"page"}],"schema":"https://github.com/citation-style-language/schema/raw/master/csl-citation.json"} </w:instrText>
            </w:r>
            <w:r w:rsidRPr="002669EA">
              <w:rPr>
                <w:rFonts w:ascii="Times New Roman" w:hAnsi="Times New Roman" w:cs="Times New Roman"/>
                <w:sz w:val="18"/>
                <w:szCs w:val="18"/>
                <w:lang w:val="en-US"/>
              </w:rPr>
              <w:fldChar w:fldCharType="separate"/>
            </w:r>
            <w:r w:rsidR="00FD0A75" w:rsidRPr="002669EA">
              <w:rPr>
                <w:rFonts w:ascii="Times New Roman" w:hAnsi="Times New Roman" w:cs="Times New Roman"/>
                <w:sz w:val="18"/>
                <w:lang w:val="en-US"/>
              </w:rPr>
              <w:t>[15,16,26]</w:t>
            </w:r>
            <w:r w:rsidRPr="002669EA">
              <w:rPr>
                <w:rFonts w:ascii="Times New Roman" w:hAnsi="Times New Roman" w:cs="Times New Roman"/>
                <w:sz w:val="18"/>
                <w:szCs w:val="18"/>
                <w:lang w:val="en-US"/>
              </w:rPr>
              <w:fldChar w:fldCharType="end"/>
            </w:r>
          </w:p>
          <w:p w14:paraId="271A9C41" w14:textId="77777777" w:rsidR="00F053F9" w:rsidRPr="002669EA" w:rsidRDefault="00F053F9" w:rsidP="00F053F9">
            <w:pPr>
              <w:autoSpaceDE w:val="0"/>
              <w:autoSpaceDN w:val="0"/>
              <w:adjustRightInd w:val="0"/>
              <w:jc w:val="center"/>
              <w:rPr>
                <w:rFonts w:ascii="Times New Roman" w:hAnsi="Times New Roman" w:cs="Times New Roman"/>
                <w:sz w:val="18"/>
                <w:szCs w:val="18"/>
                <w:lang w:val="en-US"/>
              </w:rPr>
            </w:pPr>
          </w:p>
          <w:p w14:paraId="42E9263B" w14:textId="77777777" w:rsidR="00F053F9" w:rsidRPr="002669EA" w:rsidRDefault="00F053F9" w:rsidP="00F053F9">
            <w:pPr>
              <w:autoSpaceDE w:val="0"/>
              <w:autoSpaceDN w:val="0"/>
              <w:adjustRightInd w:val="0"/>
              <w:jc w:val="center"/>
              <w:rPr>
                <w:rFonts w:ascii="Times New Roman" w:hAnsi="Times New Roman" w:cs="Times New Roman"/>
                <w:sz w:val="18"/>
                <w:szCs w:val="18"/>
                <w:lang w:val="en-US"/>
              </w:rPr>
            </w:pPr>
          </w:p>
        </w:tc>
        <w:tc>
          <w:tcPr>
            <w:tcW w:w="2492" w:type="dxa"/>
          </w:tcPr>
          <w:p w14:paraId="056C7D41" w14:textId="7CDDDC77" w:rsidR="00F053F9" w:rsidRPr="002669EA" w:rsidRDefault="00F053F9" w:rsidP="00F053F9">
            <w:pPr>
              <w:pStyle w:val="Default"/>
              <w:rPr>
                <w:rFonts w:ascii="Times New Roman" w:hAnsi="Times New Roman" w:cs="Times New Roman"/>
                <w:color w:val="auto"/>
                <w:sz w:val="18"/>
                <w:szCs w:val="18"/>
                <w:lang w:val="en-US"/>
              </w:rPr>
            </w:pPr>
            <w:r w:rsidRPr="002669EA">
              <w:rPr>
                <w:rFonts w:ascii="Times New Roman" w:hAnsi="Times New Roman" w:cs="Times New Roman"/>
                <w:color w:val="auto"/>
                <w:sz w:val="18"/>
                <w:szCs w:val="18"/>
              </w:rPr>
              <w:t xml:space="preserve">- Inhibition of </w:t>
            </w:r>
            <w:r w:rsidRPr="002669EA">
              <w:rPr>
                <w:rFonts w:ascii="Times New Roman" w:hAnsi="Times New Roman" w:cs="Times New Roman"/>
                <w:color w:val="auto"/>
                <w:sz w:val="18"/>
                <w:szCs w:val="18"/>
                <w:lang w:val="el-GR"/>
              </w:rPr>
              <w:t>β</w:t>
            </w:r>
            <w:r w:rsidRPr="002669EA">
              <w:rPr>
                <w:rFonts w:ascii="Times New Roman" w:hAnsi="Times New Roman" w:cs="Times New Roman"/>
                <w:color w:val="auto"/>
                <w:sz w:val="18"/>
                <w:szCs w:val="18"/>
                <w:lang w:val="en-US"/>
              </w:rPr>
              <w:t xml:space="preserve">(1-3)-glucan synthase activity preventing synthesis of the fungal cell wall. It exerts fungicidal activity against Candida spp. (even against C. glabrata and C. </w:t>
            </w:r>
            <w:proofErr w:type="spellStart"/>
            <w:r w:rsidRPr="002669EA">
              <w:rPr>
                <w:rFonts w:ascii="Times New Roman" w:hAnsi="Times New Roman" w:cs="Times New Roman"/>
                <w:color w:val="auto"/>
                <w:sz w:val="18"/>
                <w:szCs w:val="18"/>
                <w:lang w:val="en-US"/>
              </w:rPr>
              <w:t>kruseii</w:t>
            </w:r>
            <w:proofErr w:type="spellEnd"/>
            <w:r w:rsidRPr="002669EA">
              <w:rPr>
                <w:rFonts w:ascii="Times New Roman" w:hAnsi="Times New Roman" w:cs="Times New Roman"/>
                <w:color w:val="auto"/>
                <w:sz w:val="18"/>
                <w:szCs w:val="18"/>
                <w:lang w:val="en-US"/>
              </w:rPr>
              <w:t xml:space="preserve"> resistant to fluconazole)</w:t>
            </w:r>
            <w:r w:rsidR="0045681C" w:rsidRPr="002669EA">
              <w:rPr>
                <w:rFonts w:ascii="Times New Roman" w:hAnsi="Times New Roman" w:cs="Times New Roman"/>
                <w:color w:val="auto"/>
                <w:sz w:val="18"/>
                <w:szCs w:val="18"/>
                <w:lang w:val="en-US"/>
              </w:rPr>
              <w:t>.</w:t>
            </w:r>
          </w:p>
        </w:tc>
        <w:tc>
          <w:tcPr>
            <w:tcW w:w="3846" w:type="dxa"/>
          </w:tcPr>
          <w:p w14:paraId="2E0DD598" w14:textId="539EB065" w:rsidR="00F053F9" w:rsidRPr="002669EA" w:rsidRDefault="00F053F9" w:rsidP="00F053F9">
            <w:pPr>
              <w:autoSpaceDE w:val="0"/>
              <w:autoSpaceDN w:val="0"/>
              <w:adjustRightInd w:val="0"/>
              <w:rPr>
                <w:rFonts w:ascii="Times New Roman" w:hAnsi="Times New Roman" w:cs="Times New Roman"/>
                <w:sz w:val="18"/>
                <w:szCs w:val="18"/>
                <w:lang w:val="en-US"/>
              </w:rPr>
            </w:pPr>
            <w:r w:rsidRPr="002669EA">
              <w:rPr>
                <w:rFonts w:ascii="Times New Roman" w:hAnsi="Times New Roman" w:cs="Times New Roman"/>
                <w:sz w:val="18"/>
                <w:szCs w:val="18"/>
                <w:lang w:val="en-GB"/>
              </w:rPr>
              <w:t xml:space="preserve">- As salvage therapy of invasive </w:t>
            </w:r>
            <w:r w:rsidRPr="002669EA">
              <w:rPr>
                <w:rFonts w:ascii="Times New Roman" w:hAnsi="Times New Roman" w:cs="Times New Roman"/>
                <w:sz w:val="18"/>
                <w:szCs w:val="18"/>
                <w:lang w:val="en-US"/>
              </w:rPr>
              <w:t xml:space="preserve">Candida infections </w:t>
            </w:r>
            <w:r w:rsidRPr="002669EA">
              <w:rPr>
                <w:rFonts w:ascii="Times New Roman" w:hAnsi="Times New Roman" w:cs="Times New Roman"/>
                <w:sz w:val="18"/>
                <w:szCs w:val="18"/>
                <w:lang w:val="en-GB"/>
              </w:rPr>
              <w:t>or in situations where resistance</w:t>
            </w:r>
            <w:r w:rsidRPr="002669EA">
              <w:rPr>
                <w:rFonts w:ascii="Times New Roman" w:hAnsi="Times New Roman" w:cs="Times New Roman"/>
                <w:sz w:val="18"/>
                <w:szCs w:val="18"/>
                <w:lang w:val="en-US"/>
              </w:rPr>
              <w:t xml:space="preserve"> </w:t>
            </w:r>
            <w:r w:rsidRPr="002669EA">
              <w:rPr>
                <w:rFonts w:ascii="Times New Roman" w:hAnsi="Times New Roman" w:cs="Times New Roman"/>
                <w:sz w:val="18"/>
                <w:szCs w:val="18"/>
                <w:lang w:val="en-GB"/>
              </w:rPr>
              <w:t xml:space="preserve">or toxicity preclude the use of </w:t>
            </w:r>
            <w:proofErr w:type="spellStart"/>
            <w:r w:rsidRPr="002669EA">
              <w:rPr>
                <w:rFonts w:ascii="Times New Roman" w:hAnsi="Times New Roman" w:cs="Times New Roman"/>
                <w:sz w:val="18"/>
                <w:szCs w:val="18"/>
                <w:lang w:val="en-GB"/>
              </w:rPr>
              <w:t>AmB</w:t>
            </w:r>
            <w:proofErr w:type="spellEnd"/>
            <w:r w:rsidR="0045681C" w:rsidRPr="002669EA">
              <w:rPr>
                <w:rFonts w:ascii="Times New Roman" w:hAnsi="Times New Roman" w:cs="Times New Roman"/>
                <w:sz w:val="18"/>
                <w:szCs w:val="18"/>
                <w:lang w:val="en-GB"/>
              </w:rPr>
              <w:t>-D</w:t>
            </w:r>
            <w:r w:rsidRPr="002669EA">
              <w:rPr>
                <w:rFonts w:ascii="Times New Roman" w:hAnsi="Times New Roman" w:cs="Times New Roman"/>
                <w:sz w:val="18"/>
                <w:szCs w:val="18"/>
                <w:lang w:val="en-GB"/>
              </w:rPr>
              <w:t xml:space="preserve"> or fluconazole</w:t>
            </w:r>
            <w:r w:rsidRPr="002669EA">
              <w:rPr>
                <w:rFonts w:ascii="Times New Roman" w:hAnsi="Times New Roman" w:cs="Times New Roman"/>
                <w:sz w:val="18"/>
                <w:szCs w:val="18"/>
                <w:lang w:val="en-US"/>
              </w:rPr>
              <w:t xml:space="preserve">. </w:t>
            </w:r>
            <w:r w:rsidRPr="002669EA">
              <w:rPr>
                <w:rFonts w:ascii="Times New Roman" w:hAnsi="Times New Roman" w:cs="Times New Roman"/>
                <w:sz w:val="18"/>
                <w:szCs w:val="18"/>
                <w:lang w:val="en-US"/>
              </w:rPr>
              <w:br/>
              <w:t>- There are concerns regarding the penetration of echinocandins into the CSF. Insufficient data in neonates do not yet allow the recommendation of their use in CNS infections</w:t>
            </w:r>
            <w:r w:rsidR="0045681C" w:rsidRPr="002669EA">
              <w:rPr>
                <w:rFonts w:ascii="Times New Roman" w:hAnsi="Times New Roman" w:cs="Times New Roman"/>
                <w:sz w:val="18"/>
                <w:szCs w:val="18"/>
                <w:lang w:val="en-US"/>
              </w:rPr>
              <w:t>.</w:t>
            </w:r>
            <w:r w:rsidRPr="002669EA">
              <w:rPr>
                <w:rFonts w:ascii="Times New Roman" w:hAnsi="Times New Roman" w:cs="Times New Roman"/>
                <w:sz w:val="18"/>
                <w:szCs w:val="18"/>
                <w:lang w:val="en-US"/>
              </w:rPr>
              <w:t xml:space="preserve"> </w:t>
            </w:r>
          </w:p>
        </w:tc>
        <w:tc>
          <w:tcPr>
            <w:tcW w:w="1977" w:type="dxa"/>
          </w:tcPr>
          <w:p w14:paraId="63C7FDC9" w14:textId="09E1EF4E" w:rsidR="00F053F9" w:rsidRPr="002669EA" w:rsidRDefault="00F053F9"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- 4 to 10 mg/kg/day</w:t>
            </w:r>
            <w:r w:rsidRPr="002669EA">
              <w:rPr>
                <w:rFonts w:ascii="Times New Roman" w:hAnsi="Times New Roman" w:cs="Times New Roman"/>
                <w:sz w:val="18"/>
                <w:szCs w:val="18"/>
                <w:lang w:val="en-GB"/>
              </w:rPr>
              <w:br/>
              <w:t xml:space="preserve">- Clinical and non-clinical studies indicate that higher dose of at least 10 mg/kg </w:t>
            </w:r>
            <w:r w:rsidR="0045681C" w:rsidRPr="002669EA">
              <w:rPr>
                <w:rFonts w:ascii="Times New Roman" w:hAnsi="Times New Roman" w:cs="Times New Roman"/>
                <w:sz w:val="18"/>
                <w:szCs w:val="18"/>
                <w:lang w:val="en-GB"/>
              </w:rPr>
              <w:t>daily</w:t>
            </w:r>
            <w:r w:rsidRPr="002669EA">
              <w:rPr>
                <w:rFonts w:ascii="Times New Roman" w:hAnsi="Times New Roman" w:cs="Times New Roman"/>
                <w:sz w:val="18"/>
                <w:szCs w:val="18"/>
                <w:lang w:val="en-GB"/>
              </w:rPr>
              <w:t xml:space="preserve"> is likely needed for candidemia with meningoencephalitis</w:t>
            </w:r>
            <w:r w:rsidR="0045681C" w:rsidRPr="002669EA">
              <w:rPr>
                <w:rFonts w:ascii="Times New Roman" w:hAnsi="Times New Roman" w:cs="Times New Roman"/>
                <w:sz w:val="18"/>
                <w:szCs w:val="18"/>
                <w:lang w:val="en-GB"/>
              </w:rPr>
              <w:t>.</w:t>
            </w:r>
          </w:p>
        </w:tc>
        <w:tc>
          <w:tcPr>
            <w:tcW w:w="5602" w:type="dxa"/>
          </w:tcPr>
          <w:p w14:paraId="4CFCEF5C" w14:textId="47C21918" w:rsidR="00F053F9" w:rsidRPr="002669EA" w:rsidRDefault="00B71248" w:rsidP="00F053F9">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xml:space="preserve">- </w:t>
            </w:r>
            <w:r w:rsidR="00F053F9" w:rsidRPr="002669EA">
              <w:rPr>
                <w:rFonts w:ascii="Times New Roman" w:hAnsi="Times New Roman" w:cs="Times New Roman"/>
                <w:sz w:val="18"/>
                <w:szCs w:val="18"/>
                <w:lang w:val="en-GB"/>
              </w:rPr>
              <w:t>Most common adverse events: infusion reactions and transient elevation of hepatic enzymes</w:t>
            </w:r>
            <w:r w:rsidR="0045681C" w:rsidRPr="002669EA">
              <w:rPr>
                <w:rFonts w:ascii="Times New Roman" w:hAnsi="Times New Roman" w:cs="Times New Roman"/>
                <w:sz w:val="18"/>
                <w:szCs w:val="18"/>
                <w:lang w:val="en-GB"/>
              </w:rPr>
              <w:t>.</w:t>
            </w:r>
          </w:p>
          <w:p w14:paraId="35102256" w14:textId="2D523A12" w:rsidR="00F053F9" w:rsidRPr="002669EA" w:rsidRDefault="00B71248" w:rsidP="0045681C">
            <w:pPr>
              <w:autoSpaceDE w:val="0"/>
              <w:autoSpaceDN w:val="0"/>
              <w:adjustRightInd w:val="0"/>
              <w:rPr>
                <w:rFonts w:ascii="Times New Roman" w:hAnsi="Times New Roman" w:cs="Times New Roman"/>
                <w:sz w:val="18"/>
                <w:szCs w:val="18"/>
                <w:lang w:val="en-GB"/>
              </w:rPr>
            </w:pPr>
            <w:r w:rsidRPr="002669EA">
              <w:rPr>
                <w:rFonts w:ascii="Times New Roman" w:hAnsi="Times New Roman" w:cs="Times New Roman"/>
                <w:sz w:val="18"/>
                <w:szCs w:val="18"/>
                <w:lang w:val="en-GB"/>
              </w:rPr>
              <w:t xml:space="preserve">- </w:t>
            </w:r>
            <w:r w:rsidR="00F053F9" w:rsidRPr="002669EA">
              <w:rPr>
                <w:rFonts w:ascii="Times New Roman" w:hAnsi="Times New Roman" w:cs="Times New Roman"/>
                <w:sz w:val="18"/>
                <w:szCs w:val="18"/>
                <w:lang w:val="en-GB"/>
              </w:rPr>
              <w:t xml:space="preserve">Hyponatremia, </w:t>
            </w:r>
            <w:proofErr w:type="spellStart"/>
            <w:r w:rsidR="00F053F9" w:rsidRPr="002669EA">
              <w:rPr>
                <w:rFonts w:ascii="Times New Roman" w:hAnsi="Times New Roman" w:cs="Times New Roman"/>
                <w:sz w:val="18"/>
                <w:szCs w:val="18"/>
                <w:lang w:val="en-GB"/>
              </w:rPr>
              <w:t>hypochloremia</w:t>
            </w:r>
            <w:proofErr w:type="spellEnd"/>
            <w:r w:rsidR="00F053F9" w:rsidRPr="002669EA">
              <w:rPr>
                <w:rFonts w:ascii="Times New Roman" w:hAnsi="Times New Roman" w:cs="Times New Roman"/>
                <w:sz w:val="18"/>
                <w:szCs w:val="18"/>
                <w:lang w:val="en-GB"/>
              </w:rPr>
              <w:t xml:space="preserve">, </w:t>
            </w:r>
            <w:proofErr w:type="spellStart"/>
            <w:r w:rsidR="00F053F9" w:rsidRPr="002669EA">
              <w:rPr>
                <w:rFonts w:ascii="Times New Roman" w:hAnsi="Times New Roman" w:cs="Times New Roman"/>
                <w:sz w:val="18"/>
                <w:szCs w:val="18"/>
                <w:lang w:val="en-GB"/>
              </w:rPr>
              <w:t>hypokalemia</w:t>
            </w:r>
            <w:proofErr w:type="spellEnd"/>
            <w:r w:rsidR="00F053F9" w:rsidRPr="002669EA">
              <w:rPr>
                <w:rFonts w:ascii="Times New Roman" w:hAnsi="Times New Roman" w:cs="Times New Roman"/>
                <w:sz w:val="18"/>
                <w:szCs w:val="18"/>
                <w:lang w:val="en-GB"/>
              </w:rPr>
              <w:t xml:space="preserve">, elevated creatinine, acute intravascular </w:t>
            </w:r>
            <w:proofErr w:type="spellStart"/>
            <w:r w:rsidR="00F053F9" w:rsidRPr="002669EA">
              <w:rPr>
                <w:rFonts w:ascii="Times New Roman" w:hAnsi="Times New Roman" w:cs="Times New Roman"/>
                <w:sz w:val="18"/>
                <w:szCs w:val="18"/>
                <w:lang w:val="en-GB"/>
              </w:rPr>
              <w:t>hemolysis</w:t>
            </w:r>
            <w:proofErr w:type="spellEnd"/>
            <w:r w:rsidR="00F053F9" w:rsidRPr="002669EA">
              <w:rPr>
                <w:rFonts w:ascii="Times New Roman" w:hAnsi="Times New Roman" w:cs="Times New Roman"/>
                <w:sz w:val="18"/>
                <w:szCs w:val="18"/>
                <w:lang w:val="en-GB"/>
              </w:rPr>
              <w:t xml:space="preserve">, </w:t>
            </w:r>
            <w:proofErr w:type="spellStart"/>
            <w:r w:rsidR="00F053F9" w:rsidRPr="002669EA">
              <w:rPr>
                <w:rFonts w:ascii="Times New Roman" w:hAnsi="Times New Roman" w:cs="Times New Roman"/>
                <w:sz w:val="18"/>
                <w:szCs w:val="18"/>
                <w:lang w:val="en-GB"/>
              </w:rPr>
              <w:t>hemolytic</w:t>
            </w:r>
            <w:proofErr w:type="spellEnd"/>
            <w:r w:rsidR="00F053F9" w:rsidRPr="002669EA">
              <w:rPr>
                <w:rFonts w:ascii="Times New Roman" w:hAnsi="Times New Roman" w:cs="Times New Roman"/>
                <w:sz w:val="18"/>
                <w:szCs w:val="18"/>
                <w:lang w:val="en-GB"/>
              </w:rPr>
              <w:t xml:space="preserve"> </w:t>
            </w:r>
            <w:proofErr w:type="spellStart"/>
            <w:r w:rsidR="00F053F9" w:rsidRPr="002669EA">
              <w:rPr>
                <w:rFonts w:ascii="Times New Roman" w:hAnsi="Times New Roman" w:cs="Times New Roman"/>
                <w:sz w:val="18"/>
                <w:szCs w:val="18"/>
                <w:lang w:val="en-GB"/>
              </w:rPr>
              <w:t>anemia</w:t>
            </w:r>
            <w:proofErr w:type="spellEnd"/>
            <w:r w:rsidR="00F053F9" w:rsidRPr="002669EA">
              <w:rPr>
                <w:rFonts w:ascii="Times New Roman" w:hAnsi="Times New Roman" w:cs="Times New Roman"/>
                <w:sz w:val="18"/>
                <w:szCs w:val="18"/>
                <w:lang w:val="en-GB"/>
              </w:rPr>
              <w:t xml:space="preserve"> and </w:t>
            </w:r>
            <w:proofErr w:type="spellStart"/>
            <w:r w:rsidR="00F053F9" w:rsidRPr="002669EA">
              <w:rPr>
                <w:rFonts w:ascii="Times New Roman" w:hAnsi="Times New Roman" w:cs="Times New Roman"/>
                <w:sz w:val="18"/>
                <w:szCs w:val="18"/>
                <w:lang w:val="en-GB"/>
              </w:rPr>
              <w:t>hemoglobinuria</w:t>
            </w:r>
            <w:proofErr w:type="spellEnd"/>
            <w:r w:rsidR="00F053F9" w:rsidRPr="002669EA">
              <w:rPr>
                <w:rFonts w:ascii="Times New Roman" w:hAnsi="Times New Roman" w:cs="Times New Roman"/>
                <w:sz w:val="18"/>
                <w:szCs w:val="18"/>
                <w:lang w:val="en-GB"/>
              </w:rPr>
              <w:t xml:space="preserve">, </w:t>
            </w:r>
            <w:proofErr w:type="spellStart"/>
            <w:r w:rsidR="00F053F9" w:rsidRPr="002669EA">
              <w:rPr>
                <w:rFonts w:ascii="Times New Roman" w:hAnsi="Times New Roman" w:cs="Times New Roman"/>
                <w:sz w:val="18"/>
                <w:szCs w:val="18"/>
                <w:lang w:val="en-GB"/>
              </w:rPr>
              <w:t>monocytosis</w:t>
            </w:r>
            <w:proofErr w:type="spellEnd"/>
            <w:r w:rsidR="00F053F9" w:rsidRPr="002669EA">
              <w:rPr>
                <w:rFonts w:ascii="Times New Roman" w:hAnsi="Times New Roman" w:cs="Times New Roman"/>
                <w:sz w:val="18"/>
                <w:szCs w:val="18"/>
                <w:lang w:val="en-GB"/>
              </w:rPr>
              <w:t>, thrombocytopenia, fever, rash, diarrhoea, vomiting have been reported.</w:t>
            </w:r>
          </w:p>
        </w:tc>
      </w:tr>
    </w:tbl>
    <w:p w14:paraId="53D419F1" w14:textId="77777777" w:rsidR="00C92CC4" w:rsidRPr="002669EA" w:rsidRDefault="00C92CC4">
      <w:pPr>
        <w:rPr>
          <w:rFonts w:ascii="Times New Roman" w:hAnsi="Times New Roman" w:cs="Times New Roman"/>
          <w:lang w:val="en-US"/>
        </w:rPr>
      </w:pPr>
    </w:p>
    <w:p w14:paraId="734A6F2C" w14:textId="262C26FF" w:rsidR="00371FE6" w:rsidRPr="002669EA" w:rsidRDefault="00371FE6" w:rsidP="00371FE6">
      <w:pPr>
        <w:rPr>
          <w:rFonts w:ascii="Times New Roman" w:hAnsi="Times New Roman" w:cs="Times New Roman"/>
          <w:sz w:val="24"/>
          <w:szCs w:val="24"/>
          <w:lang w:val="en-US"/>
        </w:rPr>
      </w:pPr>
      <w:proofErr w:type="spellStart"/>
      <w:r w:rsidRPr="002669EA">
        <w:rPr>
          <w:rFonts w:ascii="Times New Roman" w:hAnsi="Times New Roman" w:cs="Times New Roman"/>
          <w:sz w:val="24"/>
          <w:szCs w:val="24"/>
          <w:lang w:val="en-GB"/>
        </w:rPr>
        <w:t>AmB</w:t>
      </w:r>
      <w:proofErr w:type="spellEnd"/>
      <w:r w:rsidRPr="002669EA">
        <w:rPr>
          <w:rFonts w:ascii="Times New Roman" w:hAnsi="Times New Roman" w:cs="Times New Roman"/>
          <w:sz w:val="24"/>
          <w:szCs w:val="24"/>
          <w:lang w:val="en-GB"/>
        </w:rPr>
        <w:t>, Amphotericin</w:t>
      </w:r>
      <w:r w:rsidRPr="002669EA">
        <w:rPr>
          <w:rFonts w:ascii="Times New Roman" w:hAnsi="Times New Roman" w:cs="Times New Roman"/>
          <w:sz w:val="24"/>
          <w:szCs w:val="24"/>
          <w:lang w:val="en-US"/>
        </w:rPr>
        <w:t xml:space="preserve"> B; </w:t>
      </w:r>
      <w:proofErr w:type="spellStart"/>
      <w:r w:rsidRPr="002669EA">
        <w:rPr>
          <w:rFonts w:ascii="Times New Roman" w:hAnsi="Times New Roman" w:cs="Times New Roman"/>
          <w:sz w:val="24"/>
          <w:szCs w:val="24"/>
          <w:lang w:val="en-US"/>
        </w:rPr>
        <w:t>AmB</w:t>
      </w:r>
      <w:proofErr w:type="spellEnd"/>
      <w:r w:rsidRPr="002669EA">
        <w:rPr>
          <w:rFonts w:ascii="Times New Roman" w:hAnsi="Times New Roman" w:cs="Times New Roman"/>
          <w:sz w:val="24"/>
          <w:szCs w:val="24"/>
          <w:lang w:val="en-US"/>
        </w:rPr>
        <w:t>-</w:t>
      </w:r>
      <w:r w:rsidRPr="002669EA">
        <w:rPr>
          <w:rFonts w:ascii="Times New Roman" w:hAnsi="Times New Roman" w:cs="Times New Roman"/>
          <w:sz w:val="24"/>
          <w:szCs w:val="24"/>
          <w:lang w:val="en-GB"/>
        </w:rPr>
        <w:t xml:space="preserve">Deoxycholate, </w:t>
      </w:r>
      <w:proofErr w:type="spellStart"/>
      <w:r w:rsidRPr="002669EA">
        <w:rPr>
          <w:rFonts w:ascii="Times New Roman" w:hAnsi="Times New Roman" w:cs="Times New Roman"/>
          <w:sz w:val="24"/>
          <w:szCs w:val="24"/>
          <w:lang w:val="en-GB"/>
        </w:rPr>
        <w:t>AmB</w:t>
      </w:r>
      <w:proofErr w:type="spellEnd"/>
      <w:r w:rsidRPr="002669EA">
        <w:rPr>
          <w:rFonts w:ascii="Times New Roman" w:hAnsi="Times New Roman" w:cs="Times New Roman"/>
          <w:sz w:val="24"/>
          <w:szCs w:val="24"/>
          <w:lang w:val="en-GB"/>
        </w:rPr>
        <w:t xml:space="preserve">-D; C, Candida; h, hour(s); CNS, central nervous system; IC, invasive candidiasis; IV, intravenously; </w:t>
      </w:r>
      <w:proofErr w:type="spellStart"/>
      <w:r w:rsidRPr="002669EA">
        <w:rPr>
          <w:rFonts w:ascii="Times New Roman" w:hAnsi="Times New Roman" w:cs="Times New Roman"/>
          <w:sz w:val="24"/>
          <w:szCs w:val="24"/>
          <w:lang w:val="en-GB"/>
        </w:rPr>
        <w:t>spp</w:t>
      </w:r>
      <w:proofErr w:type="spellEnd"/>
      <w:r w:rsidRPr="002669EA">
        <w:rPr>
          <w:rFonts w:ascii="Times New Roman" w:hAnsi="Times New Roman" w:cs="Times New Roman"/>
          <w:sz w:val="24"/>
          <w:szCs w:val="24"/>
          <w:lang w:val="en-GB"/>
        </w:rPr>
        <w:t>, species</w:t>
      </w:r>
    </w:p>
    <w:p w14:paraId="316E65F6" w14:textId="224EF765" w:rsidR="00371FE6" w:rsidRPr="002669EA" w:rsidRDefault="00371FE6">
      <w:pPr>
        <w:rPr>
          <w:rFonts w:ascii="Times New Roman" w:hAnsi="Times New Roman" w:cs="Times New Roman"/>
          <w:lang w:val="en-US"/>
        </w:rPr>
      </w:pPr>
    </w:p>
    <w:p w14:paraId="1CEEF158" w14:textId="77777777" w:rsidR="00C92CC4" w:rsidRPr="002669EA" w:rsidRDefault="00C92CC4">
      <w:pPr>
        <w:rPr>
          <w:rFonts w:ascii="Times New Roman" w:hAnsi="Times New Roman" w:cs="Times New Roman"/>
          <w:lang w:val="en-US"/>
        </w:rPr>
      </w:pPr>
    </w:p>
    <w:p w14:paraId="3A0A53B9" w14:textId="0675FEC9" w:rsidR="00C92CC4" w:rsidRPr="002669EA" w:rsidRDefault="0045681C">
      <w:pPr>
        <w:rPr>
          <w:rFonts w:ascii="Times New Roman" w:hAnsi="Times New Roman" w:cs="Times New Roman"/>
          <w:lang w:val="en-US"/>
        </w:rPr>
      </w:pPr>
      <w:r w:rsidRPr="002669EA">
        <w:rPr>
          <w:rFonts w:ascii="Times New Roman" w:hAnsi="Times New Roman" w:cs="Times New Roman"/>
          <w:lang w:val="en-US"/>
        </w:rPr>
        <w:t>R</w:t>
      </w:r>
      <w:r w:rsidR="00C17055" w:rsidRPr="002669EA">
        <w:rPr>
          <w:rFonts w:ascii="Times New Roman" w:hAnsi="Times New Roman" w:cs="Times New Roman"/>
          <w:lang w:val="en-US"/>
        </w:rPr>
        <w:t>eferences</w:t>
      </w:r>
    </w:p>
    <w:p w14:paraId="3FB3C9AE" w14:textId="77777777" w:rsidR="00412230" w:rsidRPr="002669EA" w:rsidRDefault="00C17055" w:rsidP="00412230">
      <w:pPr>
        <w:pStyle w:val="Bibliography"/>
        <w:rPr>
          <w:rFonts w:ascii="Times New Roman" w:hAnsi="Times New Roman" w:cs="Times New Roman"/>
          <w:lang w:val="en-US"/>
        </w:rPr>
      </w:pPr>
      <w:r w:rsidRPr="002669EA">
        <w:rPr>
          <w:rFonts w:ascii="Times New Roman" w:hAnsi="Times New Roman" w:cs="Times New Roman"/>
        </w:rPr>
        <w:fldChar w:fldCharType="begin"/>
      </w:r>
      <w:r w:rsidR="00C61926" w:rsidRPr="002669EA">
        <w:rPr>
          <w:rFonts w:ascii="Times New Roman" w:hAnsi="Times New Roman" w:cs="Times New Roman"/>
          <w:lang w:val="en-US"/>
        </w:rPr>
        <w:instrText xml:space="preserve"> ADDIN ZOTERO_BIBL {"uncited":[],"omitted":[],"custom":[]} CSL_BIBLIOGRAPHY </w:instrText>
      </w:r>
      <w:r w:rsidRPr="002669EA">
        <w:rPr>
          <w:rFonts w:ascii="Times New Roman" w:hAnsi="Times New Roman" w:cs="Times New Roman"/>
        </w:rPr>
        <w:fldChar w:fldCharType="separate"/>
      </w:r>
      <w:r w:rsidR="00412230" w:rsidRPr="002669EA">
        <w:rPr>
          <w:rFonts w:ascii="Times New Roman" w:hAnsi="Times New Roman" w:cs="Times New Roman"/>
          <w:lang w:val="en-US"/>
        </w:rPr>
        <w:t xml:space="preserve">1. </w:t>
      </w:r>
      <w:r w:rsidR="00412230" w:rsidRPr="002669EA">
        <w:rPr>
          <w:rFonts w:ascii="Times New Roman" w:hAnsi="Times New Roman" w:cs="Times New Roman"/>
          <w:lang w:val="en-US"/>
        </w:rPr>
        <w:tab/>
        <w:t xml:space="preserve">Puopolo, K.M.; Lynfield, R.; Cummings, J.J.; COMMITTEE ON FETUS AND NEWBORN; COMMITTEE ON INFECTIOUS DISEASES Management of Infants at Risk for Group B Streptococcal Disease. </w:t>
      </w:r>
      <w:r w:rsidR="00412230" w:rsidRPr="002669EA">
        <w:rPr>
          <w:rFonts w:ascii="Times New Roman" w:hAnsi="Times New Roman" w:cs="Times New Roman"/>
          <w:i/>
          <w:iCs/>
          <w:lang w:val="en-US"/>
        </w:rPr>
        <w:t>Pediatrics</w:t>
      </w:r>
      <w:r w:rsidR="00412230" w:rsidRPr="002669EA">
        <w:rPr>
          <w:rFonts w:ascii="Times New Roman" w:hAnsi="Times New Roman" w:cs="Times New Roman"/>
          <w:lang w:val="en-US"/>
        </w:rPr>
        <w:t xml:space="preserve"> </w:t>
      </w:r>
      <w:r w:rsidR="00412230" w:rsidRPr="002669EA">
        <w:rPr>
          <w:rFonts w:ascii="Times New Roman" w:hAnsi="Times New Roman" w:cs="Times New Roman"/>
          <w:b/>
          <w:bCs/>
          <w:lang w:val="en-US"/>
        </w:rPr>
        <w:t>2019</w:t>
      </w:r>
      <w:r w:rsidR="00412230" w:rsidRPr="002669EA">
        <w:rPr>
          <w:rFonts w:ascii="Times New Roman" w:hAnsi="Times New Roman" w:cs="Times New Roman"/>
          <w:lang w:val="en-US"/>
        </w:rPr>
        <w:t xml:space="preserve">, </w:t>
      </w:r>
      <w:r w:rsidR="00412230" w:rsidRPr="002669EA">
        <w:rPr>
          <w:rFonts w:ascii="Times New Roman" w:hAnsi="Times New Roman" w:cs="Times New Roman"/>
          <w:i/>
          <w:iCs/>
          <w:lang w:val="en-US"/>
        </w:rPr>
        <w:t>144</w:t>
      </w:r>
      <w:r w:rsidR="00412230" w:rsidRPr="002669EA">
        <w:rPr>
          <w:rFonts w:ascii="Times New Roman" w:hAnsi="Times New Roman" w:cs="Times New Roman"/>
          <w:lang w:val="en-US"/>
        </w:rPr>
        <w:t>, e20191881, doi:10.1542/peds.2019-1881.</w:t>
      </w:r>
    </w:p>
    <w:p w14:paraId="6F4D00BC"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 </w:t>
      </w:r>
      <w:r w:rsidRPr="002669EA">
        <w:rPr>
          <w:rFonts w:ascii="Times New Roman" w:hAnsi="Times New Roman" w:cs="Times New Roman"/>
          <w:lang w:val="en-US"/>
        </w:rPr>
        <w:tab/>
        <w:t xml:space="preserve">Research, C. for D.E. and NIH Funded Pediatric Labeling Changes for Drugs Studied under the 409i Process. </w:t>
      </w:r>
      <w:r w:rsidRPr="002669EA">
        <w:rPr>
          <w:rFonts w:ascii="Times New Roman" w:hAnsi="Times New Roman" w:cs="Times New Roman"/>
          <w:i/>
          <w:iCs/>
          <w:lang w:val="en-US"/>
        </w:rPr>
        <w:t>FDA</w:t>
      </w:r>
      <w:r w:rsidRPr="002669EA">
        <w:rPr>
          <w:rFonts w:ascii="Times New Roman" w:hAnsi="Times New Roman" w:cs="Times New Roman"/>
          <w:lang w:val="en-US"/>
        </w:rPr>
        <w:t xml:space="preserve"> </w:t>
      </w:r>
      <w:r w:rsidRPr="002669EA">
        <w:rPr>
          <w:rFonts w:ascii="Times New Roman" w:hAnsi="Times New Roman" w:cs="Times New Roman"/>
          <w:b/>
          <w:bCs/>
          <w:lang w:val="en-US"/>
        </w:rPr>
        <w:t>2024</w:t>
      </w:r>
      <w:r w:rsidRPr="002669EA">
        <w:rPr>
          <w:rFonts w:ascii="Times New Roman" w:hAnsi="Times New Roman" w:cs="Times New Roman"/>
          <w:lang w:val="en-US"/>
        </w:rPr>
        <w:t>.</w:t>
      </w:r>
    </w:p>
    <w:p w14:paraId="7822150B"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3. </w:t>
      </w:r>
      <w:r w:rsidRPr="002669EA">
        <w:rPr>
          <w:rFonts w:ascii="Times New Roman" w:hAnsi="Times New Roman" w:cs="Times New Roman"/>
          <w:lang w:val="en-US"/>
        </w:rPr>
        <w:tab/>
        <w:t xml:space="preserve">Hollander, E.M.; van Tuinen, E.L.; Schölvinck, E.H.; Bergman, K.A.; Bourgonje, A.R.; Gracchi, V.; Kneyber, M.C.J.; Touw, D.J.; Mian, P. Evaluation of Dosing Guidelines for Gentamicin in Neonates and Children. </w:t>
      </w:r>
      <w:r w:rsidRPr="002669EA">
        <w:rPr>
          <w:rFonts w:ascii="Times New Roman" w:hAnsi="Times New Roman" w:cs="Times New Roman"/>
          <w:i/>
          <w:iCs/>
          <w:lang w:val="en-US"/>
        </w:rPr>
        <w:t>Antibiot. Basel Switz.</w:t>
      </w:r>
      <w:r w:rsidRPr="002669EA">
        <w:rPr>
          <w:rFonts w:ascii="Times New Roman" w:hAnsi="Times New Roman" w:cs="Times New Roman"/>
          <w:lang w:val="en-US"/>
        </w:rPr>
        <w:t xml:space="preserve"> </w:t>
      </w:r>
      <w:r w:rsidRPr="002669EA">
        <w:rPr>
          <w:rFonts w:ascii="Times New Roman" w:hAnsi="Times New Roman" w:cs="Times New Roman"/>
          <w:b/>
          <w:bCs/>
          <w:lang w:val="en-US"/>
        </w:rPr>
        <w:t>2023</w:t>
      </w:r>
      <w:r w:rsidRPr="002669EA">
        <w:rPr>
          <w:rFonts w:ascii="Times New Roman" w:hAnsi="Times New Roman" w:cs="Times New Roman"/>
          <w:lang w:val="en-US"/>
        </w:rPr>
        <w:t xml:space="preserve">, </w:t>
      </w:r>
      <w:r w:rsidRPr="002669EA">
        <w:rPr>
          <w:rFonts w:ascii="Times New Roman" w:hAnsi="Times New Roman" w:cs="Times New Roman"/>
          <w:i/>
          <w:iCs/>
          <w:lang w:val="en-US"/>
        </w:rPr>
        <w:t>12</w:t>
      </w:r>
      <w:r w:rsidRPr="002669EA">
        <w:rPr>
          <w:rFonts w:ascii="Times New Roman" w:hAnsi="Times New Roman" w:cs="Times New Roman"/>
          <w:lang w:val="en-US"/>
        </w:rPr>
        <w:t>, 810, doi:10.3390/antibiotics12050810.</w:t>
      </w:r>
    </w:p>
    <w:p w14:paraId="4E8E44CD"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lastRenderedPageBreak/>
        <w:t xml:space="preserve">4. </w:t>
      </w:r>
      <w:r w:rsidRPr="002669EA">
        <w:rPr>
          <w:rFonts w:ascii="Times New Roman" w:hAnsi="Times New Roman" w:cs="Times New Roman"/>
          <w:lang w:val="en-US"/>
        </w:rPr>
        <w:tab/>
        <w:t xml:space="preserve">Neeli, H.; Hanna, N.; Abduljalil, K.; Cusumano, J.; Taft, D.R. Application of Physiologically Based Pharmacokinetic-Pharmacodynamic Modeling in Preterm Neonates to Guide Gentamicin Dosing Decisions and Predict Antibacterial Effect. </w:t>
      </w:r>
      <w:r w:rsidRPr="002669EA">
        <w:rPr>
          <w:rFonts w:ascii="Times New Roman" w:hAnsi="Times New Roman" w:cs="Times New Roman"/>
          <w:i/>
          <w:iCs/>
          <w:lang w:val="en-US"/>
        </w:rPr>
        <w:t>J. Clin. Pharmacol.</w:t>
      </w:r>
      <w:r w:rsidRPr="002669EA">
        <w:rPr>
          <w:rFonts w:ascii="Times New Roman" w:hAnsi="Times New Roman" w:cs="Times New Roman"/>
          <w:lang w:val="en-US"/>
        </w:rPr>
        <w:t xml:space="preserve"> </w:t>
      </w:r>
      <w:r w:rsidRPr="002669EA">
        <w:rPr>
          <w:rFonts w:ascii="Times New Roman" w:hAnsi="Times New Roman" w:cs="Times New Roman"/>
          <w:b/>
          <w:bCs/>
          <w:lang w:val="en-US"/>
        </w:rPr>
        <w:t>2021</w:t>
      </w:r>
      <w:r w:rsidRPr="002669EA">
        <w:rPr>
          <w:rFonts w:ascii="Times New Roman" w:hAnsi="Times New Roman" w:cs="Times New Roman"/>
          <w:lang w:val="en-US"/>
        </w:rPr>
        <w:t xml:space="preserve">, </w:t>
      </w:r>
      <w:r w:rsidRPr="002669EA">
        <w:rPr>
          <w:rFonts w:ascii="Times New Roman" w:hAnsi="Times New Roman" w:cs="Times New Roman"/>
          <w:i/>
          <w:iCs/>
          <w:lang w:val="en-US"/>
        </w:rPr>
        <w:t>61</w:t>
      </w:r>
      <w:r w:rsidRPr="002669EA">
        <w:rPr>
          <w:rFonts w:ascii="Times New Roman" w:hAnsi="Times New Roman" w:cs="Times New Roman"/>
          <w:lang w:val="en-US"/>
        </w:rPr>
        <w:t>, 1356–1365, doi:10.1002/jcph.1890.</w:t>
      </w:r>
    </w:p>
    <w:p w14:paraId="42F2456A"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5. </w:t>
      </w:r>
      <w:r w:rsidRPr="002669EA">
        <w:rPr>
          <w:rFonts w:ascii="Times New Roman" w:hAnsi="Times New Roman" w:cs="Times New Roman"/>
          <w:lang w:val="en-US"/>
        </w:rPr>
        <w:tab/>
        <w:t>Clinical Resources - ANMF - Australasian Neonatal Medicines Formulary Available online: https://www.anmfonline.org/clinical-resources/ (accessed on 26 March 2024).</w:t>
      </w:r>
    </w:p>
    <w:p w14:paraId="635DBE49"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6. </w:t>
      </w:r>
      <w:r w:rsidRPr="002669EA">
        <w:rPr>
          <w:rFonts w:ascii="Times New Roman" w:hAnsi="Times New Roman" w:cs="Times New Roman"/>
          <w:lang w:val="en-US"/>
        </w:rPr>
        <w:tab/>
        <w:t xml:space="preserve">Darlow, C.A.; da Costa, R.M.A.; Ellis, S.; Franceschi, F.; Sharland, M.; Piddock, L.; Das, S.; Hope, W. Potential Antibiotics for the Treatment of Neonatal Sepsis Caused by Multidrug-Resistant Bacteria. </w:t>
      </w:r>
      <w:r w:rsidRPr="002669EA">
        <w:rPr>
          <w:rFonts w:ascii="Times New Roman" w:hAnsi="Times New Roman" w:cs="Times New Roman"/>
          <w:i/>
          <w:iCs/>
          <w:lang w:val="en-US"/>
        </w:rPr>
        <w:t>Paediatr. Drugs</w:t>
      </w:r>
      <w:r w:rsidRPr="002669EA">
        <w:rPr>
          <w:rFonts w:ascii="Times New Roman" w:hAnsi="Times New Roman" w:cs="Times New Roman"/>
          <w:lang w:val="en-US"/>
        </w:rPr>
        <w:t xml:space="preserve"> </w:t>
      </w:r>
      <w:r w:rsidRPr="002669EA">
        <w:rPr>
          <w:rFonts w:ascii="Times New Roman" w:hAnsi="Times New Roman" w:cs="Times New Roman"/>
          <w:b/>
          <w:bCs/>
          <w:lang w:val="en-US"/>
        </w:rPr>
        <w:t>2021</w:t>
      </w:r>
      <w:r w:rsidRPr="002669EA">
        <w:rPr>
          <w:rFonts w:ascii="Times New Roman" w:hAnsi="Times New Roman" w:cs="Times New Roman"/>
          <w:lang w:val="en-US"/>
        </w:rPr>
        <w:t xml:space="preserve">, </w:t>
      </w:r>
      <w:r w:rsidRPr="002669EA">
        <w:rPr>
          <w:rFonts w:ascii="Times New Roman" w:hAnsi="Times New Roman" w:cs="Times New Roman"/>
          <w:i/>
          <w:iCs/>
          <w:lang w:val="en-US"/>
        </w:rPr>
        <w:t>23</w:t>
      </w:r>
      <w:r w:rsidRPr="002669EA">
        <w:rPr>
          <w:rFonts w:ascii="Times New Roman" w:hAnsi="Times New Roman" w:cs="Times New Roman"/>
          <w:lang w:val="en-US"/>
        </w:rPr>
        <w:t>, 465–484, doi:10.1007/s40272-021-00465-z.</w:t>
      </w:r>
    </w:p>
    <w:p w14:paraId="1E59DB00"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7. </w:t>
      </w:r>
      <w:r w:rsidRPr="002669EA">
        <w:rPr>
          <w:rFonts w:ascii="Times New Roman" w:hAnsi="Times New Roman" w:cs="Times New Roman"/>
          <w:lang w:val="en-US"/>
        </w:rPr>
        <w:tab/>
        <w:t xml:space="preserve">Smits, A.; De Cock, R.F.W.; Allegaert, K.; Vanhaesebrouck, S.; Danhof, M.; Knibbe, C. a. J. Prospective Evaluation of a Model-Based Dosing Regimen for Amikacin in Preterm and Term Neonates in Clinical Practice. </w:t>
      </w:r>
      <w:r w:rsidRPr="002669EA">
        <w:rPr>
          <w:rFonts w:ascii="Times New Roman" w:hAnsi="Times New Roman" w:cs="Times New Roman"/>
          <w:i/>
          <w:iCs/>
          <w:lang w:val="en-US"/>
        </w:rPr>
        <w:t>Antimicrob. Agents Chemother.</w:t>
      </w:r>
      <w:r w:rsidRPr="002669EA">
        <w:rPr>
          <w:rFonts w:ascii="Times New Roman" w:hAnsi="Times New Roman" w:cs="Times New Roman"/>
          <w:lang w:val="en-US"/>
        </w:rPr>
        <w:t xml:space="preserve"> </w:t>
      </w:r>
      <w:r w:rsidRPr="002669EA">
        <w:rPr>
          <w:rFonts w:ascii="Times New Roman" w:hAnsi="Times New Roman" w:cs="Times New Roman"/>
          <w:b/>
          <w:bCs/>
          <w:lang w:val="en-US"/>
        </w:rPr>
        <w:t>2015</w:t>
      </w:r>
      <w:r w:rsidRPr="002669EA">
        <w:rPr>
          <w:rFonts w:ascii="Times New Roman" w:hAnsi="Times New Roman" w:cs="Times New Roman"/>
          <w:lang w:val="en-US"/>
        </w:rPr>
        <w:t xml:space="preserve">, </w:t>
      </w:r>
      <w:r w:rsidRPr="002669EA">
        <w:rPr>
          <w:rFonts w:ascii="Times New Roman" w:hAnsi="Times New Roman" w:cs="Times New Roman"/>
          <w:i/>
          <w:iCs/>
          <w:lang w:val="en-US"/>
        </w:rPr>
        <w:t>59</w:t>
      </w:r>
      <w:r w:rsidRPr="002669EA">
        <w:rPr>
          <w:rFonts w:ascii="Times New Roman" w:hAnsi="Times New Roman" w:cs="Times New Roman"/>
          <w:lang w:val="en-US"/>
        </w:rPr>
        <w:t>, 6344–6351, doi:10.1128/AAC.01157-15.</w:t>
      </w:r>
    </w:p>
    <w:p w14:paraId="783358BA"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8. </w:t>
      </w:r>
      <w:r w:rsidRPr="002669EA">
        <w:rPr>
          <w:rFonts w:ascii="Times New Roman" w:hAnsi="Times New Roman" w:cs="Times New Roman"/>
          <w:lang w:val="en-US"/>
        </w:rPr>
        <w:tab/>
        <w:t xml:space="preserve">Smits, A.; Kulo, A.; van den Anker, J.; Allegaert, K. The Amikacin Research Program: A Stepwise Approach to Validate Dosing Regimens in Neonates. </w:t>
      </w:r>
      <w:r w:rsidRPr="002669EA">
        <w:rPr>
          <w:rFonts w:ascii="Times New Roman" w:hAnsi="Times New Roman" w:cs="Times New Roman"/>
          <w:i/>
          <w:iCs/>
          <w:lang w:val="en-US"/>
        </w:rPr>
        <w:t>Expert Opin. Drug Metab. Toxicol.</w:t>
      </w:r>
      <w:r w:rsidRPr="002669EA">
        <w:rPr>
          <w:rFonts w:ascii="Times New Roman" w:hAnsi="Times New Roman" w:cs="Times New Roman"/>
          <w:lang w:val="en-US"/>
        </w:rPr>
        <w:t xml:space="preserve"> </w:t>
      </w:r>
      <w:r w:rsidRPr="002669EA">
        <w:rPr>
          <w:rFonts w:ascii="Times New Roman" w:hAnsi="Times New Roman" w:cs="Times New Roman"/>
          <w:b/>
          <w:bCs/>
          <w:lang w:val="en-US"/>
        </w:rPr>
        <w:t>2017</w:t>
      </w:r>
      <w:r w:rsidRPr="002669EA">
        <w:rPr>
          <w:rFonts w:ascii="Times New Roman" w:hAnsi="Times New Roman" w:cs="Times New Roman"/>
          <w:lang w:val="en-US"/>
        </w:rPr>
        <w:t xml:space="preserve">, </w:t>
      </w:r>
      <w:r w:rsidRPr="002669EA">
        <w:rPr>
          <w:rFonts w:ascii="Times New Roman" w:hAnsi="Times New Roman" w:cs="Times New Roman"/>
          <w:i/>
          <w:iCs/>
          <w:lang w:val="en-US"/>
        </w:rPr>
        <w:t>13</w:t>
      </w:r>
      <w:r w:rsidRPr="002669EA">
        <w:rPr>
          <w:rFonts w:ascii="Times New Roman" w:hAnsi="Times New Roman" w:cs="Times New Roman"/>
          <w:lang w:val="en-US"/>
        </w:rPr>
        <w:t>, 157–166, doi:10.1080/17425255.2017.1234606.</w:t>
      </w:r>
    </w:p>
    <w:p w14:paraId="64DFCD95"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9. </w:t>
      </w:r>
      <w:r w:rsidRPr="002669EA">
        <w:rPr>
          <w:rFonts w:ascii="Times New Roman" w:hAnsi="Times New Roman" w:cs="Times New Roman"/>
          <w:lang w:val="en-US"/>
        </w:rPr>
        <w:tab/>
        <w:t xml:space="preserve">Hughes, K.M.; Johnson, P.N.; Anderson, M.P.; Sekar, K.C.; Welliver, R.C.; Miller, J.L. Comparison of Amikacin Pharmacokinetics in Neonates Following Implementation of a New Dosage Protocol. </w:t>
      </w:r>
      <w:r w:rsidRPr="002669EA">
        <w:rPr>
          <w:rFonts w:ascii="Times New Roman" w:hAnsi="Times New Roman" w:cs="Times New Roman"/>
          <w:i/>
          <w:iCs/>
          <w:lang w:val="en-US"/>
        </w:rPr>
        <w:t>J. Pediatr. Pharmacol. Ther. JPPT Off. J. PPAG</w:t>
      </w:r>
      <w:r w:rsidRPr="002669EA">
        <w:rPr>
          <w:rFonts w:ascii="Times New Roman" w:hAnsi="Times New Roman" w:cs="Times New Roman"/>
          <w:lang w:val="en-US"/>
        </w:rPr>
        <w:t xml:space="preserve"> </w:t>
      </w:r>
      <w:r w:rsidRPr="002669EA">
        <w:rPr>
          <w:rFonts w:ascii="Times New Roman" w:hAnsi="Times New Roman" w:cs="Times New Roman"/>
          <w:b/>
          <w:bCs/>
          <w:lang w:val="en-US"/>
        </w:rPr>
        <w:t>2017</w:t>
      </w:r>
      <w:r w:rsidRPr="002669EA">
        <w:rPr>
          <w:rFonts w:ascii="Times New Roman" w:hAnsi="Times New Roman" w:cs="Times New Roman"/>
          <w:lang w:val="en-US"/>
        </w:rPr>
        <w:t xml:space="preserve">, </w:t>
      </w:r>
      <w:r w:rsidRPr="002669EA">
        <w:rPr>
          <w:rFonts w:ascii="Times New Roman" w:hAnsi="Times New Roman" w:cs="Times New Roman"/>
          <w:i/>
          <w:iCs/>
          <w:lang w:val="en-US"/>
        </w:rPr>
        <w:t>22</w:t>
      </w:r>
      <w:r w:rsidRPr="002669EA">
        <w:rPr>
          <w:rFonts w:ascii="Times New Roman" w:hAnsi="Times New Roman" w:cs="Times New Roman"/>
          <w:lang w:val="en-US"/>
        </w:rPr>
        <w:t>, 33–40, doi:10.5863/1551-6776-22.1.33.</w:t>
      </w:r>
    </w:p>
    <w:p w14:paraId="78DEAA43"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10. </w:t>
      </w:r>
      <w:r w:rsidRPr="002669EA">
        <w:rPr>
          <w:rFonts w:ascii="Times New Roman" w:hAnsi="Times New Roman" w:cs="Times New Roman"/>
          <w:lang w:val="en-US"/>
        </w:rPr>
        <w:tab/>
        <w:t xml:space="preserve">Baldwin, C.M.; Lyseng-Williamson, K.A.; Keam, S.J. Meropenem: A Review of Its Use in the Treatment of Serious Bacterial Infections. </w:t>
      </w:r>
      <w:r w:rsidRPr="002669EA">
        <w:rPr>
          <w:rFonts w:ascii="Times New Roman" w:hAnsi="Times New Roman" w:cs="Times New Roman"/>
          <w:i/>
          <w:iCs/>
          <w:lang w:val="en-US"/>
        </w:rPr>
        <w:t>Drugs</w:t>
      </w:r>
      <w:r w:rsidRPr="002669EA">
        <w:rPr>
          <w:rFonts w:ascii="Times New Roman" w:hAnsi="Times New Roman" w:cs="Times New Roman"/>
          <w:lang w:val="en-US"/>
        </w:rPr>
        <w:t xml:space="preserve"> </w:t>
      </w:r>
      <w:r w:rsidRPr="002669EA">
        <w:rPr>
          <w:rFonts w:ascii="Times New Roman" w:hAnsi="Times New Roman" w:cs="Times New Roman"/>
          <w:b/>
          <w:bCs/>
          <w:lang w:val="en-US"/>
        </w:rPr>
        <w:t>2008</w:t>
      </w:r>
      <w:r w:rsidRPr="002669EA">
        <w:rPr>
          <w:rFonts w:ascii="Times New Roman" w:hAnsi="Times New Roman" w:cs="Times New Roman"/>
          <w:lang w:val="en-US"/>
        </w:rPr>
        <w:t xml:space="preserve">, </w:t>
      </w:r>
      <w:r w:rsidRPr="002669EA">
        <w:rPr>
          <w:rFonts w:ascii="Times New Roman" w:hAnsi="Times New Roman" w:cs="Times New Roman"/>
          <w:i/>
          <w:iCs/>
          <w:lang w:val="en-US"/>
        </w:rPr>
        <w:t>68</w:t>
      </w:r>
      <w:r w:rsidRPr="002669EA">
        <w:rPr>
          <w:rFonts w:ascii="Times New Roman" w:hAnsi="Times New Roman" w:cs="Times New Roman"/>
          <w:lang w:val="en-US"/>
        </w:rPr>
        <w:t>, 803–838, doi:10.2165/00003495-200868060-00006.</w:t>
      </w:r>
    </w:p>
    <w:p w14:paraId="1136C414"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11. </w:t>
      </w:r>
      <w:r w:rsidRPr="002669EA">
        <w:rPr>
          <w:rFonts w:ascii="Times New Roman" w:hAnsi="Times New Roman" w:cs="Times New Roman"/>
          <w:lang w:val="en-US"/>
        </w:rPr>
        <w:tab/>
        <w:t xml:space="preserve">Germovsek, E.; Lutsar, I.; Kipper, K.; Karlsson, M.O.; Planche, T.; Chazallon, C.; Meyer, L.; Trafojer, U.M.T.; Metsvaht, T.; Fournier, I.; et al. Plasma and CSF Pharmacokinetics of Meropenem in Neonates and Young Infants: Results from the NeoMero Studies. </w:t>
      </w:r>
      <w:r w:rsidRPr="002669EA">
        <w:rPr>
          <w:rFonts w:ascii="Times New Roman" w:hAnsi="Times New Roman" w:cs="Times New Roman"/>
          <w:i/>
          <w:iCs/>
          <w:lang w:val="en-US"/>
        </w:rPr>
        <w:t>J. Antimicrob. Chemother.</w:t>
      </w:r>
      <w:r w:rsidRPr="002669EA">
        <w:rPr>
          <w:rFonts w:ascii="Times New Roman" w:hAnsi="Times New Roman" w:cs="Times New Roman"/>
          <w:lang w:val="en-US"/>
        </w:rPr>
        <w:t xml:space="preserve"> </w:t>
      </w:r>
      <w:r w:rsidRPr="002669EA">
        <w:rPr>
          <w:rFonts w:ascii="Times New Roman" w:hAnsi="Times New Roman" w:cs="Times New Roman"/>
          <w:b/>
          <w:bCs/>
          <w:lang w:val="en-US"/>
        </w:rPr>
        <w:t>2018</w:t>
      </w:r>
      <w:r w:rsidRPr="002669EA">
        <w:rPr>
          <w:rFonts w:ascii="Times New Roman" w:hAnsi="Times New Roman" w:cs="Times New Roman"/>
          <w:lang w:val="en-US"/>
        </w:rPr>
        <w:t xml:space="preserve">, </w:t>
      </w:r>
      <w:r w:rsidRPr="002669EA">
        <w:rPr>
          <w:rFonts w:ascii="Times New Roman" w:hAnsi="Times New Roman" w:cs="Times New Roman"/>
          <w:i/>
          <w:iCs/>
          <w:lang w:val="en-US"/>
        </w:rPr>
        <w:t>73</w:t>
      </w:r>
      <w:r w:rsidRPr="002669EA">
        <w:rPr>
          <w:rFonts w:ascii="Times New Roman" w:hAnsi="Times New Roman" w:cs="Times New Roman"/>
          <w:lang w:val="en-US"/>
        </w:rPr>
        <w:t>, 1908–1916, doi:10.1093/jac/dky128.</w:t>
      </w:r>
    </w:p>
    <w:p w14:paraId="7D0CF0EE"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12. </w:t>
      </w:r>
      <w:r w:rsidRPr="002669EA">
        <w:rPr>
          <w:rFonts w:ascii="Times New Roman" w:hAnsi="Times New Roman" w:cs="Times New Roman"/>
          <w:lang w:val="en-US"/>
        </w:rPr>
        <w:tab/>
        <w:t xml:space="preserve">Lutsar, I.; Chazallon, C.; Trafojer, U.; de Cabre, V.M.; Auriti, C.; Bertaina, C.; Calo Carducci, F.I.; Canpolat, F.E.; Esposito, S.; Fournier, I.; et al. Meropenem vs Standard of Care for Treatment of Neonatal Late Onset Sepsis (NeoMero1): A Randomised Controlled Trial. </w:t>
      </w:r>
      <w:r w:rsidRPr="002669EA">
        <w:rPr>
          <w:rFonts w:ascii="Times New Roman" w:hAnsi="Times New Roman" w:cs="Times New Roman"/>
          <w:i/>
          <w:iCs/>
          <w:lang w:val="en-US"/>
        </w:rPr>
        <w:t>PloS One</w:t>
      </w:r>
      <w:r w:rsidRPr="002669EA">
        <w:rPr>
          <w:rFonts w:ascii="Times New Roman" w:hAnsi="Times New Roman" w:cs="Times New Roman"/>
          <w:lang w:val="en-US"/>
        </w:rPr>
        <w:t xml:space="preserve"> </w:t>
      </w:r>
      <w:r w:rsidRPr="002669EA">
        <w:rPr>
          <w:rFonts w:ascii="Times New Roman" w:hAnsi="Times New Roman" w:cs="Times New Roman"/>
          <w:b/>
          <w:bCs/>
          <w:lang w:val="en-US"/>
        </w:rPr>
        <w:t>2020</w:t>
      </w:r>
      <w:r w:rsidRPr="002669EA">
        <w:rPr>
          <w:rFonts w:ascii="Times New Roman" w:hAnsi="Times New Roman" w:cs="Times New Roman"/>
          <w:lang w:val="en-US"/>
        </w:rPr>
        <w:t xml:space="preserve">, </w:t>
      </w:r>
      <w:r w:rsidRPr="002669EA">
        <w:rPr>
          <w:rFonts w:ascii="Times New Roman" w:hAnsi="Times New Roman" w:cs="Times New Roman"/>
          <w:i/>
          <w:iCs/>
          <w:lang w:val="en-US"/>
        </w:rPr>
        <w:t>15</w:t>
      </w:r>
      <w:r w:rsidRPr="002669EA">
        <w:rPr>
          <w:rFonts w:ascii="Times New Roman" w:hAnsi="Times New Roman" w:cs="Times New Roman"/>
          <w:lang w:val="en-US"/>
        </w:rPr>
        <w:t>, e0229380, doi:10.1371/journal.pone.0229380.</w:t>
      </w:r>
    </w:p>
    <w:p w14:paraId="7483C71B"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13. </w:t>
      </w:r>
      <w:r w:rsidRPr="002669EA">
        <w:rPr>
          <w:rFonts w:ascii="Times New Roman" w:hAnsi="Times New Roman" w:cs="Times New Roman"/>
          <w:lang w:val="en-US"/>
        </w:rPr>
        <w:tab/>
        <w:t xml:space="preserve">Jarugula, P.; Akcan-Arikan, A.; Munoz-Rivas, F.; Moffett, B.S.; Ivaturi, V.; Rios, D. Optimizing Vancomycin Dosing and Monitoring in Neonates and Infants Using Population Pharmacokinetic Modeling. </w:t>
      </w:r>
      <w:r w:rsidRPr="002669EA">
        <w:rPr>
          <w:rFonts w:ascii="Times New Roman" w:hAnsi="Times New Roman" w:cs="Times New Roman"/>
          <w:i/>
          <w:iCs/>
          <w:lang w:val="en-US"/>
        </w:rPr>
        <w:t>Antimicrob. Agents Chemother.</w:t>
      </w:r>
      <w:r w:rsidRPr="002669EA">
        <w:rPr>
          <w:rFonts w:ascii="Times New Roman" w:hAnsi="Times New Roman" w:cs="Times New Roman"/>
          <w:lang w:val="en-US"/>
        </w:rPr>
        <w:t xml:space="preserve"> </w:t>
      </w:r>
      <w:r w:rsidRPr="002669EA">
        <w:rPr>
          <w:rFonts w:ascii="Times New Roman" w:hAnsi="Times New Roman" w:cs="Times New Roman"/>
          <w:b/>
          <w:bCs/>
          <w:lang w:val="en-US"/>
        </w:rPr>
        <w:t>2022</w:t>
      </w:r>
      <w:r w:rsidRPr="002669EA">
        <w:rPr>
          <w:rFonts w:ascii="Times New Roman" w:hAnsi="Times New Roman" w:cs="Times New Roman"/>
          <w:lang w:val="en-US"/>
        </w:rPr>
        <w:t xml:space="preserve">, </w:t>
      </w:r>
      <w:r w:rsidRPr="002669EA">
        <w:rPr>
          <w:rFonts w:ascii="Times New Roman" w:hAnsi="Times New Roman" w:cs="Times New Roman"/>
          <w:i/>
          <w:iCs/>
          <w:lang w:val="en-US"/>
        </w:rPr>
        <w:t>66</w:t>
      </w:r>
      <w:r w:rsidRPr="002669EA">
        <w:rPr>
          <w:rFonts w:ascii="Times New Roman" w:hAnsi="Times New Roman" w:cs="Times New Roman"/>
          <w:lang w:val="en-US"/>
        </w:rPr>
        <w:t>, e0189921, doi:10.1128/aac.01899-21.</w:t>
      </w:r>
    </w:p>
    <w:p w14:paraId="7E7A3F55"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14. </w:t>
      </w:r>
      <w:r w:rsidRPr="002669EA">
        <w:rPr>
          <w:rFonts w:ascii="Times New Roman" w:hAnsi="Times New Roman" w:cs="Times New Roman"/>
          <w:lang w:val="en-US"/>
        </w:rPr>
        <w:tab/>
        <w:t xml:space="preserve">Attia Hussein Mahmoud, H.; Parekh, R.; Dhandibhotla, S.; Sai, T.; Pradhan, A.; Alugula, S.; Cevallos-Cueva, M.; Hayes, B.K.; Athanti, S.; Abdin, Z.; et al. Insight Into Neonatal Sepsis: An Overview. </w:t>
      </w:r>
      <w:r w:rsidRPr="002669EA">
        <w:rPr>
          <w:rFonts w:ascii="Times New Roman" w:hAnsi="Times New Roman" w:cs="Times New Roman"/>
          <w:i/>
          <w:iCs/>
          <w:lang w:val="en-US"/>
        </w:rPr>
        <w:t>Cureus</w:t>
      </w:r>
      <w:r w:rsidRPr="002669EA">
        <w:rPr>
          <w:rFonts w:ascii="Times New Roman" w:hAnsi="Times New Roman" w:cs="Times New Roman"/>
          <w:lang w:val="en-US"/>
        </w:rPr>
        <w:t xml:space="preserve"> </w:t>
      </w:r>
      <w:r w:rsidRPr="002669EA">
        <w:rPr>
          <w:rFonts w:ascii="Times New Roman" w:hAnsi="Times New Roman" w:cs="Times New Roman"/>
          <w:b/>
          <w:bCs/>
          <w:lang w:val="en-US"/>
        </w:rPr>
        <w:t>2023</w:t>
      </w:r>
      <w:r w:rsidRPr="002669EA">
        <w:rPr>
          <w:rFonts w:ascii="Times New Roman" w:hAnsi="Times New Roman" w:cs="Times New Roman"/>
          <w:lang w:val="en-US"/>
        </w:rPr>
        <w:t xml:space="preserve">, </w:t>
      </w:r>
      <w:r w:rsidRPr="002669EA">
        <w:rPr>
          <w:rFonts w:ascii="Times New Roman" w:hAnsi="Times New Roman" w:cs="Times New Roman"/>
          <w:i/>
          <w:iCs/>
          <w:lang w:val="en-US"/>
        </w:rPr>
        <w:t>15</w:t>
      </w:r>
      <w:r w:rsidRPr="002669EA">
        <w:rPr>
          <w:rFonts w:ascii="Times New Roman" w:hAnsi="Times New Roman" w:cs="Times New Roman"/>
          <w:lang w:val="en-US"/>
        </w:rPr>
        <w:t>, e45530, doi:10.7759/cureus.45530.</w:t>
      </w:r>
    </w:p>
    <w:p w14:paraId="32DC88B4"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15. </w:t>
      </w:r>
      <w:r w:rsidRPr="002669EA">
        <w:rPr>
          <w:rFonts w:ascii="Times New Roman" w:hAnsi="Times New Roman" w:cs="Times New Roman"/>
          <w:lang w:val="en-US"/>
        </w:rPr>
        <w:tab/>
        <w:t xml:space="preserve">Downes, K.J.; Fisher, B.T.; Zane, N.R. Administration and Dosing of Systemic Antifungal Agents in Pediatric Patients. </w:t>
      </w:r>
      <w:r w:rsidRPr="002669EA">
        <w:rPr>
          <w:rFonts w:ascii="Times New Roman" w:hAnsi="Times New Roman" w:cs="Times New Roman"/>
          <w:i/>
          <w:iCs/>
          <w:lang w:val="en-US"/>
        </w:rPr>
        <w:t>Paediatr. Drugs</w:t>
      </w:r>
      <w:r w:rsidRPr="002669EA">
        <w:rPr>
          <w:rFonts w:ascii="Times New Roman" w:hAnsi="Times New Roman" w:cs="Times New Roman"/>
          <w:lang w:val="en-US"/>
        </w:rPr>
        <w:t xml:space="preserve"> </w:t>
      </w:r>
      <w:r w:rsidRPr="002669EA">
        <w:rPr>
          <w:rFonts w:ascii="Times New Roman" w:hAnsi="Times New Roman" w:cs="Times New Roman"/>
          <w:b/>
          <w:bCs/>
          <w:lang w:val="en-US"/>
        </w:rPr>
        <w:t>2020</w:t>
      </w:r>
      <w:r w:rsidRPr="002669EA">
        <w:rPr>
          <w:rFonts w:ascii="Times New Roman" w:hAnsi="Times New Roman" w:cs="Times New Roman"/>
          <w:lang w:val="en-US"/>
        </w:rPr>
        <w:t xml:space="preserve">, </w:t>
      </w:r>
      <w:r w:rsidRPr="002669EA">
        <w:rPr>
          <w:rFonts w:ascii="Times New Roman" w:hAnsi="Times New Roman" w:cs="Times New Roman"/>
          <w:i/>
          <w:iCs/>
          <w:lang w:val="en-US"/>
        </w:rPr>
        <w:t>22</w:t>
      </w:r>
      <w:r w:rsidRPr="002669EA">
        <w:rPr>
          <w:rFonts w:ascii="Times New Roman" w:hAnsi="Times New Roman" w:cs="Times New Roman"/>
          <w:lang w:val="en-US"/>
        </w:rPr>
        <w:t>, 165–188, doi:10.1007/s40272-020-00379-2.</w:t>
      </w:r>
    </w:p>
    <w:p w14:paraId="51753FB9"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16. </w:t>
      </w:r>
      <w:r w:rsidRPr="002669EA">
        <w:rPr>
          <w:rFonts w:ascii="Times New Roman" w:hAnsi="Times New Roman" w:cs="Times New Roman"/>
          <w:lang w:val="en-US"/>
        </w:rPr>
        <w:tab/>
        <w:t xml:space="preserve">Pappas, P.G.; Kauffman, C.A.; Andes, D.R.; Clancy, C.J.; Marr, K.A.; Ostrosky-Zeichner, L.; Reboli, A.C.; Schuster, M.G.; Vazquez, J.A.; Walsh, T.J.; et al. Clinical Practice Guideline for the Management of Candidiasis: 2016 Update by the Infectious Diseases Society of America. </w:t>
      </w:r>
      <w:r w:rsidRPr="002669EA">
        <w:rPr>
          <w:rFonts w:ascii="Times New Roman" w:hAnsi="Times New Roman" w:cs="Times New Roman"/>
          <w:i/>
          <w:iCs/>
          <w:lang w:val="en-US"/>
        </w:rPr>
        <w:t>Clin. Infect. Dis. Off. Publ. Infect. Dis. Soc. Am.</w:t>
      </w:r>
      <w:r w:rsidRPr="002669EA">
        <w:rPr>
          <w:rFonts w:ascii="Times New Roman" w:hAnsi="Times New Roman" w:cs="Times New Roman"/>
          <w:lang w:val="en-US"/>
        </w:rPr>
        <w:t xml:space="preserve"> </w:t>
      </w:r>
      <w:r w:rsidRPr="002669EA">
        <w:rPr>
          <w:rFonts w:ascii="Times New Roman" w:hAnsi="Times New Roman" w:cs="Times New Roman"/>
          <w:b/>
          <w:bCs/>
          <w:lang w:val="en-US"/>
        </w:rPr>
        <w:t>2016</w:t>
      </w:r>
      <w:r w:rsidRPr="002669EA">
        <w:rPr>
          <w:rFonts w:ascii="Times New Roman" w:hAnsi="Times New Roman" w:cs="Times New Roman"/>
          <w:lang w:val="en-US"/>
        </w:rPr>
        <w:t xml:space="preserve">, </w:t>
      </w:r>
      <w:r w:rsidRPr="002669EA">
        <w:rPr>
          <w:rFonts w:ascii="Times New Roman" w:hAnsi="Times New Roman" w:cs="Times New Roman"/>
          <w:i/>
          <w:iCs/>
          <w:lang w:val="en-US"/>
        </w:rPr>
        <w:t>62</w:t>
      </w:r>
      <w:r w:rsidRPr="002669EA">
        <w:rPr>
          <w:rFonts w:ascii="Times New Roman" w:hAnsi="Times New Roman" w:cs="Times New Roman"/>
          <w:lang w:val="en-US"/>
        </w:rPr>
        <w:t>, e1–e50, doi:10.1093/cid/civ933.</w:t>
      </w:r>
    </w:p>
    <w:p w14:paraId="1A1A9059"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lastRenderedPageBreak/>
        <w:t xml:space="preserve">17. </w:t>
      </w:r>
      <w:r w:rsidRPr="002669EA">
        <w:rPr>
          <w:rFonts w:ascii="Times New Roman" w:hAnsi="Times New Roman" w:cs="Times New Roman"/>
          <w:lang w:val="en-US"/>
        </w:rPr>
        <w:tab/>
        <w:t xml:space="preserve">Ascher, S.B.; Smith, P.B.; Watt, K.; Benjamin, D.K.; Cohen-Wolkowiez, M.; Clark, R.H.; Benjamin, D.K.; Moran, C. Antifungal Therapy and Outcomes in Infants with Invasive Candida Infections. </w:t>
      </w:r>
      <w:r w:rsidRPr="002669EA">
        <w:rPr>
          <w:rFonts w:ascii="Times New Roman" w:hAnsi="Times New Roman" w:cs="Times New Roman"/>
          <w:i/>
          <w:iCs/>
          <w:lang w:val="en-US"/>
        </w:rPr>
        <w:t>Pediatr. Infect. Dis. J.</w:t>
      </w:r>
      <w:r w:rsidRPr="002669EA">
        <w:rPr>
          <w:rFonts w:ascii="Times New Roman" w:hAnsi="Times New Roman" w:cs="Times New Roman"/>
          <w:lang w:val="en-US"/>
        </w:rPr>
        <w:t xml:space="preserve"> </w:t>
      </w:r>
      <w:r w:rsidRPr="002669EA">
        <w:rPr>
          <w:rFonts w:ascii="Times New Roman" w:hAnsi="Times New Roman" w:cs="Times New Roman"/>
          <w:b/>
          <w:bCs/>
          <w:lang w:val="en-US"/>
        </w:rPr>
        <w:t>2012</w:t>
      </w:r>
      <w:r w:rsidRPr="002669EA">
        <w:rPr>
          <w:rFonts w:ascii="Times New Roman" w:hAnsi="Times New Roman" w:cs="Times New Roman"/>
          <w:lang w:val="en-US"/>
        </w:rPr>
        <w:t xml:space="preserve">, </w:t>
      </w:r>
      <w:r w:rsidRPr="002669EA">
        <w:rPr>
          <w:rFonts w:ascii="Times New Roman" w:hAnsi="Times New Roman" w:cs="Times New Roman"/>
          <w:i/>
          <w:iCs/>
          <w:lang w:val="en-US"/>
        </w:rPr>
        <w:t>31</w:t>
      </w:r>
      <w:r w:rsidRPr="002669EA">
        <w:rPr>
          <w:rFonts w:ascii="Times New Roman" w:hAnsi="Times New Roman" w:cs="Times New Roman"/>
          <w:lang w:val="en-US"/>
        </w:rPr>
        <w:t>, 439–443, doi:10.1097/INF.0b013e3182467a72.</w:t>
      </w:r>
    </w:p>
    <w:p w14:paraId="08206EA4"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18. </w:t>
      </w:r>
      <w:r w:rsidRPr="002669EA">
        <w:rPr>
          <w:rFonts w:ascii="Times New Roman" w:hAnsi="Times New Roman" w:cs="Times New Roman"/>
          <w:lang w:val="en-US"/>
        </w:rPr>
        <w:tab/>
        <w:t xml:space="preserve">Andrew, E.C.; Curtis, N.; Coghlan, B.; Cranswick, N.; Gwee, A. Adverse Effects of Amphotericin B in Children; a Retrospective Comparison of Conventional and Liposomal Formulations. </w:t>
      </w:r>
      <w:r w:rsidRPr="002669EA">
        <w:rPr>
          <w:rFonts w:ascii="Times New Roman" w:hAnsi="Times New Roman" w:cs="Times New Roman"/>
          <w:i/>
          <w:iCs/>
          <w:lang w:val="en-US"/>
        </w:rPr>
        <w:t>Br. J. Clin. Pharmacol.</w:t>
      </w:r>
      <w:r w:rsidRPr="002669EA">
        <w:rPr>
          <w:rFonts w:ascii="Times New Roman" w:hAnsi="Times New Roman" w:cs="Times New Roman"/>
          <w:lang w:val="en-US"/>
        </w:rPr>
        <w:t xml:space="preserve"> </w:t>
      </w:r>
      <w:r w:rsidRPr="002669EA">
        <w:rPr>
          <w:rFonts w:ascii="Times New Roman" w:hAnsi="Times New Roman" w:cs="Times New Roman"/>
          <w:b/>
          <w:bCs/>
          <w:lang w:val="en-US"/>
        </w:rPr>
        <w:t>2018</w:t>
      </w:r>
      <w:r w:rsidRPr="002669EA">
        <w:rPr>
          <w:rFonts w:ascii="Times New Roman" w:hAnsi="Times New Roman" w:cs="Times New Roman"/>
          <w:lang w:val="en-US"/>
        </w:rPr>
        <w:t xml:space="preserve">, </w:t>
      </w:r>
      <w:r w:rsidRPr="002669EA">
        <w:rPr>
          <w:rFonts w:ascii="Times New Roman" w:hAnsi="Times New Roman" w:cs="Times New Roman"/>
          <w:i/>
          <w:iCs/>
          <w:lang w:val="en-US"/>
        </w:rPr>
        <w:t>84</w:t>
      </w:r>
      <w:r w:rsidRPr="002669EA">
        <w:rPr>
          <w:rFonts w:ascii="Times New Roman" w:hAnsi="Times New Roman" w:cs="Times New Roman"/>
          <w:lang w:val="en-US"/>
        </w:rPr>
        <w:t>, 1006–1012, doi:10.1111/bcp.13521.</w:t>
      </w:r>
    </w:p>
    <w:p w14:paraId="5F4147EB"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19. </w:t>
      </w:r>
      <w:r w:rsidRPr="002669EA">
        <w:rPr>
          <w:rFonts w:ascii="Times New Roman" w:hAnsi="Times New Roman" w:cs="Times New Roman"/>
          <w:lang w:val="en-US"/>
        </w:rPr>
        <w:tab/>
        <w:t xml:space="preserve">Hope, W.W.; Castagnola, E.; Groll, A.H.; Roilides, E.; Akova, M.; Arendrup, M.C.; Arikan-Akdagli, S.; Bassetti, M.; Bille, J.; Cornely, O.A.; et al. ESCMID* Guideline for the Diagnosis and Management of Candida Diseases 2012: Prevention and Management of Invasive Infections in Neonates and Children Caused by Candida Spp. </w:t>
      </w:r>
      <w:r w:rsidRPr="002669EA">
        <w:rPr>
          <w:rFonts w:ascii="Times New Roman" w:hAnsi="Times New Roman" w:cs="Times New Roman"/>
          <w:i/>
          <w:iCs/>
          <w:lang w:val="en-US"/>
        </w:rPr>
        <w:t>Clin. Microbiol. Infect. Off. Publ. Eur. Soc. Clin. Microbiol. Infect. Dis.</w:t>
      </w:r>
      <w:r w:rsidRPr="002669EA">
        <w:rPr>
          <w:rFonts w:ascii="Times New Roman" w:hAnsi="Times New Roman" w:cs="Times New Roman"/>
          <w:lang w:val="en-US"/>
        </w:rPr>
        <w:t xml:space="preserve"> </w:t>
      </w:r>
      <w:r w:rsidRPr="002669EA">
        <w:rPr>
          <w:rFonts w:ascii="Times New Roman" w:hAnsi="Times New Roman" w:cs="Times New Roman"/>
          <w:b/>
          <w:bCs/>
          <w:lang w:val="en-US"/>
        </w:rPr>
        <w:t>2012</w:t>
      </w:r>
      <w:r w:rsidRPr="002669EA">
        <w:rPr>
          <w:rFonts w:ascii="Times New Roman" w:hAnsi="Times New Roman" w:cs="Times New Roman"/>
          <w:lang w:val="en-US"/>
        </w:rPr>
        <w:t xml:space="preserve">, </w:t>
      </w:r>
      <w:r w:rsidRPr="002669EA">
        <w:rPr>
          <w:rFonts w:ascii="Times New Roman" w:hAnsi="Times New Roman" w:cs="Times New Roman"/>
          <w:i/>
          <w:iCs/>
          <w:lang w:val="en-US"/>
        </w:rPr>
        <w:t>18 Suppl 7</w:t>
      </w:r>
      <w:r w:rsidRPr="002669EA">
        <w:rPr>
          <w:rFonts w:ascii="Times New Roman" w:hAnsi="Times New Roman" w:cs="Times New Roman"/>
          <w:lang w:val="en-US"/>
        </w:rPr>
        <w:t>, 38–52, doi:10.1111/1469-0691.12040.</w:t>
      </w:r>
    </w:p>
    <w:p w14:paraId="6670E101"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20. </w:t>
      </w:r>
      <w:r w:rsidRPr="002669EA">
        <w:rPr>
          <w:rFonts w:ascii="Times New Roman" w:hAnsi="Times New Roman" w:cs="Times New Roman"/>
          <w:lang w:val="en-US"/>
        </w:rPr>
        <w:tab/>
        <w:t xml:space="preserve">Hornik, C.D.; Bondi, D.S.; Greene, N.M.; Cober, M.P.; John, B. Review of Fluconazole Treatment and Prophylaxis for Invasive Candidiasis in Neonates. </w:t>
      </w:r>
      <w:r w:rsidRPr="002669EA">
        <w:rPr>
          <w:rFonts w:ascii="Times New Roman" w:hAnsi="Times New Roman" w:cs="Times New Roman"/>
          <w:i/>
          <w:iCs/>
          <w:lang w:val="en-US"/>
        </w:rPr>
        <w:t>J. Pediatr. Pharmacol. Ther. JPPT Off. J. PPAG</w:t>
      </w:r>
      <w:r w:rsidRPr="002669EA">
        <w:rPr>
          <w:rFonts w:ascii="Times New Roman" w:hAnsi="Times New Roman" w:cs="Times New Roman"/>
          <w:lang w:val="en-US"/>
        </w:rPr>
        <w:t xml:space="preserve"> </w:t>
      </w:r>
      <w:r w:rsidRPr="002669EA">
        <w:rPr>
          <w:rFonts w:ascii="Times New Roman" w:hAnsi="Times New Roman" w:cs="Times New Roman"/>
          <w:b/>
          <w:bCs/>
          <w:lang w:val="en-US"/>
        </w:rPr>
        <w:t>2021</w:t>
      </w:r>
      <w:r w:rsidRPr="002669EA">
        <w:rPr>
          <w:rFonts w:ascii="Times New Roman" w:hAnsi="Times New Roman" w:cs="Times New Roman"/>
          <w:lang w:val="en-US"/>
        </w:rPr>
        <w:t xml:space="preserve">, </w:t>
      </w:r>
      <w:r w:rsidRPr="002669EA">
        <w:rPr>
          <w:rFonts w:ascii="Times New Roman" w:hAnsi="Times New Roman" w:cs="Times New Roman"/>
          <w:i/>
          <w:iCs/>
          <w:lang w:val="en-US"/>
        </w:rPr>
        <w:t>26</w:t>
      </w:r>
      <w:r w:rsidRPr="002669EA">
        <w:rPr>
          <w:rFonts w:ascii="Times New Roman" w:hAnsi="Times New Roman" w:cs="Times New Roman"/>
          <w:lang w:val="en-US"/>
        </w:rPr>
        <w:t>, 115–122, doi:10.5863/1551-6776-26.2.115.</w:t>
      </w:r>
    </w:p>
    <w:p w14:paraId="1374CD04"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21. </w:t>
      </w:r>
      <w:r w:rsidRPr="002669EA">
        <w:rPr>
          <w:rFonts w:ascii="Times New Roman" w:hAnsi="Times New Roman" w:cs="Times New Roman"/>
          <w:lang w:val="en-US"/>
        </w:rPr>
        <w:tab/>
        <w:t xml:space="preserve">Wade, K.C.; Benjamin, D.K.; Kaufman, D.A.; Ward, R.M.; Smith, P.B.; Jayaraman, B.; Adamson, P.C.; Gastonguay, M.R.; Barrett, J.S. Fluconazole Dosing for the Prevention or Treatment of Invasive Candidiasis in Young Infants. </w:t>
      </w:r>
      <w:r w:rsidRPr="002669EA">
        <w:rPr>
          <w:rFonts w:ascii="Times New Roman" w:hAnsi="Times New Roman" w:cs="Times New Roman"/>
          <w:i/>
          <w:iCs/>
          <w:lang w:val="en-US"/>
        </w:rPr>
        <w:t>Pediatr. Infect. Dis. J.</w:t>
      </w:r>
      <w:r w:rsidRPr="002669EA">
        <w:rPr>
          <w:rFonts w:ascii="Times New Roman" w:hAnsi="Times New Roman" w:cs="Times New Roman"/>
          <w:lang w:val="en-US"/>
        </w:rPr>
        <w:t xml:space="preserve"> </w:t>
      </w:r>
      <w:r w:rsidRPr="002669EA">
        <w:rPr>
          <w:rFonts w:ascii="Times New Roman" w:hAnsi="Times New Roman" w:cs="Times New Roman"/>
          <w:b/>
          <w:bCs/>
          <w:lang w:val="en-US"/>
        </w:rPr>
        <w:t>2009</w:t>
      </w:r>
      <w:r w:rsidRPr="002669EA">
        <w:rPr>
          <w:rFonts w:ascii="Times New Roman" w:hAnsi="Times New Roman" w:cs="Times New Roman"/>
          <w:lang w:val="en-US"/>
        </w:rPr>
        <w:t xml:space="preserve">, </w:t>
      </w:r>
      <w:r w:rsidRPr="002669EA">
        <w:rPr>
          <w:rFonts w:ascii="Times New Roman" w:hAnsi="Times New Roman" w:cs="Times New Roman"/>
          <w:i/>
          <w:iCs/>
          <w:lang w:val="en-US"/>
        </w:rPr>
        <w:t>28</w:t>
      </w:r>
      <w:r w:rsidRPr="002669EA">
        <w:rPr>
          <w:rFonts w:ascii="Times New Roman" w:hAnsi="Times New Roman" w:cs="Times New Roman"/>
          <w:lang w:val="en-US"/>
        </w:rPr>
        <w:t>, 717–723, doi:10.1097/INF.0b013e31819f1f50.</w:t>
      </w:r>
    </w:p>
    <w:p w14:paraId="02E9CA47"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22. </w:t>
      </w:r>
      <w:r w:rsidRPr="002669EA">
        <w:rPr>
          <w:rFonts w:ascii="Times New Roman" w:hAnsi="Times New Roman" w:cs="Times New Roman"/>
          <w:lang w:val="en-US"/>
        </w:rPr>
        <w:tab/>
        <w:t xml:space="preserve">Leroux, S.; Jacqz-Aigrain, E.; Elie, V.; Legrand, F.; Barin-Le Guellec, C.; Aurich, B.; Biran, V.; Dusang, B.; Goudjil, S.; Coopman, S.; et al. Pharmacokinetics and Safety of Fluconazole and Micafungin in Neonates with Systemic Candidiasis: A Randomized, Open-Label Clinical Trial. </w:t>
      </w:r>
      <w:r w:rsidRPr="002669EA">
        <w:rPr>
          <w:rFonts w:ascii="Times New Roman" w:hAnsi="Times New Roman" w:cs="Times New Roman"/>
          <w:i/>
          <w:iCs/>
          <w:lang w:val="en-US"/>
        </w:rPr>
        <w:t>Br. J. Clin. Pharmacol.</w:t>
      </w:r>
      <w:r w:rsidRPr="002669EA">
        <w:rPr>
          <w:rFonts w:ascii="Times New Roman" w:hAnsi="Times New Roman" w:cs="Times New Roman"/>
          <w:lang w:val="en-US"/>
        </w:rPr>
        <w:t xml:space="preserve"> </w:t>
      </w:r>
      <w:r w:rsidRPr="002669EA">
        <w:rPr>
          <w:rFonts w:ascii="Times New Roman" w:hAnsi="Times New Roman" w:cs="Times New Roman"/>
          <w:b/>
          <w:bCs/>
          <w:lang w:val="en-US"/>
        </w:rPr>
        <w:t>2018</w:t>
      </w:r>
      <w:r w:rsidRPr="002669EA">
        <w:rPr>
          <w:rFonts w:ascii="Times New Roman" w:hAnsi="Times New Roman" w:cs="Times New Roman"/>
          <w:lang w:val="en-US"/>
        </w:rPr>
        <w:t xml:space="preserve">, </w:t>
      </w:r>
      <w:r w:rsidRPr="002669EA">
        <w:rPr>
          <w:rFonts w:ascii="Times New Roman" w:hAnsi="Times New Roman" w:cs="Times New Roman"/>
          <w:i/>
          <w:iCs/>
          <w:lang w:val="en-US"/>
        </w:rPr>
        <w:t>84</w:t>
      </w:r>
      <w:r w:rsidRPr="002669EA">
        <w:rPr>
          <w:rFonts w:ascii="Times New Roman" w:hAnsi="Times New Roman" w:cs="Times New Roman"/>
          <w:lang w:val="en-US"/>
        </w:rPr>
        <w:t>, 1989–1999, doi:10.1111/bcp.13628.</w:t>
      </w:r>
    </w:p>
    <w:p w14:paraId="5E01C5A1"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23. </w:t>
      </w:r>
      <w:r w:rsidRPr="002669EA">
        <w:rPr>
          <w:rFonts w:ascii="Times New Roman" w:hAnsi="Times New Roman" w:cs="Times New Roman"/>
          <w:lang w:val="en-US"/>
        </w:rPr>
        <w:tab/>
        <w:t xml:space="preserve">Piper, L.; Smith, P.B.; Hornik, C.P.; Cheifetz, I.M.; Barrett, J.S.; Moorthy, G.; Hope, W.W.; Wade, K.C.; Cohen-Wolkowiez, M.; Benjamin, D.K. Fluconazole Loading Dose Pharmacokinetics and Safety in Infants. </w:t>
      </w:r>
      <w:r w:rsidRPr="002669EA">
        <w:rPr>
          <w:rFonts w:ascii="Times New Roman" w:hAnsi="Times New Roman" w:cs="Times New Roman"/>
          <w:i/>
          <w:iCs/>
          <w:lang w:val="en-US"/>
        </w:rPr>
        <w:t>Pediatr. Infect. Dis. J.</w:t>
      </w:r>
      <w:r w:rsidRPr="002669EA">
        <w:rPr>
          <w:rFonts w:ascii="Times New Roman" w:hAnsi="Times New Roman" w:cs="Times New Roman"/>
          <w:lang w:val="en-US"/>
        </w:rPr>
        <w:t xml:space="preserve"> </w:t>
      </w:r>
      <w:r w:rsidRPr="002669EA">
        <w:rPr>
          <w:rFonts w:ascii="Times New Roman" w:hAnsi="Times New Roman" w:cs="Times New Roman"/>
          <w:b/>
          <w:bCs/>
          <w:lang w:val="en-US"/>
        </w:rPr>
        <w:t>2011</w:t>
      </w:r>
      <w:r w:rsidRPr="002669EA">
        <w:rPr>
          <w:rFonts w:ascii="Times New Roman" w:hAnsi="Times New Roman" w:cs="Times New Roman"/>
          <w:lang w:val="en-US"/>
        </w:rPr>
        <w:t xml:space="preserve">, </w:t>
      </w:r>
      <w:r w:rsidRPr="002669EA">
        <w:rPr>
          <w:rFonts w:ascii="Times New Roman" w:hAnsi="Times New Roman" w:cs="Times New Roman"/>
          <w:i/>
          <w:iCs/>
          <w:lang w:val="en-US"/>
        </w:rPr>
        <w:t>30</w:t>
      </w:r>
      <w:r w:rsidRPr="002669EA">
        <w:rPr>
          <w:rFonts w:ascii="Times New Roman" w:hAnsi="Times New Roman" w:cs="Times New Roman"/>
          <w:lang w:val="en-US"/>
        </w:rPr>
        <w:t>, 375–378, doi:10.1097/INF.0b013e318202cbb3.</w:t>
      </w:r>
    </w:p>
    <w:p w14:paraId="0507A868"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24. </w:t>
      </w:r>
      <w:r w:rsidRPr="002669EA">
        <w:rPr>
          <w:rFonts w:ascii="Times New Roman" w:hAnsi="Times New Roman" w:cs="Times New Roman"/>
          <w:lang w:val="en-US"/>
        </w:rPr>
        <w:tab/>
        <w:t xml:space="preserve">Ericson, J.E.; Kaufman, D.A.; Kicklighter, S.D.; Bhatia, J.; Testoni, D.; Gao, J.; Smith, P.B.; Prather, K.O.; Benjamin, D.K.; Fluconazole Prophylaxis Study Team on behalf of the Best Pharmaceuticals for Children Act–Pediatric Trials Network Steering Committeea; et al. Fluconazole Prophylaxis for the Prevention of Candidiasis in Premature Infants: A Meta-Analysis Using Patient-Level Data. </w:t>
      </w:r>
      <w:r w:rsidRPr="002669EA">
        <w:rPr>
          <w:rFonts w:ascii="Times New Roman" w:hAnsi="Times New Roman" w:cs="Times New Roman"/>
          <w:i/>
          <w:iCs/>
          <w:lang w:val="en-US"/>
        </w:rPr>
        <w:t>Clin. Infect. Dis. Off. Publ. Infect. Dis. Soc. Am.</w:t>
      </w:r>
      <w:r w:rsidRPr="002669EA">
        <w:rPr>
          <w:rFonts w:ascii="Times New Roman" w:hAnsi="Times New Roman" w:cs="Times New Roman"/>
          <w:lang w:val="en-US"/>
        </w:rPr>
        <w:t xml:space="preserve"> </w:t>
      </w:r>
      <w:r w:rsidRPr="002669EA">
        <w:rPr>
          <w:rFonts w:ascii="Times New Roman" w:hAnsi="Times New Roman" w:cs="Times New Roman"/>
          <w:b/>
          <w:bCs/>
          <w:lang w:val="en-US"/>
        </w:rPr>
        <w:t>2016</w:t>
      </w:r>
      <w:r w:rsidRPr="002669EA">
        <w:rPr>
          <w:rFonts w:ascii="Times New Roman" w:hAnsi="Times New Roman" w:cs="Times New Roman"/>
          <w:lang w:val="en-US"/>
        </w:rPr>
        <w:t xml:space="preserve">, </w:t>
      </w:r>
      <w:r w:rsidRPr="002669EA">
        <w:rPr>
          <w:rFonts w:ascii="Times New Roman" w:hAnsi="Times New Roman" w:cs="Times New Roman"/>
          <w:i/>
          <w:iCs/>
          <w:lang w:val="en-US"/>
        </w:rPr>
        <w:t>63</w:t>
      </w:r>
      <w:r w:rsidRPr="002669EA">
        <w:rPr>
          <w:rFonts w:ascii="Times New Roman" w:hAnsi="Times New Roman" w:cs="Times New Roman"/>
          <w:lang w:val="en-US"/>
        </w:rPr>
        <w:t>, 604–610, doi:10.1093/cid/ciw363.</w:t>
      </w:r>
    </w:p>
    <w:p w14:paraId="11D44C04"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25. </w:t>
      </w:r>
      <w:r w:rsidRPr="002669EA">
        <w:rPr>
          <w:rFonts w:ascii="Times New Roman" w:hAnsi="Times New Roman" w:cs="Times New Roman"/>
          <w:lang w:val="en-US"/>
        </w:rPr>
        <w:tab/>
        <w:t xml:space="preserve">Leonart, L.P.; Tonin, F.S.; Ferreira, V.L.; Tavares da Silva Penteado, S.; de Araújo Motta, F.; Pontarolo, R. Fluconazole Doses Used for Prophylaxis of Invasive Fungal Infection in Neonatal Intensive Care Units: A Network Meta-Analysis. </w:t>
      </w:r>
      <w:r w:rsidRPr="002669EA">
        <w:rPr>
          <w:rFonts w:ascii="Times New Roman" w:hAnsi="Times New Roman" w:cs="Times New Roman"/>
          <w:i/>
          <w:iCs/>
          <w:lang w:val="en-US"/>
        </w:rPr>
        <w:t>J. Pediatr.</w:t>
      </w:r>
      <w:r w:rsidRPr="002669EA">
        <w:rPr>
          <w:rFonts w:ascii="Times New Roman" w:hAnsi="Times New Roman" w:cs="Times New Roman"/>
          <w:lang w:val="en-US"/>
        </w:rPr>
        <w:t xml:space="preserve"> </w:t>
      </w:r>
      <w:r w:rsidRPr="002669EA">
        <w:rPr>
          <w:rFonts w:ascii="Times New Roman" w:hAnsi="Times New Roman" w:cs="Times New Roman"/>
          <w:b/>
          <w:bCs/>
          <w:lang w:val="en-US"/>
        </w:rPr>
        <w:t>2017</w:t>
      </w:r>
      <w:r w:rsidRPr="002669EA">
        <w:rPr>
          <w:rFonts w:ascii="Times New Roman" w:hAnsi="Times New Roman" w:cs="Times New Roman"/>
          <w:lang w:val="en-US"/>
        </w:rPr>
        <w:t xml:space="preserve">, </w:t>
      </w:r>
      <w:r w:rsidRPr="002669EA">
        <w:rPr>
          <w:rFonts w:ascii="Times New Roman" w:hAnsi="Times New Roman" w:cs="Times New Roman"/>
          <w:i/>
          <w:iCs/>
          <w:lang w:val="en-US"/>
        </w:rPr>
        <w:t>185</w:t>
      </w:r>
      <w:r w:rsidRPr="002669EA">
        <w:rPr>
          <w:rFonts w:ascii="Times New Roman" w:hAnsi="Times New Roman" w:cs="Times New Roman"/>
          <w:lang w:val="en-US"/>
        </w:rPr>
        <w:t>, 129-135.e6, doi:10.1016/j.jpeds.2017.02.039.</w:t>
      </w:r>
    </w:p>
    <w:p w14:paraId="1874EBB4" w14:textId="77777777" w:rsidR="00412230" w:rsidRPr="002669EA" w:rsidRDefault="00412230" w:rsidP="00412230">
      <w:pPr>
        <w:pStyle w:val="Bibliography"/>
        <w:rPr>
          <w:rFonts w:ascii="Times New Roman" w:hAnsi="Times New Roman" w:cs="Times New Roman"/>
          <w:lang w:val="en-US"/>
        </w:rPr>
      </w:pPr>
      <w:r w:rsidRPr="002669EA">
        <w:rPr>
          <w:rFonts w:ascii="Times New Roman" w:hAnsi="Times New Roman" w:cs="Times New Roman"/>
          <w:lang w:val="en-US"/>
        </w:rPr>
        <w:t xml:space="preserve">26. </w:t>
      </w:r>
      <w:r w:rsidRPr="002669EA">
        <w:rPr>
          <w:rFonts w:ascii="Times New Roman" w:hAnsi="Times New Roman" w:cs="Times New Roman"/>
          <w:lang w:val="en-US"/>
        </w:rPr>
        <w:tab/>
        <w:t xml:space="preserve">Taormina, G.; Gopinath, R.; Moore, J.; Yasinskaya, Y.; Colangelo, P.; Reynolds, K.; Nambiar, S. A Regulatory Review Approach for Evaluation of Micafungin for Treatment of Neonatal Candidiasis. </w:t>
      </w:r>
      <w:r w:rsidRPr="002669EA">
        <w:rPr>
          <w:rFonts w:ascii="Times New Roman" w:hAnsi="Times New Roman" w:cs="Times New Roman"/>
          <w:i/>
          <w:iCs/>
          <w:lang w:val="en-US"/>
        </w:rPr>
        <w:t>Clin. Infect. Dis. Off. Publ. Infect. Dis. Soc. Am.</w:t>
      </w:r>
      <w:r w:rsidRPr="002669EA">
        <w:rPr>
          <w:rFonts w:ascii="Times New Roman" w:hAnsi="Times New Roman" w:cs="Times New Roman"/>
          <w:lang w:val="en-US"/>
        </w:rPr>
        <w:t xml:space="preserve"> </w:t>
      </w:r>
      <w:r w:rsidRPr="002669EA">
        <w:rPr>
          <w:rFonts w:ascii="Times New Roman" w:hAnsi="Times New Roman" w:cs="Times New Roman"/>
          <w:b/>
          <w:bCs/>
          <w:lang w:val="en-US"/>
        </w:rPr>
        <w:t>2021</w:t>
      </w:r>
      <w:r w:rsidRPr="002669EA">
        <w:rPr>
          <w:rFonts w:ascii="Times New Roman" w:hAnsi="Times New Roman" w:cs="Times New Roman"/>
          <w:lang w:val="en-US"/>
        </w:rPr>
        <w:t xml:space="preserve">, </w:t>
      </w:r>
      <w:r w:rsidRPr="002669EA">
        <w:rPr>
          <w:rFonts w:ascii="Times New Roman" w:hAnsi="Times New Roman" w:cs="Times New Roman"/>
          <w:i/>
          <w:iCs/>
          <w:lang w:val="en-US"/>
        </w:rPr>
        <w:t>73</w:t>
      </w:r>
      <w:r w:rsidRPr="002669EA">
        <w:rPr>
          <w:rFonts w:ascii="Times New Roman" w:hAnsi="Times New Roman" w:cs="Times New Roman"/>
          <w:lang w:val="en-US"/>
        </w:rPr>
        <w:t>, 2335–2340, doi:10.1093/cid/ciab025.</w:t>
      </w:r>
    </w:p>
    <w:p w14:paraId="265A48B3" w14:textId="395673B2" w:rsidR="00C17055" w:rsidRPr="002669EA" w:rsidRDefault="00C17055" w:rsidP="00C17055">
      <w:pPr>
        <w:rPr>
          <w:rFonts w:ascii="Times New Roman" w:hAnsi="Times New Roman" w:cs="Times New Roman"/>
          <w:lang w:val="en-US"/>
        </w:rPr>
      </w:pPr>
      <w:r w:rsidRPr="002669EA">
        <w:rPr>
          <w:rFonts w:ascii="Times New Roman" w:hAnsi="Times New Roman" w:cs="Times New Roman"/>
        </w:rPr>
        <w:fldChar w:fldCharType="end"/>
      </w:r>
    </w:p>
    <w:p w14:paraId="2075E0A2" w14:textId="77777777" w:rsidR="00802E39" w:rsidRPr="002669EA" w:rsidRDefault="00802E39" w:rsidP="00C17055">
      <w:pPr>
        <w:rPr>
          <w:rFonts w:ascii="Times New Roman" w:hAnsi="Times New Roman" w:cs="Times New Roman"/>
          <w:lang w:val="en-US"/>
        </w:rPr>
      </w:pPr>
    </w:p>
    <w:p w14:paraId="1834F2D2" w14:textId="77777777" w:rsidR="00802E39" w:rsidRPr="002669EA" w:rsidRDefault="00802E39" w:rsidP="00C17055">
      <w:pPr>
        <w:rPr>
          <w:rFonts w:ascii="Times New Roman" w:hAnsi="Times New Roman" w:cs="Times New Roman"/>
          <w:lang w:val="en-US"/>
        </w:rPr>
      </w:pPr>
    </w:p>
    <w:p w14:paraId="721EBEA2" w14:textId="77777777" w:rsidR="00773D9A" w:rsidRPr="002669EA" w:rsidRDefault="00773D9A" w:rsidP="00C17055">
      <w:pPr>
        <w:rPr>
          <w:rFonts w:ascii="Times New Roman" w:hAnsi="Times New Roman" w:cs="Times New Roman"/>
          <w:lang w:val="en-US"/>
        </w:rPr>
      </w:pPr>
    </w:p>
    <w:sectPr w:rsidR="00773D9A" w:rsidRPr="002669EA" w:rsidSect="006E33F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46C1" w14:textId="77777777" w:rsidR="005574C0" w:rsidRDefault="005574C0" w:rsidP="004D240D">
      <w:pPr>
        <w:spacing w:after="0" w:line="240" w:lineRule="auto"/>
      </w:pPr>
      <w:r>
        <w:separator/>
      </w:r>
    </w:p>
  </w:endnote>
  <w:endnote w:type="continuationSeparator" w:id="0">
    <w:p w14:paraId="02585B6D" w14:textId="77777777" w:rsidR="005574C0" w:rsidRDefault="005574C0" w:rsidP="004D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912D" w14:textId="77777777" w:rsidR="005574C0" w:rsidRDefault="005574C0" w:rsidP="004D240D">
      <w:pPr>
        <w:spacing w:after="0" w:line="240" w:lineRule="auto"/>
      </w:pPr>
      <w:r>
        <w:separator/>
      </w:r>
    </w:p>
  </w:footnote>
  <w:footnote w:type="continuationSeparator" w:id="0">
    <w:p w14:paraId="6E6A1D6B" w14:textId="77777777" w:rsidR="005574C0" w:rsidRDefault="005574C0" w:rsidP="004D24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C4"/>
    <w:rsid w:val="0003431E"/>
    <w:rsid w:val="00050FCC"/>
    <w:rsid w:val="00053DB2"/>
    <w:rsid w:val="0006124F"/>
    <w:rsid w:val="00063895"/>
    <w:rsid w:val="000644C6"/>
    <w:rsid w:val="00066C55"/>
    <w:rsid w:val="00067663"/>
    <w:rsid w:val="00072E47"/>
    <w:rsid w:val="0007439F"/>
    <w:rsid w:val="00077704"/>
    <w:rsid w:val="000A48BA"/>
    <w:rsid w:val="000C04C0"/>
    <w:rsid w:val="000C625D"/>
    <w:rsid w:val="000C6515"/>
    <w:rsid w:val="000D2906"/>
    <w:rsid w:val="000E6FC2"/>
    <w:rsid w:val="001271C6"/>
    <w:rsid w:val="00135825"/>
    <w:rsid w:val="00137A9C"/>
    <w:rsid w:val="00152E15"/>
    <w:rsid w:val="00193C1F"/>
    <w:rsid w:val="001C3070"/>
    <w:rsid w:val="001D2B53"/>
    <w:rsid w:val="001D3929"/>
    <w:rsid w:val="001E383A"/>
    <w:rsid w:val="00230C7A"/>
    <w:rsid w:val="00240988"/>
    <w:rsid w:val="00253E60"/>
    <w:rsid w:val="0026440E"/>
    <w:rsid w:val="002669EA"/>
    <w:rsid w:val="00271DC5"/>
    <w:rsid w:val="00275C6C"/>
    <w:rsid w:val="002A2778"/>
    <w:rsid w:val="002C38F3"/>
    <w:rsid w:val="002D6BEC"/>
    <w:rsid w:val="00316026"/>
    <w:rsid w:val="003213E9"/>
    <w:rsid w:val="003359CE"/>
    <w:rsid w:val="003455D6"/>
    <w:rsid w:val="003576C7"/>
    <w:rsid w:val="00371FE6"/>
    <w:rsid w:val="00377473"/>
    <w:rsid w:val="00383DD7"/>
    <w:rsid w:val="00390E44"/>
    <w:rsid w:val="0039386B"/>
    <w:rsid w:val="003C3088"/>
    <w:rsid w:val="003D68AA"/>
    <w:rsid w:val="003E1C38"/>
    <w:rsid w:val="003E21C6"/>
    <w:rsid w:val="00412230"/>
    <w:rsid w:val="00416328"/>
    <w:rsid w:val="0043016D"/>
    <w:rsid w:val="004464EE"/>
    <w:rsid w:val="0045681C"/>
    <w:rsid w:val="004A230C"/>
    <w:rsid w:val="004A3F59"/>
    <w:rsid w:val="004D240D"/>
    <w:rsid w:val="004D5943"/>
    <w:rsid w:val="004D65DD"/>
    <w:rsid w:val="004E08A5"/>
    <w:rsid w:val="004E75D3"/>
    <w:rsid w:val="00505055"/>
    <w:rsid w:val="00507063"/>
    <w:rsid w:val="005136BF"/>
    <w:rsid w:val="00531197"/>
    <w:rsid w:val="00543FDA"/>
    <w:rsid w:val="00547A44"/>
    <w:rsid w:val="005574C0"/>
    <w:rsid w:val="00564414"/>
    <w:rsid w:val="00564A10"/>
    <w:rsid w:val="00570250"/>
    <w:rsid w:val="0058023B"/>
    <w:rsid w:val="005A1BBB"/>
    <w:rsid w:val="005A509A"/>
    <w:rsid w:val="005E4DDF"/>
    <w:rsid w:val="005E7B37"/>
    <w:rsid w:val="005F4E54"/>
    <w:rsid w:val="00631824"/>
    <w:rsid w:val="00657E92"/>
    <w:rsid w:val="006756D6"/>
    <w:rsid w:val="006B6E98"/>
    <w:rsid w:val="006C4A85"/>
    <w:rsid w:val="006E33F7"/>
    <w:rsid w:val="006E6D16"/>
    <w:rsid w:val="00711E24"/>
    <w:rsid w:val="007177ED"/>
    <w:rsid w:val="007242EC"/>
    <w:rsid w:val="0073148E"/>
    <w:rsid w:val="007361C6"/>
    <w:rsid w:val="00770C98"/>
    <w:rsid w:val="00773D9A"/>
    <w:rsid w:val="007776FB"/>
    <w:rsid w:val="007A4D4A"/>
    <w:rsid w:val="007A6C83"/>
    <w:rsid w:val="007B54B7"/>
    <w:rsid w:val="007B74B9"/>
    <w:rsid w:val="00802E39"/>
    <w:rsid w:val="0082393F"/>
    <w:rsid w:val="00830CDD"/>
    <w:rsid w:val="00834BC5"/>
    <w:rsid w:val="00835CBD"/>
    <w:rsid w:val="00877386"/>
    <w:rsid w:val="0088681D"/>
    <w:rsid w:val="008A0370"/>
    <w:rsid w:val="008A443D"/>
    <w:rsid w:val="008B0BD7"/>
    <w:rsid w:val="008B5E5D"/>
    <w:rsid w:val="008E53A2"/>
    <w:rsid w:val="008E7ACF"/>
    <w:rsid w:val="00901746"/>
    <w:rsid w:val="00903088"/>
    <w:rsid w:val="00912FE6"/>
    <w:rsid w:val="00923A4B"/>
    <w:rsid w:val="00934CC3"/>
    <w:rsid w:val="00970B93"/>
    <w:rsid w:val="0097424E"/>
    <w:rsid w:val="009804E7"/>
    <w:rsid w:val="00991735"/>
    <w:rsid w:val="009A7CCF"/>
    <w:rsid w:val="00A543C6"/>
    <w:rsid w:val="00A707DB"/>
    <w:rsid w:val="00AA0C3C"/>
    <w:rsid w:val="00AC7547"/>
    <w:rsid w:val="00AE6899"/>
    <w:rsid w:val="00AF06CD"/>
    <w:rsid w:val="00B368B7"/>
    <w:rsid w:val="00B37677"/>
    <w:rsid w:val="00B40DD0"/>
    <w:rsid w:val="00B658FD"/>
    <w:rsid w:val="00B71248"/>
    <w:rsid w:val="00B75FD8"/>
    <w:rsid w:val="00B96DD6"/>
    <w:rsid w:val="00BA78D8"/>
    <w:rsid w:val="00BC680B"/>
    <w:rsid w:val="00BD444F"/>
    <w:rsid w:val="00BE5228"/>
    <w:rsid w:val="00BE7443"/>
    <w:rsid w:val="00C04250"/>
    <w:rsid w:val="00C13E79"/>
    <w:rsid w:val="00C17055"/>
    <w:rsid w:val="00C33191"/>
    <w:rsid w:val="00C33E97"/>
    <w:rsid w:val="00C349FC"/>
    <w:rsid w:val="00C54891"/>
    <w:rsid w:val="00C571A9"/>
    <w:rsid w:val="00C61926"/>
    <w:rsid w:val="00C8135C"/>
    <w:rsid w:val="00C86BF4"/>
    <w:rsid w:val="00C9141F"/>
    <w:rsid w:val="00C92CC4"/>
    <w:rsid w:val="00CA6148"/>
    <w:rsid w:val="00CC64A6"/>
    <w:rsid w:val="00CE530C"/>
    <w:rsid w:val="00CF24BE"/>
    <w:rsid w:val="00D04A24"/>
    <w:rsid w:val="00D13070"/>
    <w:rsid w:val="00D14145"/>
    <w:rsid w:val="00D1719D"/>
    <w:rsid w:val="00D24FEE"/>
    <w:rsid w:val="00D537AA"/>
    <w:rsid w:val="00D639DB"/>
    <w:rsid w:val="00D77BEE"/>
    <w:rsid w:val="00D92C87"/>
    <w:rsid w:val="00D97E91"/>
    <w:rsid w:val="00DA792A"/>
    <w:rsid w:val="00DD21AB"/>
    <w:rsid w:val="00DF3EAF"/>
    <w:rsid w:val="00DF4245"/>
    <w:rsid w:val="00E03061"/>
    <w:rsid w:val="00E1277B"/>
    <w:rsid w:val="00E13B2E"/>
    <w:rsid w:val="00E220C2"/>
    <w:rsid w:val="00E3554B"/>
    <w:rsid w:val="00E35B66"/>
    <w:rsid w:val="00E54882"/>
    <w:rsid w:val="00EA4B87"/>
    <w:rsid w:val="00EB5F8C"/>
    <w:rsid w:val="00ED3D30"/>
    <w:rsid w:val="00EE0AFE"/>
    <w:rsid w:val="00EF297E"/>
    <w:rsid w:val="00F023A1"/>
    <w:rsid w:val="00F053F9"/>
    <w:rsid w:val="00F1354F"/>
    <w:rsid w:val="00F26627"/>
    <w:rsid w:val="00F332A0"/>
    <w:rsid w:val="00F358B4"/>
    <w:rsid w:val="00F443F9"/>
    <w:rsid w:val="00F501E0"/>
    <w:rsid w:val="00F534C7"/>
    <w:rsid w:val="00F5735E"/>
    <w:rsid w:val="00F74631"/>
    <w:rsid w:val="00FA0140"/>
    <w:rsid w:val="00FA191D"/>
    <w:rsid w:val="00FA2A11"/>
    <w:rsid w:val="00FD0A75"/>
    <w:rsid w:val="00FE1666"/>
    <w:rsid w:val="00FF560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6ECF"/>
  <w15:chartTrackingRefBased/>
  <w15:docId w15:val="{1B262687-FC30-4966-93A2-05EE9CE3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2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2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CC4"/>
    <w:rPr>
      <w:rFonts w:eastAsiaTheme="majorEastAsia" w:cstheme="majorBidi"/>
      <w:color w:val="272727" w:themeColor="text1" w:themeTint="D8"/>
    </w:rPr>
  </w:style>
  <w:style w:type="paragraph" w:styleId="Title">
    <w:name w:val="Title"/>
    <w:basedOn w:val="Normal"/>
    <w:next w:val="Normal"/>
    <w:link w:val="TitleChar"/>
    <w:uiPriority w:val="10"/>
    <w:qFormat/>
    <w:rsid w:val="00C92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CC4"/>
    <w:pPr>
      <w:spacing w:before="160"/>
      <w:jc w:val="center"/>
    </w:pPr>
    <w:rPr>
      <w:i/>
      <w:iCs/>
      <w:color w:val="404040" w:themeColor="text1" w:themeTint="BF"/>
    </w:rPr>
  </w:style>
  <w:style w:type="character" w:customStyle="1" w:styleId="QuoteChar">
    <w:name w:val="Quote Char"/>
    <w:basedOn w:val="DefaultParagraphFont"/>
    <w:link w:val="Quote"/>
    <w:uiPriority w:val="29"/>
    <w:rsid w:val="00C92CC4"/>
    <w:rPr>
      <w:i/>
      <w:iCs/>
      <w:color w:val="404040" w:themeColor="text1" w:themeTint="BF"/>
    </w:rPr>
  </w:style>
  <w:style w:type="paragraph" w:styleId="ListParagraph">
    <w:name w:val="List Paragraph"/>
    <w:basedOn w:val="Normal"/>
    <w:uiPriority w:val="34"/>
    <w:qFormat/>
    <w:rsid w:val="00C92CC4"/>
    <w:pPr>
      <w:ind w:left="720"/>
      <w:contextualSpacing/>
    </w:pPr>
  </w:style>
  <w:style w:type="character" w:styleId="IntenseEmphasis">
    <w:name w:val="Intense Emphasis"/>
    <w:basedOn w:val="DefaultParagraphFont"/>
    <w:uiPriority w:val="21"/>
    <w:qFormat/>
    <w:rsid w:val="00C92CC4"/>
    <w:rPr>
      <w:i/>
      <w:iCs/>
      <w:color w:val="0F4761" w:themeColor="accent1" w:themeShade="BF"/>
    </w:rPr>
  </w:style>
  <w:style w:type="paragraph" w:styleId="IntenseQuote">
    <w:name w:val="Intense Quote"/>
    <w:basedOn w:val="Normal"/>
    <w:next w:val="Normal"/>
    <w:link w:val="IntenseQuoteChar"/>
    <w:uiPriority w:val="30"/>
    <w:qFormat/>
    <w:rsid w:val="00C92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CC4"/>
    <w:rPr>
      <w:i/>
      <w:iCs/>
      <w:color w:val="0F4761" w:themeColor="accent1" w:themeShade="BF"/>
    </w:rPr>
  </w:style>
  <w:style w:type="character" w:styleId="IntenseReference">
    <w:name w:val="Intense Reference"/>
    <w:basedOn w:val="DefaultParagraphFont"/>
    <w:uiPriority w:val="32"/>
    <w:qFormat/>
    <w:rsid w:val="00C92CC4"/>
    <w:rPr>
      <w:b/>
      <w:bCs/>
      <w:smallCaps/>
      <w:color w:val="0F4761" w:themeColor="accent1" w:themeShade="BF"/>
      <w:spacing w:val="5"/>
    </w:rPr>
  </w:style>
  <w:style w:type="table" w:styleId="TableGrid">
    <w:name w:val="Table Grid"/>
    <w:basedOn w:val="TableNormal"/>
    <w:uiPriority w:val="39"/>
    <w:rsid w:val="00C92CC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2CC4"/>
    <w:pPr>
      <w:autoSpaceDE w:val="0"/>
      <w:autoSpaceDN w:val="0"/>
      <w:adjustRightInd w:val="0"/>
      <w:spacing w:after="0" w:line="240" w:lineRule="auto"/>
    </w:pPr>
    <w:rPr>
      <w:rFonts w:ascii="Calibri" w:hAnsi="Calibri" w:cs="Calibri"/>
      <w:color w:val="000000"/>
      <w:kern w:val="0"/>
      <w:sz w:val="24"/>
      <w:szCs w:val="24"/>
      <w:lang w:val="en-GB" w:bidi="ml-IN"/>
    </w:rPr>
  </w:style>
  <w:style w:type="paragraph" w:styleId="NormalWeb">
    <w:name w:val="Normal (Web)"/>
    <w:basedOn w:val="Normal"/>
    <w:uiPriority w:val="99"/>
    <w:unhideWhenUsed/>
    <w:rsid w:val="00C92CC4"/>
    <w:pPr>
      <w:spacing w:before="100" w:beforeAutospacing="1" w:after="100" w:afterAutospacing="1" w:line="240" w:lineRule="auto"/>
    </w:pPr>
    <w:rPr>
      <w:rFonts w:ascii="Times New Roman" w:eastAsia="Times New Roman" w:hAnsi="Times New Roman" w:cs="Times New Roman"/>
      <w:kern w:val="0"/>
      <w:sz w:val="24"/>
      <w:szCs w:val="24"/>
      <w:lang w:eastAsia="en-GB" w:bidi="ml-IN"/>
      <w14:ligatures w14:val="none"/>
    </w:rPr>
  </w:style>
  <w:style w:type="paragraph" w:styleId="Bibliography">
    <w:name w:val="Bibliography"/>
    <w:basedOn w:val="Normal"/>
    <w:next w:val="Normal"/>
    <w:uiPriority w:val="37"/>
    <w:unhideWhenUsed/>
    <w:rsid w:val="00C17055"/>
    <w:pPr>
      <w:tabs>
        <w:tab w:val="left" w:pos="504"/>
      </w:tabs>
      <w:spacing w:after="0" w:line="240" w:lineRule="auto"/>
      <w:ind w:left="504" w:hanging="504"/>
    </w:pPr>
  </w:style>
  <w:style w:type="paragraph" w:customStyle="1" w:styleId="mb0">
    <w:name w:val="mb0"/>
    <w:basedOn w:val="Normal"/>
    <w:rsid w:val="001C30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1C3070"/>
  </w:style>
  <w:style w:type="character" w:styleId="Hyperlink">
    <w:name w:val="Hyperlink"/>
    <w:basedOn w:val="DefaultParagraphFont"/>
    <w:uiPriority w:val="99"/>
    <w:unhideWhenUsed/>
    <w:rsid w:val="001C3070"/>
    <w:rPr>
      <w:color w:val="0000FF"/>
      <w:u w:val="single"/>
    </w:rPr>
  </w:style>
  <w:style w:type="character" w:customStyle="1" w:styleId="author-sup-separator">
    <w:name w:val="author-sup-separator"/>
    <w:basedOn w:val="DefaultParagraphFont"/>
    <w:rsid w:val="001C3070"/>
  </w:style>
  <w:style w:type="character" w:customStyle="1" w:styleId="hgkelc">
    <w:name w:val="hgkelc"/>
    <w:basedOn w:val="DefaultParagraphFont"/>
    <w:rsid w:val="001C3070"/>
  </w:style>
  <w:style w:type="paragraph" w:styleId="Header">
    <w:name w:val="header"/>
    <w:basedOn w:val="Normal"/>
    <w:link w:val="HeaderChar"/>
    <w:uiPriority w:val="99"/>
    <w:unhideWhenUsed/>
    <w:rsid w:val="004D24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240D"/>
  </w:style>
  <w:style w:type="paragraph" w:styleId="Footer">
    <w:name w:val="footer"/>
    <w:basedOn w:val="Normal"/>
    <w:link w:val="FooterChar"/>
    <w:uiPriority w:val="99"/>
    <w:unhideWhenUsed/>
    <w:rsid w:val="004D24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240D"/>
  </w:style>
  <w:style w:type="character" w:styleId="UnresolvedMention">
    <w:name w:val="Unresolved Mention"/>
    <w:basedOn w:val="DefaultParagraphFont"/>
    <w:uiPriority w:val="99"/>
    <w:semiHidden/>
    <w:unhideWhenUsed/>
    <w:rsid w:val="00CE530C"/>
    <w:rPr>
      <w:color w:val="605E5C"/>
      <w:shd w:val="clear" w:color="auto" w:fill="E1DFDD"/>
    </w:rPr>
  </w:style>
  <w:style w:type="character" w:customStyle="1" w:styleId="rynqvb">
    <w:name w:val="rynqvb"/>
    <w:basedOn w:val="DefaultParagraphFont"/>
    <w:rsid w:val="00BD444F"/>
  </w:style>
  <w:style w:type="character" w:styleId="Strong">
    <w:name w:val="Strong"/>
    <w:basedOn w:val="DefaultParagraphFont"/>
    <w:uiPriority w:val="22"/>
    <w:qFormat/>
    <w:rsid w:val="00802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39483">
      <w:bodyDiv w:val="1"/>
      <w:marLeft w:val="0"/>
      <w:marRight w:val="0"/>
      <w:marTop w:val="0"/>
      <w:marBottom w:val="0"/>
      <w:divBdr>
        <w:top w:val="none" w:sz="0" w:space="0" w:color="auto"/>
        <w:left w:val="none" w:sz="0" w:space="0" w:color="auto"/>
        <w:bottom w:val="none" w:sz="0" w:space="0" w:color="auto"/>
        <w:right w:val="none" w:sz="0" w:space="0" w:color="auto"/>
      </w:divBdr>
      <w:divsChild>
        <w:div w:id="975796827">
          <w:marLeft w:val="0"/>
          <w:marRight w:val="0"/>
          <w:marTop w:val="0"/>
          <w:marBottom w:val="0"/>
          <w:divBdr>
            <w:top w:val="none" w:sz="0" w:space="0" w:color="auto"/>
            <w:left w:val="none" w:sz="0" w:space="0" w:color="auto"/>
            <w:bottom w:val="none" w:sz="0" w:space="0" w:color="auto"/>
            <w:right w:val="none" w:sz="0" w:space="0" w:color="auto"/>
          </w:divBdr>
          <w:divsChild>
            <w:div w:id="2035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8426">
      <w:bodyDiv w:val="1"/>
      <w:marLeft w:val="0"/>
      <w:marRight w:val="0"/>
      <w:marTop w:val="0"/>
      <w:marBottom w:val="0"/>
      <w:divBdr>
        <w:top w:val="none" w:sz="0" w:space="0" w:color="auto"/>
        <w:left w:val="none" w:sz="0" w:space="0" w:color="auto"/>
        <w:bottom w:val="none" w:sz="0" w:space="0" w:color="auto"/>
        <w:right w:val="none" w:sz="0" w:space="0" w:color="auto"/>
      </w:divBdr>
      <w:divsChild>
        <w:div w:id="1190485567">
          <w:marLeft w:val="0"/>
          <w:marRight w:val="0"/>
          <w:marTop w:val="0"/>
          <w:marBottom w:val="0"/>
          <w:divBdr>
            <w:top w:val="none" w:sz="0" w:space="0" w:color="auto"/>
            <w:left w:val="none" w:sz="0" w:space="0" w:color="auto"/>
            <w:bottom w:val="none" w:sz="0" w:space="0" w:color="auto"/>
            <w:right w:val="none" w:sz="0" w:space="0" w:color="auto"/>
          </w:divBdr>
          <w:divsChild>
            <w:div w:id="10160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8815">
      <w:bodyDiv w:val="1"/>
      <w:marLeft w:val="0"/>
      <w:marRight w:val="0"/>
      <w:marTop w:val="0"/>
      <w:marBottom w:val="0"/>
      <w:divBdr>
        <w:top w:val="none" w:sz="0" w:space="0" w:color="auto"/>
        <w:left w:val="none" w:sz="0" w:space="0" w:color="auto"/>
        <w:bottom w:val="none" w:sz="0" w:space="0" w:color="auto"/>
        <w:right w:val="none" w:sz="0" w:space="0" w:color="auto"/>
      </w:divBdr>
      <w:divsChild>
        <w:div w:id="1764765334">
          <w:marLeft w:val="0"/>
          <w:marRight w:val="0"/>
          <w:marTop w:val="0"/>
          <w:marBottom w:val="0"/>
          <w:divBdr>
            <w:top w:val="none" w:sz="0" w:space="0" w:color="auto"/>
            <w:left w:val="none" w:sz="0" w:space="0" w:color="auto"/>
            <w:bottom w:val="none" w:sz="0" w:space="0" w:color="auto"/>
            <w:right w:val="none" w:sz="0" w:space="0" w:color="auto"/>
          </w:divBdr>
          <w:divsChild>
            <w:div w:id="20419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1569">
      <w:bodyDiv w:val="1"/>
      <w:marLeft w:val="0"/>
      <w:marRight w:val="0"/>
      <w:marTop w:val="0"/>
      <w:marBottom w:val="0"/>
      <w:divBdr>
        <w:top w:val="none" w:sz="0" w:space="0" w:color="auto"/>
        <w:left w:val="none" w:sz="0" w:space="0" w:color="auto"/>
        <w:bottom w:val="none" w:sz="0" w:space="0" w:color="auto"/>
        <w:right w:val="none" w:sz="0" w:space="0" w:color="auto"/>
      </w:divBdr>
      <w:divsChild>
        <w:div w:id="904146602">
          <w:marLeft w:val="0"/>
          <w:marRight w:val="0"/>
          <w:marTop w:val="0"/>
          <w:marBottom w:val="0"/>
          <w:divBdr>
            <w:top w:val="none" w:sz="0" w:space="0" w:color="auto"/>
            <w:left w:val="none" w:sz="0" w:space="0" w:color="auto"/>
            <w:bottom w:val="none" w:sz="0" w:space="0" w:color="auto"/>
            <w:right w:val="none" w:sz="0" w:space="0" w:color="auto"/>
          </w:divBdr>
          <w:divsChild>
            <w:div w:id="14026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00611">
      <w:bodyDiv w:val="1"/>
      <w:marLeft w:val="0"/>
      <w:marRight w:val="0"/>
      <w:marTop w:val="0"/>
      <w:marBottom w:val="0"/>
      <w:divBdr>
        <w:top w:val="none" w:sz="0" w:space="0" w:color="auto"/>
        <w:left w:val="none" w:sz="0" w:space="0" w:color="auto"/>
        <w:bottom w:val="none" w:sz="0" w:space="0" w:color="auto"/>
        <w:right w:val="none" w:sz="0" w:space="0" w:color="auto"/>
      </w:divBdr>
      <w:divsChild>
        <w:div w:id="825634549">
          <w:marLeft w:val="0"/>
          <w:marRight w:val="0"/>
          <w:marTop w:val="0"/>
          <w:marBottom w:val="0"/>
          <w:divBdr>
            <w:top w:val="none" w:sz="0" w:space="0" w:color="auto"/>
            <w:left w:val="none" w:sz="0" w:space="0" w:color="auto"/>
            <w:bottom w:val="none" w:sz="0" w:space="0" w:color="auto"/>
            <w:right w:val="none" w:sz="0" w:space="0" w:color="auto"/>
          </w:divBdr>
          <w:divsChild>
            <w:div w:id="16080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8EE5CB-F3E6-489C-B8CF-C5E3F51DAB18}">
  <we:reference id="4b785c87-866c-4bad-85d8-5d1ae467ac9a" version="3.14.0.0" store="EXCatalog" storeType="EXCatalog"/>
  <we:alternateReferences>
    <we:reference id="WA104381909" version="3.14.0.0" store="el-GR"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2892</Words>
  <Characters>17967</Characters>
  <Application>Microsoft Office Word</Application>
  <DocSecurity>0</DocSecurity>
  <Lines>534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MDPI</cp:lastModifiedBy>
  <cp:revision>2</cp:revision>
  <cp:lastPrinted>2024-04-17T15:51:00Z</cp:lastPrinted>
  <dcterms:created xsi:type="dcterms:W3CDTF">2024-05-01T09:34:00Z</dcterms:created>
  <dcterms:modified xsi:type="dcterms:W3CDTF">2024-05-01T09:34:00Z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id="uNES7Vp8"/&gt;&lt;style id="http://www.zotero.org/styles/journal-of-clinical-medicine"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