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D3BC88" w14:textId="77777777" w:rsidR="00C277B3" w:rsidRDefault="00C277B3"/>
    <w:p w14:paraId="5172B727" w14:textId="6BCC217B" w:rsidR="00C277B3" w:rsidRPr="006C5122" w:rsidRDefault="006C5122">
      <w:pPr>
        <w:rPr>
          <w:b/>
          <w:bCs/>
        </w:rPr>
      </w:pPr>
      <w:r>
        <w:rPr>
          <w:b/>
          <w:bCs/>
        </w:rPr>
        <w:t>README</w:t>
      </w:r>
    </w:p>
    <w:p w14:paraId="68364BF1" w14:textId="77777777" w:rsidR="00C277B3" w:rsidRDefault="00C277B3"/>
    <w:p w14:paraId="22B3F0C5" w14:textId="77777777" w:rsidR="00C277B3" w:rsidRDefault="00C277B3"/>
    <w:p w14:paraId="69DBE86B" w14:textId="24FBCD5D" w:rsidR="00C277B3" w:rsidRDefault="00C277B3">
      <w:r>
        <w:t>SoCal Spreadsheets contains Rochester and Fontana Spreadsheets</w:t>
      </w:r>
    </w:p>
    <w:p w14:paraId="4DE2E6E7" w14:textId="7A2326A3" w:rsidR="00C277B3" w:rsidRDefault="00C277B3" w:rsidP="00C277B3">
      <w:pPr>
        <w:pStyle w:val="ListParagraph"/>
        <w:numPr>
          <w:ilvl w:val="0"/>
          <w:numId w:val="1"/>
        </w:numPr>
      </w:pPr>
      <w:r>
        <w:t>Graphs in “CDFs” tab were used in the analysis as Figure 2</w:t>
      </w:r>
    </w:p>
    <w:p w14:paraId="7795577F" w14:textId="77777777" w:rsidR="00C277B3" w:rsidRDefault="00C277B3" w:rsidP="00C277B3">
      <w:pPr>
        <w:pStyle w:val="ListParagraph"/>
        <w:numPr>
          <w:ilvl w:val="0"/>
          <w:numId w:val="1"/>
        </w:numPr>
      </w:pPr>
      <w:r>
        <w:t xml:space="preserve">Data extracted from Table 1 of tabs B2, B3, B4, B5 </w:t>
      </w:r>
    </w:p>
    <w:p w14:paraId="6963955E" w14:textId="7788BAC3" w:rsidR="00C277B3" w:rsidRDefault="00C277B3" w:rsidP="00C277B3">
      <w:r>
        <w:t xml:space="preserve">El Pinacate and Lk Newell AOIs, 3 images each and </w:t>
      </w:r>
      <w:proofErr w:type="gramStart"/>
      <w:r>
        <w:t>each being extracted</w:t>
      </w:r>
      <w:proofErr w:type="gramEnd"/>
      <w:r>
        <w:t xml:space="preserve"> data from a separate image. </w:t>
      </w:r>
    </w:p>
    <w:p w14:paraId="40FCCE89" w14:textId="2A1A112A" w:rsidR="00C277B3" w:rsidRDefault="00C277B3" w:rsidP="00C277B3">
      <w:r>
        <w:t>Data tables in the six images from the two AOIs were formatted according to Appendix B that uses 7-29-23 B2 as an example. The “Premise” tab  explains the analysis. The summary in each of the 6 spreadsheets provides the graphs that reproduced in the paper</w:t>
      </w:r>
    </w:p>
    <w:p w14:paraId="61FF96BE" w14:textId="31749B9A" w:rsidR="00FA554A" w:rsidRDefault="00FA554A" w:rsidP="00C277B3">
      <w:r>
        <w:t>Bandwise CDFs collate data for Figure 7.</w:t>
      </w:r>
    </w:p>
    <w:p w14:paraId="32EC8450" w14:textId="77777777" w:rsidR="00C277B3" w:rsidRDefault="00C277B3" w:rsidP="00C277B3"/>
    <w:p w14:paraId="35BC8D23" w14:textId="77777777" w:rsidR="00C277B3" w:rsidRDefault="00C277B3" w:rsidP="00C277B3"/>
    <w:p w14:paraId="43412726" w14:textId="77777777" w:rsidR="00C277B3" w:rsidRDefault="00C277B3" w:rsidP="00C277B3"/>
    <w:sectPr w:rsidR="00C277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CE4590"/>
    <w:multiLevelType w:val="hybridMultilevel"/>
    <w:tmpl w:val="F1D2994E"/>
    <w:lvl w:ilvl="0" w:tplc="CF6C032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3288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7B3"/>
    <w:rsid w:val="006C5122"/>
    <w:rsid w:val="00C277B3"/>
    <w:rsid w:val="00FA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BAEE9"/>
  <w15:chartTrackingRefBased/>
  <w15:docId w15:val="{F931FD9B-80C9-492D-8E11-8C1ED7729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77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77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77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77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77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77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77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77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77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77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77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77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77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77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77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77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77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77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77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77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77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77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77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77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77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77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77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77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77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Groeneveld</dc:creator>
  <cp:keywords/>
  <dc:description/>
  <cp:lastModifiedBy>David Groeneveld</cp:lastModifiedBy>
  <cp:revision>2</cp:revision>
  <dcterms:created xsi:type="dcterms:W3CDTF">2024-04-20T22:00:00Z</dcterms:created>
  <dcterms:modified xsi:type="dcterms:W3CDTF">2024-04-20T22:14:00Z</dcterms:modified>
</cp:coreProperties>
</file>