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E95" w:rsidRPr="003D479E" w:rsidRDefault="00B15E95" w:rsidP="00B15E95">
      <w:pPr>
        <w:spacing w:line="240" w:lineRule="auto"/>
        <w:rPr>
          <w:rFonts w:ascii="Times New Roman" w:hAnsi="Times New Roman" w:cs="Times New Roman"/>
          <w:b/>
          <w:sz w:val="22"/>
        </w:rPr>
      </w:pPr>
      <w:r w:rsidRPr="003D479E">
        <w:rPr>
          <w:rFonts w:ascii="Times New Roman" w:hAnsi="Times New Roman" w:cs="Times New Roman"/>
          <w:b/>
          <w:bCs/>
          <w:sz w:val="22"/>
        </w:rPr>
        <w:t xml:space="preserve">Table S2. </w:t>
      </w:r>
      <w:r w:rsidRPr="003D479E">
        <w:rPr>
          <w:rFonts w:ascii="Times New Roman" w:hAnsi="Times New Roman" w:cs="Times New Roman"/>
          <w:b/>
          <w:sz w:val="22"/>
        </w:rPr>
        <w:t>Demographic and Clinical characteristics of patients with each health insurance benefit extension policy item</w:t>
      </w:r>
    </w:p>
    <w:tbl>
      <w:tblPr>
        <w:tblStyle w:val="a3"/>
        <w:tblW w:w="13892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410"/>
        <w:gridCol w:w="2410"/>
        <w:gridCol w:w="2409"/>
        <w:gridCol w:w="2552"/>
      </w:tblGrid>
      <w:tr w:rsidR="00B15E95" w:rsidRPr="003D479E" w:rsidTr="00F079E2">
        <w:tc>
          <w:tcPr>
            <w:tcW w:w="4111" w:type="dxa"/>
            <w:tcBorders>
              <w:top w:val="single" w:sz="4" w:space="0" w:color="auto"/>
            </w:tcBorders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Hemato-oncological disease </w:t>
            </w:r>
          </w:p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(n=203)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Rare disease</w:t>
            </w:r>
          </w:p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(n=140)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Cerebrovascular disease</w:t>
            </w:r>
          </w:p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(n=138)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Cardiovascular disease </w:t>
            </w:r>
          </w:p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(n=102)</w:t>
            </w:r>
          </w:p>
        </w:tc>
      </w:tr>
      <w:tr w:rsidR="00B15E95" w:rsidRPr="003D479E" w:rsidTr="00F079E2">
        <w:tc>
          <w:tcPr>
            <w:tcW w:w="4111" w:type="dxa"/>
            <w:tcBorders>
              <w:top w:val="single" w:sz="4" w:space="0" w:color="auto"/>
            </w:tcBorders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Male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150 (73.9)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89 (63.6)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93 (67.4)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65 (63.7)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Age (yrs)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67.6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13.5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66.4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13.9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68.5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12.0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70.1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12.5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Hospital LOS (day)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97.7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154.8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197.8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269.2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280.1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297.7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102.7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167.6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ICU LOS (day)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35.9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33.1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48.9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>±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 52.3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47.9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44.3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40.5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51.6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MV LOS (day)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31.8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27.1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38.3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42.6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40.0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>±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 41.9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33.5 </w:t>
            </w:r>
            <w:r w:rsidRPr="003D479E">
              <w:rPr>
                <w:rFonts w:ascii="Times New Roman" w:hAnsi="Times New Roman" w:cs="Times New Roman"/>
                <w:spacing w:val="-8"/>
                <w:sz w:val="22"/>
              </w:rPr>
              <w:t xml:space="preserve">± 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47.2</w:t>
            </w:r>
          </w:p>
        </w:tc>
      </w:tr>
      <w:tr w:rsidR="00B15E95" w:rsidRPr="003D479E" w:rsidTr="00F079E2">
        <w:tc>
          <w:tcPr>
            <w:tcW w:w="4111" w:type="dxa"/>
            <w:vAlign w:val="center"/>
          </w:tcPr>
          <w:p w:rsidR="00B15E95" w:rsidRPr="003D479E" w:rsidRDefault="00B15E95" w:rsidP="00F079E2">
            <w:pPr>
              <w:pStyle w:val="a4"/>
              <w:spacing w:line="48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Comorbidities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09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B15E95" w:rsidRPr="003D479E" w:rsidTr="00F079E2">
        <w:tc>
          <w:tcPr>
            <w:tcW w:w="4111" w:type="dxa"/>
            <w:vAlign w:val="center"/>
          </w:tcPr>
          <w:p w:rsidR="00B15E95" w:rsidRPr="003D479E" w:rsidRDefault="00B15E95" w:rsidP="00F079E2">
            <w:pPr>
              <w:pStyle w:val="a4"/>
              <w:spacing w:line="48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 xml:space="preserve">  Diabetes mellitus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123 (60.6)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89 (63.6)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79 (57.2)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74 (72.5)</w:t>
            </w:r>
          </w:p>
        </w:tc>
      </w:tr>
      <w:tr w:rsidR="00B15E95" w:rsidRPr="003D479E" w:rsidTr="00F079E2">
        <w:tc>
          <w:tcPr>
            <w:tcW w:w="4111" w:type="dxa"/>
            <w:vAlign w:val="center"/>
          </w:tcPr>
          <w:p w:rsidR="00B15E95" w:rsidRPr="003D479E" w:rsidRDefault="00B15E95" w:rsidP="00F079E2">
            <w:pPr>
              <w:pStyle w:val="a4"/>
              <w:spacing w:line="48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 xml:space="preserve">  Hypertension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141 (69.5)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110 (78.6)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114 (82.6)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82 (80.4)</w:t>
            </w:r>
          </w:p>
        </w:tc>
      </w:tr>
      <w:tr w:rsidR="00B15E95" w:rsidRPr="003D479E" w:rsidTr="00F079E2">
        <w:tc>
          <w:tcPr>
            <w:tcW w:w="4111" w:type="dxa"/>
            <w:vAlign w:val="center"/>
          </w:tcPr>
          <w:p w:rsidR="00B15E95" w:rsidRPr="003D479E" w:rsidRDefault="00B15E95" w:rsidP="00F079E2">
            <w:pPr>
              <w:pStyle w:val="a4"/>
              <w:spacing w:line="48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 xml:space="preserve">  Congestive heart disease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55 (27.1)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45 (32.1)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27 (19.6)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47 (46.1)</w:t>
            </w:r>
          </w:p>
        </w:tc>
      </w:tr>
      <w:tr w:rsidR="00B15E95" w:rsidRPr="003D479E" w:rsidTr="00F079E2">
        <w:tc>
          <w:tcPr>
            <w:tcW w:w="4111" w:type="dxa"/>
            <w:vAlign w:val="center"/>
          </w:tcPr>
          <w:p w:rsidR="00B15E95" w:rsidRPr="003D479E" w:rsidRDefault="00B15E95" w:rsidP="00F079E2">
            <w:pPr>
              <w:pStyle w:val="a4"/>
              <w:spacing w:line="48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 xml:space="preserve">  Chronic lung disease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88 (43.3)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34 (24.3)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25 (18.1)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pStyle w:val="a4"/>
              <w:spacing w:line="48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  <w:szCs w:val="22"/>
              </w:rPr>
              <w:t>27 (26.5)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ind w:firstLineChars="100" w:firstLine="220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</w:rPr>
              <w:t>Chronic liver disease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28 (13.8)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8 (5.7)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11 (8.0)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9 (8.8)</w:t>
            </w:r>
          </w:p>
        </w:tc>
      </w:tr>
      <w:tr w:rsidR="00B15E95" w:rsidRPr="003D479E" w:rsidTr="00F079E2">
        <w:tc>
          <w:tcPr>
            <w:tcW w:w="4111" w:type="dxa"/>
            <w:vAlign w:val="center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Theme="minorHAnsi" w:hAnsi="Times New Roman" w:cs="Times New Roman"/>
                <w:color w:val="000000" w:themeColor="text1"/>
                <w:sz w:val="22"/>
              </w:rPr>
              <w:t xml:space="preserve">  Chronic kidney disease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20 (9.9)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51 (36.4)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9 (6.5)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22 (21.6)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Total medical expenditures (USD)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  <w:shd w:val="clear" w:color="auto" w:fill="FFFFFF"/>
                <w:vertAlign w:val="superscript"/>
              </w:rPr>
              <w:t xml:space="preserve"> §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green"/>
              </w:rPr>
            </w:pPr>
            <w:r w:rsidRPr="003D479E">
              <w:rPr>
                <w:rFonts w:ascii="Times New Roman" w:eastAsia="맑은 고딕" w:hAnsi="Times New Roman" w:cs="Times New Roman"/>
                <w:sz w:val="22"/>
              </w:rPr>
              <w:t>21,053 (13,400-45,419)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27,866 (17,250-36,493)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38,966 (28,298-</w:t>
            </w:r>
            <w:r w:rsidRPr="003D479E">
              <w:rPr>
                <w:rFonts w:ascii="Times New Roman" w:eastAsia="맑은 고딕" w:hAnsi="Times New Roman" w:cs="Times New Roman"/>
                <w:color w:val="000000"/>
                <w:sz w:val="22"/>
              </w:rPr>
              <w:t>52,215</w:t>
            </w: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33,844 (</w:t>
            </w:r>
            <w:r w:rsidRPr="003D479E">
              <w:rPr>
                <w:rFonts w:ascii="Times New Roman" w:eastAsia="맑은 고딕" w:hAnsi="Times New Roman" w:cs="Times New Roman"/>
                <w:color w:val="000000"/>
                <w:sz w:val="22"/>
              </w:rPr>
              <w:t>19,460-</w:t>
            </w: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42,294)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Out of pocket medical expenditures (USD)</w:t>
            </w:r>
            <w:r w:rsidRPr="003D479E">
              <w:rPr>
                <w:rFonts w:ascii="Times New Roman" w:hAnsi="Times New Roman" w:cs="Times New Roman"/>
                <w:color w:val="000000" w:themeColor="text1"/>
                <w:sz w:val="22"/>
                <w:shd w:val="clear" w:color="auto" w:fill="FFFFFF"/>
                <w:vertAlign w:val="superscript"/>
              </w:rPr>
              <w:t xml:space="preserve"> §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green"/>
              </w:rPr>
            </w:pPr>
            <w:r w:rsidRPr="003D479E">
              <w:rPr>
                <w:rFonts w:ascii="Times New Roman" w:hAnsi="Times New Roman" w:cs="Times New Roman"/>
                <w:sz w:val="22"/>
              </w:rPr>
              <w:t>1,321 (742-2,934)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2,020 (1,223-3,145)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3,829 (2,287-</w:t>
            </w:r>
            <w:r w:rsidRPr="003D479E">
              <w:rPr>
                <w:rFonts w:ascii="Times New Roman" w:eastAsia="맑은 고딕" w:hAnsi="Times New Roman" w:cs="Times New Roman"/>
                <w:color w:val="000000"/>
                <w:sz w:val="22"/>
              </w:rPr>
              <w:t>4,655</w:t>
            </w: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2,620 (1,407-3,749)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sz w:val="22"/>
              </w:rPr>
              <w:t>Requirement for vasopressor infusion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171 (84.2)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107 (76.4)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91 (65.9)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89 (87.3)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sz w:val="22"/>
              </w:rPr>
              <w:t>Requirement for renal-replacement therapy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39 (19.2)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47 (33.6)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12 (8.7)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35 (34.3)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Tracheostomy at hospital discharge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49 (24.1)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46 (32.9)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65 (47.1)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widowControl/>
              <w:wordWrap/>
              <w:autoSpaceDE/>
              <w:autoSpaceDN/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eastAsia="맑은 고딕" w:hAnsi="Times New Roman" w:cs="Times New Roman"/>
                <w:color w:val="000000" w:themeColor="text1"/>
                <w:sz w:val="22"/>
              </w:rPr>
              <w:t>23 (22.5)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6-month mortality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155 (76.4)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72 (51.4)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53 (38.4)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43 (42.2)</w:t>
            </w:r>
          </w:p>
        </w:tc>
      </w:tr>
      <w:tr w:rsidR="00B15E95" w:rsidRPr="003D479E" w:rsidTr="00F079E2">
        <w:tc>
          <w:tcPr>
            <w:tcW w:w="4111" w:type="dxa"/>
          </w:tcPr>
          <w:p w:rsidR="00B15E95" w:rsidRPr="003D479E" w:rsidRDefault="00B15E95" w:rsidP="00F079E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1-year mortality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160 (78.8)</w:t>
            </w:r>
          </w:p>
        </w:tc>
        <w:tc>
          <w:tcPr>
            <w:tcW w:w="2410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82 (58.6)</w:t>
            </w:r>
          </w:p>
        </w:tc>
        <w:tc>
          <w:tcPr>
            <w:tcW w:w="2409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67 (48.6)</w:t>
            </w:r>
          </w:p>
        </w:tc>
        <w:tc>
          <w:tcPr>
            <w:tcW w:w="2552" w:type="dxa"/>
          </w:tcPr>
          <w:p w:rsidR="00B15E95" w:rsidRPr="003D479E" w:rsidRDefault="00B15E95" w:rsidP="00F079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3D479E">
              <w:rPr>
                <w:rFonts w:ascii="Times New Roman" w:hAnsi="Times New Roman" w:cs="Times New Roman"/>
                <w:color w:val="000000" w:themeColor="text1"/>
                <w:sz w:val="22"/>
              </w:rPr>
              <w:t>46 (45.1)</w:t>
            </w:r>
          </w:p>
        </w:tc>
      </w:tr>
    </w:tbl>
    <w:p w:rsidR="00B15E95" w:rsidRPr="003D479E" w:rsidRDefault="00B15E95" w:rsidP="00B15E95">
      <w:pPr>
        <w:spacing w:line="240" w:lineRule="auto"/>
        <w:rPr>
          <w:rFonts w:ascii="Times New Roman" w:hAnsi="Times New Roman" w:cs="Times New Roman"/>
          <w:color w:val="000000" w:themeColor="text1"/>
          <w:spacing w:val="-8"/>
          <w:sz w:val="22"/>
        </w:rPr>
      </w:pPr>
      <w:r w:rsidRPr="003D479E">
        <w:rPr>
          <w:rFonts w:ascii="Times New Roman" w:hAnsi="Times New Roman" w:cs="Times New Roman"/>
          <w:color w:val="000000" w:themeColor="text1"/>
          <w:spacing w:val="-8"/>
          <w:sz w:val="22"/>
        </w:rPr>
        <w:t xml:space="preserve">Normally distributed continuous variables are reported as mean ± standard deviation (SD), non-normally distributed continuous data are presented as median (interquartile range), and categorical variables are reported as number (%). </w:t>
      </w:r>
    </w:p>
    <w:p w:rsidR="00162162" w:rsidRPr="00B15E95" w:rsidRDefault="00B15E95" w:rsidP="00B15E95">
      <w:pPr>
        <w:spacing w:line="240" w:lineRule="auto"/>
        <w:rPr>
          <w:rFonts w:ascii="Times New Roman" w:hAnsi="Times New Roman" w:cs="Times New Roman" w:hint="eastAsia"/>
          <w:spacing w:val="-8"/>
          <w:sz w:val="22"/>
        </w:rPr>
      </w:pPr>
      <w:r w:rsidRPr="003D479E">
        <w:rPr>
          <w:rFonts w:ascii="Times New Roman" w:hAnsi="Times New Roman" w:cs="Times New Roman"/>
          <w:color w:val="000000" w:themeColor="text1"/>
          <w:sz w:val="22"/>
          <w:shd w:val="clear" w:color="auto" w:fill="FFFFFF"/>
          <w:vertAlign w:val="superscript"/>
        </w:rPr>
        <w:t>§</w:t>
      </w:r>
      <w:r w:rsidRPr="003D479E">
        <w:rPr>
          <w:rFonts w:ascii="Times New Roman" w:hAnsi="Times New Roman" w:cs="Times New Roman"/>
          <w:spacing w:val="-8"/>
          <w:sz w:val="22"/>
        </w:rPr>
        <w:t>Medical expenditures were calculated at the December 18, 2023 exchange rate.</w:t>
      </w:r>
      <w:bookmarkStart w:id="0" w:name="_GoBack"/>
      <w:bookmarkEnd w:id="0"/>
    </w:p>
    <w:sectPr w:rsidR="00162162" w:rsidRPr="00B15E95" w:rsidSect="00D17254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E95"/>
    <w:rsid w:val="00162162"/>
    <w:rsid w:val="00B1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8D1FA"/>
  <w15:chartTrackingRefBased/>
  <w15:docId w15:val="{1F41FB01-99C6-4357-A0AB-06FEFF3C4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E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15E9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2024-04-19T01:42:00Z</dcterms:created>
  <dcterms:modified xsi:type="dcterms:W3CDTF">2024-04-19T01:43:00Z</dcterms:modified>
</cp:coreProperties>
</file>