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9B17" w14:textId="1687FD13" w:rsidR="001D12F3" w:rsidRPr="00146242" w:rsidRDefault="001D12F3" w:rsidP="001D12F3">
      <w:pPr>
        <w:pStyle w:val="MDPI41tablecaption"/>
        <w:jc w:val="left"/>
      </w:pPr>
      <w:r w:rsidRPr="001D12F3">
        <w:rPr>
          <w:b/>
          <w:bCs/>
        </w:rPr>
        <w:t xml:space="preserve">Table S1. </w:t>
      </w:r>
      <w:r w:rsidRPr="00146242">
        <w:t>SANRA Score for quality assessment of the selected studies.</w:t>
      </w:r>
    </w:p>
    <w:tbl>
      <w:tblPr>
        <w:tblStyle w:val="TableNormal1"/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9"/>
        <w:gridCol w:w="1818"/>
        <w:gridCol w:w="1000"/>
        <w:gridCol w:w="971"/>
        <w:gridCol w:w="947"/>
        <w:gridCol w:w="981"/>
        <w:gridCol w:w="900"/>
        <w:gridCol w:w="1008"/>
        <w:gridCol w:w="810"/>
      </w:tblGrid>
      <w:tr w:rsidR="00066960" w:rsidRPr="00066960" w14:paraId="51F45025" w14:textId="77777777" w:rsidTr="00066960">
        <w:trPr>
          <w:jc w:val="center"/>
        </w:trPr>
        <w:tc>
          <w:tcPr>
            <w:tcW w:w="243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104F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936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8BFA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Title</w:t>
            </w:r>
          </w:p>
        </w:tc>
        <w:tc>
          <w:tcPr>
            <w:tcW w:w="577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C1B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Justification of the article’s importance for the readership</w:t>
            </w:r>
          </w:p>
        </w:tc>
        <w:tc>
          <w:tcPr>
            <w:tcW w:w="561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03E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Statement of concrete aims or formulation of questions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1D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Description of the literature search</w:t>
            </w:r>
          </w:p>
        </w:tc>
        <w:tc>
          <w:tcPr>
            <w:tcW w:w="566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47DF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 xml:space="preserve">Referencing </w:t>
            </w:r>
          </w:p>
        </w:tc>
        <w:tc>
          <w:tcPr>
            <w:tcW w:w="520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09EB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Scientific reasoning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427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Appropriate presentation of data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1144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6960">
              <w:rPr>
                <w:rFonts w:ascii="Palatino Linotype" w:hAnsi="Palatino Linotype"/>
                <w:b/>
                <w:bCs/>
                <w:sz w:val="14"/>
                <w:szCs w:val="14"/>
              </w:rPr>
              <w:t>Total Score</w:t>
            </w:r>
          </w:p>
        </w:tc>
      </w:tr>
      <w:tr w:rsidR="00066960" w:rsidRPr="00066960" w14:paraId="14C21841" w14:textId="77777777" w:rsidTr="00066960">
        <w:trPr>
          <w:jc w:val="center"/>
        </w:trPr>
        <w:tc>
          <w:tcPr>
            <w:tcW w:w="243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7F9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3CAF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PEA: A Natural Compound for Health Management.</w:t>
            </w:r>
          </w:p>
        </w:tc>
        <w:tc>
          <w:tcPr>
            <w:tcW w:w="577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EDF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A01F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B1F8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6397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8656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DC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9D58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21299347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388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4E6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 Basal Pharmacology of PEA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E006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8AD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697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FBA0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05B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E27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668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77ACA4B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3C7C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3E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Efficacy of PEA for Pain: A Meta-Analysis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6A2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A4B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3FE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EF80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009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CDD4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A62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73098C1B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FBE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399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Synaptic Effects of PEA in Neurodegenerative Disorders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034A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6EE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81AD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6C4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0F3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201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6A5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64B24F5B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0D55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5CD1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for the treatment of pain: pharmacokinetics, safety and efficacy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AAF3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ECF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213A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98ED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8BFE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671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0C8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638BADCC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B537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EBEC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in the Treatment of Chronic Pain: A Systematic Review and Meta-Analysis of Double-Blind Randomized Controlled Trials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A708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BAB6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B8FB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597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1F1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8EFC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560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758C8666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682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F32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 Nutritional Approach to Keep Neuroinflammation within Physiological Boundaries-A Systematic Review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47F4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3B71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91B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5D4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EB9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03A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0AE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11932451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CFDA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AC5A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 Effect of PEA on Pain Intensity, Central and Peripheral Sensitization, and Pain Modulation in Healthy Volunteers-A Randomized, Double-Blinded, Placebo-Controlled Crossover Trial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926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6412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D3BF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18C2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9AD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3E4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C41B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535F619F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F40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321C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and Its Formulations on Management of Peripheral Neuropathic Pain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FDE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D82E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4892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5D5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8BD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FB5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2DF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3D388073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1004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3B0A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 pharmacology of PEA and first data on the therapeutic efficacy of some of its new formulations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E35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163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14F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4C6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82BF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467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5C1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</w:tr>
      <w:tr w:rsidR="00066960" w:rsidRPr="00066960" w14:paraId="4667BA85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4880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46E7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Control of pain initiation by endogenous cannabinoids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460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DDF6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EF4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9383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F38C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021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C18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 xml:space="preserve">8 </w:t>
            </w:r>
          </w:p>
        </w:tc>
      </w:tr>
      <w:tr w:rsidR="00066960" w:rsidRPr="00066960" w14:paraId="5D792BE7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B6AC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A57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PEA: A Natural Body-Own Anti-Inflammatory Agent, Effective and Safe against Influenza and Common Cold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5B20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CB7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A52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3B2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248A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9B6F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DC19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7C75BB9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199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1D3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 cellular immune response of the pea aphid to foreign intrusion and symbiotic challenge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B5D0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252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7C8F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5D6F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B74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A6BC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23A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398C6A1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A99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DB3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 randomized controlled trial assessing the safety and efficacy of PEA for treating diabetic-related peripheral neuropathic pain.</w:t>
            </w:r>
            <w:r w:rsidRPr="00066960">
              <w:rPr>
                <w:rFonts w:ascii="Palatino Linotype" w:hAnsi="Palatino Linotype"/>
                <w:color w:val="212121"/>
                <w:sz w:val="16"/>
                <w:szCs w:val="16"/>
                <w:u w:color="212121"/>
                <w:shd w:val="clear" w:color="auto" w:fill="FFFFFF"/>
              </w:rPr>
              <w:t> 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BC2D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CDA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A94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3E6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4E0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67B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B7C4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</w:tr>
      <w:tr w:rsidR="00066960" w:rsidRPr="00066960" w14:paraId="35A12AD5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FDA1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D777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PEA, a Special Food for Medical Purposes, in the Treatment of Chronic Pain: A Pooled Data Meta-analysis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E1B4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8577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05BA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E7D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F33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5D9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3B9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2DA82863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5081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3F7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Clinical applications of PEA in pain management: protocol for a scoping review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0868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F92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2F02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71E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2AFF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66D8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4AE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</w:tr>
      <w:tr w:rsidR="00066960" w:rsidRPr="00066960" w14:paraId="457E4EF7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22AF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219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Modulation of Microglia Activation: Characterization of Mechanisms of Action and Implication for Its Neuroprotective Effects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EB8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AFF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7E3C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A35B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80F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ED17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62D8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64E44507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8445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1CB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Glia and mast cells as targets for PEA, an anti-inflammatory and neuroprotective lipid mediator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7C0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7AD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998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9764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BB40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70EE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300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1A5937EB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9035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3279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Spinal nociceptive sensitization and plasma PEA levels during experimentally induced migraine attacks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2515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C0F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54EC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C3C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4E98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FCA2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BFB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24E1A35D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2F42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8EC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Ultra-micronized PEA: An Efficacious Adjuvant Therapy for Parkinson's Disease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C3A7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F77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35D3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C563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4FF4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3466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9D6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3C9B2F81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D9F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A8E8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 xml:space="preserve">PEA induces microglia changes associated with increased </w:t>
            </w:r>
            <w:r w:rsidRPr="00066960">
              <w:rPr>
                <w:rFonts w:ascii="Palatino Linotype" w:hAnsi="Palatino Linotype"/>
                <w:sz w:val="16"/>
                <w:szCs w:val="16"/>
              </w:rPr>
              <w:lastRenderedPageBreak/>
              <w:t>migration and phagocytic activity: involvement of the CB2 receptor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BB1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lastRenderedPageBreak/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755D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EAB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CCDD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76E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940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190C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1570372B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373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4FA2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is a disease-modifying agent in peripheral neuropathy: pain relief and neuroprotection share a PPAR-alpha-mediated mechanism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E1E8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547C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76D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CCBA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ED6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634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8DD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482DE37F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19B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4DBBE" w14:textId="77777777" w:rsidR="001D12F3" w:rsidRPr="00066960" w:rsidRDefault="001D12F3" w:rsidP="00066960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Ultramicronized Palmitoylethanolamide (um-PEA): A New Possible Adjuvant Treatment in COVID-19 patients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F0CC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C2D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0FB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D11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CB90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2E83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3089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1D6A6568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D5A0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7EA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is a disease-modifying agent in peripheral neuropathy: pain relief and neuroprotection share a PPAR-alpha-mediated mechanism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C5A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AB5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4FF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952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05AD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914D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13AD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043482A6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0F57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8FE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Effects of PEA on Nociceptive, Musculoskeletal and Neuropathic Pain: Systematic Review and Meta-Analysis of Clinical Evidence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4BB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A1E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54F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7621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0EF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978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189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11AE8769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BE5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1DF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Effect of PEA on inflammatory and neuropathic pain in rats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916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8F6B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78F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807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00F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8AF0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EC0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04716DBF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89D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7D2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in the treatment of neuropathic pain: a case study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2E9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51B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C954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9C6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5688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AFB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038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6200F2B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BFD1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9713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Effect of Ultra-Micronized Palmitoylethanolamide and Luteolin on Olfaction and Memory in Patients with Long COVID: Results of a Longitudinal Study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9093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8D8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7482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778D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182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1B64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9B6A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01537E32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473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16A1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PEA, a nutraceutical, in nerve compression syndromes: efficacy and safety in sciatic pain and carpal tunnel syndrome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944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64FE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030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5AAB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21F2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195E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638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</w:tr>
      <w:tr w:rsidR="00066960" w:rsidRPr="00066960" w14:paraId="62B74013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D035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8C1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Micronized PEA reduces the symptoms of neuropathic pain in diabetic patients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A32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BD8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C685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AAC7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71E2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B97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082D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78920981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202E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lastRenderedPageBreak/>
              <w:t>31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18C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Non-neuronal cell modulation relieves neuropathic pain: efficacy of the endogenous lipid PEA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DC27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915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BA58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9AAC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91E0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20A4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F27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7EA19D8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3910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E7FA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Effect of Ultra-Micronized-Palmitoylethanolamide and Acetyl-l-Carnitine on Experimental Model of Inflammatory Pain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3C43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715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821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CF59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6378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C630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FAD2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642D4DFD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573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D5C0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 in homeostatic and traumatic central nervous system injuries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F8FF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FAD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338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0695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DC2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BFB8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E30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55FE51C9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DEB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08D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PEA: problems regarding micronization, ultra-micronization and additives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8E01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9D73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C19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175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7CF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E75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B1B9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0B3D0783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755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77FD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Palmitoylethanolamide dampens neuroinflammation and anxiety-like behavior in obese mice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F91F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FF2D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520B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3EB4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1AB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3F8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43E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591EC63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5DE5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FA0D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Heteroarylureas with spirocyclic diamine cores as inhibitors of fatty acid amide hydrolase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983B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AF4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3BA1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DDE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B766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B247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CBA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536B04E7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2D0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49D6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Therapeutic utility of PEA in the treatment of neuropathic pain associated with various pathological conditions: a case series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E1F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C79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A36F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4BD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77A4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246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4130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72D706F3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7FA7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FA9C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Antineuropathic profile of N-palmitoylethanolamine in a rat model of oxaliplatin-induced neurotoxicity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1F4C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CE2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BA6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E95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6AC5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E312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FA0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59184DF4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28B8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F2EE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 novel composite formulation of palmitoylethanolamide and quercetin decreases inflammation and relieves pain in inflammatory and osteoarthritic pain models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645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5EEB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5DB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EAC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5875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6491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F80A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15A6129F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731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21C7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 xml:space="preserve">PEA counteracts substance P-induced mast cell activation in vitro by stimulating </w:t>
            </w:r>
            <w:r w:rsidRPr="00066960">
              <w:rPr>
                <w:rFonts w:ascii="Palatino Linotype" w:hAnsi="Palatino Linotype"/>
                <w:sz w:val="16"/>
                <w:szCs w:val="16"/>
              </w:rPr>
              <w:lastRenderedPageBreak/>
              <w:t>diacylglycerol lipase activity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A80B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lastRenderedPageBreak/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86F2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FFD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DBE6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ECF6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6CB8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9D2B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40D34941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52AB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476D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Levels of bioactive endogenous lipids and health-related quality of life in Chronic Idiopathic Axonal Polyneuropathy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0C19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BEC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D5D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2FC8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CBE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EEBA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89F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7CC1624D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E26D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5EDD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Full inhibition of spinal FAAH leads to TRPV1-mediated analgesic effects in neuropathic rats and possible lipoxygenase-mediated remodeling of anandamide metabolism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206C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9F60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25C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2B04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CEF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F837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26A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</w:tr>
      <w:tr w:rsidR="00066960" w:rsidRPr="00066960" w14:paraId="072AB779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269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9FF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Review of Alzheimer's disease drugs and their relationship with neuron-glia interaction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499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1890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1EE3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86D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008E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2148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A68F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</w:tr>
      <w:tr w:rsidR="00066960" w:rsidRPr="00066960" w14:paraId="05BCDB99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D5AF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61D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Amyotrophic lateral sclerosis treatment with ultramicronized PEA: a case report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0C4A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58A3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65B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732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260A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038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FF6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3915A28F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2844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8E9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Therapeutic effect of PEA in cognitive decline: A systematic review and preliminary meta-analysis of preclinical and clinical evidence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4570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4EC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159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7489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9D9A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F7FA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04AE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066960" w:rsidRPr="00066960" w14:paraId="292D539C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155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E98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An Update of PEA and Luteolin Effects in Preclinical and Clinical Studies of Neuroinflammatory Events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8C9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B2E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6838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F24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AF4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87E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7F48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</w:tr>
      <w:tr w:rsidR="00066960" w:rsidRPr="00066960" w14:paraId="2008465E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5CB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AB88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Effects of Ultramicronized PEA on Mitochondrial Bioenergetics, Cerebral Metabolism, and Glutamatergic Transmission: An Integrated Approach in a Triple Transgenic Mouse Model of Alzheimer's Disease.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5AB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36E2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6C80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4B55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DD40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BC91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3CB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066960" w:rsidRPr="00066960" w14:paraId="5A01F1BC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0457C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68ED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The Association of PEA with Luteolin Decreases Neuroinflammation and Stimulates Autophagy in Parkinson's Disease Model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DF5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272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056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4E7C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CE4E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67EC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AB1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66960" w:rsidRPr="00066960" w14:paraId="4E747875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3A07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lastRenderedPageBreak/>
              <w:t>49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2BD4" w14:textId="77777777" w:rsidR="001D12F3" w:rsidRPr="00066960" w:rsidRDefault="001D12F3" w:rsidP="00066960">
            <w:pPr>
              <w:pStyle w:val="Heading1"/>
              <w:shd w:val="clear" w:color="auto" w:fill="FFFFFF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 w:val="0"/>
                <w:bCs w:val="0"/>
                <w:kern w:val="0"/>
                <w:sz w:val="16"/>
                <w:szCs w:val="16"/>
              </w:rPr>
              <w:t>Palmitoylethanolamide in CNS health and disease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E571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080A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31F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E1D3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36ED8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203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0F6B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423834EF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F506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DC84A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Abnormalities in the cerebrospinal fluid levels of endocannabinoids in multiple sclerosis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981F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AEA3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4C5F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8D12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5E8B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3F0B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7A49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</w:tr>
      <w:tr w:rsidR="00066960" w:rsidRPr="00066960" w14:paraId="2777E260" w14:textId="77777777" w:rsidTr="00066960">
        <w:trPr>
          <w:jc w:val="center"/>
        </w:trPr>
        <w:tc>
          <w:tcPr>
            <w:tcW w:w="2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9CA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693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Plasma endocannabinoid levels in multiple sclerosis</w:t>
            </w:r>
          </w:p>
        </w:tc>
        <w:tc>
          <w:tcPr>
            <w:tcW w:w="5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6BE7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07661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A2B93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6730E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2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B2F5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636CD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0920" w14:textId="77777777" w:rsidR="001D12F3" w:rsidRPr="00066960" w:rsidRDefault="001D12F3" w:rsidP="0006696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960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</w:tbl>
    <w:p w14:paraId="442F06B4" w14:textId="77777777" w:rsidR="001D12F3" w:rsidRPr="001D12F3" w:rsidRDefault="001D12F3" w:rsidP="001D12F3"/>
    <w:sectPr w:rsidR="001D12F3" w:rsidRPr="001D12F3" w:rsidSect="006844A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5C3F" w14:textId="77777777" w:rsidR="006844AA" w:rsidRDefault="006844AA">
      <w:pPr>
        <w:spacing w:line="240" w:lineRule="auto"/>
      </w:pPr>
      <w:r>
        <w:separator/>
      </w:r>
    </w:p>
  </w:endnote>
  <w:endnote w:type="continuationSeparator" w:id="0">
    <w:p w14:paraId="26F6710A" w14:textId="77777777" w:rsidR="006844AA" w:rsidRDefault="00684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DD3A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0923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3468" w14:textId="77777777" w:rsidR="006844AA" w:rsidRDefault="006844AA">
      <w:pPr>
        <w:spacing w:line="240" w:lineRule="auto"/>
      </w:pPr>
      <w:r>
        <w:separator/>
      </w:r>
    </w:p>
  </w:footnote>
  <w:footnote w:type="continuationSeparator" w:id="0">
    <w:p w14:paraId="4D9809A5" w14:textId="77777777" w:rsidR="006844AA" w:rsidRDefault="00684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E70B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BB59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5916251">
    <w:abstractNumId w:val="1"/>
  </w:num>
  <w:num w:numId="2" w16cid:durableId="460226107">
    <w:abstractNumId w:val="2"/>
  </w:num>
  <w:num w:numId="3" w16cid:durableId="1729840492">
    <w:abstractNumId w:val="0"/>
  </w:num>
  <w:num w:numId="4" w16cid:durableId="133379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FC"/>
    <w:rsid w:val="000019D8"/>
    <w:rsid w:val="0000474A"/>
    <w:rsid w:val="00006F9A"/>
    <w:rsid w:val="00021F00"/>
    <w:rsid w:val="00041D95"/>
    <w:rsid w:val="00043D2D"/>
    <w:rsid w:val="0004726E"/>
    <w:rsid w:val="00066960"/>
    <w:rsid w:val="000A3E01"/>
    <w:rsid w:val="000C0FC2"/>
    <w:rsid w:val="000E17C2"/>
    <w:rsid w:val="00154436"/>
    <w:rsid w:val="00156BBB"/>
    <w:rsid w:val="001C4EF2"/>
    <w:rsid w:val="001D12F3"/>
    <w:rsid w:val="001D1C27"/>
    <w:rsid w:val="001D25D3"/>
    <w:rsid w:val="001E2AEB"/>
    <w:rsid w:val="001F462D"/>
    <w:rsid w:val="00240AA5"/>
    <w:rsid w:val="0026577E"/>
    <w:rsid w:val="00272D3F"/>
    <w:rsid w:val="00274D95"/>
    <w:rsid w:val="00280F25"/>
    <w:rsid w:val="00290637"/>
    <w:rsid w:val="0029303F"/>
    <w:rsid w:val="00297194"/>
    <w:rsid w:val="002C59C6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C3511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81BFC"/>
    <w:rsid w:val="00592C55"/>
    <w:rsid w:val="005963C5"/>
    <w:rsid w:val="005F768A"/>
    <w:rsid w:val="00610404"/>
    <w:rsid w:val="006218B8"/>
    <w:rsid w:val="00622838"/>
    <w:rsid w:val="00632097"/>
    <w:rsid w:val="00634001"/>
    <w:rsid w:val="00637CD2"/>
    <w:rsid w:val="00667913"/>
    <w:rsid w:val="006844AA"/>
    <w:rsid w:val="00685F96"/>
    <w:rsid w:val="00692393"/>
    <w:rsid w:val="006A5D76"/>
    <w:rsid w:val="006C3990"/>
    <w:rsid w:val="006C6DFD"/>
    <w:rsid w:val="006E2BCF"/>
    <w:rsid w:val="006F0F13"/>
    <w:rsid w:val="007018DC"/>
    <w:rsid w:val="00705D61"/>
    <w:rsid w:val="00706D77"/>
    <w:rsid w:val="00715BD6"/>
    <w:rsid w:val="007218D7"/>
    <w:rsid w:val="007847B1"/>
    <w:rsid w:val="007D48AF"/>
    <w:rsid w:val="007F4ED6"/>
    <w:rsid w:val="007F6122"/>
    <w:rsid w:val="00806CA4"/>
    <w:rsid w:val="00816BBE"/>
    <w:rsid w:val="00851192"/>
    <w:rsid w:val="00853B85"/>
    <w:rsid w:val="00872E35"/>
    <w:rsid w:val="008A0042"/>
    <w:rsid w:val="008B7C54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17A48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DD299E"/>
    <w:rsid w:val="00E473FC"/>
    <w:rsid w:val="00E548E8"/>
    <w:rsid w:val="00EA1A0C"/>
    <w:rsid w:val="00EB34C8"/>
    <w:rsid w:val="00EB730D"/>
    <w:rsid w:val="00EC2CB7"/>
    <w:rsid w:val="00F159D6"/>
    <w:rsid w:val="00F41D77"/>
    <w:rsid w:val="00F61547"/>
    <w:rsid w:val="00FA2DB6"/>
    <w:rsid w:val="00FA4695"/>
    <w:rsid w:val="00FC2B9D"/>
    <w:rsid w:val="00FD4789"/>
    <w:rsid w:val="00FE26CD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B7D13"/>
  <w15:chartTrackingRefBased/>
  <w15:docId w15:val="{A5E080CA-6A7F-424B-8536-E4A89A76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B1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Heading1">
    <w:name w:val="heading 1"/>
    <w:link w:val="Heading1Char"/>
    <w:uiPriority w:val="9"/>
    <w:qFormat/>
    <w:rsid w:val="001D12F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1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1title">
    <w:name w:val="MDPI_1.2.1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22runningtitle">
    <w:name w:val="MDPI_1.2.2_runningtitle"/>
    <w:basedOn w:val="MDPI121title"/>
    <w:qFormat/>
    <w:rsid w:val="00632097"/>
    <w:pPr>
      <w:spacing w:after="120" w:line="240" w:lineRule="atLeas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12F3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it-IT"/>
    </w:rPr>
  </w:style>
  <w:style w:type="table" w:customStyle="1" w:styleId="TableNormal1">
    <w:name w:val="Table Normal1"/>
    <w:rsid w:val="001D12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tips\Preprint\prepri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preprints-template.dot</Template>
  <TotalTime>3</TotalTime>
  <Pages>6</Pages>
  <Words>847</Words>
  <Characters>5443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2</cp:revision>
  <dcterms:created xsi:type="dcterms:W3CDTF">2024-03-01T08:23:00Z</dcterms:created>
  <dcterms:modified xsi:type="dcterms:W3CDTF">2024-03-04T12:53:00Z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a5fa0f68-e883-4fbf-a251-2449d2e71136</vt:lpwstr>
  </property>
</Properties>
</file>