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D6" w:rsidRPr="007177D6" w:rsidRDefault="007177D6" w:rsidP="007177D6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/>
          <w:sz w:val="28"/>
          <w:szCs w:val="28"/>
        </w:rPr>
      </w:pPr>
      <w:r w:rsidRPr="007177D6">
        <w:rPr>
          <w:rFonts w:ascii="Times New Roman"/>
          <w:sz w:val="28"/>
          <w:szCs w:val="28"/>
        </w:rPr>
        <w:t xml:space="preserve">Table S1. </w:t>
      </w:r>
      <w:r w:rsidR="00694489">
        <w:rPr>
          <w:rFonts w:ascii="Times New Roman"/>
          <w:kern w:val="1"/>
          <w:sz w:val="28"/>
          <w:szCs w:val="28"/>
          <w:shd w:val="clear" w:color="000000" w:fill="auto"/>
        </w:rPr>
        <w:t>Mayonnaise recipes varying emulsifiers and additive a</w:t>
      </w:r>
      <w:r w:rsidRPr="007177D6">
        <w:rPr>
          <w:rFonts w:ascii="Times New Roman"/>
          <w:kern w:val="1"/>
          <w:sz w:val="28"/>
          <w:szCs w:val="28"/>
          <w:shd w:val="clear" w:color="000000" w:fill="auto"/>
        </w:rPr>
        <w:t>mounts</w:t>
      </w: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한컴바탕"/>
        </w:rPr>
      </w:pPr>
    </w:p>
    <w:p w:rsidR="00BD26EE" w:rsidRPr="007177D6" w:rsidRDefault="00BD26EE" w:rsidP="00BD26EE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/>
          <w:sz w:val="28"/>
          <w:szCs w:val="28"/>
        </w:rPr>
      </w:pPr>
      <w:r w:rsidRPr="007177D6">
        <w:rPr>
          <w:rFonts w:ascii="Times New Roman"/>
          <w:sz w:val="28"/>
          <w:szCs w:val="28"/>
        </w:rPr>
        <w:t xml:space="preserve">Table S2. </w:t>
      </w:r>
      <w:r w:rsidR="00694489">
        <w:rPr>
          <w:rFonts w:ascii="Times New Roman"/>
          <w:kern w:val="1"/>
          <w:sz w:val="28"/>
          <w:szCs w:val="28"/>
          <w:shd w:val="clear" w:color="000000" w:fill="auto"/>
        </w:rPr>
        <w:t>Comparison of proximate composition in CSF, DSF-SC and egg yolk: M</w:t>
      </w:r>
      <w:r w:rsidRPr="007177D6">
        <w:rPr>
          <w:rFonts w:ascii="Times New Roman"/>
          <w:kern w:val="1"/>
          <w:sz w:val="28"/>
          <w:szCs w:val="28"/>
          <w:shd w:val="clear" w:color="000000" w:fill="auto"/>
        </w:rPr>
        <w:t>oisture, Crude Fat, Crude Fiber, and Crude Protein Content.</w:t>
      </w:r>
    </w:p>
    <w:p w:rsidR="00BD26EE" w:rsidRPr="00BD26EE" w:rsidRDefault="00BD26EE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한컴바탕"/>
        </w:rPr>
      </w:pPr>
    </w:p>
    <w:p w:rsidR="00D909F9" w:rsidRPr="00D909F9" w:rsidRDefault="00D909F9" w:rsidP="00D909F9">
      <w:pPr>
        <w:pStyle w:val="a3"/>
        <w:jc w:val="left"/>
        <w:rPr>
          <w:rFonts w:ascii="Times New Roman"/>
          <w:sz w:val="24"/>
        </w:rPr>
      </w:pPr>
      <w:r w:rsidRPr="00D909F9">
        <w:rPr>
          <w:rFonts w:ascii="Times New Roman"/>
          <w:kern w:val="1"/>
          <w:sz w:val="28"/>
          <w:shd w:val="clear" w:color="000000" w:fill="auto"/>
        </w:rPr>
        <w:t xml:space="preserve">Table S3. pH </w:t>
      </w:r>
      <w:r w:rsidR="00694489">
        <w:rPr>
          <w:rFonts w:ascii="Times New Roman"/>
          <w:kern w:val="1"/>
          <w:sz w:val="28"/>
          <w:shd w:val="clear" w:color="000000" w:fill="auto"/>
        </w:rPr>
        <w:t>of m</w:t>
      </w:r>
      <w:r w:rsidRPr="00D909F9">
        <w:rPr>
          <w:rFonts w:ascii="Times New Roman"/>
          <w:kern w:val="1"/>
          <w:sz w:val="28"/>
          <w:shd w:val="clear" w:color="000000" w:fill="auto"/>
        </w:rPr>
        <w:t>ayon</w:t>
      </w:r>
      <w:r w:rsidR="00694489">
        <w:rPr>
          <w:rFonts w:ascii="Times New Roman"/>
          <w:kern w:val="1"/>
          <w:sz w:val="28"/>
          <w:shd w:val="clear" w:color="000000" w:fill="auto"/>
        </w:rPr>
        <w:t>naise with different emulsifier</w:t>
      </w:r>
      <w:r w:rsidRPr="00D909F9">
        <w:rPr>
          <w:rFonts w:ascii="Times New Roman"/>
          <w:kern w:val="1"/>
          <w:sz w:val="28"/>
          <w:shd w:val="clear" w:color="000000" w:fill="auto"/>
        </w:rPr>
        <w:t>s</w:t>
      </w:r>
      <w:r w:rsidR="00694489">
        <w:rPr>
          <w:rFonts w:ascii="Times New Roman"/>
          <w:kern w:val="1"/>
          <w:sz w:val="28"/>
          <w:shd w:val="clear" w:color="000000" w:fill="auto"/>
        </w:rPr>
        <w:t xml:space="preserve"> at different concentrations</w:t>
      </w:r>
      <w:r w:rsidRPr="00D909F9">
        <w:rPr>
          <w:rFonts w:ascii="Times New Roman"/>
          <w:kern w:val="1"/>
          <w:sz w:val="28"/>
          <w:shd w:val="clear" w:color="000000" w:fill="auto"/>
        </w:rPr>
        <w:t>: CSF, DSF-SC,</w:t>
      </w:r>
      <w:r w:rsidR="00694489">
        <w:rPr>
          <w:rFonts w:ascii="Times New Roman"/>
          <w:kern w:val="1"/>
          <w:sz w:val="28"/>
          <w:shd w:val="clear" w:color="000000" w:fill="auto"/>
        </w:rPr>
        <w:t xml:space="preserve"> </w:t>
      </w:r>
      <w:r w:rsidRPr="00D909F9">
        <w:rPr>
          <w:rFonts w:ascii="Times New Roman"/>
          <w:kern w:val="1"/>
          <w:sz w:val="28"/>
          <w:shd w:val="clear" w:color="000000" w:fill="auto"/>
        </w:rPr>
        <w:t xml:space="preserve">and EY. </w:t>
      </w:r>
    </w:p>
    <w:p w:rsidR="00D909F9" w:rsidRPr="00BD26EE" w:rsidRDefault="00D909F9" w:rsidP="00D909F9">
      <w:pPr>
        <w:pStyle w:val="a3"/>
        <w:jc w:val="left"/>
        <w:rPr>
          <w:rFonts w:ascii="Times New Roman" w:eastAsia="한컴바탕"/>
          <w:kern w:val="1"/>
          <w:shd w:val="clear" w:color="000000" w:fill="auto"/>
        </w:rPr>
      </w:pPr>
    </w:p>
    <w:p w:rsidR="00D909F9" w:rsidRPr="00D909F9" w:rsidRDefault="00D909F9" w:rsidP="00D909F9">
      <w:pPr>
        <w:pStyle w:val="a3"/>
        <w:rPr>
          <w:rFonts w:ascii="Times New Roman"/>
          <w:sz w:val="24"/>
        </w:rPr>
      </w:pPr>
      <w:r w:rsidRPr="00D909F9">
        <w:rPr>
          <w:rFonts w:ascii="Times New Roman"/>
          <w:sz w:val="28"/>
        </w:rPr>
        <w:t xml:space="preserve">Table S4. </w:t>
      </w:r>
      <w:r w:rsidR="00694489">
        <w:rPr>
          <w:rFonts w:ascii="Times New Roman"/>
          <w:kern w:val="1"/>
          <w:sz w:val="28"/>
          <w:shd w:val="clear" w:color="000000" w:fill="auto"/>
        </w:rPr>
        <w:t>Particle size analysis of m</w:t>
      </w:r>
      <w:r w:rsidRPr="00D909F9">
        <w:rPr>
          <w:rFonts w:ascii="Times New Roman"/>
          <w:kern w:val="1"/>
          <w:sz w:val="28"/>
          <w:shd w:val="clear" w:color="000000" w:fill="auto"/>
        </w:rPr>
        <w:t>ayon</w:t>
      </w:r>
      <w:r w:rsidR="00694489">
        <w:rPr>
          <w:rFonts w:ascii="Times New Roman"/>
          <w:kern w:val="1"/>
          <w:sz w:val="28"/>
          <w:shd w:val="clear" w:color="000000" w:fill="auto"/>
        </w:rPr>
        <w:t>naise with different emulsifiers at different concentrations</w:t>
      </w:r>
      <w:r w:rsidRPr="00D909F9">
        <w:rPr>
          <w:rFonts w:ascii="Times New Roman"/>
          <w:kern w:val="1"/>
          <w:sz w:val="28"/>
          <w:shd w:val="clear" w:color="000000" w:fill="auto"/>
        </w:rPr>
        <w:t>.</w:t>
      </w:r>
    </w:p>
    <w:p w:rsidR="00BD26EE" w:rsidRPr="00D909F9" w:rsidRDefault="00BD26EE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한컴바탕"/>
        </w:rPr>
      </w:pPr>
    </w:p>
    <w:p w:rsidR="00BD26EE" w:rsidRDefault="00BD26EE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한컴바탕"/>
        </w:rPr>
      </w:pPr>
    </w:p>
    <w:p w:rsidR="00BD26EE" w:rsidRDefault="00BD26EE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한컴바탕"/>
        </w:rPr>
      </w:pPr>
    </w:p>
    <w:p w:rsidR="00BD26EE" w:rsidRDefault="00BD26EE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한컴바탕"/>
        </w:rPr>
      </w:pPr>
    </w:p>
    <w:p w:rsidR="00BD26EE" w:rsidRDefault="00BD26EE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한컴바탕"/>
        </w:rPr>
      </w:pPr>
    </w:p>
    <w:p w:rsidR="00BD26EE" w:rsidRDefault="00BD26EE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한컴바탕"/>
        </w:rPr>
      </w:pPr>
    </w:p>
    <w:p w:rsidR="00BD26EE" w:rsidRDefault="00BD26EE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한컴바탕"/>
        </w:rPr>
      </w:pPr>
    </w:p>
    <w:p w:rsidR="00BD26EE" w:rsidRDefault="00BD26EE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한컴바탕"/>
        </w:rPr>
      </w:pPr>
    </w:p>
    <w:p w:rsidR="00BD26EE" w:rsidRDefault="00BD26EE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한컴바탕"/>
        </w:rPr>
      </w:pPr>
    </w:p>
    <w:p w:rsidR="00BD26EE" w:rsidRPr="007177D6" w:rsidRDefault="00BD26EE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한컴바탕"/>
        </w:rPr>
      </w:pPr>
    </w:p>
    <w:p w:rsidR="008C6E15" w:rsidRPr="00BD26EE" w:rsidRDefault="007177D6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Times New Roman"/>
          <w:sz w:val="28"/>
          <w:szCs w:val="28"/>
        </w:rPr>
      </w:pPr>
      <w:r w:rsidRPr="007177D6">
        <w:rPr>
          <w:rFonts w:ascii="Times New Roman"/>
          <w:sz w:val="28"/>
          <w:szCs w:val="28"/>
        </w:rPr>
        <w:lastRenderedPageBreak/>
        <w:t>Table S1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98"/>
        <w:gridCol w:w="872"/>
        <w:gridCol w:w="872"/>
        <w:gridCol w:w="872"/>
        <w:gridCol w:w="872"/>
        <w:gridCol w:w="870"/>
        <w:gridCol w:w="872"/>
        <w:gridCol w:w="872"/>
        <w:gridCol w:w="872"/>
        <w:gridCol w:w="872"/>
        <w:gridCol w:w="870"/>
        <w:gridCol w:w="872"/>
        <w:gridCol w:w="872"/>
        <w:gridCol w:w="872"/>
        <w:gridCol w:w="872"/>
        <w:gridCol w:w="875"/>
      </w:tblGrid>
      <w:tr w:rsidR="00BD26EE" w:rsidRPr="007636C5" w:rsidTr="001D6654">
        <w:trPr>
          <w:trHeight w:val="354"/>
        </w:trPr>
        <w:tc>
          <w:tcPr>
            <w:tcW w:w="1198" w:type="dxa"/>
            <w:vMerge w:val="restart"/>
            <w:tcBorders>
              <w:lef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Ingredients</w:t>
            </w:r>
          </w:p>
        </w:tc>
        <w:tc>
          <w:tcPr>
            <w:tcW w:w="13079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Samples</w:t>
            </w:r>
          </w:p>
        </w:tc>
      </w:tr>
      <w:tr w:rsidR="00BD26EE" w:rsidRPr="007636C5" w:rsidTr="001D6654">
        <w:trPr>
          <w:trHeight w:val="354"/>
        </w:trPr>
        <w:tc>
          <w:tcPr>
            <w:tcW w:w="119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</w:p>
        </w:tc>
        <w:tc>
          <w:tcPr>
            <w:tcW w:w="872" w:type="dxa"/>
            <w:tcBorders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CSF0.5</w:t>
            </w:r>
          </w:p>
        </w:tc>
        <w:tc>
          <w:tcPr>
            <w:tcW w:w="87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CSF1</w:t>
            </w:r>
          </w:p>
        </w:tc>
        <w:tc>
          <w:tcPr>
            <w:tcW w:w="87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CSF1.5</w:t>
            </w:r>
          </w:p>
        </w:tc>
        <w:tc>
          <w:tcPr>
            <w:tcW w:w="87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CSF2</w:t>
            </w:r>
          </w:p>
        </w:tc>
        <w:tc>
          <w:tcPr>
            <w:tcW w:w="87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CSF3</w:t>
            </w:r>
          </w:p>
        </w:tc>
        <w:tc>
          <w:tcPr>
            <w:tcW w:w="87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DSF-SC0.5</w:t>
            </w:r>
          </w:p>
        </w:tc>
        <w:tc>
          <w:tcPr>
            <w:tcW w:w="87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DSF-SC1</w:t>
            </w:r>
          </w:p>
        </w:tc>
        <w:tc>
          <w:tcPr>
            <w:tcW w:w="87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1D6654">
              <w:rPr>
                <w:rFonts w:ascii="Times New Roman" w:eastAsia="한컴바탕"/>
                <w:sz w:val="16"/>
                <w:szCs w:val="16"/>
                <w:shd w:val="clear" w:color="000000" w:fill="auto"/>
              </w:rPr>
              <w:t>DSF-SC1.5</w:t>
            </w:r>
          </w:p>
        </w:tc>
        <w:tc>
          <w:tcPr>
            <w:tcW w:w="87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1D6654">
              <w:rPr>
                <w:rFonts w:ascii="Times New Roman" w:eastAsia="한컴바탕"/>
                <w:sz w:val="16"/>
                <w:szCs w:val="16"/>
                <w:shd w:val="clear" w:color="000000" w:fill="auto"/>
              </w:rPr>
              <w:t>DSF-SC2</w:t>
            </w:r>
          </w:p>
        </w:tc>
        <w:tc>
          <w:tcPr>
            <w:tcW w:w="87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1D6654">
              <w:rPr>
                <w:rFonts w:ascii="Times New Roman" w:eastAsia="한컴바탕"/>
                <w:sz w:val="16"/>
                <w:szCs w:val="16"/>
                <w:shd w:val="clear" w:color="000000" w:fill="auto"/>
              </w:rPr>
              <w:t>DSF-SC3</w:t>
            </w:r>
          </w:p>
        </w:tc>
        <w:tc>
          <w:tcPr>
            <w:tcW w:w="87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EY0.5</w:t>
            </w:r>
          </w:p>
        </w:tc>
        <w:tc>
          <w:tcPr>
            <w:tcW w:w="87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EY1</w:t>
            </w:r>
          </w:p>
        </w:tc>
        <w:tc>
          <w:tcPr>
            <w:tcW w:w="87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EY1.5</w:t>
            </w:r>
          </w:p>
        </w:tc>
        <w:tc>
          <w:tcPr>
            <w:tcW w:w="87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EY2</w:t>
            </w:r>
          </w:p>
        </w:tc>
        <w:tc>
          <w:tcPr>
            <w:tcW w:w="87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EY3</w:t>
            </w:r>
          </w:p>
        </w:tc>
      </w:tr>
      <w:tr w:rsidR="00BD26EE" w:rsidRPr="007636C5" w:rsidTr="001D6654">
        <w:trPr>
          <w:trHeight w:val="354"/>
        </w:trPr>
        <w:tc>
          <w:tcPr>
            <w:tcW w:w="1198" w:type="dxa"/>
            <w:tcBorders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>Control soybean flour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0.5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</w:tr>
      <w:tr w:rsidR="00BD26EE" w:rsidRPr="007636C5" w:rsidTr="001D6654">
        <w:trPr>
          <w:trHeight w:val="35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 xml:space="preserve">De-fatted </w:t>
            </w: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soybean</w:t>
            </w: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 xml:space="preserve"> </w:t>
            </w: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flour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3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</w:tr>
      <w:tr w:rsidR="00BD26EE" w:rsidRPr="007636C5" w:rsidTr="001D6654">
        <w:trPr>
          <w:trHeight w:val="35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Egg</w:t>
            </w: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 xml:space="preserve"> </w:t>
            </w: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yolk</w:t>
            </w: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 xml:space="preserve"> </w:t>
            </w: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powder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3</w:t>
            </w:r>
          </w:p>
        </w:tc>
      </w:tr>
      <w:tr w:rsidR="00BD26EE" w:rsidRPr="007636C5" w:rsidTr="001D6654">
        <w:trPr>
          <w:trHeight w:val="35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Soybean</w:t>
            </w: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 xml:space="preserve"> </w:t>
            </w: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oil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70</w:t>
            </w:r>
          </w:p>
        </w:tc>
      </w:tr>
      <w:tr w:rsidR="00BD26EE" w:rsidRPr="007636C5" w:rsidTr="001D6654">
        <w:trPr>
          <w:trHeight w:val="35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Sugar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</w:t>
            </w:r>
          </w:p>
        </w:tc>
      </w:tr>
      <w:tr w:rsidR="00BD26EE" w:rsidRPr="007636C5" w:rsidTr="001D6654">
        <w:trPr>
          <w:trHeight w:val="35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Salt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1.5</w:t>
            </w:r>
          </w:p>
        </w:tc>
      </w:tr>
      <w:tr w:rsidR="00BD26EE" w:rsidRPr="007636C5" w:rsidTr="001D6654">
        <w:trPr>
          <w:trHeight w:val="35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Mustard</w:t>
            </w:r>
            <w:r w:rsidRPr="001D6654"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  <w:t xml:space="preserve"> </w:t>
            </w: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powder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0.3</w:t>
            </w:r>
          </w:p>
        </w:tc>
      </w:tr>
      <w:tr w:rsidR="00BD26EE" w:rsidRPr="007636C5" w:rsidTr="001D6654">
        <w:trPr>
          <w:trHeight w:val="35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Vinegar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4</w:t>
            </w:r>
          </w:p>
        </w:tc>
      </w:tr>
      <w:tr w:rsidR="00BD26EE" w:rsidRPr="007636C5" w:rsidTr="001D6654">
        <w:trPr>
          <w:trHeight w:val="354"/>
        </w:trPr>
        <w:tc>
          <w:tcPr>
            <w:tcW w:w="1198" w:type="dxa"/>
            <w:tcBorders>
              <w:top w:val="nil"/>
              <w:left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Water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0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0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vAlign w:val="center"/>
          </w:tcPr>
          <w:p w:rsidR="00BD26EE" w:rsidRPr="001D6654" w:rsidRDefault="00BD26EE" w:rsidP="00BD26E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한컴바탕"/>
                <w:kern w:val="1"/>
                <w:sz w:val="16"/>
                <w:szCs w:val="16"/>
                <w:shd w:val="clear" w:color="000000" w:fill="auto"/>
              </w:rPr>
            </w:pPr>
            <w:r w:rsidRPr="001D6654">
              <w:rPr>
                <w:rFonts w:ascii="Times New Roman" w:eastAsia="한컴바탕" w:hint="eastAsia"/>
                <w:kern w:val="1"/>
                <w:sz w:val="16"/>
                <w:szCs w:val="16"/>
                <w:shd w:val="clear" w:color="000000" w:fill="auto"/>
              </w:rPr>
              <w:t>22.2</w:t>
            </w:r>
          </w:p>
        </w:tc>
      </w:tr>
    </w:tbl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kern w:val="1"/>
          <w:sz w:val="22"/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kern w:val="1"/>
          <w:sz w:val="22"/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kern w:val="1"/>
          <w:sz w:val="22"/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kern w:val="1"/>
          <w:sz w:val="22"/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kern w:val="1"/>
          <w:sz w:val="22"/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kern w:val="1"/>
          <w:sz w:val="22"/>
          <w:shd w:val="clear" w:color="000000" w:fill="auto"/>
        </w:rPr>
        <w:sectPr w:rsidR="008C6E15">
          <w:endnotePr>
            <w:numFmt w:val="decimal"/>
          </w:endnotePr>
          <w:pgSz w:w="16837" w:h="11906" w:orient="landscape"/>
          <w:pgMar w:top="1984" w:right="1134" w:bottom="1701" w:left="1134" w:header="1134" w:footer="850" w:gutter="0"/>
          <w:lnNumType w:countBy="1" w:restart="continuous"/>
          <w:cols w:space="0"/>
          <w:docGrid w:linePitch="360"/>
        </w:sectPr>
      </w:pPr>
    </w:p>
    <w:p w:rsidR="008C6E15" w:rsidRPr="00BD26EE" w:rsidRDefault="00D909F9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/>
          <w:sz w:val="28"/>
          <w:szCs w:val="28"/>
        </w:rPr>
      </w:pPr>
      <w:r w:rsidRPr="00BD26EE">
        <w:rPr>
          <w:rFonts w:ascii="Times New Roman"/>
          <w:sz w:val="28"/>
          <w:szCs w:val="28"/>
        </w:rPr>
        <w:lastRenderedPageBreak/>
        <w:t xml:space="preserve">Table </w:t>
      </w:r>
      <w:r w:rsidR="00CA76C1" w:rsidRPr="00BD26EE">
        <w:rPr>
          <w:rFonts w:ascii="Times New Roman"/>
          <w:sz w:val="28"/>
          <w:szCs w:val="28"/>
        </w:rPr>
        <w:t>S</w:t>
      </w:r>
      <w:r w:rsidRPr="00BD26EE">
        <w:rPr>
          <w:rFonts w:ascii="Times New Roman"/>
          <w:sz w:val="28"/>
          <w:szCs w:val="28"/>
        </w:rPr>
        <w:t xml:space="preserve">2. </w:t>
      </w:r>
    </w:p>
    <w:tbl>
      <w:tblPr>
        <w:tblOverlap w:val="never"/>
        <w:tblW w:w="957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924"/>
        <w:gridCol w:w="2216"/>
        <w:gridCol w:w="2216"/>
        <w:gridCol w:w="2216"/>
      </w:tblGrid>
      <w:tr w:rsidR="008C6E15" w:rsidRPr="00BD26EE" w:rsidTr="00BD26EE">
        <w:trPr>
          <w:trHeight w:val="395"/>
        </w:trPr>
        <w:tc>
          <w:tcPr>
            <w:tcW w:w="2924" w:type="dxa"/>
            <w:tcBorders>
              <w:top w:val="single" w:sz="5" w:space="0" w:color="000000"/>
              <w:left w:val="none" w:sz="2" w:space="0" w:color="FFFFFF"/>
              <w:bottom w:val="single" w:sz="5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napToGrid w:val="0"/>
              <w:spacing w:line="240" w:lineRule="auto"/>
              <w:jc w:val="left"/>
              <w:rPr>
                <w:rFonts w:ascii="Times New Roman"/>
              </w:rPr>
            </w:pPr>
            <w:r w:rsidRPr="00BD26EE">
              <w:rPr>
                <w:rFonts w:ascii="Times New Roman"/>
                <w:shd w:val="clear" w:color="000000" w:fill="auto"/>
              </w:rPr>
              <w:t>Proximate composition (%)</w:t>
            </w:r>
          </w:p>
        </w:tc>
        <w:tc>
          <w:tcPr>
            <w:tcW w:w="2216" w:type="dxa"/>
            <w:tcBorders>
              <w:top w:val="single" w:sz="5" w:space="0" w:color="000000"/>
              <w:left w:val="none" w:sz="2" w:space="0" w:color="FFFFFF"/>
              <w:bottom w:val="single" w:sz="5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CSF</w:t>
            </w:r>
          </w:p>
        </w:tc>
        <w:tc>
          <w:tcPr>
            <w:tcW w:w="2216" w:type="dxa"/>
            <w:tcBorders>
              <w:top w:val="single" w:sz="5" w:space="0" w:color="000000"/>
              <w:left w:val="none" w:sz="2" w:space="0" w:color="FFFFFF"/>
              <w:bottom w:val="single" w:sz="5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</w:rPr>
              <w:t>DSF-SC</w:t>
            </w:r>
          </w:p>
        </w:tc>
        <w:tc>
          <w:tcPr>
            <w:tcW w:w="2216" w:type="dxa"/>
            <w:tcBorders>
              <w:top w:val="single" w:sz="5" w:space="0" w:color="000000"/>
              <w:left w:val="none" w:sz="2" w:space="0" w:color="FFFFFF"/>
              <w:bottom w:val="single" w:sz="5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</w:rPr>
              <w:t>Egg Yolk</w:t>
            </w:r>
          </w:p>
        </w:tc>
      </w:tr>
      <w:tr w:rsidR="008C6E15" w:rsidRPr="00BD26EE">
        <w:trPr>
          <w:trHeight w:val="372"/>
        </w:trPr>
        <w:tc>
          <w:tcPr>
            <w:tcW w:w="2924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C3102A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ind w:firstLine="300"/>
              <w:rPr>
                <w:rFonts w:ascii="Times New Roman"/>
              </w:rPr>
            </w:pPr>
            <w:r>
              <w:rPr>
                <w:rFonts w:ascii="Times New Roman"/>
                <w:kern w:val="1"/>
                <w:shd w:val="clear" w:color="000000" w:fill="auto"/>
              </w:rPr>
              <w:t>Moisture content</w:t>
            </w:r>
          </w:p>
        </w:tc>
        <w:tc>
          <w:tcPr>
            <w:tcW w:w="2216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7.41±0.65</w:t>
            </w:r>
            <w:r w:rsidRPr="00BD26EE">
              <w:rPr>
                <w:rFonts w:ascii="Times New Roman"/>
                <w:kern w:val="1"/>
                <w:shd w:val="clear" w:color="000000" w:fill="auto"/>
                <w:vertAlign w:val="superscript"/>
              </w:rPr>
              <w:t>1)c</w:t>
            </w:r>
          </w:p>
        </w:tc>
        <w:tc>
          <w:tcPr>
            <w:tcW w:w="2216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3.30±0.08</w:t>
            </w:r>
            <w:r w:rsidRPr="00BD26EE">
              <w:rPr>
                <w:rFonts w:ascii="Times New Roman"/>
                <w:kern w:val="1"/>
                <w:shd w:val="clear" w:color="000000" w:fill="auto"/>
                <w:vertAlign w:val="superscript"/>
              </w:rPr>
              <w:t>a</w:t>
            </w:r>
          </w:p>
        </w:tc>
        <w:tc>
          <w:tcPr>
            <w:tcW w:w="2216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3.48±0.24</w:t>
            </w:r>
            <w:r w:rsidRPr="00BD26EE">
              <w:rPr>
                <w:rFonts w:ascii="Times New Roman"/>
                <w:kern w:val="1"/>
                <w:shd w:val="clear" w:color="000000" w:fill="auto"/>
                <w:vertAlign w:val="superscript"/>
              </w:rPr>
              <w:t>b</w:t>
            </w:r>
          </w:p>
        </w:tc>
      </w:tr>
      <w:tr w:rsidR="008C6E15" w:rsidRPr="00BD26EE">
        <w:trPr>
          <w:trHeight w:val="372"/>
        </w:trPr>
        <w:tc>
          <w:tcPr>
            <w:tcW w:w="2924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ind w:firstLine="300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 xml:space="preserve">Ash </w:t>
            </w:r>
            <w:r w:rsidR="00C3102A">
              <w:rPr>
                <w:rFonts w:ascii="Times New Roman"/>
                <w:kern w:val="1"/>
                <w:shd w:val="clear" w:color="000000" w:fill="auto"/>
              </w:rPr>
              <w:t>content</w:t>
            </w:r>
          </w:p>
        </w:tc>
        <w:tc>
          <w:tcPr>
            <w:tcW w:w="2216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5.41±0.29</w:t>
            </w:r>
            <w:r w:rsidRPr="00BD26EE">
              <w:rPr>
                <w:rFonts w:ascii="Times New Roman"/>
                <w:kern w:val="1"/>
                <w:shd w:val="clear" w:color="000000" w:fill="auto"/>
                <w:vertAlign w:val="superscript"/>
              </w:rPr>
              <w:t>b</w:t>
            </w:r>
          </w:p>
        </w:tc>
        <w:tc>
          <w:tcPr>
            <w:tcW w:w="2216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6.26±0.14</w:t>
            </w:r>
            <w:r w:rsidRPr="00BD26EE">
              <w:rPr>
                <w:rFonts w:ascii="Times New Roman"/>
                <w:kern w:val="1"/>
                <w:shd w:val="clear" w:color="000000" w:fill="auto"/>
                <w:vertAlign w:val="superscript"/>
              </w:rPr>
              <w:t>c</w:t>
            </w:r>
          </w:p>
        </w:tc>
        <w:tc>
          <w:tcPr>
            <w:tcW w:w="2216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3.94±0.21</w:t>
            </w:r>
            <w:r w:rsidRPr="00BD26EE">
              <w:rPr>
                <w:rFonts w:ascii="Times New Roman"/>
                <w:kern w:val="1"/>
                <w:shd w:val="clear" w:color="000000" w:fill="auto"/>
                <w:vertAlign w:val="superscript"/>
              </w:rPr>
              <w:t>a</w:t>
            </w:r>
          </w:p>
        </w:tc>
      </w:tr>
      <w:tr w:rsidR="008C6E15" w:rsidRPr="00BD26EE">
        <w:trPr>
          <w:trHeight w:val="372"/>
        </w:trPr>
        <w:tc>
          <w:tcPr>
            <w:tcW w:w="2924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C3102A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ind w:firstLine="300"/>
              <w:rPr>
                <w:rFonts w:ascii="Times New Roman"/>
              </w:rPr>
            </w:pPr>
            <w:r>
              <w:rPr>
                <w:rFonts w:ascii="Times New Roman"/>
                <w:kern w:val="1"/>
                <w:shd w:val="clear" w:color="000000" w:fill="auto"/>
              </w:rPr>
              <w:t>Crude protein content</w:t>
            </w:r>
          </w:p>
        </w:tc>
        <w:tc>
          <w:tcPr>
            <w:tcW w:w="2216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38.66±0.66</w:t>
            </w:r>
            <w:r w:rsidRPr="00BD26EE">
              <w:rPr>
                <w:rFonts w:ascii="Times New Roman"/>
                <w:kern w:val="1"/>
                <w:shd w:val="clear" w:color="000000" w:fill="auto"/>
                <w:vertAlign w:val="superscript"/>
              </w:rPr>
              <w:t>b</w:t>
            </w:r>
          </w:p>
        </w:tc>
        <w:tc>
          <w:tcPr>
            <w:tcW w:w="2216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48.93±0.82</w:t>
            </w:r>
            <w:r w:rsidRPr="00BD26EE">
              <w:rPr>
                <w:rFonts w:ascii="Times New Roman"/>
                <w:kern w:val="1"/>
                <w:shd w:val="clear" w:color="000000" w:fill="auto"/>
                <w:vertAlign w:val="superscript"/>
              </w:rPr>
              <w:t>c</w:t>
            </w:r>
          </w:p>
        </w:tc>
        <w:tc>
          <w:tcPr>
            <w:tcW w:w="2216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36.20±0.74</w:t>
            </w:r>
            <w:r w:rsidRPr="00BD26EE">
              <w:rPr>
                <w:rFonts w:ascii="Times New Roman"/>
                <w:kern w:val="1"/>
                <w:shd w:val="clear" w:color="000000" w:fill="auto"/>
                <w:vertAlign w:val="superscript"/>
              </w:rPr>
              <w:t>a</w:t>
            </w:r>
          </w:p>
        </w:tc>
      </w:tr>
      <w:tr w:rsidR="008C6E15" w:rsidRPr="00BD26EE">
        <w:trPr>
          <w:trHeight w:val="372"/>
        </w:trPr>
        <w:tc>
          <w:tcPr>
            <w:tcW w:w="2924" w:type="dxa"/>
            <w:tcBorders>
              <w:top w:val="none" w:sz="2" w:space="0" w:color="FFFFFF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C3102A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ind w:firstLine="300"/>
              <w:rPr>
                <w:rFonts w:ascii="Times New Roman"/>
              </w:rPr>
            </w:pPr>
            <w:r>
              <w:rPr>
                <w:rFonts w:ascii="Times New Roman"/>
                <w:kern w:val="1"/>
                <w:shd w:val="clear" w:color="000000" w:fill="auto"/>
              </w:rPr>
              <w:t>Crude fat content</w:t>
            </w:r>
          </w:p>
        </w:tc>
        <w:tc>
          <w:tcPr>
            <w:tcW w:w="2216" w:type="dxa"/>
            <w:tcBorders>
              <w:top w:val="none" w:sz="2" w:space="0" w:color="FFFFFF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18.95±0.95</w:t>
            </w:r>
            <w:r w:rsidRPr="00BD26EE">
              <w:rPr>
                <w:rFonts w:ascii="Times New Roman"/>
                <w:kern w:val="1"/>
                <w:shd w:val="clear" w:color="000000" w:fill="auto"/>
                <w:vertAlign w:val="superscript"/>
              </w:rPr>
              <w:t>b</w:t>
            </w:r>
          </w:p>
        </w:tc>
        <w:tc>
          <w:tcPr>
            <w:tcW w:w="2216" w:type="dxa"/>
            <w:tcBorders>
              <w:top w:val="none" w:sz="2" w:space="0" w:color="FFFFFF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0.51±0.37</w:t>
            </w:r>
            <w:r w:rsidRPr="00BD26EE">
              <w:rPr>
                <w:rFonts w:ascii="Times New Roman"/>
                <w:kern w:val="1"/>
                <w:shd w:val="clear" w:color="000000" w:fill="auto"/>
                <w:vertAlign w:val="superscript"/>
              </w:rPr>
              <w:t>a</w:t>
            </w:r>
          </w:p>
        </w:tc>
        <w:tc>
          <w:tcPr>
            <w:tcW w:w="2216" w:type="dxa"/>
            <w:tcBorders>
              <w:top w:val="none" w:sz="2" w:space="0" w:color="FFFFFF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BD26E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BD26EE">
              <w:rPr>
                <w:rFonts w:ascii="Times New Roman"/>
                <w:kern w:val="1"/>
                <w:shd w:val="clear" w:color="000000" w:fill="auto"/>
              </w:rPr>
              <w:t>54.27±0.56</w:t>
            </w:r>
            <w:r w:rsidRPr="00BD26EE">
              <w:rPr>
                <w:rFonts w:ascii="Times New Roman"/>
                <w:kern w:val="1"/>
                <w:shd w:val="clear" w:color="000000" w:fill="auto"/>
                <w:vertAlign w:val="superscript"/>
              </w:rPr>
              <w:t>c</w:t>
            </w:r>
          </w:p>
        </w:tc>
      </w:tr>
    </w:tbl>
    <w:p w:rsidR="008C6E15" w:rsidRPr="00BD26EE" w:rsidRDefault="00D909F9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Times New Roman"/>
          <w:sz w:val="14"/>
        </w:rPr>
      </w:pPr>
      <w:r w:rsidRPr="00BD26EE">
        <w:rPr>
          <w:rFonts w:ascii="Times New Roman"/>
          <w:color w:val="0D0D0D"/>
          <w:kern w:val="1"/>
          <w:sz w:val="16"/>
          <w:shd w:val="clear" w:color="000000" w:fill="auto"/>
          <w:vertAlign w:val="superscript"/>
        </w:rPr>
        <w:t>1)</w:t>
      </w:r>
      <w:r w:rsidRPr="00BD26EE">
        <w:rPr>
          <w:rFonts w:ascii="Times New Roman"/>
          <w:color w:val="0D0D0D"/>
          <w:sz w:val="16"/>
          <w:shd w:val="clear" w:color="000000" w:fill="auto"/>
          <w:vertAlign w:val="superscript"/>
        </w:rPr>
        <w:t>a-c</w:t>
      </w:r>
      <w:r w:rsidRPr="00BD26EE">
        <w:rPr>
          <w:rFonts w:ascii="Times New Roman"/>
          <w:color w:val="0D0D0D"/>
          <w:sz w:val="16"/>
          <w:shd w:val="clear" w:color="000000" w:fill="auto"/>
        </w:rPr>
        <w:t>Means with different superscripts in the same row are significantly different at p&lt;0.05 by Duncan's multiple range test.</w:t>
      </w:r>
    </w:p>
    <w:p w:rsidR="008C6E15" w:rsidRPr="00BD26EE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Times New Roman"/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Times New Roman" w:eastAsia="바탕"/>
          <w:color w:val="0D0D0D"/>
          <w:sz w:val="24"/>
          <w:shd w:val="clear" w:color="000000" w:fill="auto"/>
        </w:rPr>
        <w:sectPr w:rsidR="008C6E15">
          <w:endnotePr>
            <w:numFmt w:val="decimal"/>
          </w:endnotePr>
          <w:pgSz w:w="11906" w:h="16837"/>
          <w:pgMar w:top="1984" w:right="1134" w:bottom="1701" w:left="1134" w:header="1134" w:footer="850" w:gutter="0"/>
          <w:lnNumType w:countBy="1" w:restart="continuous"/>
          <w:cols w:space="0"/>
          <w:docGrid w:linePitch="360"/>
        </w:sectPr>
      </w:pPr>
    </w:p>
    <w:p w:rsidR="008C6E15" w:rsidRPr="00D909F9" w:rsidRDefault="00D909F9">
      <w:pPr>
        <w:pStyle w:val="a3"/>
        <w:jc w:val="left"/>
        <w:rPr>
          <w:rFonts w:ascii="Times New Roman"/>
          <w:sz w:val="24"/>
        </w:rPr>
      </w:pPr>
      <w:r w:rsidRPr="00D909F9">
        <w:rPr>
          <w:rFonts w:ascii="Times New Roman"/>
          <w:kern w:val="1"/>
          <w:sz w:val="28"/>
          <w:shd w:val="clear" w:color="000000" w:fill="auto"/>
        </w:rPr>
        <w:lastRenderedPageBreak/>
        <w:t xml:space="preserve">Table S3. </w:t>
      </w:r>
    </w:p>
    <w:tbl>
      <w:tblPr>
        <w:tblOverlap w:val="never"/>
        <w:tblW w:w="11411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55"/>
        <w:gridCol w:w="1923"/>
        <w:gridCol w:w="1923"/>
        <w:gridCol w:w="2053"/>
        <w:gridCol w:w="2053"/>
        <w:gridCol w:w="2004"/>
      </w:tblGrid>
      <w:tr w:rsidR="008C6E15" w:rsidRPr="00BD26EE" w:rsidTr="00D909F9">
        <w:trPr>
          <w:trHeight w:val="154"/>
        </w:trPr>
        <w:tc>
          <w:tcPr>
            <w:tcW w:w="1455" w:type="dxa"/>
            <w:vMerge w:val="restart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b/>
                <w:shd w:val="clear" w:color="000000" w:fill="auto"/>
              </w:rPr>
              <w:t>pH</w:t>
            </w:r>
          </w:p>
        </w:tc>
        <w:tc>
          <w:tcPr>
            <w:tcW w:w="9956" w:type="dxa"/>
            <w:gridSpan w:val="5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8C6E15" w:rsidP="00D909F9">
            <w:pPr>
              <w:pStyle w:val="a3"/>
              <w:spacing w:line="240" w:lineRule="auto"/>
              <w:jc w:val="center"/>
              <w:rPr>
                <w:rFonts w:ascii="Times New Roman" w:eastAsia="한컴바탕"/>
                <w:b/>
                <w:sz w:val="2"/>
                <w:shd w:val="clear" w:color="000000" w:fill="auto"/>
              </w:rPr>
            </w:pPr>
          </w:p>
          <w:p w:rsidR="008C6E15" w:rsidRPr="00BD26EE" w:rsidRDefault="00C3102A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hd w:val="clear" w:color="000000" w:fill="auto"/>
              </w:rPr>
              <w:t xml:space="preserve">Different addition </w:t>
            </w:r>
            <w:r w:rsidR="00D909F9" w:rsidRPr="00BD26EE">
              <w:rPr>
                <w:rFonts w:ascii="Times New Roman"/>
                <w:b/>
                <w:shd w:val="clear" w:color="000000" w:fill="auto"/>
              </w:rPr>
              <w:t>of emulsifier (%)</w:t>
            </w:r>
          </w:p>
          <w:p w:rsidR="008C6E15" w:rsidRPr="00BD26EE" w:rsidRDefault="008C6E15" w:rsidP="00D909F9">
            <w:pPr>
              <w:pStyle w:val="a3"/>
              <w:spacing w:line="240" w:lineRule="auto"/>
              <w:jc w:val="center"/>
              <w:rPr>
                <w:rFonts w:ascii="Times New Roman" w:eastAsia="한컴바탕"/>
                <w:b/>
                <w:sz w:val="2"/>
                <w:shd w:val="clear" w:color="000000" w:fill="auto"/>
              </w:rPr>
            </w:pPr>
          </w:p>
        </w:tc>
      </w:tr>
      <w:tr w:rsidR="008C6E15" w:rsidRPr="00BD26EE" w:rsidTr="00D909F9">
        <w:trPr>
          <w:trHeight w:val="137"/>
        </w:trPr>
        <w:tc>
          <w:tcPr>
            <w:tcW w:w="1455" w:type="dxa"/>
            <w:vMerge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</w:tcPr>
          <w:p w:rsidR="008C6E15" w:rsidRPr="00BD26EE" w:rsidRDefault="008C6E15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b/>
                <w:shd w:val="clear" w:color="000000" w:fill="auto"/>
              </w:rPr>
              <w:t>0.5</w:t>
            </w:r>
            <w:r w:rsidRPr="00BD26EE">
              <w:rPr>
                <w:rFonts w:ascii="Times New Roman"/>
                <w:b/>
                <w:color w:val="374151"/>
                <w:shd w:val="clear" w:color="000000" w:fill="auto"/>
                <w:vertAlign w:val="superscript"/>
              </w:rPr>
              <w:t>1)</w:t>
            </w:r>
          </w:p>
          <w:p w:rsidR="008C6E15" w:rsidRPr="00BD26EE" w:rsidRDefault="008C6E15" w:rsidP="00D909F9">
            <w:pPr>
              <w:pStyle w:val="a3"/>
              <w:spacing w:line="240" w:lineRule="auto"/>
              <w:jc w:val="center"/>
              <w:rPr>
                <w:rFonts w:ascii="Times New Roman" w:eastAsia="한컴바탕"/>
                <w:b/>
                <w:color w:val="374151"/>
                <w:sz w:val="2"/>
                <w:shd w:val="clear" w:color="000000" w:fill="auto"/>
                <w:vertAlign w:val="superscript"/>
              </w:rPr>
            </w:pPr>
          </w:p>
        </w:tc>
        <w:tc>
          <w:tcPr>
            <w:tcW w:w="1923" w:type="dxa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b/>
                <w:shd w:val="clear" w:color="000000" w:fill="auto"/>
              </w:rPr>
              <w:t>1</w:t>
            </w:r>
          </w:p>
          <w:p w:rsidR="008C6E15" w:rsidRPr="00BD26EE" w:rsidRDefault="008C6E15" w:rsidP="00D909F9">
            <w:pPr>
              <w:pStyle w:val="a3"/>
              <w:spacing w:line="240" w:lineRule="auto"/>
              <w:jc w:val="center"/>
              <w:rPr>
                <w:rFonts w:ascii="Times New Roman" w:eastAsia="한컴바탕"/>
                <w:b/>
                <w:sz w:val="2"/>
                <w:shd w:val="clear" w:color="000000" w:fill="auto"/>
              </w:rPr>
            </w:pPr>
          </w:p>
        </w:tc>
        <w:tc>
          <w:tcPr>
            <w:tcW w:w="2053" w:type="dxa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b/>
                <w:shd w:val="clear" w:color="000000" w:fill="auto"/>
              </w:rPr>
              <w:t>1.5</w:t>
            </w:r>
          </w:p>
        </w:tc>
        <w:tc>
          <w:tcPr>
            <w:tcW w:w="2053" w:type="dxa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b/>
                <w:shd w:val="clear" w:color="000000" w:fill="auto"/>
              </w:rPr>
              <w:t>2</w:t>
            </w:r>
          </w:p>
        </w:tc>
        <w:tc>
          <w:tcPr>
            <w:tcW w:w="2002" w:type="dxa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b/>
                <w:shd w:val="clear" w:color="000000" w:fill="auto"/>
              </w:rPr>
              <w:t>3</w:t>
            </w:r>
          </w:p>
        </w:tc>
      </w:tr>
      <w:tr w:rsidR="008C6E15" w:rsidRPr="00BD26EE" w:rsidTr="00D909F9">
        <w:trPr>
          <w:trHeight w:val="351"/>
        </w:trPr>
        <w:tc>
          <w:tcPr>
            <w:tcW w:w="1455" w:type="dxa"/>
            <w:tcBorders>
              <w:top w:val="single" w:sz="3" w:space="0" w:color="000000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b/>
                <w:shd w:val="clear" w:color="000000" w:fill="auto"/>
              </w:rPr>
              <w:t>CSF</w:t>
            </w:r>
          </w:p>
        </w:tc>
        <w:tc>
          <w:tcPr>
            <w:tcW w:w="1923" w:type="dxa"/>
            <w:tcBorders>
              <w:top w:val="single" w:sz="3" w:space="0" w:color="000000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3.83±0.01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bA2)</w:t>
            </w:r>
          </w:p>
        </w:tc>
        <w:tc>
          <w:tcPr>
            <w:tcW w:w="1923" w:type="dxa"/>
            <w:tcBorders>
              <w:top w:val="single" w:sz="3" w:space="0" w:color="000000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3.99±0.02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bB</w:t>
            </w:r>
          </w:p>
        </w:tc>
        <w:tc>
          <w:tcPr>
            <w:tcW w:w="2053" w:type="dxa"/>
            <w:tcBorders>
              <w:top w:val="single" w:sz="3" w:space="0" w:color="000000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4.11±0.01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bC</w:t>
            </w:r>
          </w:p>
        </w:tc>
        <w:tc>
          <w:tcPr>
            <w:tcW w:w="2053" w:type="dxa"/>
            <w:tcBorders>
              <w:top w:val="single" w:sz="3" w:space="0" w:color="000000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4.20±0.01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bD</w:t>
            </w:r>
          </w:p>
        </w:tc>
        <w:tc>
          <w:tcPr>
            <w:tcW w:w="2002" w:type="dxa"/>
            <w:tcBorders>
              <w:top w:val="single" w:sz="3" w:space="0" w:color="000000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4.34±0.00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bE</w:t>
            </w:r>
          </w:p>
        </w:tc>
      </w:tr>
      <w:tr w:rsidR="008C6E15" w:rsidRPr="00BD26EE" w:rsidTr="00D909F9">
        <w:trPr>
          <w:trHeight w:val="351"/>
        </w:trPr>
        <w:tc>
          <w:tcPr>
            <w:tcW w:w="1455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b/>
                <w:shd w:val="clear" w:color="000000" w:fill="auto"/>
              </w:rPr>
              <w:t>DSF-SC</w:t>
            </w:r>
          </w:p>
        </w:tc>
        <w:tc>
          <w:tcPr>
            <w:tcW w:w="1923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3.61±0.02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aA</w:t>
            </w:r>
          </w:p>
        </w:tc>
        <w:tc>
          <w:tcPr>
            <w:tcW w:w="1923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3.80±0.01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aB</w:t>
            </w:r>
          </w:p>
        </w:tc>
        <w:tc>
          <w:tcPr>
            <w:tcW w:w="2053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3.92±0.00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aC</w:t>
            </w:r>
          </w:p>
        </w:tc>
        <w:tc>
          <w:tcPr>
            <w:tcW w:w="2053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4.03±0.01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aD</w:t>
            </w:r>
          </w:p>
        </w:tc>
        <w:tc>
          <w:tcPr>
            <w:tcW w:w="2002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4.16±0.02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aE</w:t>
            </w:r>
          </w:p>
        </w:tc>
      </w:tr>
      <w:tr w:rsidR="008C6E15" w:rsidRPr="00BD26EE" w:rsidTr="00D909F9">
        <w:trPr>
          <w:trHeight w:val="351"/>
        </w:trPr>
        <w:tc>
          <w:tcPr>
            <w:tcW w:w="1455" w:type="dxa"/>
            <w:tcBorders>
              <w:top w:val="none" w:sz="2" w:space="0" w:color="FFFFFF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b/>
                <w:shd w:val="clear" w:color="000000" w:fill="auto"/>
              </w:rPr>
              <w:t>EY</w:t>
            </w:r>
          </w:p>
        </w:tc>
        <w:tc>
          <w:tcPr>
            <w:tcW w:w="1923" w:type="dxa"/>
            <w:tcBorders>
              <w:top w:val="none" w:sz="2" w:space="0" w:color="FFFFFF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4.17±0.01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cA</w:t>
            </w:r>
          </w:p>
        </w:tc>
        <w:tc>
          <w:tcPr>
            <w:tcW w:w="1923" w:type="dxa"/>
            <w:tcBorders>
              <w:top w:val="none" w:sz="2" w:space="0" w:color="FFFFFF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4.31±0.01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cB</w:t>
            </w:r>
          </w:p>
        </w:tc>
        <w:tc>
          <w:tcPr>
            <w:tcW w:w="2053" w:type="dxa"/>
            <w:tcBorders>
              <w:top w:val="none" w:sz="2" w:space="0" w:color="FFFFFF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4.42±0.00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cC</w:t>
            </w:r>
          </w:p>
        </w:tc>
        <w:tc>
          <w:tcPr>
            <w:tcW w:w="2053" w:type="dxa"/>
            <w:tcBorders>
              <w:top w:val="none" w:sz="2" w:space="0" w:color="FFFFFF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4.58±0.01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cD</w:t>
            </w:r>
          </w:p>
        </w:tc>
        <w:tc>
          <w:tcPr>
            <w:tcW w:w="2002" w:type="dxa"/>
            <w:tcBorders>
              <w:top w:val="none" w:sz="2" w:space="0" w:color="FFFFFF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BD26EE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BD26EE">
              <w:rPr>
                <w:rFonts w:ascii="Times New Roman"/>
                <w:shd w:val="clear" w:color="000000" w:fill="auto"/>
              </w:rPr>
              <w:t>4.67±0.01</w:t>
            </w:r>
            <w:r w:rsidRPr="00BD26EE">
              <w:rPr>
                <w:rFonts w:ascii="Times New Roman"/>
                <w:shd w:val="clear" w:color="000000" w:fill="auto"/>
                <w:vertAlign w:val="superscript"/>
              </w:rPr>
              <w:t>cE</w:t>
            </w:r>
          </w:p>
        </w:tc>
      </w:tr>
    </w:tbl>
    <w:p w:rsidR="008C6E15" w:rsidRPr="00BD26EE" w:rsidRDefault="00D909F9" w:rsidP="00D909F9">
      <w:pPr>
        <w:pStyle w:val="a3"/>
        <w:pBdr>
          <w:top w:val="none" w:sz="2" w:space="12" w:color="000000"/>
        </w:pBdr>
        <w:jc w:val="left"/>
        <w:rPr>
          <w:rFonts w:ascii="Times New Roman"/>
          <w:sz w:val="18"/>
        </w:rPr>
      </w:pPr>
      <w:r w:rsidRPr="00BD26EE">
        <w:rPr>
          <w:rFonts w:ascii="Times New Roman"/>
          <w:color w:val="0D0D0D"/>
          <w:kern w:val="1"/>
          <w:shd w:val="clear" w:color="000000" w:fill="auto"/>
          <w:vertAlign w:val="superscript"/>
        </w:rPr>
        <w:t>1)</w:t>
      </w:r>
      <w:r w:rsidRPr="00BD26EE">
        <w:rPr>
          <w:rFonts w:ascii="Times New Roman"/>
          <w:color w:val="0D0D0D"/>
          <w:kern w:val="1"/>
          <w:shd w:val="clear" w:color="000000" w:fill="auto"/>
        </w:rPr>
        <w:t>Emulsifier Quantity Variation (0.5-3) for Each Formulation</w:t>
      </w:r>
    </w:p>
    <w:p w:rsidR="008C6E15" w:rsidRPr="00BD26EE" w:rsidRDefault="00D909F9" w:rsidP="00D909F9">
      <w:pPr>
        <w:pStyle w:val="a3"/>
        <w:pBdr>
          <w:top w:val="none" w:sz="2" w:space="12" w:color="000000"/>
        </w:pBdr>
        <w:jc w:val="left"/>
        <w:rPr>
          <w:rFonts w:ascii="Times New Roman"/>
          <w:sz w:val="18"/>
        </w:rPr>
      </w:pPr>
      <w:r w:rsidRPr="00BD26EE">
        <w:rPr>
          <w:rFonts w:ascii="Times New Roman"/>
          <w:color w:val="0D0D0D"/>
          <w:kern w:val="1"/>
          <w:shd w:val="clear" w:color="000000" w:fill="auto"/>
          <w:vertAlign w:val="superscript"/>
        </w:rPr>
        <w:t>2)</w:t>
      </w:r>
      <w:r w:rsidRPr="00BD26EE">
        <w:rPr>
          <w:rFonts w:ascii="Times New Roman"/>
          <w:color w:val="0D0D0D"/>
          <w:kern w:val="1"/>
          <w:shd w:val="clear" w:color="000000" w:fill="auto"/>
        </w:rPr>
        <w:t>Lowercase letters (a-c) indicate significant differences between different emulsifiers within the same column, while uppercase letters (A-E) indicate significant differences between different additive levels within the same row. Different letters denote significant differences among samples (</w:t>
      </w:r>
      <w:r w:rsidRPr="00BD26EE">
        <w:rPr>
          <w:rFonts w:ascii="Times New Roman"/>
          <w:i/>
          <w:color w:val="0D0D0D"/>
          <w:kern w:val="1"/>
          <w:shd w:val="clear" w:color="000000" w:fill="auto"/>
        </w:rPr>
        <w:t>p</w:t>
      </w:r>
      <w:r w:rsidRPr="00BD26EE">
        <w:rPr>
          <w:rFonts w:ascii="Times New Roman"/>
          <w:color w:val="0D0D0D"/>
          <w:kern w:val="1"/>
          <w:shd w:val="clear" w:color="000000" w:fill="auto"/>
        </w:rPr>
        <w:t xml:space="preserve"> &lt; 0.05).</w:t>
      </w: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color w:val="0D0D0D"/>
          <w:sz w:val="22"/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color w:val="0D0D0D"/>
          <w:sz w:val="22"/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color w:val="0D0D0D"/>
          <w:sz w:val="22"/>
          <w:shd w:val="clear" w:color="000000" w:fill="auto"/>
        </w:rPr>
      </w:pPr>
    </w:p>
    <w:p w:rsidR="008C6E15" w:rsidRDefault="008C6E15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color w:val="0D0D0D"/>
          <w:sz w:val="22"/>
          <w:shd w:val="clear" w:color="000000" w:fill="auto"/>
        </w:rPr>
      </w:pPr>
    </w:p>
    <w:p w:rsidR="00D909F9" w:rsidRDefault="00D909F9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color w:val="0D0D0D"/>
          <w:sz w:val="22"/>
          <w:shd w:val="clear" w:color="000000" w:fill="auto"/>
        </w:rPr>
      </w:pPr>
    </w:p>
    <w:p w:rsidR="00D909F9" w:rsidRDefault="00D909F9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color w:val="0D0D0D"/>
          <w:sz w:val="22"/>
          <w:shd w:val="clear" w:color="000000" w:fill="auto"/>
        </w:rPr>
      </w:pPr>
    </w:p>
    <w:p w:rsidR="00D909F9" w:rsidRDefault="00D909F9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color w:val="0D0D0D"/>
          <w:sz w:val="22"/>
          <w:shd w:val="clear" w:color="000000" w:fill="auto"/>
        </w:rPr>
      </w:pPr>
    </w:p>
    <w:p w:rsidR="00D909F9" w:rsidRDefault="00D909F9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color w:val="0D0D0D"/>
          <w:sz w:val="22"/>
          <w:shd w:val="clear" w:color="000000" w:fill="auto"/>
        </w:rPr>
      </w:pPr>
    </w:p>
    <w:p w:rsidR="00D909F9" w:rsidRDefault="00D909F9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color w:val="0D0D0D"/>
          <w:sz w:val="22"/>
          <w:shd w:val="clear" w:color="000000" w:fill="auto"/>
        </w:rPr>
      </w:pPr>
    </w:p>
    <w:p w:rsidR="00D909F9" w:rsidRDefault="00D909F9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left"/>
        <w:rPr>
          <w:rFonts w:ascii="한컴바탕" w:eastAsia="한컴바탕"/>
          <w:color w:val="0D0D0D"/>
          <w:sz w:val="22"/>
          <w:shd w:val="clear" w:color="000000" w:fill="auto"/>
        </w:rPr>
      </w:pPr>
    </w:p>
    <w:p w:rsidR="008C6E15" w:rsidRPr="00D909F9" w:rsidRDefault="00CA76C1">
      <w:pPr>
        <w:pStyle w:val="a3"/>
        <w:rPr>
          <w:rFonts w:ascii="Times New Roman"/>
          <w:sz w:val="24"/>
        </w:rPr>
      </w:pPr>
      <w:r w:rsidRPr="00D909F9">
        <w:rPr>
          <w:rFonts w:ascii="Times New Roman"/>
          <w:sz w:val="28"/>
        </w:rPr>
        <w:lastRenderedPageBreak/>
        <w:t>Table S4</w:t>
      </w:r>
      <w:r w:rsidR="00D909F9" w:rsidRPr="00D909F9">
        <w:rPr>
          <w:rFonts w:ascii="Times New Roman"/>
          <w:sz w:val="28"/>
        </w:rPr>
        <w:t xml:space="preserve">. </w:t>
      </w:r>
    </w:p>
    <w:tbl>
      <w:tblPr>
        <w:tblOverlap w:val="never"/>
        <w:tblW w:w="126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  <w:gridCol w:w="2100"/>
        <w:gridCol w:w="2102"/>
      </w:tblGrid>
      <w:tr w:rsidR="008C6E15" w:rsidRPr="00D909F9" w:rsidTr="00D909F9">
        <w:trPr>
          <w:trHeight w:val="174"/>
        </w:trPr>
        <w:tc>
          <w:tcPr>
            <w:tcW w:w="2100" w:type="dxa"/>
            <w:vMerge w:val="restart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D909F9" w:rsidRDefault="00D909F9" w:rsidP="00D909F9">
            <w:pPr>
              <w:wordWrap/>
              <w:jc w:val="center"/>
              <w:rPr>
                <w:rFonts w:ascii="Times New Roman"/>
              </w:rPr>
            </w:pPr>
            <w:r w:rsidRPr="00D909F9">
              <w:rPr>
                <w:rFonts w:ascii="Times New Roman"/>
                <w:b/>
                <w:sz w:val="24"/>
              </w:rPr>
              <w:t>d</w:t>
            </w:r>
            <w:r w:rsidRPr="00D909F9">
              <w:rPr>
                <w:rFonts w:ascii="Times New Roman"/>
                <w:b/>
                <w:sz w:val="24"/>
                <w:vertAlign w:val="subscript"/>
              </w:rPr>
              <w:t>4,3</w:t>
            </w:r>
          </w:p>
        </w:tc>
        <w:tc>
          <w:tcPr>
            <w:tcW w:w="10502" w:type="dxa"/>
            <w:gridSpan w:val="5"/>
            <w:tcBorders>
              <w:top w:val="single" w:sz="3" w:space="0" w:color="000000"/>
              <w:left w:val="none" w:sz="2" w:space="0" w:color="FFFFFF"/>
              <w:bottom w:val="single" w:sz="5" w:space="0" w:color="000000"/>
              <w:right w:val="none" w:sz="2" w:space="0" w:color="FFFFFF"/>
            </w:tcBorders>
            <w:vAlign w:val="center"/>
          </w:tcPr>
          <w:p w:rsidR="008C6E15" w:rsidRPr="00D909F9" w:rsidRDefault="00C3102A" w:rsidP="00D909F9">
            <w:pPr>
              <w:pStyle w:val="a3"/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sz w:val="22"/>
                <w:shd w:val="clear" w:color="000000" w:fill="auto"/>
              </w:rPr>
              <w:t>Different addition</w:t>
            </w:r>
            <w:r w:rsidR="00D909F9" w:rsidRPr="00D909F9">
              <w:rPr>
                <w:rFonts w:ascii="Times New Roman"/>
                <w:b/>
                <w:sz w:val="22"/>
                <w:shd w:val="clear" w:color="000000" w:fill="auto"/>
              </w:rPr>
              <w:t xml:space="preserve"> of emulsifier (%)</w:t>
            </w:r>
          </w:p>
          <w:p w:rsidR="008C6E15" w:rsidRPr="00D909F9" w:rsidRDefault="008C6E15" w:rsidP="00D909F9">
            <w:pPr>
              <w:pStyle w:val="a3"/>
              <w:spacing w:line="240" w:lineRule="auto"/>
              <w:jc w:val="center"/>
              <w:rPr>
                <w:rFonts w:ascii="Times New Roman" w:eastAsia="한컴바탕"/>
                <w:b/>
                <w:sz w:val="4"/>
                <w:shd w:val="clear" w:color="000000" w:fill="auto"/>
              </w:rPr>
            </w:pPr>
          </w:p>
        </w:tc>
      </w:tr>
      <w:tr w:rsidR="008C6E15" w:rsidRPr="00D909F9" w:rsidTr="00D909F9">
        <w:trPr>
          <w:trHeight w:val="234"/>
        </w:trPr>
        <w:tc>
          <w:tcPr>
            <w:tcW w:w="2100" w:type="dxa"/>
            <w:vMerge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</w:tcPr>
          <w:p w:rsidR="008C6E15" w:rsidRPr="00D909F9" w:rsidRDefault="008C6E15" w:rsidP="00D909F9">
            <w:pPr>
              <w:pStyle w:val="a3"/>
              <w:spacing w:line="240" w:lineRule="auto"/>
              <w:rPr>
                <w:rFonts w:ascii="Times New Roman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D909F9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</w:rPr>
            </w:pPr>
            <w:r w:rsidRPr="00D909F9">
              <w:rPr>
                <w:rFonts w:ascii="Times New Roman"/>
                <w:b/>
                <w:sz w:val="22"/>
                <w:shd w:val="clear" w:color="000000" w:fill="auto"/>
              </w:rPr>
              <w:t>0.5</w:t>
            </w:r>
            <w:r w:rsidRPr="00D909F9">
              <w:rPr>
                <w:rFonts w:ascii="Times New Roman"/>
                <w:b/>
                <w:color w:val="374151"/>
                <w:sz w:val="22"/>
                <w:shd w:val="clear" w:color="000000" w:fill="auto"/>
                <w:vertAlign w:val="superscript"/>
              </w:rPr>
              <w:t>1)</w:t>
            </w:r>
          </w:p>
        </w:tc>
        <w:tc>
          <w:tcPr>
            <w:tcW w:w="2100" w:type="dxa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D909F9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</w:rPr>
            </w:pPr>
            <w:r w:rsidRPr="00D909F9">
              <w:rPr>
                <w:rFonts w:ascii="Times New Roman"/>
                <w:b/>
                <w:sz w:val="22"/>
                <w:shd w:val="clear" w:color="000000" w:fill="auto"/>
              </w:rPr>
              <w:t>1</w:t>
            </w:r>
          </w:p>
        </w:tc>
        <w:tc>
          <w:tcPr>
            <w:tcW w:w="2100" w:type="dxa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D909F9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</w:rPr>
            </w:pPr>
            <w:r w:rsidRPr="00D909F9">
              <w:rPr>
                <w:rFonts w:ascii="Times New Roman"/>
                <w:b/>
                <w:sz w:val="22"/>
                <w:shd w:val="clear" w:color="000000" w:fill="auto"/>
              </w:rPr>
              <w:t>1.5</w:t>
            </w:r>
          </w:p>
        </w:tc>
        <w:tc>
          <w:tcPr>
            <w:tcW w:w="2100" w:type="dxa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D909F9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</w:rPr>
            </w:pPr>
            <w:r w:rsidRPr="00D909F9">
              <w:rPr>
                <w:rFonts w:ascii="Times New Roman"/>
                <w:b/>
                <w:sz w:val="22"/>
                <w:shd w:val="clear" w:color="000000" w:fill="auto"/>
              </w:rPr>
              <w:t>2</w:t>
            </w:r>
          </w:p>
        </w:tc>
        <w:tc>
          <w:tcPr>
            <w:tcW w:w="2100" w:type="dxa"/>
            <w:tcBorders>
              <w:top w:val="single" w:sz="3" w:space="0" w:color="000000"/>
              <w:left w:val="none" w:sz="2" w:space="0" w:color="FFFFFF"/>
              <w:bottom w:val="single" w:sz="3" w:space="0" w:color="000000"/>
              <w:right w:val="none" w:sz="2" w:space="0" w:color="FFFFFF"/>
            </w:tcBorders>
            <w:vAlign w:val="center"/>
          </w:tcPr>
          <w:p w:rsidR="008C6E15" w:rsidRPr="00D909F9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</w:rPr>
            </w:pPr>
            <w:r w:rsidRPr="00D909F9">
              <w:rPr>
                <w:rFonts w:ascii="Times New Roman"/>
                <w:b/>
                <w:sz w:val="22"/>
                <w:shd w:val="clear" w:color="000000" w:fill="auto"/>
              </w:rPr>
              <w:t>3</w:t>
            </w:r>
          </w:p>
        </w:tc>
      </w:tr>
      <w:tr w:rsidR="008C6E15" w:rsidRPr="00D909F9" w:rsidTr="00D909F9">
        <w:trPr>
          <w:trHeight w:val="375"/>
        </w:trPr>
        <w:tc>
          <w:tcPr>
            <w:tcW w:w="2100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</w:rPr>
            </w:pPr>
            <w:r w:rsidRPr="00D909F9">
              <w:rPr>
                <w:rFonts w:ascii="Times New Roman"/>
                <w:b/>
                <w:sz w:val="22"/>
                <w:shd w:val="clear" w:color="000000" w:fill="auto"/>
              </w:rPr>
              <w:t>CSF</w:t>
            </w:r>
          </w:p>
        </w:tc>
        <w:tc>
          <w:tcPr>
            <w:tcW w:w="2100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53.35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±0.12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cE2)</w:t>
            </w:r>
          </w:p>
        </w:tc>
        <w:tc>
          <w:tcPr>
            <w:tcW w:w="2100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45.85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±0.25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cD</w:t>
            </w:r>
          </w:p>
        </w:tc>
        <w:tc>
          <w:tcPr>
            <w:tcW w:w="2100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42.46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±0.30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cC</w:t>
            </w:r>
          </w:p>
        </w:tc>
        <w:tc>
          <w:tcPr>
            <w:tcW w:w="2100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39.38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±0.32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cB</w:t>
            </w:r>
          </w:p>
        </w:tc>
        <w:tc>
          <w:tcPr>
            <w:tcW w:w="2100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33.01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±0.22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cA</w:t>
            </w:r>
          </w:p>
        </w:tc>
      </w:tr>
      <w:tr w:rsidR="008C6E15" w:rsidRPr="00D909F9" w:rsidTr="00D909F9">
        <w:trPr>
          <w:trHeight w:val="375"/>
        </w:trPr>
        <w:tc>
          <w:tcPr>
            <w:tcW w:w="210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</w:rPr>
            </w:pPr>
            <w:r w:rsidRPr="00D909F9">
              <w:rPr>
                <w:rFonts w:ascii="Times New Roman"/>
                <w:b/>
                <w:sz w:val="22"/>
                <w:shd w:val="clear" w:color="000000" w:fill="auto"/>
              </w:rPr>
              <w:t>DSF-SC</w:t>
            </w:r>
          </w:p>
        </w:tc>
        <w:tc>
          <w:tcPr>
            <w:tcW w:w="210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35.84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±0.1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bE</w:t>
            </w:r>
          </w:p>
        </w:tc>
        <w:tc>
          <w:tcPr>
            <w:tcW w:w="210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32.90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±0.04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bD</w:t>
            </w:r>
          </w:p>
        </w:tc>
        <w:tc>
          <w:tcPr>
            <w:tcW w:w="210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28.64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±0.05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bC</w:t>
            </w:r>
          </w:p>
        </w:tc>
        <w:tc>
          <w:tcPr>
            <w:tcW w:w="210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24.24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±0.20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bB</w:t>
            </w:r>
          </w:p>
        </w:tc>
        <w:tc>
          <w:tcPr>
            <w:tcW w:w="210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12.02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±0.26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bA</w:t>
            </w:r>
          </w:p>
        </w:tc>
      </w:tr>
      <w:tr w:rsidR="008C6E15" w:rsidRPr="00D909F9" w:rsidTr="00D909F9">
        <w:trPr>
          <w:trHeight w:val="373"/>
        </w:trPr>
        <w:tc>
          <w:tcPr>
            <w:tcW w:w="2100" w:type="dxa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spacing w:line="240" w:lineRule="auto"/>
              <w:jc w:val="center"/>
              <w:rPr>
                <w:rFonts w:ascii="Times New Roman"/>
              </w:rPr>
            </w:pPr>
            <w:r w:rsidRPr="00D909F9">
              <w:rPr>
                <w:rFonts w:ascii="Times New Roman"/>
                <w:b/>
                <w:sz w:val="22"/>
                <w:shd w:val="clear" w:color="000000" w:fill="auto"/>
              </w:rPr>
              <w:t>EY</w:t>
            </w:r>
          </w:p>
        </w:tc>
        <w:tc>
          <w:tcPr>
            <w:tcW w:w="2100" w:type="dxa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28.98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±0.03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aE</w:t>
            </w:r>
          </w:p>
        </w:tc>
        <w:tc>
          <w:tcPr>
            <w:tcW w:w="2100" w:type="dxa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27.70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±0.12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aD</w:t>
            </w:r>
          </w:p>
        </w:tc>
        <w:tc>
          <w:tcPr>
            <w:tcW w:w="2100" w:type="dxa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23.33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±0.21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aC</w:t>
            </w:r>
          </w:p>
        </w:tc>
        <w:tc>
          <w:tcPr>
            <w:tcW w:w="2100" w:type="dxa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15.96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±0.08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aB</w:t>
            </w:r>
          </w:p>
        </w:tc>
        <w:tc>
          <w:tcPr>
            <w:tcW w:w="2100" w:type="dxa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8C6E15" w:rsidRPr="00D909F9" w:rsidRDefault="00D909F9" w:rsidP="00D909F9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Times New Roman"/>
              </w:rPr>
            </w:pPr>
            <w:r w:rsidRPr="00D909F9">
              <w:rPr>
                <w:rFonts w:ascii="Times New Roman"/>
                <w:kern w:val="1"/>
                <w:sz w:val="22"/>
                <w:shd w:val="clear" w:color="000000" w:fill="auto"/>
              </w:rPr>
              <w:t>8.3</w:t>
            </w:r>
            <w:r w:rsidRPr="00D909F9">
              <w:rPr>
                <w:rFonts w:ascii="Times New Roman"/>
                <w:sz w:val="22"/>
                <w:shd w:val="clear" w:color="000000" w:fill="auto"/>
              </w:rPr>
              <w:t>±0.16</w:t>
            </w:r>
            <w:r w:rsidRPr="00D909F9">
              <w:rPr>
                <w:rFonts w:ascii="Times New Roman"/>
                <w:sz w:val="22"/>
                <w:shd w:val="clear" w:color="000000" w:fill="auto"/>
                <w:vertAlign w:val="superscript"/>
              </w:rPr>
              <w:t>aA</w:t>
            </w:r>
          </w:p>
        </w:tc>
      </w:tr>
    </w:tbl>
    <w:p w:rsidR="008C6E15" w:rsidRPr="00D909F9" w:rsidRDefault="00D909F9">
      <w:pPr>
        <w:pStyle w:val="a3"/>
        <w:jc w:val="left"/>
        <w:rPr>
          <w:rFonts w:ascii="Times New Roman"/>
          <w:sz w:val="14"/>
        </w:rPr>
      </w:pPr>
      <w:r w:rsidRPr="00D909F9">
        <w:rPr>
          <w:rFonts w:ascii="Times New Roman"/>
          <w:color w:val="0D0D0D"/>
          <w:kern w:val="1"/>
          <w:sz w:val="16"/>
          <w:shd w:val="clear" w:color="000000" w:fill="auto"/>
          <w:vertAlign w:val="superscript"/>
        </w:rPr>
        <w:t>1)</w:t>
      </w:r>
      <w:r w:rsidRPr="00D909F9">
        <w:rPr>
          <w:rFonts w:ascii="Times New Roman"/>
          <w:color w:val="0D0D0D"/>
          <w:kern w:val="1"/>
          <w:sz w:val="16"/>
          <w:shd w:val="clear" w:color="000000" w:fill="auto"/>
        </w:rPr>
        <w:t>Emulsifier Quantity Variation (0.5-3) for Each Formulation</w:t>
      </w:r>
    </w:p>
    <w:p w:rsidR="008C6E15" w:rsidRPr="00D909F9" w:rsidRDefault="00D909F9" w:rsidP="00CA76C1">
      <w:pPr>
        <w:pStyle w:val="a3"/>
        <w:jc w:val="left"/>
        <w:rPr>
          <w:sz w:val="14"/>
        </w:rPr>
        <w:sectPr w:rsidR="008C6E15" w:rsidRPr="00D909F9">
          <w:footnotePr>
            <w:numFmt w:val="lowerRoman"/>
          </w:footnotePr>
          <w:endnotePr>
            <w:numFmt w:val="decimal"/>
          </w:endnotePr>
          <w:pgSz w:w="16837" w:h="11906" w:orient="landscape"/>
          <w:pgMar w:top="1984" w:right="1134" w:bottom="1701" w:left="1134" w:header="1134" w:footer="850" w:gutter="0"/>
          <w:lnNumType w:countBy="1" w:restart="continuous"/>
          <w:cols w:space="0"/>
          <w:docGrid w:linePitch="360"/>
        </w:sectPr>
      </w:pPr>
      <w:r w:rsidRPr="00D909F9">
        <w:rPr>
          <w:rFonts w:ascii="Times New Roman"/>
          <w:color w:val="0D0D0D"/>
          <w:kern w:val="1"/>
          <w:sz w:val="16"/>
          <w:shd w:val="clear" w:color="000000" w:fill="auto"/>
          <w:vertAlign w:val="superscript"/>
        </w:rPr>
        <w:t>2)</w:t>
      </w:r>
      <w:r w:rsidRPr="00D909F9">
        <w:rPr>
          <w:rFonts w:ascii="Times New Roman"/>
          <w:color w:val="0D0D0D"/>
          <w:kern w:val="1"/>
          <w:sz w:val="16"/>
          <w:shd w:val="clear" w:color="000000" w:fill="auto"/>
        </w:rPr>
        <w:t>Lowercase letters (a-c) indicate significant differences between different emulsifiers within the same column, while uppercase letters (A-E) indicate significant differences between different additive levels within the same row. Different letters denote significant differences among samples (</w:t>
      </w:r>
      <w:r w:rsidRPr="00D909F9">
        <w:rPr>
          <w:rFonts w:ascii="Times New Roman"/>
          <w:i/>
          <w:color w:val="0D0D0D"/>
          <w:kern w:val="1"/>
          <w:sz w:val="16"/>
          <w:shd w:val="clear" w:color="000000" w:fill="auto"/>
        </w:rPr>
        <w:t>p</w:t>
      </w:r>
      <w:r w:rsidR="001D6654">
        <w:rPr>
          <w:rFonts w:ascii="Times New Roman"/>
          <w:color w:val="0D0D0D"/>
          <w:kern w:val="1"/>
          <w:sz w:val="16"/>
          <w:shd w:val="clear" w:color="000000" w:fill="auto"/>
        </w:rPr>
        <w:t xml:space="preserve"> &lt; 0.05</w:t>
      </w:r>
      <w:r w:rsidR="00C3102A">
        <w:rPr>
          <w:rFonts w:ascii="Times New Roman"/>
          <w:color w:val="0D0D0D"/>
          <w:kern w:val="1"/>
          <w:sz w:val="16"/>
          <w:shd w:val="clear" w:color="000000" w:fill="auto"/>
        </w:rPr>
        <w:t>)</w:t>
      </w:r>
      <w:bookmarkStart w:id="0" w:name="_GoBack"/>
      <w:bookmarkEnd w:id="0"/>
    </w:p>
    <w:p w:rsidR="008C6E15" w:rsidRDefault="008C6E15" w:rsidP="00CA76C1">
      <w:pPr>
        <w:pStyle w:val="1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jc w:val="left"/>
        <w:rPr>
          <w:rFonts w:eastAsia="맑은 고딕" w:hint="eastAsia"/>
          <w:color w:val="000011"/>
        </w:rPr>
      </w:pPr>
    </w:p>
    <w:sectPr w:rsidR="008C6E15" w:rsidSect="00CA76C1">
      <w:footnotePr>
        <w:numFmt w:val="lowerRoman"/>
      </w:footnotePr>
      <w:endnotePr>
        <w:numFmt w:val="decimal"/>
      </w:endnotePr>
      <w:pgSz w:w="11906" w:h="16837"/>
      <w:pgMar w:top="1984" w:right="1134" w:bottom="1701" w:left="1134" w:header="1134" w:footer="850" w:gutter="0"/>
      <w:lnNumType w:countBy="1" w:restart="continuous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CA" w:rsidRDefault="00FB07CA" w:rsidP="0002392B">
      <w:r>
        <w:separator/>
      </w:r>
    </w:p>
  </w:endnote>
  <w:endnote w:type="continuationSeparator" w:id="0">
    <w:p w:rsidR="00FB07CA" w:rsidRDefault="00FB07CA" w:rsidP="0002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컴바탕">
    <w:altName w:val="바탕"/>
    <w:panose1 w:val="02030600000101010101"/>
    <w:charset w:val="00"/>
    <w:family w:val="auto"/>
    <w:pitch w:val="default"/>
    <w:sig w:usb0="FFFFFFFF" w:usb1="FFFFFFFF" w:usb2="00FFFFFF" w:usb3="00000001" w:csb0="863F01FF" w:csb1="0000FFFF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CA" w:rsidRDefault="00FB07CA" w:rsidP="0002392B">
      <w:r>
        <w:separator/>
      </w:r>
    </w:p>
  </w:footnote>
  <w:footnote w:type="continuationSeparator" w:id="0">
    <w:p w:rsidR="00FB07CA" w:rsidRDefault="00FB07CA" w:rsidP="0002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15"/>
    <w:rsid w:val="0002392B"/>
    <w:rsid w:val="001D6654"/>
    <w:rsid w:val="002E14F1"/>
    <w:rsid w:val="00694489"/>
    <w:rsid w:val="007177D6"/>
    <w:rsid w:val="007636C5"/>
    <w:rsid w:val="008C6E15"/>
    <w:rsid w:val="00A850F0"/>
    <w:rsid w:val="00BD26EE"/>
    <w:rsid w:val="00C3102A"/>
    <w:rsid w:val="00CA76C1"/>
    <w:rsid w:val="00CD3E89"/>
    <w:rsid w:val="00D909F9"/>
    <w:rsid w:val="00F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2E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character" w:styleId="a4">
    <w:name w:val="line number"/>
    <w:basedOn w:val="a0"/>
    <w:uiPriority w:val="99"/>
    <w:semiHidden/>
    <w:unhideWhenUsed/>
    <w:rsid w:val="00CA76C1"/>
  </w:style>
  <w:style w:type="table" w:styleId="a5">
    <w:name w:val="Table Grid"/>
    <w:basedOn w:val="a1"/>
    <w:uiPriority w:val="57"/>
    <w:rsid w:val="0076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239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2392B"/>
    <w:rPr>
      <w:rFonts w:ascii="맑은 고딕"/>
      <w:kern w:val="1"/>
      <w:sz w:val="20"/>
    </w:rPr>
  </w:style>
  <w:style w:type="paragraph" w:styleId="a7">
    <w:name w:val="footer"/>
    <w:basedOn w:val="a"/>
    <w:link w:val="Char0"/>
    <w:uiPriority w:val="99"/>
    <w:unhideWhenUsed/>
    <w:rsid w:val="000239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2392B"/>
    <w:rPr>
      <w:rFonts w:ascii="맑은 고딕"/>
      <w:kern w:val="1"/>
      <w:sz w:val="20"/>
    </w:rPr>
  </w:style>
  <w:style w:type="paragraph" w:styleId="a8">
    <w:name w:val="Balloon Text"/>
    <w:basedOn w:val="a"/>
    <w:link w:val="Char1"/>
    <w:uiPriority w:val="99"/>
    <w:semiHidden/>
    <w:unhideWhenUsed/>
    <w:rsid w:val="00023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2392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2024-02-21T02:08:00Z</dcterms:created>
  <dcterms:modified xsi:type="dcterms:W3CDTF">2024-02-21T02:08:00Z</dcterms:modified>
  <cp:version>1000.0100.01</cp:version>
</cp:coreProperties>
</file>