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if" ContentType="image/tiff"/>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186D0" w14:textId="5B0075F1" w:rsidR="00554A5B" w:rsidRDefault="00554A5B" w:rsidP="00554A5B">
      <w:pPr>
        <w:pStyle w:val="MDPI11articletype"/>
      </w:pPr>
      <w:r w:rsidRPr="006453D9">
        <w:t>Type of the Paper</w:t>
      </w:r>
      <w:r w:rsidR="00CD5B11">
        <w:t>:</w:t>
      </w:r>
      <w:r w:rsidR="00300B4D">
        <w:t xml:space="preserve"> </w:t>
      </w:r>
      <w:r w:rsidRPr="006453D9">
        <w:t>Article</w:t>
      </w:r>
    </w:p>
    <w:p w14:paraId="7A22819F" w14:textId="77777777" w:rsidR="00A760FD" w:rsidRPr="00A760FD" w:rsidRDefault="00A760FD" w:rsidP="00A760FD">
      <w:pPr>
        <w:rPr>
          <w:lang w:eastAsia="de-DE" w:bidi="en-US"/>
        </w:rPr>
      </w:pPr>
    </w:p>
    <w:p w14:paraId="20978207" w14:textId="77777777" w:rsidR="00A760FD" w:rsidRDefault="00AE0400" w:rsidP="00554A5B">
      <w:pPr>
        <w:pStyle w:val="MDPI13authornames"/>
        <w:rPr>
          <w:rFonts w:ascii="Segoe UI" w:hAnsi="Segoe UI" w:cs="Segoe UI"/>
          <w:color w:val="0D0D0D"/>
          <w:shd w:val="clear" w:color="auto" w:fill="FFFFFF"/>
        </w:rPr>
      </w:pPr>
      <w:r>
        <w:rPr>
          <w:rFonts w:ascii="Segoe UI" w:hAnsi="Segoe UI" w:cs="Segoe UI"/>
          <w:color w:val="0D0D0D"/>
          <w:shd w:val="clear" w:color="auto" w:fill="FFFFFF"/>
        </w:rPr>
        <w:t>Genomic Study of Intestinal Microbiota: Assessing the Impact of Probiotics and Healthy Lifestyle on Weight Loss in Adults with Obesity</w:t>
      </w:r>
    </w:p>
    <w:p w14:paraId="4F76F850" w14:textId="2E0EED58" w:rsidR="00C20D7F" w:rsidRPr="0024720E" w:rsidRDefault="0024720E" w:rsidP="00554A5B">
      <w:pPr>
        <w:pStyle w:val="MDPI13authornames"/>
        <w:rPr>
          <w:lang w:val="pt-BR"/>
        </w:rPr>
      </w:pPr>
      <w:r w:rsidRPr="0024720E">
        <w:rPr>
          <w:lang w:val="pt-BR"/>
        </w:rPr>
        <w:t>Glauber Pimentel Flor</w:t>
      </w:r>
      <w:r w:rsidR="00FE694A">
        <w:rPr>
          <w:lang w:val="pt-BR"/>
        </w:rPr>
        <w:t>ê</w:t>
      </w:r>
      <w:r w:rsidRPr="0024720E">
        <w:rPr>
          <w:lang w:val="pt-BR"/>
        </w:rPr>
        <w:t>ncio</w:t>
      </w:r>
      <w:r w:rsidRPr="0024720E">
        <w:rPr>
          <w:vertAlign w:val="superscript"/>
          <w:lang w:val="pt-BR"/>
        </w:rPr>
        <w:t>1</w:t>
      </w:r>
      <w:r w:rsidRPr="0024720E">
        <w:rPr>
          <w:lang w:val="pt-BR"/>
        </w:rPr>
        <w:t>, Analicy Rodrigues Xavier</w:t>
      </w:r>
      <w:r w:rsidR="008D2F85">
        <w:rPr>
          <w:vertAlign w:val="superscript"/>
          <w:lang w:val="pt-BR"/>
        </w:rPr>
        <w:t>2</w:t>
      </w:r>
      <w:r w:rsidRPr="0024720E">
        <w:rPr>
          <w:lang w:val="pt-BR"/>
        </w:rPr>
        <w:t>, Ana Catarina de Castro Natal</w:t>
      </w:r>
      <w:r w:rsidR="008D2F85">
        <w:rPr>
          <w:vertAlign w:val="superscript"/>
          <w:lang w:val="pt-BR"/>
        </w:rPr>
        <w:t>3</w:t>
      </w:r>
      <w:r w:rsidRPr="0024720E">
        <w:rPr>
          <w:lang w:val="pt-BR"/>
        </w:rPr>
        <w:t>, Geórgia das Graças Pena</w:t>
      </w:r>
      <w:r w:rsidR="008D2F85">
        <w:rPr>
          <w:vertAlign w:val="superscript"/>
          <w:lang w:val="pt-BR"/>
        </w:rPr>
        <w:t>4</w:t>
      </w:r>
      <w:r w:rsidRPr="0024720E">
        <w:rPr>
          <w:lang w:val="pt-BR"/>
        </w:rPr>
        <w:t>, Ralciane de Paula Menezes</w:t>
      </w:r>
      <w:r w:rsidR="008D2F85">
        <w:rPr>
          <w:vertAlign w:val="superscript"/>
          <w:lang w:val="pt-BR"/>
        </w:rPr>
        <w:t>5</w:t>
      </w:r>
      <w:r w:rsidRPr="0024720E">
        <w:rPr>
          <w:lang w:val="pt-BR"/>
        </w:rPr>
        <w:t>, Geraldo Sadoyama Leal</w:t>
      </w:r>
      <w:r w:rsidR="008D2F85">
        <w:rPr>
          <w:vertAlign w:val="superscript"/>
          <w:lang w:val="pt-BR"/>
        </w:rPr>
        <w:t>6</w:t>
      </w:r>
      <w:r w:rsidRPr="0024720E">
        <w:rPr>
          <w:lang w:val="pt-BR"/>
        </w:rPr>
        <w:t xml:space="preserve">, </w:t>
      </w:r>
      <w:r w:rsidR="0026256D">
        <w:rPr>
          <w:lang w:val="pt-BR"/>
        </w:rPr>
        <w:t>Lislei Jorge Patrizzi</w:t>
      </w:r>
      <w:r w:rsidR="008D2F85">
        <w:rPr>
          <w:vertAlign w:val="superscript"/>
          <w:lang w:val="pt-BR"/>
        </w:rPr>
        <w:t>7</w:t>
      </w:r>
      <w:r w:rsidR="0026256D">
        <w:rPr>
          <w:lang w:val="pt-BR"/>
        </w:rPr>
        <w:t xml:space="preserve">, </w:t>
      </w:r>
      <w:r w:rsidRPr="0024720E">
        <w:rPr>
          <w:lang w:val="pt-BR"/>
        </w:rPr>
        <w:t>Denise Von Dolinger de Brito Röder</w:t>
      </w:r>
      <w:r w:rsidR="008D2F85">
        <w:rPr>
          <w:vertAlign w:val="superscript"/>
          <w:lang w:val="pt-BR"/>
        </w:rPr>
        <w:t>8</w:t>
      </w:r>
      <w:r w:rsidRPr="0024720E">
        <w:rPr>
          <w:lang w:val="pt-BR"/>
        </w:rPr>
        <w:t>*</w:t>
      </w:r>
    </w:p>
    <w:tbl>
      <w:tblPr>
        <w:tblpPr w:leftFromText="198" w:rightFromText="198" w:vertAnchor="page" w:horzAnchor="margin" w:tblpY="11276"/>
        <w:tblW w:w="2410" w:type="dxa"/>
        <w:tblLayout w:type="fixed"/>
        <w:tblCellMar>
          <w:left w:w="0" w:type="dxa"/>
          <w:right w:w="0" w:type="dxa"/>
        </w:tblCellMar>
        <w:tblLook w:val="04A0" w:firstRow="1" w:lastRow="0" w:firstColumn="1" w:lastColumn="0" w:noHBand="0" w:noVBand="1"/>
      </w:tblPr>
      <w:tblGrid>
        <w:gridCol w:w="2410"/>
      </w:tblGrid>
      <w:tr w:rsidR="00C20D7F" w:rsidRPr="001908FF" w14:paraId="7FDD0FD4" w14:textId="77777777" w:rsidTr="0011332D">
        <w:tc>
          <w:tcPr>
            <w:tcW w:w="2410" w:type="dxa"/>
            <w:shd w:val="clear" w:color="auto" w:fill="auto"/>
          </w:tcPr>
          <w:p w14:paraId="2220EA68" w14:textId="77777777" w:rsidR="00C20D7F" w:rsidRPr="009364D7" w:rsidRDefault="00C20D7F" w:rsidP="0011332D">
            <w:pPr>
              <w:pStyle w:val="MDPI61Citation"/>
              <w:spacing w:after="120" w:line="240" w:lineRule="exact"/>
            </w:pPr>
            <w:r w:rsidRPr="00523C6D">
              <w:rPr>
                <w:b/>
              </w:rPr>
              <w:t>Citation:</w:t>
            </w:r>
            <w:r>
              <w:rPr>
                <w:b/>
              </w:rPr>
              <w:t xml:space="preserve"> </w:t>
            </w:r>
            <w:r>
              <w:t>To be added by editorial staff during production.</w:t>
            </w:r>
          </w:p>
          <w:p w14:paraId="63CD6D59" w14:textId="77777777" w:rsidR="00C20D7F" w:rsidRDefault="00C20D7F" w:rsidP="0011332D">
            <w:pPr>
              <w:pStyle w:val="MDPI15academiceditor"/>
              <w:spacing w:after="120"/>
            </w:pPr>
            <w:r>
              <w:t>Academic Editor: Firstname Lastname</w:t>
            </w:r>
          </w:p>
          <w:p w14:paraId="5AE8D9CE" w14:textId="77777777" w:rsidR="00C20D7F" w:rsidRPr="00F12C87" w:rsidRDefault="00C20D7F" w:rsidP="0011332D">
            <w:pPr>
              <w:pStyle w:val="MDPI14history"/>
              <w:spacing w:before="120"/>
            </w:pPr>
            <w:r w:rsidRPr="00F12C87">
              <w:t>Received: date</w:t>
            </w:r>
          </w:p>
          <w:p w14:paraId="31F891F2" w14:textId="77777777" w:rsidR="00C20D7F" w:rsidRDefault="00C20D7F" w:rsidP="0011332D">
            <w:pPr>
              <w:pStyle w:val="MDPI14history"/>
            </w:pPr>
            <w:r>
              <w:t>Revised: date</w:t>
            </w:r>
          </w:p>
          <w:p w14:paraId="2803D026" w14:textId="77777777" w:rsidR="00C20D7F" w:rsidRPr="00F12C87" w:rsidRDefault="00C20D7F" w:rsidP="0011332D">
            <w:pPr>
              <w:pStyle w:val="MDPI14history"/>
            </w:pPr>
            <w:r>
              <w:t>Accepted: date</w:t>
            </w:r>
          </w:p>
          <w:p w14:paraId="3555167A" w14:textId="77777777" w:rsidR="00C20D7F" w:rsidRPr="00F12C87" w:rsidRDefault="00C20D7F" w:rsidP="0011332D">
            <w:pPr>
              <w:pStyle w:val="MDPI14history"/>
              <w:spacing w:after="120"/>
            </w:pPr>
            <w:r w:rsidRPr="00F12C87">
              <w:t>Published: date</w:t>
            </w:r>
          </w:p>
          <w:p w14:paraId="1C4C038A" w14:textId="77777777" w:rsidR="00C20D7F" w:rsidRPr="001908FF" w:rsidRDefault="00C20D7F" w:rsidP="0011332D">
            <w:pPr>
              <w:adjustRightInd w:val="0"/>
              <w:snapToGrid w:val="0"/>
              <w:spacing w:before="120" w:line="240" w:lineRule="atLeast"/>
              <w:ind w:right="113"/>
              <w:jc w:val="left"/>
              <w:rPr>
                <w:rFonts w:eastAsia="DengXian"/>
                <w:bCs/>
                <w:sz w:val="14"/>
                <w:szCs w:val="14"/>
                <w:lang w:bidi="en-US"/>
              </w:rPr>
            </w:pPr>
            <w:r w:rsidRPr="001908FF">
              <w:rPr>
                <w:rFonts w:eastAsia="DengXian"/>
              </w:rPr>
              <w:drawing>
                <wp:inline distT="0" distB="0" distL="0" distR="0" wp14:anchorId="42C56DE1" wp14:editId="2B151E24">
                  <wp:extent cx="692785" cy="2495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2B3087F8" w14:textId="77777777" w:rsidR="00C20D7F" w:rsidRPr="001908FF" w:rsidRDefault="00C20D7F" w:rsidP="008B19B9">
            <w:pPr>
              <w:pStyle w:val="MDPI72Copyright"/>
              <w:rPr>
                <w:rFonts w:eastAsia="DengXian"/>
                <w:lang w:bidi="en-US"/>
              </w:rPr>
            </w:pPr>
            <w:r w:rsidRPr="001908FF">
              <w:rPr>
                <w:rFonts w:eastAsia="DengXian"/>
                <w:b/>
                <w:lang w:bidi="en-US"/>
              </w:rPr>
              <w:t>Copyright:</w:t>
            </w:r>
            <w:r w:rsidRPr="001908FF">
              <w:rPr>
                <w:rFonts w:eastAsia="DengXian"/>
                <w:lang w:bidi="en-US"/>
              </w:rPr>
              <w:t xml:space="preserve"> </w:t>
            </w:r>
            <w:r w:rsidR="00EB5B48">
              <w:rPr>
                <w:rFonts w:eastAsia="DengXian"/>
                <w:lang w:bidi="en-US"/>
              </w:rPr>
              <w:t>© 2024 by the</w:t>
            </w:r>
            <w:r>
              <w:rPr>
                <w:rFonts w:eastAsia="DengXian"/>
                <w:lang w:bidi="en-US"/>
              </w:rPr>
              <w:t xml:space="preserve"> authors. Submitted for possible open access publication under the terms and conditions of the Creative Commons </w:t>
            </w:r>
            <w:r w:rsidRPr="001908FF">
              <w:rPr>
                <w:rFonts w:eastAsia="DengXian"/>
                <w:lang w:bidi="en-US"/>
              </w:rPr>
              <w:t>Attribution (CC BY) license (</w:t>
            </w:r>
            <w:r>
              <w:rPr>
                <w:rFonts w:eastAsia="DengXian"/>
                <w:lang w:bidi="en-US"/>
              </w:rPr>
              <w:t>https://</w:t>
            </w:r>
            <w:r w:rsidRPr="001908FF">
              <w:rPr>
                <w:rFonts w:eastAsia="DengXian"/>
                <w:lang w:bidi="en-US"/>
              </w:rPr>
              <w:t>creativecommons.org/licenses/by/4.0/).</w:t>
            </w:r>
          </w:p>
        </w:tc>
      </w:tr>
    </w:tbl>
    <w:p w14:paraId="13ABD71B" w14:textId="77777777" w:rsidR="003A37D6" w:rsidRDefault="00E90AE9" w:rsidP="0038648F">
      <w:pPr>
        <w:pStyle w:val="MDPI16affiliation"/>
        <w:jc w:val="both"/>
      </w:pPr>
      <w:r w:rsidRPr="00BB7384">
        <w:rPr>
          <w:vertAlign w:val="superscript"/>
        </w:rPr>
        <w:t>1</w:t>
      </w:r>
      <w:r w:rsidR="00554A5B" w:rsidRPr="00BB7384">
        <w:tab/>
      </w:r>
      <w:r w:rsidR="00BB7384" w:rsidRPr="00BB7384">
        <w:t>School of Medicine, Federal University of Uberlândia, Uberlândia, Minas Gerais, Brazil</w:t>
      </w:r>
      <w:r w:rsidR="00554A5B" w:rsidRPr="00BB7384">
        <w:t>;</w:t>
      </w:r>
      <w:r w:rsidR="004268CE" w:rsidRPr="00BB7384">
        <w:t xml:space="preserve"> </w:t>
      </w:r>
    </w:p>
    <w:p w14:paraId="59B5293C" w14:textId="7EF35557" w:rsidR="00960557" w:rsidRPr="00BB7384" w:rsidRDefault="003A37D6" w:rsidP="0038648F">
      <w:pPr>
        <w:pStyle w:val="MDPI16affiliation"/>
        <w:jc w:val="both"/>
      </w:pPr>
      <w:r>
        <w:t xml:space="preserve"> </w:t>
      </w:r>
      <w:r w:rsidR="006D29A7">
        <w:tab/>
      </w:r>
      <w:hyperlink r:id="rId9" w:history="1">
        <w:r w:rsidR="006D29A7" w:rsidRPr="00460E0A">
          <w:rPr>
            <w:rStyle w:val="Hyperlink"/>
          </w:rPr>
          <w:t>glauber.florencio@ufu.br</w:t>
        </w:r>
      </w:hyperlink>
    </w:p>
    <w:p w14:paraId="6909B05D" w14:textId="0AA340F9" w:rsidR="00554A5B" w:rsidRPr="00BB7384" w:rsidRDefault="00554A5B" w:rsidP="0038648F">
      <w:pPr>
        <w:pStyle w:val="MDPI16affiliation"/>
        <w:jc w:val="both"/>
      </w:pPr>
      <w:r w:rsidRPr="00BB7384">
        <w:rPr>
          <w:vertAlign w:val="superscript"/>
        </w:rPr>
        <w:t>2</w:t>
      </w:r>
      <w:r w:rsidRPr="00BB7384">
        <w:tab/>
      </w:r>
      <w:r w:rsidR="00BB7384" w:rsidRPr="00BB7384">
        <w:t>School of Medicine, Federal University of Uberlândia, Uberlândia, Minas Gerais, Brazil</w:t>
      </w:r>
      <w:r w:rsidR="00B95BAE" w:rsidRPr="00BB7384">
        <w:t xml:space="preserve">; </w:t>
      </w:r>
      <w:hyperlink r:id="rId10" w:history="1">
        <w:r w:rsidR="00960557" w:rsidRPr="00BB7384">
          <w:rPr>
            <w:rStyle w:val="Hyperlink"/>
          </w:rPr>
          <w:t>analicy.xavier@ufu.br</w:t>
        </w:r>
      </w:hyperlink>
    </w:p>
    <w:p w14:paraId="06F9A2D8" w14:textId="31085513" w:rsidR="002A4A76" w:rsidRPr="00BB7384" w:rsidRDefault="002A4A76" w:rsidP="0038648F">
      <w:pPr>
        <w:pStyle w:val="MDPI16affiliation"/>
        <w:jc w:val="both"/>
      </w:pPr>
      <w:r w:rsidRPr="00BB7384">
        <w:rPr>
          <w:vertAlign w:val="superscript"/>
        </w:rPr>
        <w:t>3</w:t>
      </w:r>
      <w:r w:rsidRPr="00BB7384">
        <w:t xml:space="preserve"> </w:t>
      </w:r>
      <w:r w:rsidR="001A5567" w:rsidRPr="00BB7384">
        <w:t xml:space="preserve"> </w:t>
      </w:r>
      <w:r w:rsidR="00BB7384" w:rsidRPr="00BB7384">
        <w:t>School of Medicine, Federal University of Uberlândia, Uberlândia, Minas Gerais, Brazil</w:t>
      </w:r>
      <w:r w:rsidR="00A328A1" w:rsidRPr="00BB7384">
        <w:t xml:space="preserve">; </w:t>
      </w:r>
      <w:hyperlink r:id="rId11" w:history="1">
        <w:r w:rsidR="00A328A1" w:rsidRPr="00BB7384">
          <w:rPr>
            <w:rStyle w:val="Hyperlink"/>
          </w:rPr>
          <w:t>ana.natal@ufu.br</w:t>
        </w:r>
      </w:hyperlink>
    </w:p>
    <w:p w14:paraId="223805F7" w14:textId="62D76F03" w:rsidR="00A328A1" w:rsidRPr="00BB7384" w:rsidRDefault="00A328A1" w:rsidP="0038648F">
      <w:pPr>
        <w:pStyle w:val="MDPI16affiliation"/>
        <w:jc w:val="both"/>
      </w:pPr>
      <w:r w:rsidRPr="00BB7384">
        <w:rPr>
          <w:vertAlign w:val="superscript"/>
        </w:rPr>
        <w:t>4</w:t>
      </w:r>
      <w:r w:rsidRPr="00BB7384">
        <w:t xml:space="preserve"> </w:t>
      </w:r>
      <w:r w:rsidR="00706FFF">
        <w:t xml:space="preserve"> </w:t>
      </w:r>
      <w:r w:rsidR="00BB7384" w:rsidRPr="00BB7384">
        <w:t>School of Medicine, Federal University of Uberlândia, Uberlândia, Minas Gerais, Brazil</w:t>
      </w:r>
      <w:r w:rsidR="004201BC" w:rsidRPr="00BB7384">
        <w:t xml:space="preserve">; </w:t>
      </w:r>
      <w:hyperlink r:id="rId12" w:history="1">
        <w:r w:rsidR="00581EDD" w:rsidRPr="00BB7384">
          <w:rPr>
            <w:rStyle w:val="Hyperlink"/>
          </w:rPr>
          <w:t>georgia@ufu.br</w:t>
        </w:r>
      </w:hyperlink>
    </w:p>
    <w:p w14:paraId="4057522F" w14:textId="70C4C927" w:rsidR="004D342A" w:rsidRPr="000A3E93" w:rsidRDefault="00581EDD" w:rsidP="0038648F">
      <w:pPr>
        <w:pStyle w:val="MDPI16affiliation"/>
        <w:jc w:val="both"/>
      </w:pPr>
      <w:r w:rsidRPr="000A3E93">
        <w:rPr>
          <w:vertAlign w:val="superscript"/>
        </w:rPr>
        <w:t>5</w:t>
      </w:r>
      <w:r w:rsidRPr="000A3E93">
        <w:t xml:space="preserve"> </w:t>
      </w:r>
      <w:r w:rsidR="00706FFF">
        <w:t xml:space="preserve"> </w:t>
      </w:r>
      <w:r w:rsidR="000A3E93" w:rsidRPr="000A3E93">
        <w:t>Health Technical School, Federal University of Uberlândia, Uberlândia, Minas Gerais, Brazil</w:t>
      </w:r>
      <w:r w:rsidR="00FE2C63" w:rsidRPr="000A3E93">
        <w:t xml:space="preserve">, </w:t>
      </w:r>
      <w:hyperlink r:id="rId13" w:history="1">
        <w:r w:rsidR="00FE2C63" w:rsidRPr="000A3E93">
          <w:rPr>
            <w:rStyle w:val="Hyperlink"/>
          </w:rPr>
          <w:t>ralciane@ufu.br</w:t>
        </w:r>
      </w:hyperlink>
    </w:p>
    <w:p w14:paraId="7C343365" w14:textId="33479754" w:rsidR="004D342A" w:rsidRPr="002B6802" w:rsidRDefault="004D342A" w:rsidP="0038648F">
      <w:pPr>
        <w:pStyle w:val="MDPI16affiliation"/>
        <w:jc w:val="both"/>
      </w:pPr>
      <w:r w:rsidRPr="002B6802">
        <w:rPr>
          <w:vertAlign w:val="superscript"/>
        </w:rPr>
        <w:t>6</w:t>
      </w:r>
      <w:r w:rsidRPr="002B6802">
        <w:t xml:space="preserve"> </w:t>
      </w:r>
      <w:r w:rsidR="00706FFF">
        <w:t xml:space="preserve"> </w:t>
      </w:r>
      <w:r w:rsidR="002B6802" w:rsidRPr="002B6802">
        <w:t>Institute of Biotechnology, Federal University of Catalão, Catalão, Goiás, Brazil</w:t>
      </w:r>
      <w:r w:rsidR="00FE2C63" w:rsidRPr="002B6802">
        <w:t>,</w:t>
      </w:r>
      <w:r w:rsidR="00185CD5" w:rsidRPr="002B6802">
        <w:t xml:space="preserve"> </w:t>
      </w:r>
      <w:hyperlink r:id="rId14" w:history="1">
        <w:r w:rsidR="00185CD5" w:rsidRPr="002B6802">
          <w:rPr>
            <w:rStyle w:val="Hyperlink"/>
          </w:rPr>
          <w:t>sadoyama@ufcat.edu.br</w:t>
        </w:r>
      </w:hyperlink>
    </w:p>
    <w:p w14:paraId="69FFC0D2" w14:textId="32A8FC0C" w:rsidR="00D67DD4" w:rsidRPr="00375DF5" w:rsidRDefault="00D67DD4" w:rsidP="0038648F">
      <w:pPr>
        <w:pStyle w:val="MDPI16affiliation"/>
        <w:jc w:val="both"/>
      </w:pPr>
      <w:r w:rsidRPr="00375DF5">
        <w:rPr>
          <w:vertAlign w:val="superscript"/>
        </w:rPr>
        <w:t>7</w:t>
      </w:r>
      <w:r w:rsidRPr="00375DF5">
        <w:t xml:space="preserve"> </w:t>
      </w:r>
      <w:r w:rsidR="00706FFF">
        <w:t xml:space="preserve"> </w:t>
      </w:r>
      <w:r w:rsidR="00375DF5" w:rsidRPr="00375DF5">
        <w:t>Department of Physiotherapy, Federal University of Triângulo Mineiro, Brazil</w:t>
      </w:r>
      <w:r w:rsidR="00694A85" w:rsidRPr="00375DF5">
        <w:t xml:space="preserve">, </w:t>
      </w:r>
      <w:hyperlink r:id="rId15" w:history="1">
        <w:r w:rsidR="00694A85" w:rsidRPr="00375DF5">
          <w:rPr>
            <w:rStyle w:val="Hyperlink"/>
          </w:rPr>
          <w:t>lislei.patrizzi@uftm.edu.br</w:t>
        </w:r>
      </w:hyperlink>
    </w:p>
    <w:p w14:paraId="654DDBAF" w14:textId="77777777" w:rsidR="003A37D6" w:rsidRPr="00F6435D" w:rsidRDefault="003150AD" w:rsidP="0038648F">
      <w:pPr>
        <w:pStyle w:val="MDPI16affiliation"/>
        <w:jc w:val="both"/>
      </w:pPr>
      <w:r w:rsidRPr="00F6435D">
        <w:rPr>
          <w:vertAlign w:val="superscript"/>
        </w:rPr>
        <w:t>8</w:t>
      </w:r>
      <w:r w:rsidRPr="00F6435D">
        <w:t xml:space="preserve"> </w:t>
      </w:r>
      <w:r w:rsidR="00706FFF" w:rsidRPr="00F6435D">
        <w:t xml:space="preserve"> </w:t>
      </w:r>
      <w:r w:rsidR="00375DF5" w:rsidRPr="00F6435D">
        <w:t>Institute of Biomedical Sciences, Federal University of Uberlândia, Uberlândia, Minas Gerais, Brazil</w:t>
      </w:r>
      <w:r w:rsidR="00694A85" w:rsidRPr="00F6435D">
        <w:t>,</w:t>
      </w:r>
    </w:p>
    <w:p w14:paraId="1A62DF6D" w14:textId="113105E9" w:rsidR="003150AD" w:rsidRPr="00BB6C8A" w:rsidRDefault="00694A85" w:rsidP="0038648F">
      <w:pPr>
        <w:pStyle w:val="MDPI16affiliation"/>
        <w:jc w:val="both"/>
      </w:pPr>
      <w:r w:rsidRPr="00F6435D">
        <w:t xml:space="preserve"> </w:t>
      </w:r>
      <w:r w:rsidR="006D29A7" w:rsidRPr="00F6435D">
        <w:tab/>
      </w:r>
      <w:hyperlink r:id="rId16" w:history="1">
        <w:r w:rsidR="00BB6C8A" w:rsidRPr="00BB6C8A">
          <w:rPr>
            <w:rStyle w:val="Hyperlink"/>
          </w:rPr>
          <w:t>denise.roder@ufu.br</w:t>
        </w:r>
      </w:hyperlink>
    </w:p>
    <w:p w14:paraId="68E263EB" w14:textId="77777777" w:rsidR="00694A85" w:rsidRPr="00BB6C8A" w:rsidRDefault="00694A85" w:rsidP="0038648F">
      <w:pPr>
        <w:pStyle w:val="MDPI16affiliation"/>
        <w:jc w:val="both"/>
      </w:pPr>
    </w:p>
    <w:p w14:paraId="1FB7D566" w14:textId="77777777" w:rsidR="00960557" w:rsidRPr="00BB6C8A" w:rsidRDefault="00960557" w:rsidP="00554A5B">
      <w:pPr>
        <w:pStyle w:val="MDPI16affiliation"/>
      </w:pPr>
    </w:p>
    <w:p w14:paraId="33BFC072" w14:textId="68060F09" w:rsidR="00554A5B" w:rsidRPr="00ED270E" w:rsidRDefault="00554A5B" w:rsidP="00554A5B">
      <w:pPr>
        <w:pStyle w:val="MDPI16affiliation"/>
      </w:pPr>
      <w:r w:rsidRPr="00ED270E">
        <w:rPr>
          <w:b/>
        </w:rPr>
        <w:t>*</w:t>
      </w:r>
      <w:r w:rsidRPr="00ED270E">
        <w:tab/>
        <w:t xml:space="preserve">Correspondence: </w:t>
      </w:r>
      <w:hyperlink r:id="rId17" w:history="1">
        <w:r w:rsidR="00BB6C8A" w:rsidRPr="00ED270E">
          <w:rPr>
            <w:rStyle w:val="Hyperlink"/>
          </w:rPr>
          <w:t>denise.roder@ufu.br</w:t>
        </w:r>
      </w:hyperlink>
      <w:r w:rsidR="00BB6C8A" w:rsidRPr="00ED270E">
        <w:t xml:space="preserve">; Tel.: </w:t>
      </w:r>
      <w:r w:rsidR="003961CE" w:rsidRPr="00ED270E">
        <w:t>55 – (34) – 32</w:t>
      </w:r>
      <w:r w:rsidR="00383425" w:rsidRPr="00ED270E">
        <w:t>25</w:t>
      </w:r>
      <w:r w:rsidR="003961CE" w:rsidRPr="00ED270E">
        <w:t>-</w:t>
      </w:r>
      <w:r w:rsidR="00A4367B" w:rsidRPr="00ED270E">
        <w:t>8</w:t>
      </w:r>
      <w:r w:rsidR="002F06FE" w:rsidRPr="00ED270E">
        <w:t>670</w:t>
      </w:r>
      <w:r w:rsidR="003961CE" w:rsidRPr="00ED270E">
        <w:t xml:space="preserve">. </w:t>
      </w:r>
    </w:p>
    <w:p w14:paraId="0E343162" w14:textId="34759020" w:rsidR="009B25C7" w:rsidRDefault="00554A5B" w:rsidP="009B25C7">
      <w:pPr>
        <w:pStyle w:val="MDPI17abstract"/>
        <w:rPr>
          <w:szCs w:val="18"/>
        </w:rPr>
      </w:pPr>
      <w:r w:rsidRPr="00550626">
        <w:rPr>
          <w:b/>
          <w:szCs w:val="18"/>
        </w:rPr>
        <w:t xml:space="preserve">Abstract: </w:t>
      </w:r>
      <w:r w:rsidR="001E3E2D" w:rsidRPr="009B25C7">
        <w:rPr>
          <w:i/>
          <w:iCs/>
          <w:szCs w:val="18"/>
        </w:rPr>
        <w:t>Background</w:t>
      </w:r>
      <w:r w:rsidR="002E41F9">
        <w:rPr>
          <w:i/>
          <w:iCs/>
          <w:szCs w:val="18"/>
        </w:rPr>
        <w:t xml:space="preserve"> and objective</w:t>
      </w:r>
      <w:r w:rsidR="001E3E2D" w:rsidRPr="001E3E2D">
        <w:rPr>
          <w:szCs w:val="18"/>
        </w:rPr>
        <w:t xml:space="preserve">: Obesity is a growing global epidemic. The composition of the intestinal microbiota can be influenced by several factors. Studies highlight the role of intestinal bacteria in the pathophysiology of obesity. So, the objective of this study was to investigate whether the use of probiotics, together with healthy lifestyle habits, contributes to weight reduction in obese individuals by analyzing the intestinal microbiota profile. </w:t>
      </w:r>
      <w:r w:rsidR="001E3E2D" w:rsidRPr="001B464F">
        <w:rPr>
          <w:i/>
          <w:iCs/>
          <w:szCs w:val="18"/>
        </w:rPr>
        <w:t>Methods</w:t>
      </w:r>
      <w:r w:rsidR="001E3E2D" w:rsidRPr="001E3E2D">
        <w:rPr>
          <w:szCs w:val="18"/>
        </w:rPr>
        <w:t xml:space="preserve">: A prospective study was carried out with 45 adults with obesity. Participants underwent guidance on healthy lifestyle habits, received a probiotic component containing different microbiological strains and were followed for 60 days. Clinical parameters, body composition, biochemical analysis and intestinal microbiota assessment were performed before and after treatment. After 60 days, it was observed that the bacterial strains present in the probiotic were present in the patients' intestinal microbiota. Participants also showed improvements in physical activity, sleep quality, anxiety management, as well as changes in some eating habits, such as a reduction in the consumption of processed foods and a significant increase in water intake. </w:t>
      </w:r>
      <w:r w:rsidR="001E3E2D" w:rsidRPr="001B464F">
        <w:rPr>
          <w:i/>
          <w:iCs/>
          <w:szCs w:val="18"/>
        </w:rPr>
        <w:t>Results</w:t>
      </w:r>
      <w:r w:rsidR="001E3E2D" w:rsidRPr="001E3E2D">
        <w:rPr>
          <w:szCs w:val="18"/>
        </w:rPr>
        <w:t xml:space="preserve">: A reduction in BMI, fasting glucose, insulin, HOMA-IR, LDL cholesterol and triglycerides was observed, in addition to an increase in HDL cholesterol, improvement in bowel movement frequency and stool consistency. Analysis of the intestinal microbiota revealed an increase in microbial diversity and a better balance between the bacterial phyla Firmicutes and Bacteroidetes. </w:t>
      </w:r>
      <w:r w:rsidR="001E3E2D" w:rsidRPr="001B464F">
        <w:rPr>
          <w:i/>
          <w:iCs/>
          <w:szCs w:val="18"/>
        </w:rPr>
        <w:t>Conclusions</w:t>
      </w:r>
      <w:r w:rsidR="001E3E2D" w:rsidRPr="001E3E2D">
        <w:rPr>
          <w:szCs w:val="18"/>
        </w:rPr>
        <w:t>: The changes related to improving the composition of the intestinal microbiota, dietary habits, increased physical activity, reduced anxiety, and better sleep quality have significantly contributed to weight loss and improvements in physiological parameters in obese individuals.</w:t>
      </w:r>
    </w:p>
    <w:p w14:paraId="4CF15E2D" w14:textId="5437AD0F" w:rsidR="00554A5B" w:rsidRPr="00550626" w:rsidRDefault="00554A5B" w:rsidP="001B670A">
      <w:pPr>
        <w:pStyle w:val="MDPI17abstract"/>
      </w:pPr>
      <w:r w:rsidRPr="00550626">
        <w:rPr>
          <w:b/>
          <w:szCs w:val="18"/>
        </w:rPr>
        <w:t xml:space="preserve">Keywords: </w:t>
      </w:r>
      <w:r w:rsidR="001B670A" w:rsidRPr="001B670A">
        <w:rPr>
          <w:szCs w:val="18"/>
        </w:rPr>
        <w:t>intestinal microbiota, probiotics, obesity, lifestyle habits, weight loss</w:t>
      </w:r>
    </w:p>
    <w:p w14:paraId="61853F88" w14:textId="77777777" w:rsidR="00554A5B" w:rsidRDefault="00554A5B" w:rsidP="00554A5B">
      <w:pPr>
        <w:pStyle w:val="MDPI21heading1"/>
        <w:rPr>
          <w:lang w:eastAsia="zh-CN"/>
        </w:rPr>
      </w:pPr>
      <w:r w:rsidRPr="007F2582">
        <w:rPr>
          <w:lang w:eastAsia="zh-CN"/>
        </w:rPr>
        <w:t>1. Introduction</w:t>
      </w:r>
    </w:p>
    <w:p w14:paraId="1C350F57" w14:textId="77777777" w:rsidR="00402B48" w:rsidRPr="00402B48" w:rsidRDefault="00402B48" w:rsidP="00CF7979">
      <w:pPr>
        <w:pStyle w:val="MDPI21heading1"/>
        <w:ind w:firstLine="452"/>
        <w:jc w:val="both"/>
        <w:rPr>
          <w:b w:val="0"/>
        </w:rPr>
      </w:pPr>
      <w:r w:rsidRPr="00402B48">
        <w:rPr>
          <w:b w:val="0"/>
        </w:rPr>
        <w:t>Obesity is a growing global epidemic [1], associated with a wide range of chronic diseases, such as type 2 diabetes, high blood pressure, dyslipidemia, hepatic steatosis, obstructive sleep apnea, mood disorders and musculoskeletal disorders, in addition to certain types of cancer [2]. These comorbidities represent a significant public health challenge, with negative consequences on the quality of life and life expectancy of affected individuals [1].</w:t>
      </w:r>
    </w:p>
    <w:p w14:paraId="3A9A3746" w14:textId="77777777" w:rsidR="00402B48" w:rsidRPr="00402B48" w:rsidRDefault="00402B48" w:rsidP="00C84D9E">
      <w:pPr>
        <w:pStyle w:val="MDPI21heading1"/>
        <w:ind w:firstLine="452"/>
        <w:jc w:val="both"/>
        <w:rPr>
          <w:b w:val="0"/>
        </w:rPr>
      </w:pPr>
      <w:r w:rsidRPr="00402B48">
        <w:rPr>
          <w:b w:val="0"/>
        </w:rPr>
        <w:lastRenderedPageBreak/>
        <w:t>According to the WHO, in 2016, 39% of the global adult population was overweight [3,4] and 13% were considered obese [4]. Between 1980 and 2023, the prevalence of obesity in the world population has tripled [1]. In Brazil, the prevalence of obesity in the adult population increased from 11.8% in 2006 to 22.4% in 2021, according to the Vigitel survey (Surveillance of chronic diseases by telephone survey) carried out by the Ministry of Health [5].</w:t>
      </w:r>
    </w:p>
    <w:p w14:paraId="49475AE3" w14:textId="77777777" w:rsidR="00402B48" w:rsidRPr="00402B48" w:rsidRDefault="00402B48" w:rsidP="00C84D9E">
      <w:pPr>
        <w:pStyle w:val="MDPI21heading1"/>
        <w:ind w:firstLine="452"/>
        <w:jc w:val="both"/>
        <w:rPr>
          <w:b w:val="0"/>
        </w:rPr>
      </w:pPr>
      <w:r w:rsidRPr="00402B48">
        <w:rPr>
          <w:b w:val="0"/>
        </w:rPr>
        <w:t>Obesity is characterized by an energy imbalance resulting from several factors, such as dysregulated appetite and dysfunction in food reward signaling [1,6]. These changes trigger multiple biological, histological, immunological and metabolic changes in adipose, liver, muscle, brain and intestinal tissues [4,7]. It has been observed that the gut microbiome, which consists of trillions of microorganisms, plays an important role in host physiology and is closely linked to obesity [3]. The intestinal microbiome interacts in a complex way with the body, and an imbalance in this microbial community can contribute to the development and progression of obesity [7].</w:t>
      </w:r>
    </w:p>
    <w:p w14:paraId="517683DD" w14:textId="77777777" w:rsidR="00402B48" w:rsidRPr="00402B48" w:rsidRDefault="00402B48" w:rsidP="00C84D9E">
      <w:pPr>
        <w:pStyle w:val="MDPI21heading1"/>
        <w:ind w:firstLine="452"/>
        <w:jc w:val="both"/>
        <w:rPr>
          <w:b w:val="0"/>
        </w:rPr>
      </w:pPr>
      <w:r w:rsidRPr="00402B48">
        <w:rPr>
          <w:b w:val="0"/>
        </w:rPr>
        <w:t>Through advanced omics technologies, such as metagenomics, metatranscriptomics, metaproteomics and metabolomics, we can analyze in detail this interaction between the microbiome and the host [3,4]. Studies have revealed that healthy individuals have greater bacterial diversity compared to those with high adiposity, insulin resistance and dyslipidemia, common characteristics in obese patients [7,8]. Furthermore, patients with obesity exhibit a reduced count of bacterial species, indicating a relatively impoverished intestinal microbiota [4,9]. This reduction is associated with a lower proportion of microorganisms from the Bacteroidetes phylum and higher levels of the Firmicutes phylum [4].</w:t>
      </w:r>
    </w:p>
    <w:p w14:paraId="4AADA77A" w14:textId="77777777" w:rsidR="00402B48" w:rsidRPr="00402B48" w:rsidRDefault="00402B48" w:rsidP="00C84D9E">
      <w:pPr>
        <w:pStyle w:val="MDPI21heading1"/>
        <w:ind w:firstLine="452"/>
        <w:jc w:val="both"/>
        <w:rPr>
          <w:b w:val="0"/>
        </w:rPr>
      </w:pPr>
      <w:r w:rsidRPr="00402B48">
        <w:rPr>
          <w:b w:val="0"/>
        </w:rPr>
        <w:t>However, the composition of the intestinal microbiota can be influenced by several factors [10]. Healthy eating habits [11-14], encouraging moderate physical activity [14], careful sleep routine [13] and anxiety management [15] were associated with beneficial changes in the intestinal microbiota, contributing to weight reduction [16].</w:t>
      </w:r>
    </w:p>
    <w:p w14:paraId="02FEC645" w14:textId="77777777" w:rsidR="00402B48" w:rsidRPr="00402B48" w:rsidRDefault="00402B48" w:rsidP="00C84D9E">
      <w:pPr>
        <w:pStyle w:val="MDPI21heading1"/>
        <w:ind w:firstLine="452"/>
        <w:jc w:val="both"/>
        <w:rPr>
          <w:b w:val="0"/>
        </w:rPr>
      </w:pPr>
      <w:r w:rsidRPr="00402B48">
        <w:rPr>
          <w:b w:val="0"/>
        </w:rPr>
        <w:t>Studies highlight the role of intestinal bacteria in the pathophysiology of obesity, mainly through involvement in low-grade inflammation associated with intestinal dysbiosis [4]. This occurs when the homeostasis of intestinal bacteria is disturbed leading to changes in the composition, function and distribution of microorganisms in the intestine, resulting in a state that predisposes the emergence of intestinal pathogenic conditions [12].</w:t>
      </w:r>
    </w:p>
    <w:p w14:paraId="0308FB78" w14:textId="7B3BCD3F" w:rsidR="00402B48" w:rsidRPr="00402B48" w:rsidRDefault="00402B48" w:rsidP="00C84D9E">
      <w:pPr>
        <w:pStyle w:val="MDPI21heading1"/>
        <w:ind w:firstLine="452"/>
        <w:jc w:val="both"/>
        <w:rPr>
          <w:b w:val="0"/>
        </w:rPr>
      </w:pPr>
      <w:r w:rsidRPr="00402B48">
        <w:rPr>
          <w:b w:val="0"/>
        </w:rPr>
        <w:t xml:space="preserve">Overall, this imbalance increases Firmicutes species such as </w:t>
      </w:r>
      <w:r w:rsidR="007A1F04">
        <w:rPr>
          <w:b w:val="0"/>
          <w:i/>
          <w:iCs/>
        </w:rPr>
        <w:t>Agathobacter</w:t>
      </w:r>
      <w:r w:rsidRPr="003D1D15">
        <w:rPr>
          <w:b w:val="0"/>
          <w:i/>
          <w:iCs/>
        </w:rPr>
        <w:t xml:space="preserve"> rectal</w:t>
      </w:r>
      <w:r w:rsidR="007A1F04">
        <w:rPr>
          <w:b w:val="0"/>
          <w:i/>
          <w:iCs/>
        </w:rPr>
        <w:t>i</w:t>
      </w:r>
      <w:r w:rsidR="00B30524">
        <w:rPr>
          <w:b w:val="0"/>
          <w:i/>
          <w:iCs/>
        </w:rPr>
        <w:t>s</w:t>
      </w:r>
      <w:r w:rsidRPr="00402B48">
        <w:rPr>
          <w:b w:val="0"/>
        </w:rPr>
        <w:t xml:space="preserve">, </w:t>
      </w:r>
      <w:r w:rsidR="00B30524">
        <w:rPr>
          <w:b w:val="0"/>
          <w:i/>
          <w:iCs/>
        </w:rPr>
        <w:t>Blauti</w:t>
      </w:r>
      <w:r w:rsidR="00061602">
        <w:rPr>
          <w:b w:val="0"/>
          <w:i/>
          <w:iCs/>
        </w:rPr>
        <w:t>a</w:t>
      </w:r>
      <w:r w:rsidRPr="003D1D15">
        <w:rPr>
          <w:b w:val="0"/>
          <w:i/>
          <w:iCs/>
        </w:rPr>
        <w:t xml:space="preserve"> coccoides, L</w:t>
      </w:r>
      <w:r w:rsidR="00061602">
        <w:rPr>
          <w:b w:val="0"/>
          <w:i/>
          <w:iCs/>
        </w:rPr>
        <w:t>imosilactobacillus</w:t>
      </w:r>
      <w:r w:rsidRPr="003D1D15">
        <w:rPr>
          <w:b w:val="0"/>
          <w:i/>
          <w:iCs/>
        </w:rPr>
        <w:t xml:space="preserve"> reuteri, </w:t>
      </w:r>
      <w:r w:rsidR="000D10CE">
        <w:rPr>
          <w:b w:val="0"/>
          <w:i/>
          <w:iCs/>
        </w:rPr>
        <w:t>Hathe</w:t>
      </w:r>
      <w:r w:rsidR="003F7C8A">
        <w:rPr>
          <w:b w:val="0"/>
          <w:i/>
          <w:iCs/>
        </w:rPr>
        <w:t>waya histolytica</w:t>
      </w:r>
      <w:r w:rsidRPr="003D1D15">
        <w:rPr>
          <w:b w:val="0"/>
          <w:i/>
          <w:iCs/>
        </w:rPr>
        <w:t>, and Staphylococcus aureus</w:t>
      </w:r>
      <w:r w:rsidRPr="00402B48">
        <w:rPr>
          <w:b w:val="0"/>
        </w:rPr>
        <w:t xml:space="preserve"> [3,4]. On the other hand, there are reports of significant reduction in the relative abundance of several members of the phylum Bacteroidetes, such as (</w:t>
      </w:r>
      <w:r w:rsidRPr="00337E77">
        <w:rPr>
          <w:b w:val="0"/>
          <w:i/>
          <w:iCs/>
        </w:rPr>
        <w:t>Prevotella</w:t>
      </w:r>
      <w:r w:rsidRPr="00402B48">
        <w:rPr>
          <w:b w:val="0"/>
        </w:rPr>
        <w:t xml:space="preserve"> and </w:t>
      </w:r>
      <w:r w:rsidRPr="00337E77">
        <w:rPr>
          <w:b w:val="0"/>
          <w:i/>
          <w:iCs/>
        </w:rPr>
        <w:t>Alistipes</w:t>
      </w:r>
      <w:r w:rsidRPr="00402B48">
        <w:rPr>
          <w:b w:val="0"/>
        </w:rPr>
        <w:t xml:space="preserve">) in addition to </w:t>
      </w:r>
      <w:r w:rsidRPr="00337E77">
        <w:rPr>
          <w:b w:val="0"/>
          <w:i/>
          <w:iCs/>
        </w:rPr>
        <w:t>Faecalibacterium prausnitzii</w:t>
      </w:r>
      <w:r w:rsidRPr="00402B48">
        <w:rPr>
          <w:b w:val="0"/>
        </w:rPr>
        <w:t xml:space="preserve">, </w:t>
      </w:r>
      <w:r w:rsidRPr="00337E77">
        <w:rPr>
          <w:b w:val="0"/>
          <w:i/>
          <w:iCs/>
        </w:rPr>
        <w:t>Lact</w:t>
      </w:r>
      <w:r w:rsidR="00F27C8F">
        <w:rPr>
          <w:b w:val="0"/>
          <w:i/>
          <w:iCs/>
        </w:rPr>
        <w:t>i</w:t>
      </w:r>
      <w:r w:rsidR="00015995">
        <w:rPr>
          <w:b w:val="0"/>
          <w:i/>
          <w:iCs/>
        </w:rPr>
        <w:t>plantibacillu</w:t>
      </w:r>
      <w:r w:rsidRPr="00337E77">
        <w:rPr>
          <w:b w:val="0"/>
          <w:i/>
          <w:iCs/>
        </w:rPr>
        <w:t xml:space="preserve"> plantarum</w:t>
      </w:r>
      <w:r w:rsidRPr="00402B48">
        <w:rPr>
          <w:b w:val="0"/>
        </w:rPr>
        <w:t xml:space="preserve">, </w:t>
      </w:r>
      <w:r w:rsidRPr="00CA070E">
        <w:rPr>
          <w:b w:val="0"/>
          <w:i/>
          <w:iCs/>
        </w:rPr>
        <w:t>Lacticaseibacillus paracasei, Lacticaseibacillus rhamnosus</w:t>
      </w:r>
      <w:r w:rsidRPr="00402B48">
        <w:rPr>
          <w:b w:val="0"/>
        </w:rPr>
        <w:t xml:space="preserve"> and phylum Verrucomicrobia (</w:t>
      </w:r>
      <w:r w:rsidRPr="00CA070E">
        <w:rPr>
          <w:b w:val="0"/>
          <w:i/>
          <w:iCs/>
        </w:rPr>
        <w:t>Akkermansia muciniphila</w:t>
      </w:r>
      <w:r w:rsidRPr="00402B48">
        <w:rPr>
          <w:b w:val="0"/>
        </w:rPr>
        <w:t>) [17,18].</w:t>
      </w:r>
    </w:p>
    <w:p w14:paraId="0AA3D921" w14:textId="77777777" w:rsidR="00402B48" w:rsidRPr="00402B48" w:rsidRDefault="00402B48" w:rsidP="006A2262">
      <w:pPr>
        <w:pStyle w:val="MDPI21heading1"/>
        <w:ind w:firstLine="452"/>
        <w:jc w:val="both"/>
        <w:rPr>
          <w:b w:val="0"/>
        </w:rPr>
      </w:pPr>
      <w:r w:rsidRPr="00402B48">
        <w:rPr>
          <w:b w:val="0"/>
        </w:rPr>
        <w:t>In addition to positive lifestyle habit adjustments, there is a growing body of evidence that probiotics improve, maintain, or restore gut microbiota, thus opening the door to innovative maneuvers targeting microbiota architecture and diversity [3]. Research shows that several probiotics, used alone or in symbiotic combinations, can exert anti-obesity effects through species- and strain-specific mechanisms, such as modulation of the intestinal microbiota, greater satiety, and reduced insulin resistance [4,19,20,21].</w:t>
      </w:r>
    </w:p>
    <w:p w14:paraId="4ACD89BF" w14:textId="77777777" w:rsidR="00402B48" w:rsidRPr="00402B48" w:rsidRDefault="00402B48" w:rsidP="006A2262">
      <w:pPr>
        <w:pStyle w:val="MDPI21heading1"/>
        <w:ind w:firstLine="452"/>
        <w:jc w:val="both"/>
        <w:rPr>
          <w:b w:val="0"/>
        </w:rPr>
      </w:pPr>
      <w:r w:rsidRPr="00402B48">
        <w:rPr>
          <w:b w:val="0"/>
        </w:rPr>
        <w:t xml:space="preserve">Probiotics act through three main mechanisms of action in the treatment of obesity: antagonistic effects on the growth of pathogenic microorganisms and competitive </w:t>
      </w:r>
      <w:r w:rsidRPr="00402B48">
        <w:rPr>
          <w:b w:val="0"/>
        </w:rPr>
        <w:lastRenderedPageBreak/>
        <w:t>adhesion to the intestinal mucosa and epithelium (antimicrobial activity), increased production of the intestinal mucus layer and reduced intestinal permeability (barrier function) and modulation of the gastrointestinal immune system (immunomodulation) [22].</w:t>
      </w:r>
    </w:p>
    <w:p w14:paraId="4A2A3088" w14:textId="77777777" w:rsidR="00402B48" w:rsidRPr="00402B48" w:rsidRDefault="00402B48" w:rsidP="00577204">
      <w:pPr>
        <w:pStyle w:val="MDPI21heading1"/>
        <w:ind w:firstLine="452"/>
        <w:jc w:val="both"/>
        <w:rPr>
          <w:b w:val="0"/>
        </w:rPr>
      </w:pPr>
      <w:r w:rsidRPr="00402B48">
        <w:rPr>
          <w:b w:val="0"/>
        </w:rPr>
        <w:t xml:space="preserve">The probiotic bacteria strains </w:t>
      </w:r>
      <w:r w:rsidRPr="001A4C9E">
        <w:rPr>
          <w:b w:val="0"/>
          <w:i/>
          <w:iCs/>
        </w:rPr>
        <w:t>Bifidobacterium longum</w:t>
      </w:r>
      <w:r w:rsidRPr="00402B48">
        <w:rPr>
          <w:b w:val="0"/>
        </w:rPr>
        <w:t xml:space="preserve">, </w:t>
      </w:r>
      <w:r w:rsidRPr="001A4C9E">
        <w:rPr>
          <w:b w:val="0"/>
          <w:i/>
          <w:iCs/>
        </w:rPr>
        <w:t>Lacticaseibacillus casei</w:t>
      </w:r>
      <w:r w:rsidRPr="00402B48">
        <w:rPr>
          <w:b w:val="0"/>
        </w:rPr>
        <w:t xml:space="preserve">, </w:t>
      </w:r>
      <w:r w:rsidRPr="001A4C9E">
        <w:rPr>
          <w:b w:val="0"/>
          <w:i/>
          <w:iCs/>
        </w:rPr>
        <w:t>Levilactobacillus brevis</w:t>
      </w:r>
      <w:r w:rsidRPr="00402B48">
        <w:rPr>
          <w:b w:val="0"/>
        </w:rPr>
        <w:t xml:space="preserve">, </w:t>
      </w:r>
      <w:r w:rsidRPr="001A4C9E">
        <w:rPr>
          <w:b w:val="0"/>
          <w:i/>
          <w:iCs/>
        </w:rPr>
        <w:t xml:space="preserve">Lacticaseibacillus rhamnosus, Lactobacillus delbrueckii, Lactobacillus helveticus, Lactococcus lactis </w:t>
      </w:r>
      <w:r w:rsidRPr="001A4C9E">
        <w:rPr>
          <w:b w:val="0"/>
        </w:rPr>
        <w:t>and</w:t>
      </w:r>
      <w:r w:rsidRPr="001A4C9E">
        <w:rPr>
          <w:b w:val="0"/>
          <w:i/>
          <w:iCs/>
        </w:rPr>
        <w:t xml:space="preserve"> Streptococcus thermophilus</w:t>
      </w:r>
      <w:r w:rsidRPr="00402B48">
        <w:rPr>
          <w:b w:val="0"/>
        </w:rPr>
        <w:t xml:space="preserve"> may play a role in aiding weight loss in obese individuals through diverse mechanisms of action [3,4, 9,12,18-20,22]. These strains can modulate the metabolism of fats, optimizing their breakdown, reducing absorption in the intestine, preventing them from being stored in adipose tissue, promoting their use as an energy source [17,23]. Another notable action is the ability to regulate the inflammatory response in the intestine, reducing low-grade inflammation associated with obesity, which can have a positive impact on metabolism and body weight regulation [24]. Furthermore, Probiotic strains can affect satiety and appetite signals by modulating the production of hunger-related hormones, such as ghrelin, promoting a greater feeling of fullness. Thus, these mechanisms can help reduce the desire for high-calorie and unhealthy foods [25].</w:t>
      </w:r>
    </w:p>
    <w:p w14:paraId="07C8A91A" w14:textId="77777777" w:rsidR="00CF7979" w:rsidRDefault="00402B48" w:rsidP="0044753F">
      <w:pPr>
        <w:pStyle w:val="MDPI21heading1"/>
        <w:ind w:firstLine="452"/>
        <w:jc w:val="both"/>
        <w:rPr>
          <w:b w:val="0"/>
        </w:rPr>
      </w:pPr>
      <w:r w:rsidRPr="00402B48">
        <w:rPr>
          <w:b w:val="0"/>
        </w:rPr>
        <w:t>Although there is data indicating that probiotics may play a role in the treatment of obesity, it is important to highlight the need for more solid and comprehensive research to conclusively evaluate their effectiveness, especially their action in addition to healthy lifestyle habits. Therefore, the objective of this study was to investigate whether treatment with probiotics, together with the adoption of healthy lifestyle habits, is effective in reducing weight in obese individuals.</w:t>
      </w:r>
    </w:p>
    <w:p w14:paraId="59F4A710" w14:textId="25E9720A" w:rsidR="00554A5B" w:rsidRPr="00FA04F1" w:rsidRDefault="00554A5B" w:rsidP="00402B48">
      <w:pPr>
        <w:pStyle w:val="MDPI21heading1"/>
      </w:pPr>
      <w:r w:rsidRPr="00FA04F1">
        <w:rPr>
          <w:lang w:eastAsia="zh-CN"/>
        </w:rPr>
        <w:t xml:space="preserve">2. </w:t>
      </w:r>
      <w:r w:rsidRPr="00FA04F1">
        <w:t>Materials and Methods</w:t>
      </w:r>
    </w:p>
    <w:p w14:paraId="613DF440" w14:textId="77777777" w:rsidR="00A73F3C" w:rsidRPr="00B67D18" w:rsidRDefault="00A73F3C" w:rsidP="00A73F3C">
      <w:pPr>
        <w:pStyle w:val="MDPI21heading1"/>
        <w:rPr>
          <w:bCs/>
        </w:rPr>
      </w:pPr>
      <w:r w:rsidRPr="00B67D18">
        <w:rPr>
          <w:bCs/>
        </w:rPr>
        <w:t>Study design</w:t>
      </w:r>
    </w:p>
    <w:p w14:paraId="20D01D8F" w14:textId="77777777" w:rsidR="00A73F3C" w:rsidRPr="00A73F3C" w:rsidRDefault="00A73F3C" w:rsidP="00B67D18">
      <w:pPr>
        <w:pStyle w:val="MDPI21heading1"/>
        <w:ind w:firstLine="452"/>
        <w:jc w:val="both"/>
        <w:rPr>
          <w:b w:val="0"/>
        </w:rPr>
      </w:pPr>
      <w:r w:rsidRPr="00A73F3C">
        <w:rPr>
          <w:b w:val="0"/>
        </w:rPr>
        <w:t>A prospective before-and-after study was carried out with patients treated at a primary health care clinic in Uberlândia in the State of Minas Gerais, Brazil, from October 2022 to April 2023. Initially, 107 patients were invited to participate. Of these, 4</w:t>
      </w:r>
      <w:r w:rsidRPr="00A73F3C">
        <w:rPr>
          <w:rFonts w:hint="eastAsia"/>
          <w:b w:val="0"/>
        </w:rPr>
        <w:t>5 obese patients (BMI ≥30kg/m</w:t>
      </w:r>
      <w:r w:rsidRPr="00481E6A">
        <w:rPr>
          <w:rFonts w:hint="eastAsia"/>
          <w:b w:val="0"/>
          <w:vertAlign w:val="superscript"/>
        </w:rPr>
        <w:t>2</w:t>
      </w:r>
      <w:r w:rsidRPr="00A73F3C">
        <w:rPr>
          <w:rFonts w:hint="eastAsia"/>
          <w:b w:val="0"/>
        </w:rPr>
        <w:t>) aged 18 years or older were included. However, 62 patients were excluded due to the following criteria: use of probiotics in the last 90 days, continuous use of medications in the last 15 days, antibiotics in the last 15 day</w:t>
      </w:r>
      <w:r w:rsidRPr="00A73F3C">
        <w:rPr>
          <w:b w:val="0"/>
        </w:rPr>
        <w:t>s, presence of clinical evidence of intestinal diseases, serious diseases such as heart disease, nephropathy, chronic liver disease, immunodeficiencies, chronic neuropathy or hospitalization in the last two months.</w:t>
      </w:r>
    </w:p>
    <w:p w14:paraId="6B0AB669" w14:textId="77777777" w:rsidR="00A73F3C" w:rsidRPr="00A73F3C" w:rsidRDefault="00A73F3C" w:rsidP="00481E6A">
      <w:pPr>
        <w:pStyle w:val="MDPI21heading1"/>
        <w:ind w:firstLine="452"/>
        <w:jc w:val="both"/>
        <w:rPr>
          <w:b w:val="0"/>
        </w:rPr>
      </w:pPr>
      <w:r w:rsidRPr="00A73F3C">
        <w:rPr>
          <w:b w:val="0"/>
        </w:rPr>
        <w:t xml:space="preserve">Forty-five patients were recruited at their first clinic visit (T0). Patients received guidance on the importance of physical activity, sleep hygiene recommendations and anxiety management. Patients were not encouraged to change their eating pattern, however, guidance was given to have a healthy diet, especially to avoid industrialized, processed and ultra-processed products, increase water intake and fiber consumption and avoid ingesting soft drinks. following the criteria of the Food Guide for the Brazilian population. In addition to these instructions, patients used a probiotic component, a capsule containing a combination of the following bacterial strains: </w:t>
      </w:r>
      <w:r w:rsidRPr="00E62D9C">
        <w:rPr>
          <w:b w:val="0"/>
          <w:i/>
          <w:iCs/>
        </w:rPr>
        <w:t>Bifidobacterium longum</w:t>
      </w:r>
      <w:r w:rsidRPr="00A73F3C">
        <w:rPr>
          <w:b w:val="0"/>
        </w:rPr>
        <w:t xml:space="preserve">, </w:t>
      </w:r>
      <w:r w:rsidRPr="00E62D9C">
        <w:rPr>
          <w:b w:val="0"/>
          <w:i/>
          <w:iCs/>
        </w:rPr>
        <w:t>Lacticaseibacillus casei, Levilactobacillus brevis, Lacticaseibacillus rhamnosus, Lactobacillus delbrueckii, Lactobacillus helveticus, Lactococcus lactis, and Streptococcus thermophilus</w:t>
      </w:r>
      <w:r w:rsidRPr="00A73F3C">
        <w:rPr>
          <w:b w:val="0"/>
        </w:rPr>
        <w:t xml:space="preserve"> (1 capsule, 10</w:t>
      </w:r>
      <w:r w:rsidRPr="00E62D9C">
        <w:rPr>
          <w:b w:val="0"/>
          <w:vertAlign w:val="superscript"/>
        </w:rPr>
        <w:t>8</w:t>
      </w:r>
      <w:r w:rsidRPr="00A73F3C">
        <w:rPr>
          <w:b w:val="0"/>
        </w:rPr>
        <w:t xml:space="preserve"> CFU/capsule/day) for a duration of 60 days. The probiotics were manufactured by Nutramedic – AGA and AGA comercial EIRELI, Brazil. Patients were monitored by regular phone calls regarding the practice of healthy lifestyle habits, in addition to receiving weekly guidance and encouragement via a multiplatform instant messaging service application for smartphones. All were reevaluated after 60 days (T1). Patients were monitored by regular </w:t>
      </w:r>
      <w:r w:rsidRPr="00A73F3C">
        <w:rPr>
          <w:b w:val="0"/>
        </w:rPr>
        <w:lastRenderedPageBreak/>
        <w:t>phone calls regarding the practice of healthy lifestyle habits, in addition to receiving weekly guidance and encouragement via a multiplatform instant messaging service application for smartphones. All were reevaluated after 60 days (T1).</w:t>
      </w:r>
    </w:p>
    <w:p w14:paraId="1504D495" w14:textId="77777777" w:rsidR="00A73F3C" w:rsidRPr="001D22CA" w:rsidRDefault="00A73F3C" w:rsidP="00B67D18">
      <w:pPr>
        <w:pStyle w:val="MDPI21heading1"/>
        <w:jc w:val="both"/>
        <w:rPr>
          <w:bCs/>
        </w:rPr>
      </w:pPr>
      <w:r w:rsidRPr="001D22CA">
        <w:rPr>
          <w:bCs/>
        </w:rPr>
        <w:t>Anthropometric and body composition variables and biochemical parameters</w:t>
      </w:r>
    </w:p>
    <w:p w14:paraId="755C041C" w14:textId="77777777" w:rsidR="00A73F3C" w:rsidRPr="00A73F3C" w:rsidRDefault="00A73F3C" w:rsidP="001D22CA">
      <w:pPr>
        <w:pStyle w:val="MDPI21heading1"/>
        <w:ind w:firstLine="452"/>
        <w:jc w:val="both"/>
        <w:rPr>
          <w:b w:val="0"/>
        </w:rPr>
      </w:pPr>
      <w:r w:rsidRPr="00A73F3C">
        <w:rPr>
          <w:b w:val="0"/>
        </w:rPr>
        <w:t>Body mass index (BMI) was calculated using body weight and height measured with bare feet and minimal clothing according to the World Health Organization definition and classification [26]. Body composition parameters (mass and percentage of body fat and lean mass) were acquired using the Inbody 120 bioimpedance scale (South Korea).</w:t>
      </w:r>
    </w:p>
    <w:p w14:paraId="661697E9" w14:textId="77777777" w:rsidR="00A73F3C" w:rsidRPr="00A73F3C" w:rsidRDefault="00A73F3C" w:rsidP="00C80E51">
      <w:pPr>
        <w:pStyle w:val="MDPI21heading1"/>
        <w:ind w:firstLine="452"/>
        <w:jc w:val="both"/>
        <w:rPr>
          <w:b w:val="0"/>
        </w:rPr>
      </w:pPr>
      <w:r w:rsidRPr="00A73F3C">
        <w:rPr>
          <w:b w:val="0"/>
        </w:rPr>
        <w:t>A biochemical assessment through a 12-hour fasting blood test was performed at T0 and T1, including: fasting blood glucose, HbA1C, insulin, HOMA-IR index, HDL cholesterol, LDL cholesterol and triglycerides. These analyzes were carried out in a certified medical laboratory (Sabin, Uberlândia – Minas Gerais, Brazil).</w:t>
      </w:r>
    </w:p>
    <w:p w14:paraId="0BCEBBA9" w14:textId="77777777" w:rsidR="00A73F3C" w:rsidRPr="00C80E51" w:rsidRDefault="00A73F3C" w:rsidP="00B67D18">
      <w:pPr>
        <w:pStyle w:val="MDPI21heading1"/>
        <w:jc w:val="both"/>
        <w:rPr>
          <w:bCs/>
        </w:rPr>
      </w:pPr>
      <w:r w:rsidRPr="00C80E51">
        <w:rPr>
          <w:bCs/>
        </w:rPr>
        <w:t>Stool shape and consistency</w:t>
      </w:r>
    </w:p>
    <w:p w14:paraId="1501F918" w14:textId="77777777" w:rsidR="00A73F3C" w:rsidRPr="00A73F3C" w:rsidRDefault="00A73F3C" w:rsidP="00C80E51">
      <w:pPr>
        <w:pStyle w:val="MDPI21heading1"/>
        <w:ind w:firstLine="452"/>
        <w:jc w:val="both"/>
        <w:rPr>
          <w:b w:val="0"/>
        </w:rPr>
      </w:pPr>
      <w:r w:rsidRPr="00A73F3C">
        <w:rPr>
          <w:b w:val="0"/>
        </w:rPr>
        <w:t>The form of stools was analyzed using the Bristol Stool Scale [27].</w:t>
      </w:r>
    </w:p>
    <w:p w14:paraId="07BDD820" w14:textId="77777777" w:rsidR="00A73F3C" w:rsidRPr="001479B2" w:rsidRDefault="00A73F3C" w:rsidP="00B67D18">
      <w:pPr>
        <w:pStyle w:val="MDPI21heading1"/>
        <w:jc w:val="both"/>
        <w:rPr>
          <w:bCs/>
        </w:rPr>
      </w:pPr>
      <w:r w:rsidRPr="001479B2">
        <w:rPr>
          <w:bCs/>
        </w:rPr>
        <w:t>Life habits</w:t>
      </w:r>
    </w:p>
    <w:p w14:paraId="19190544" w14:textId="77777777" w:rsidR="00A73F3C" w:rsidRPr="00A73F3C" w:rsidRDefault="00A73F3C" w:rsidP="001479B2">
      <w:pPr>
        <w:pStyle w:val="MDPI21heading1"/>
        <w:ind w:firstLine="452"/>
        <w:jc w:val="both"/>
        <w:rPr>
          <w:b w:val="0"/>
        </w:rPr>
      </w:pPr>
      <w:r w:rsidRPr="00A73F3C">
        <w:rPr>
          <w:b w:val="0"/>
        </w:rPr>
        <w:t>All patients benefited from an interview including dietary pattern survey using the ELSA Brazil questionnaire, [28] (to assess dietary patterns, particularly in terms of fiber intake, water, processed foods and soda consumption), anxiety questionnaire (Hamilton) [29], sleep questionnaire (Pittsburgh Sleep Quality Index - PSQI) [30] and international physical activity questionnaire (IPAQ) [31]. These questionnaires were administered at T0 and T1.</w:t>
      </w:r>
    </w:p>
    <w:p w14:paraId="6FEBB9AC" w14:textId="77777777" w:rsidR="00A73F3C" w:rsidRPr="00342F13" w:rsidRDefault="00A73F3C" w:rsidP="00B67D18">
      <w:pPr>
        <w:pStyle w:val="MDPI21heading1"/>
        <w:jc w:val="both"/>
        <w:rPr>
          <w:bCs/>
        </w:rPr>
      </w:pPr>
      <w:r w:rsidRPr="00342F13">
        <w:rPr>
          <w:bCs/>
        </w:rPr>
        <w:t>Intestinal Microbiota Analysis</w:t>
      </w:r>
    </w:p>
    <w:p w14:paraId="413EEFA0" w14:textId="77777777" w:rsidR="00A73F3C" w:rsidRPr="00342F13" w:rsidRDefault="00A73F3C" w:rsidP="00B67D18">
      <w:pPr>
        <w:pStyle w:val="MDPI21heading1"/>
        <w:jc w:val="both"/>
        <w:rPr>
          <w:bCs/>
        </w:rPr>
      </w:pPr>
      <w:r w:rsidRPr="00342F13">
        <w:rPr>
          <w:bCs/>
        </w:rPr>
        <w:t>Metagenomic analysis by DNA sequencing</w:t>
      </w:r>
    </w:p>
    <w:p w14:paraId="267B9595" w14:textId="0C00F038" w:rsidR="00A73F3C" w:rsidRPr="00A73F3C" w:rsidRDefault="00A73F3C" w:rsidP="00342F13">
      <w:pPr>
        <w:pStyle w:val="MDPI21heading1"/>
        <w:ind w:firstLine="452"/>
        <w:jc w:val="both"/>
        <w:rPr>
          <w:b w:val="0"/>
        </w:rPr>
      </w:pPr>
      <w:r w:rsidRPr="00A73F3C">
        <w:rPr>
          <w:b w:val="0"/>
        </w:rPr>
        <w:t>DNA from stool samples was isolated as described by HEISEN (2016) [32]. For comprehensive metagenomic analysis, shotgun DNA sequencing of the stools was utilized to assess the taxonomy of the intestinal microbiota. The quality and quantity of DNA samples were checked using Nanodrop Photometer 2000 (Thermo Scientific), and the DNA was sequenced on an Illumina HiSeq 2500 Sequencer. Samples (50 ng as quantified by Qbit) were processed with the Illumina Nextera</w:t>
      </w:r>
      <w:r w:rsidR="000F5383">
        <w:rPr>
          <w:b w:val="0"/>
        </w:rPr>
        <w:t xml:space="preserve"> </w:t>
      </w:r>
      <w:r w:rsidRPr="00A73F3C">
        <w:rPr>
          <w:b w:val="0"/>
        </w:rPr>
        <w:t>DNA-Sample-Preparation Kit according to the manufacturer's protocol. Sequencing was done with 2x100 nucleotides (paired-end sequencing) in 8 lanes with 300 GB of raw data. On average, sequencing reached 2.1 GB/sample. The samples were sequenced with a sequencing depth of 10.9 million reads per paired-end sequencing file (s = 6.3 million).</w:t>
      </w:r>
    </w:p>
    <w:p w14:paraId="6E264167" w14:textId="77777777" w:rsidR="00A73F3C" w:rsidRPr="000F5383" w:rsidRDefault="00A73F3C" w:rsidP="00B67D18">
      <w:pPr>
        <w:pStyle w:val="MDPI21heading1"/>
        <w:jc w:val="both"/>
        <w:rPr>
          <w:bCs/>
        </w:rPr>
      </w:pPr>
      <w:r w:rsidRPr="000F5383">
        <w:rPr>
          <w:bCs/>
        </w:rPr>
        <w:t>Bioinformatics analysis of sequencing data</w:t>
      </w:r>
    </w:p>
    <w:p w14:paraId="4CA8092C" w14:textId="77777777" w:rsidR="00A73F3C" w:rsidRPr="00A73F3C" w:rsidRDefault="00A73F3C" w:rsidP="000F5383">
      <w:pPr>
        <w:pStyle w:val="MDPI21heading1"/>
        <w:ind w:firstLine="452"/>
        <w:jc w:val="both"/>
        <w:rPr>
          <w:b w:val="0"/>
        </w:rPr>
      </w:pPr>
      <w:r w:rsidRPr="00A73F3C">
        <w:rPr>
          <w:b w:val="0"/>
        </w:rPr>
        <w:t xml:space="preserve">Raw sequences obtained from metagenomic samples of 45 patients underwent a quality check using FastQC software (https://www.bioinformatics.babraham.ac.uk/projects/fastqc/). Quality check comprising by base sequence quality, by sequence quality scores, by base sequence content, by sequence GC content, by N base content, sequence length distribution, sequence duplication levels, kmer content and overrepresented sequences. All samples presented satisfactory values for each parameter tested. Then, the sequences were processed using PRINSEQ to remove low-quality reads, cut poly-Ns and A/T tails. Each sample was subjected to a BLASTX analysis using an in-house developed tool (MALThttp://ab.inf.uni-tuebingen.de/software/malt/) against the NCBI-NR database </w:t>
      </w:r>
      <w:r w:rsidRPr="00A73F3C">
        <w:rPr>
          <w:b w:val="0"/>
        </w:rPr>
        <w:lastRenderedPageBreak/>
        <w:t>with a maximum allowed e-value of 1.0. BLASTX files were imported into MEGAN5 (http://ab.inf.uni-tuebingen.de/software/megan5/). MEGAN5 clusters reads into taxonomic and functional categories based on BLASTX hits. The minimum bit score used for analysis was 50 and a minimum support of 50 reads for each taxonomic category was used for the LCA algorithm. Ultimately, the reads were assigned to a taxonomic and functional category. On average, about 50% of the readings in each sample were assigned to some category, 79% of them to the genus level and about 61% to the species level. The samples were normalized with respect to each other. Functional annotation of the reads was based on the KEGG library (Kyoto Encyclopedia for Genes and Genomes, http://www.genome.jp/kegg/).</w:t>
      </w:r>
    </w:p>
    <w:p w14:paraId="6574C775" w14:textId="77777777" w:rsidR="00A73F3C" w:rsidRPr="003F19EE" w:rsidRDefault="00A73F3C" w:rsidP="00B67D18">
      <w:pPr>
        <w:pStyle w:val="MDPI21heading1"/>
        <w:jc w:val="both"/>
        <w:rPr>
          <w:bCs/>
        </w:rPr>
      </w:pPr>
      <w:r w:rsidRPr="003F19EE">
        <w:rPr>
          <w:bCs/>
        </w:rPr>
        <w:t>Statistical analysis</w:t>
      </w:r>
    </w:p>
    <w:p w14:paraId="4C14B19D" w14:textId="77777777" w:rsidR="00A73F3C" w:rsidRPr="00A73F3C" w:rsidRDefault="00A73F3C" w:rsidP="003F19EE">
      <w:pPr>
        <w:pStyle w:val="MDPI21heading1"/>
        <w:ind w:firstLine="452"/>
        <w:jc w:val="both"/>
        <w:rPr>
          <w:b w:val="0"/>
        </w:rPr>
      </w:pPr>
      <w:r w:rsidRPr="00A73F3C">
        <w:rPr>
          <w:b w:val="0"/>
        </w:rPr>
        <w:t>A paired sample of n=45 was calculated with study power of 81.35% (0.8135), effect size of 0.38 and α=0.05. The calculation was carried out using G-power Software 3.1.9.7.</w:t>
      </w:r>
    </w:p>
    <w:p w14:paraId="50EEB345" w14:textId="77777777" w:rsidR="00A73F3C" w:rsidRPr="00A73F3C" w:rsidRDefault="00A73F3C" w:rsidP="00AA14F6">
      <w:pPr>
        <w:pStyle w:val="MDPI21heading1"/>
        <w:ind w:firstLine="452"/>
        <w:jc w:val="both"/>
        <w:rPr>
          <w:b w:val="0"/>
        </w:rPr>
      </w:pPr>
      <w:r w:rsidRPr="00A73F3C">
        <w:rPr>
          <w:b w:val="0"/>
        </w:rPr>
        <w:t>Descriptive and inferential statistical analysis was performed. The descriptive analysis was carried out using absolute and relative frequencies for qualitative variables. Quantitative variables were analyzed using their means and standard deviation.</w:t>
      </w:r>
    </w:p>
    <w:p w14:paraId="706032BC" w14:textId="77777777" w:rsidR="00A73F3C" w:rsidRPr="00A73F3C" w:rsidRDefault="00A73F3C" w:rsidP="00AA14F6">
      <w:pPr>
        <w:pStyle w:val="MDPI21heading1"/>
        <w:ind w:firstLine="452"/>
        <w:jc w:val="both"/>
        <w:rPr>
          <w:b w:val="0"/>
        </w:rPr>
      </w:pPr>
      <w:r w:rsidRPr="00A73F3C">
        <w:rPr>
          <w:b w:val="0"/>
        </w:rPr>
        <w:t>For inferential analysis, the following procedures were employed: for quantitative variables (discrete and continuous), normality tests were initially conducted using the KS and SW tests. Subsequently, a paired Student's t-test was performed. For qualitative variables, McNemar's test was used for nominal variables, and the Wilcoxon test was applied for ordinal variables. The strength of association between qualitative variables was assessed by calculating the odds ratio, accompanied by the respective 95% confidence interval (CI 95%). A significance value of p&lt;0.05 was used to determine statistically significant differences. The analyses were carried out using IBM SPSS software, version 25.0.</w:t>
      </w:r>
    </w:p>
    <w:p w14:paraId="6A1CEA18" w14:textId="0DCE4857" w:rsidR="00554A5B" w:rsidRDefault="00554A5B" w:rsidP="00B67D18">
      <w:pPr>
        <w:pStyle w:val="MDPI21heading1"/>
        <w:jc w:val="both"/>
      </w:pPr>
      <w:r w:rsidRPr="001F31D1">
        <w:t>3. Results</w:t>
      </w:r>
    </w:p>
    <w:p w14:paraId="2B101073" w14:textId="4C1AC376" w:rsidR="008E7E70" w:rsidRDefault="0098458B" w:rsidP="0098458B">
      <w:pPr>
        <w:pStyle w:val="MDPI21heading1"/>
        <w:ind w:firstLine="452"/>
        <w:jc w:val="both"/>
        <w:rPr>
          <w:b w:val="0"/>
          <w:bCs/>
        </w:rPr>
      </w:pPr>
      <w:r w:rsidRPr="0098458B">
        <w:rPr>
          <w:b w:val="0"/>
          <w:bCs/>
        </w:rPr>
        <w:t>Of the 45 patients included in the study, 30 (66.7%) were female. Compared to the general population, the participants included in the study had a higher socioeconomic level. The age range of the group varied between 26 and 52 years. The results obtained revealed that all bacterial strains contained in the probiotic used in the treatment were detected in the intestinal microbiota of all patients included in the study (Figure 1).</w:t>
      </w:r>
    </w:p>
    <w:p w14:paraId="78F1EA56" w14:textId="5AC93C91" w:rsidR="002C4E2C" w:rsidRPr="0098458B" w:rsidRDefault="0096726B" w:rsidP="0098458B">
      <w:pPr>
        <w:pStyle w:val="MDPI21heading1"/>
        <w:ind w:firstLine="452"/>
        <w:jc w:val="both"/>
        <w:rPr>
          <w:b w:val="0"/>
          <w:bCs/>
        </w:rPr>
      </w:pPr>
      <w:r>
        <w:rPr>
          <w:noProof/>
        </w:rPr>
        <w:drawing>
          <wp:inline distT="0" distB="0" distL="0" distR="0" wp14:anchorId="65B7663A" wp14:editId="0AA18F73">
            <wp:extent cx="3770630" cy="2266315"/>
            <wp:effectExtent l="0" t="0" r="1270" b="635"/>
            <wp:docPr id="1465606720"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606720" name="Imagem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70630" cy="2266315"/>
                    </a:xfrm>
                    <a:prstGeom prst="rect">
                      <a:avLst/>
                    </a:prstGeom>
                    <a:noFill/>
                    <a:ln>
                      <a:noFill/>
                    </a:ln>
                  </pic:spPr>
                </pic:pic>
              </a:graphicData>
            </a:graphic>
          </wp:inline>
        </w:drawing>
      </w:r>
    </w:p>
    <w:p w14:paraId="21963298" w14:textId="52B1F65C" w:rsidR="00EC3CC1" w:rsidRPr="00EC3CC1" w:rsidRDefault="00E03E0E" w:rsidP="00EC3CC1">
      <w:pPr>
        <w:pStyle w:val="MDPI21heading1"/>
        <w:rPr>
          <w:b w:val="0"/>
          <w:bCs/>
        </w:rPr>
      </w:pPr>
      <w:r>
        <w:rPr>
          <w:b w:val="0"/>
          <w:bCs/>
        </w:rPr>
        <w:t>F</w:t>
      </w:r>
      <w:r w:rsidR="00EC3CC1" w:rsidRPr="00EC3CC1">
        <w:rPr>
          <w:b w:val="0"/>
          <w:bCs/>
        </w:rPr>
        <w:t>igure 1. Analysis of the presence of bacterial species of probiotic before and after treatment of the patients included in the study.</w:t>
      </w:r>
    </w:p>
    <w:p w14:paraId="25A31487" w14:textId="1A1FC72A" w:rsidR="00EC3CC1" w:rsidRPr="00EC3CC1" w:rsidRDefault="00EC3CC1" w:rsidP="00EC3CC1">
      <w:pPr>
        <w:pStyle w:val="MDPI21heading1"/>
        <w:rPr>
          <w:b w:val="0"/>
          <w:bCs/>
        </w:rPr>
      </w:pPr>
      <w:r w:rsidRPr="00EC3CC1">
        <w:rPr>
          <w:b w:val="0"/>
          <w:bCs/>
        </w:rPr>
        <w:lastRenderedPageBreak/>
        <w:t>*p&lt;0.05 = significant difference by Wilcoxon Test.</w:t>
      </w:r>
    </w:p>
    <w:p w14:paraId="539843D9" w14:textId="02A02713" w:rsidR="00CF752B" w:rsidRDefault="00785CC2" w:rsidP="00785CC2">
      <w:pPr>
        <w:pStyle w:val="MDPI21heading1"/>
        <w:ind w:firstLine="452"/>
        <w:jc w:val="both"/>
        <w:rPr>
          <w:b w:val="0"/>
          <w:bCs/>
        </w:rPr>
      </w:pPr>
      <w:r w:rsidRPr="00785CC2">
        <w:rPr>
          <w:b w:val="0"/>
          <w:bCs/>
        </w:rPr>
        <w:t>Table 1 presents the characteristics of the study population in relation to lifestyle habits at time points T0 and T1. After a 60-day period, the percentage of participants classified as highly active increased from 17.8% to 75.6% (OR=14.29; p&lt;0.001), while there was a significant reduction in the percentage of participants classified as sedentary, decreasing from 44.4% to 6.7% (OR=0.09; p&lt;0.001). An increase in patients without anxiety was observed after treatment (OR=55.00; p&lt;0.001), as well as a significant reduction in patients with severe anxiety (OR=0.04; p&lt;0.001). Additionally, participants reported a significant improvement in sleep quality, with the mean PSQI score decreasing (OR=14.39; p &lt; 0.001), indicating an overall improvement in sleep quality. Regarding the consumption of fiber-rich foods, there was no significant change (p=0.15), with over 85% of patients consuming them both before and after treatment, as the majority already had this dietary habit. As for water intake, there was a significant increase in the daily amount of water consumed by participants after treatment (OR=10.72; p&lt;0.001). In terms of soda consumption, there was an increase in the number of patients who stopped consuming this type of beverage (OR=5.50; p&lt;0.001). Regarding the consumption of processed foods, there was a significant reduction in the frequency of consumption of these foods after treatment (OR=41.00; p&lt;0.001) (Table 1). It is worth noting that there was no change in the dietary pattern of the patients.</w:t>
      </w:r>
    </w:p>
    <w:p w14:paraId="616FECA8" w14:textId="77777777" w:rsidR="006D3043" w:rsidRDefault="006D3043" w:rsidP="00785CC2">
      <w:pPr>
        <w:pStyle w:val="MDPI21heading1"/>
        <w:ind w:firstLine="452"/>
        <w:jc w:val="both"/>
        <w:rPr>
          <w:b w:val="0"/>
          <w:bCs/>
        </w:rPr>
      </w:pPr>
    </w:p>
    <w:p w14:paraId="56780BC6" w14:textId="77777777" w:rsidR="006D3043" w:rsidRDefault="006D3043" w:rsidP="00785CC2">
      <w:pPr>
        <w:pStyle w:val="MDPI21heading1"/>
        <w:ind w:firstLine="452"/>
        <w:jc w:val="both"/>
        <w:rPr>
          <w:b w:val="0"/>
          <w:bCs/>
        </w:rPr>
      </w:pPr>
    </w:p>
    <w:p w14:paraId="7216C59D" w14:textId="77777777" w:rsidR="006D3043" w:rsidRDefault="006D3043" w:rsidP="00785CC2">
      <w:pPr>
        <w:pStyle w:val="MDPI21heading1"/>
        <w:ind w:firstLine="452"/>
        <w:jc w:val="both"/>
        <w:rPr>
          <w:b w:val="0"/>
          <w:bCs/>
        </w:rPr>
      </w:pPr>
    </w:p>
    <w:p w14:paraId="24959D58" w14:textId="77777777" w:rsidR="006D3043" w:rsidRDefault="006D3043" w:rsidP="00785CC2">
      <w:pPr>
        <w:pStyle w:val="MDPI21heading1"/>
        <w:ind w:firstLine="452"/>
        <w:jc w:val="both"/>
        <w:rPr>
          <w:b w:val="0"/>
          <w:bCs/>
        </w:rPr>
      </w:pPr>
    </w:p>
    <w:p w14:paraId="3B6E6AF5" w14:textId="77777777" w:rsidR="006D3043" w:rsidRDefault="006D3043" w:rsidP="00785CC2">
      <w:pPr>
        <w:pStyle w:val="MDPI21heading1"/>
        <w:ind w:firstLine="452"/>
        <w:jc w:val="both"/>
        <w:rPr>
          <w:b w:val="0"/>
          <w:bCs/>
        </w:rPr>
      </w:pPr>
    </w:p>
    <w:p w14:paraId="28173288" w14:textId="77777777" w:rsidR="006D3043" w:rsidRDefault="006D3043" w:rsidP="00785CC2">
      <w:pPr>
        <w:pStyle w:val="MDPI21heading1"/>
        <w:ind w:firstLine="452"/>
        <w:jc w:val="both"/>
        <w:rPr>
          <w:b w:val="0"/>
          <w:bCs/>
        </w:rPr>
      </w:pPr>
    </w:p>
    <w:p w14:paraId="24A34D19" w14:textId="77777777" w:rsidR="006D3043" w:rsidRDefault="006D3043" w:rsidP="00785CC2">
      <w:pPr>
        <w:pStyle w:val="MDPI21heading1"/>
        <w:ind w:firstLine="452"/>
        <w:jc w:val="both"/>
        <w:rPr>
          <w:b w:val="0"/>
          <w:bCs/>
        </w:rPr>
      </w:pPr>
    </w:p>
    <w:p w14:paraId="3E9ACAF4" w14:textId="77777777" w:rsidR="006D3043" w:rsidRDefault="006D3043" w:rsidP="00785CC2">
      <w:pPr>
        <w:pStyle w:val="MDPI21heading1"/>
        <w:ind w:firstLine="452"/>
        <w:jc w:val="both"/>
        <w:rPr>
          <w:b w:val="0"/>
          <w:bCs/>
        </w:rPr>
      </w:pPr>
    </w:p>
    <w:p w14:paraId="4714BB93" w14:textId="103B7CF0" w:rsidR="004C1C74" w:rsidRDefault="00C540C6" w:rsidP="00785CC2">
      <w:pPr>
        <w:pStyle w:val="MDPI21heading1"/>
        <w:ind w:firstLine="452"/>
        <w:jc w:val="both"/>
        <w:rPr>
          <w:b w:val="0"/>
          <w:bCs/>
        </w:rPr>
      </w:pPr>
      <w:r w:rsidRPr="006D3043">
        <w:t>Table 1</w:t>
      </w:r>
      <w:r w:rsidRPr="00C540C6">
        <w:rPr>
          <w:b w:val="0"/>
          <w:bCs/>
        </w:rPr>
        <w:t>. Analysis of variables related to lifestyle habits</w:t>
      </w:r>
    </w:p>
    <w:p w14:paraId="50CCB847" w14:textId="77777777" w:rsidR="006D3043" w:rsidRPr="00785CC2" w:rsidRDefault="006D3043" w:rsidP="00785CC2">
      <w:pPr>
        <w:pStyle w:val="MDPI21heading1"/>
        <w:ind w:firstLine="452"/>
        <w:jc w:val="both"/>
        <w:rPr>
          <w:b w:val="0"/>
          <w:bCs/>
        </w:rPr>
      </w:pPr>
    </w:p>
    <w:tbl>
      <w:tblPr>
        <w:tblStyle w:val="Tabelacomgrade"/>
        <w:tblW w:w="8351" w:type="dxa"/>
        <w:tblInd w:w="2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1134"/>
        <w:gridCol w:w="1118"/>
        <w:gridCol w:w="2230"/>
        <w:gridCol w:w="893"/>
      </w:tblGrid>
      <w:tr w:rsidR="00AC36F0" w:rsidRPr="00393BB1" w14:paraId="6892D1B5" w14:textId="77777777" w:rsidTr="00C10541">
        <w:tc>
          <w:tcPr>
            <w:tcW w:w="2976" w:type="dxa"/>
            <w:tcBorders>
              <w:top w:val="single" w:sz="4" w:space="0" w:color="auto"/>
            </w:tcBorders>
            <w:shd w:val="clear" w:color="auto" w:fill="auto"/>
            <w:vAlign w:val="center"/>
          </w:tcPr>
          <w:p w14:paraId="12D84EFA" w14:textId="77777777" w:rsidR="00AC36F0" w:rsidRPr="00393BB1" w:rsidRDefault="00AC36F0" w:rsidP="00D86EF7">
            <w:pPr>
              <w:jc w:val="center"/>
            </w:pPr>
            <w:r w:rsidRPr="00393BB1">
              <w:t>Variables</w:t>
            </w:r>
          </w:p>
        </w:tc>
        <w:tc>
          <w:tcPr>
            <w:tcW w:w="2252" w:type="dxa"/>
            <w:gridSpan w:val="2"/>
            <w:tcBorders>
              <w:top w:val="single" w:sz="4" w:space="0" w:color="auto"/>
            </w:tcBorders>
            <w:shd w:val="clear" w:color="auto" w:fill="auto"/>
            <w:vAlign w:val="center"/>
          </w:tcPr>
          <w:p w14:paraId="0F5A762F" w14:textId="77777777" w:rsidR="00AC36F0" w:rsidRPr="00393BB1" w:rsidRDefault="00AC36F0" w:rsidP="00D86EF7">
            <w:pPr>
              <w:jc w:val="center"/>
            </w:pPr>
            <w:r w:rsidRPr="00393BB1">
              <w:t xml:space="preserve">    Pacients (n=45)</w:t>
            </w:r>
          </w:p>
        </w:tc>
        <w:tc>
          <w:tcPr>
            <w:tcW w:w="2230" w:type="dxa"/>
            <w:vMerge w:val="restart"/>
            <w:tcBorders>
              <w:top w:val="single" w:sz="4" w:space="0" w:color="auto"/>
            </w:tcBorders>
            <w:shd w:val="clear" w:color="auto" w:fill="auto"/>
            <w:vAlign w:val="center"/>
          </w:tcPr>
          <w:p w14:paraId="1C74A6BE" w14:textId="77777777" w:rsidR="00AC36F0" w:rsidRPr="00393BB1" w:rsidRDefault="00AC36F0" w:rsidP="00D86EF7">
            <w:pPr>
              <w:jc w:val="center"/>
            </w:pPr>
            <w:r w:rsidRPr="00393BB1">
              <w:t>OR (IC)*</w:t>
            </w:r>
          </w:p>
        </w:tc>
        <w:tc>
          <w:tcPr>
            <w:tcW w:w="893" w:type="dxa"/>
            <w:vMerge w:val="restart"/>
            <w:tcBorders>
              <w:top w:val="single" w:sz="4" w:space="0" w:color="auto"/>
            </w:tcBorders>
            <w:vAlign w:val="center"/>
          </w:tcPr>
          <w:p w14:paraId="422D8D4E" w14:textId="77777777" w:rsidR="00AC36F0" w:rsidRPr="00393BB1" w:rsidRDefault="00AC36F0" w:rsidP="00D86EF7">
            <w:pPr>
              <w:jc w:val="center"/>
            </w:pPr>
            <w:r w:rsidRPr="00393BB1">
              <w:t>Value p**</w:t>
            </w:r>
          </w:p>
        </w:tc>
      </w:tr>
      <w:tr w:rsidR="00AC36F0" w:rsidRPr="00393BB1" w14:paraId="4B10A081" w14:textId="77777777" w:rsidTr="00C10541">
        <w:tc>
          <w:tcPr>
            <w:tcW w:w="2976" w:type="dxa"/>
            <w:tcBorders>
              <w:bottom w:val="single" w:sz="4" w:space="0" w:color="auto"/>
            </w:tcBorders>
            <w:shd w:val="clear" w:color="auto" w:fill="auto"/>
            <w:vAlign w:val="center"/>
          </w:tcPr>
          <w:p w14:paraId="63840DEE" w14:textId="77777777" w:rsidR="00AC36F0" w:rsidRPr="00393BB1" w:rsidRDefault="00AC36F0" w:rsidP="00D86EF7">
            <w:pPr>
              <w:jc w:val="center"/>
            </w:pPr>
          </w:p>
        </w:tc>
        <w:tc>
          <w:tcPr>
            <w:tcW w:w="1134" w:type="dxa"/>
            <w:tcBorders>
              <w:bottom w:val="single" w:sz="4" w:space="0" w:color="auto"/>
            </w:tcBorders>
            <w:shd w:val="clear" w:color="auto" w:fill="auto"/>
            <w:vAlign w:val="center"/>
          </w:tcPr>
          <w:p w14:paraId="5C1742FE" w14:textId="77777777" w:rsidR="00AC36F0" w:rsidRPr="00393BB1" w:rsidRDefault="00AC36F0" w:rsidP="00D86EF7">
            <w:pPr>
              <w:jc w:val="center"/>
            </w:pPr>
            <w:r w:rsidRPr="00393BB1">
              <w:t>Before (t0)</w:t>
            </w:r>
          </w:p>
          <w:p w14:paraId="0371FAD2" w14:textId="77777777" w:rsidR="00AC36F0" w:rsidRPr="00393BB1" w:rsidRDefault="00AC36F0" w:rsidP="00D86EF7">
            <w:pPr>
              <w:jc w:val="center"/>
              <w:rPr>
                <w:vertAlign w:val="superscript"/>
              </w:rPr>
            </w:pPr>
            <w:r w:rsidRPr="00393BB1">
              <w:t xml:space="preserve"> N(%)</w:t>
            </w:r>
            <w:r w:rsidRPr="00393BB1">
              <w:rPr>
                <w:vertAlign w:val="superscript"/>
              </w:rPr>
              <w:t>1</w:t>
            </w:r>
          </w:p>
        </w:tc>
        <w:tc>
          <w:tcPr>
            <w:tcW w:w="1118" w:type="dxa"/>
            <w:tcBorders>
              <w:bottom w:val="single" w:sz="4" w:space="0" w:color="auto"/>
            </w:tcBorders>
            <w:vAlign w:val="center"/>
          </w:tcPr>
          <w:p w14:paraId="46AFF705" w14:textId="77777777" w:rsidR="00AC36F0" w:rsidRPr="00393BB1" w:rsidRDefault="00AC36F0" w:rsidP="00D86EF7">
            <w:pPr>
              <w:jc w:val="center"/>
            </w:pPr>
            <w:r w:rsidRPr="00393BB1">
              <w:t>After (t1)</w:t>
            </w:r>
          </w:p>
          <w:p w14:paraId="67A46583" w14:textId="77777777" w:rsidR="00AC36F0" w:rsidRPr="00393BB1" w:rsidRDefault="00AC36F0" w:rsidP="00D86EF7">
            <w:pPr>
              <w:jc w:val="center"/>
            </w:pPr>
            <w:r w:rsidRPr="00393BB1">
              <w:t>N(%)</w:t>
            </w:r>
          </w:p>
        </w:tc>
        <w:tc>
          <w:tcPr>
            <w:tcW w:w="2230" w:type="dxa"/>
            <w:vMerge/>
            <w:tcBorders>
              <w:bottom w:val="single" w:sz="4" w:space="0" w:color="auto"/>
            </w:tcBorders>
          </w:tcPr>
          <w:p w14:paraId="28D7459B" w14:textId="77777777" w:rsidR="00AC36F0" w:rsidRPr="00393BB1" w:rsidRDefault="00AC36F0" w:rsidP="00D86EF7">
            <w:pPr>
              <w:jc w:val="center"/>
            </w:pPr>
          </w:p>
        </w:tc>
        <w:tc>
          <w:tcPr>
            <w:tcW w:w="893" w:type="dxa"/>
            <w:vMerge/>
            <w:tcBorders>
              <w:bottom w:val="single" w:sz="4" w:space="0" w:color="auto"/>
            </w:tcBorders>
            <w:shd w:val="clear" w:color="auto" w:fill="auto"/>
            <w:vAlign w:val="center"/>
          </w:tcPr>
          <w:p w14:paraId="65961E2D" w14:textId="77777777" w:rsidR="00AC36F0" w:rsidRPr="00393BB1" w:rsidRDefault="00AC36F0" w:rsidP="00D86EF7">
            <w:pPr>
              <w:jc w:val="center"/>
            </w:pPr>
          </w:p>
        </w:tc>
      </w:tr>
      <w:tr w:rsidR="00AC36F0" w:rsidRPr="00393BB1" w14:paraId="690621AC" w14:textId="77777777" w:rsidTr="00C10541">
        <w:tc>
          <w:tcPr>
            <w:tcW w:w="2976" w:type="dxa"/>
            <w:tcBorders>
              <w:top w:val="single" w:sz="4" w:space="0" w:color="auto"/>
            </w:tcBorders>
          </w:tcPr>
          <w:p w14:paraId="57EA4DE1" w14:textId="77777777" w:rsidR="00AC36F0" w:rsidRPr="00393BB1" w:rsidRDefault="00AC36F0" w:rsidP="00D86EF7">
            <w:pPr>
              <w:spacing w:line="276" w:lineRule="auto"/>
            </w:pPr>
            <w:r w:rsidRPr="00393BB1">
              <w:t>Anxiety - Hamilton</w:t>
            </w:r>
          </w:p>
        </w:tc>
        <w:tc>
          <w:tcPr>
            <w:tcW w:w="1134" w:type="dxa"/>
            <w:tcBorders>
              <w:top w:val="single" w:sz="4" w:space="0" w:color="auto"/>
            </w:tcBorders>
          </w:tcPr>
          <w:p w14:paraId="52BA827C" w14:textId="77777777" w:rsidR="00AC36F0" w:rsidRPr="00393BB1" w:rsidRDefault="00AC36F0" w:rsidP="00D86EF7">
            <w:pPr>
              <w:spacing w:line="276" w:lineRule="auto"/>
            </w:pPr>
          </w:p>
        </w:tc>
        <w:tc>
          <w:tcPr>
            <w:tcW w:w="1118" w:type="dxa"/>
            <w:tcBorders>
              <w:top w:val="single" w:sz="4" w:space="0" w:color="auto"/>
            </w:tcBorders>
          </w:tcPr>
          <w:p w14:paraId="582CAF67" w14:textId="77777777" w:rsidR="00AC36F0" w:rsidRPr="00393BB1" w:rsidRDefault="00AC36F0" w:rsidP="00D86EF7">
            <w:pPr>
              <w:spacing w:line="276" w:lineRule="auto"/>
            </w:pPr>
          </w:p>
        </w:tc>
        <w:tc>
          <w:tcPr>
            <w:tcW w:w="2230" w:type="dxa"/>
            <w:tcBorders>
              <w:top w:val="single" w:sz="4" w:space="0" w:color="auto"/>
            </w:tcBorders>
          </w:tcPr>
          <w:p w14:paraId="4551F2E3" w14:textId="77777777" w:rsidR="00AC36F0" w:rsidRPr="00393BB1" w:rsidRDefault="00AC36F0" w:rsidP="00D86EF7">
            <w:pPr>
              <w:spacing w:line="276" w:lineRule="auto"/>
              <w:jc w:val="center"/>
            </w:pPr>
          </w:p>
        </w:tc>
        <w:tc>
          <w:tcPr>
            <w:tcW w:w="893" w:type="dxa"/>
            <w:tcBorders>
              <w:top w:val="single" w:sz="4" w:space="0" w:color="auto"/>
            </w:tcBorders>
          </w:tcPr>
          <w:p w14:paraId="73DFBA97" w14:textId="77777777" w:rsidR="00AC36F0" w:rsidRPr="00393BB1" w:rsidRDefault="00AC36F0" w:rsidP="00D86EF7">
            <w:pPr>
              <w:spacing w:line="276" w:lineRule="auto"/>
            </w:pPr>
          </w:p>
        </w:tc>
      </w:tr>
      <w:tr w:rsidR="00AC36F0" w:rsidRPr="00393BB1" w14:paraId="2F4D53C9" w14:textId="77777777" w:rsidTr="00C10541">
        <w:tc>
          <w:tcPr>
            <w:tcW w:w="2976" w:type="dxa"/>
          </w:tcPr>
          <w:p w14:paraId="2B46B634" w14:textId="77777777" w:rsidR="00AC36F0" w:rsidRPr="00393BB1" w:rsidRDefault="00AC36F0" w:rsidP="00D86EF7">
            <w:pPr>
              <w:spacing w:line="276" w:lineRule="auto"/>
              <w:ind w:left="447"/>
            </w:pPr>
            <w:r w:rsidRPr="00393BB1">
              <w:t>No anxiety</w:t>
            </w:r>
          </w:p>
        </w:tc>
        <w:tc>
          <w:tcPr>
            <w:tcW w:w="1134" w:type="dxa"/>
            <w:vAlign w:val="center"/>
          </w:tcPr>
          <w:p w14:paraId="52C89FE3" w14:textId="77777777" w:rsidR="00AC36F0" w:rsidRPr="00393BB1" w:rsidRDefault="00AC36F0" w:rsidP="00D86EF7">
            <w:pPr>
              <w:spacing w:line="276" w:lineRule="auto"/>
              <w:jc w:val="center"/>
            </w:pPr>
            <w:r w:rsidRPr="00393BB1">
              <w:t>1 (2.2)</w:t>
            </w:r>
          </w:p>
        </w:tc>
        <w:tc>
          <w:tcPr>
            <w:tcW w:w="1118" w:type="dxa"/>
            <w:vAlign w:val="center"/>
          </w:tcPr>
          <w:p w14:paraId="75AAADBD" w14:textId="77777777" w:rsidR="00AC36F0" w:rsidRPr="00393BB1" w:rsidRDefault="00AC36F0" w:rsidP="00D86EF7">
            <w:pPr>
              <w:spacing w:line="276" w:lineRule="auto"/>
              <w:jc w:val="center"/>
            </w:pPr>
            <w:r w:rsidRPr="00393BB1">
              <w:t>25 (55.6)</w:t>
            </w:r>
          </w:p>
        </w:tc>
        <w:tc>
          <w:tcPr>
            <w:tcW w:w="2230" w:type="dxa"/>
          </w:tcPr>
          <w:p w14:paraId="2FD8298A" w14:textId="77777777" w:rsidR="00AC36F0" w:rsidRPr="00393BB1" w:rsidRDefault="00AC36F0" w:rsidP="00D86EF7">
            <w:pPr>
              <w:spacing w:line="276" w:lineRule="auto"/>
              <w:jc w:val="center"/>
            </w:pPr>
            <w:r w:rsidRPr="00393BB1">
              <w:t xml:space="preserve">55.00(7.59-307.78) </w:t>
            </w:r>
          </w:p>
        </w:tc>
        <w:tc>
          <w:tcPr>
            <w:tcW w:w="893" w:type="dxa"/>
            <w:vMerge w:val="restart"/>
            <w:vAlign w:val="center"/>
          </w:tcPr>
          <w:p w14:paraId="12BE72F8" w14:textId="77777777" w:rsidR="00AC36F0" w:rsidRPr="00393BB1" w:rsidRDefault="00AC36F0" w:rsidP="00D86EF7">
            <w:pPr>
              <w:spacing w:line="276" w:lineRule="auto"/>
              <w:jc w:val="center"/>
            </w:pPr>
            <w:r w:rsidRPr="00393BB1">
              <w:t>&lt;0.001</w:t>
            </w:r>
          </w:p>
        </w:tc>
      </w:tr>
      <w:tr w:rsidR="00AC36F0" w:rsidRPr="00393BB1" w14:paraId="67DC68B8" w14:textId="77777777" w:rsidTr="00C10541">
        <w:tc>
          <w:tcPr>
            <w:tcW w:w="2976" w:type="dxa"/>
          </w:tcPr>
          <w:p w14:paraId="449408A1" w14:textId="77777777" w:rsidR="00AC36F0" w:rsidRPr="00393BB1" w:rsidRDefault="00AC36F0" w:rsidP="00D86EF7">
            <w:pPr>
              <w:spacing w:line="276" w:lineRule="auto"/>
              <w:ind w:left="447"/>
            </w:pPr>
            <w:r w:rsidRPr="00393BB1">
              <w:t>Temporary anxiety</w:t>
            </w:r>
          </w:p>
        </w:tc>
        <w:tc>
          <w:tcPr>
            <w:tcW w:w="1134" w:type="dxa"/>
            <w:vAlign w:val="center"/>
          </w:tcPr>
          <w:p w14:paraId="7E1BF4AE" w14:textId="77777777" w:rsidR="00AC36F0" w:rsidRPr="00393BB1" w:rsidRDefault="00AC36F0" w:rsidP="00D86EF7">
            <w:pPr>
              <w:spacing w:line="276" w:lineRule="auto"/>
              <w:jc w:val="center"/>
            </w:pPr>
            <w:r w:rsidRPr="00393BB1">
              <w:t>6 (13.3)</w:t>
            </w:r>
          </w:p>
        </w:tc>
        <w:tc>
          <w:tcPr>
            <w:tcW w:w="1118" w:type="dxa"/>
            <w:vAlign w:val="center"/>
          </w:tcPr>
          <w:p w14:paraId="1186C281" w14:textId="77777777" w:rsidR="00AC36F0" w:rsidRPr="00393BB1" w:rsidRDefault="00AC36F0" w:rsidP="00D86EF7">
            <w:pPr>
              <w:spacing w:line="276" w:lineRule="auto"/>
              <w:jc w:val="center"/>
            </w:pPr>
            <w:r w:rsidRPr="00393BB1">
              <w:t>16 (35.6)</w:t>
            </w:r>
          </w:p>
        </w:tc>
        <w:tc>
          <w:tcPr>
            <w:tcW w:w="2230" w:type="dxa"/>
          </w:tcPr>
          <w:p w14:paraId="79E09C1C" w14:textId="77777777" w:rsidR="00AC36F0" w:rsidRPr="00393BB1" w:rsidRDefault="00AC36F0" w:rsidP="00D86EF7">
            <w:pPr>
              <w:spacing w:line="276" w:lineRule="auto"/>
              <w:jc w:val="center"/>
            </w:pPr>
            <w:r w:rsidRPr="00393BB1">
              <w:t xml:space="preserve">3.58 (1.14-12.45) </w:t>
            </w:r>
          </w:p>
        </w:tc>
        <w:tc>
          <w:tcPr>
            <w:tcW w:w="893" w:type="dxa"/>
            <w:vMerge/>
            <w:vAlign w:val="center"/>
          </w:tcPr>
          <w:p w14:paraId="38D1E8CA" w14:textId="77777777" w:rsidR="00AC36F0" w:rsidRPr="00393BB1" w:rsidRDefault="00AC36F0" w:rsidP="00D86EF7">
            <w:pPr>
              <w:spacing w:line="276" w:lineRule="auto"/>
              <w:jc w:val="center"/>
            </w:pPr>
          </w:p>
        </w:tc>
      </w:tr>
      <w:tr w:rsidR="00AC36F0" w:rsidRPr="00393BB1" w14:paraId="0E73700E" w14:textId="77777777" w:rsidTr="00C10541">
        <w:tc>
          <w:tcPr>
            <w:tcW w:w="2976" w:type="dxa"/>
          </w:tcPr>
          <w:p w14:paraId="0DAA44CC" w14:textId="77777777" w:rsidR="00AC36F0" w:rsidRPr="00393BB1" w:rsidRDefault="00AC36F0" w:rsidP="00D86EF7">
            <w:pPr>
              <w:spacing w:line="276" w:lineRule="auto"/>
              <w:ind w:left="447"/>
            </w:pPr>
            <w:r w:rsidRPr="00393BB1">
              <w:t>Moderate anxiety</w:t>
            </w:r>
          </w:p>
        </w:tc>
        <w:tc>
          <w:tcPr>
            <w:tcW w:w="1134" w:type="dxa"/>
            <w:vAlign w:val="center"/>
          </w:tcPr>
          <w:p w14:paraId="581DF371" w14:textId="77777777" w:rsidR="00AC36F0" w:rsidRPr="00393BB1" w:rsidRDefault="00AC36F0" w:rsidP="00D86EF7">
            <w:pPr>
              <w:spacing w:line="276" w:lineRule="auto"/>
              <w:jc w:val="center"/>
            </w:pPr>
            <w:r w:rsidRPr="00393BB1">
              <w:t>14(31.1)</w:t>
            </w:r>
          </w:p>
        </w:tc>
        <w:tc>
          <w:tcPr>
            <w:tcW w:w="1118" w:type="dxa"/>
            <w:vAlign w:val="center"/>
          </w:tcPr>
          <w:p w14:paraId="10110BC6" w14:textId="77777777" w:rsidR="00AC36F0" w:rsidRPr="00393BB1" w:rsidRDefault="00AC36F0" w:rsidP="00D86EF7">
            <w:pPr>
              <w:spacing w:line="276" w:lineRule="auto"/>
              <w:jc w:val="center"/>
            </w:pPr>
            <w:r w:rsidRPr="00393BB1">
              <w:t>2 (4.4)</w:t>
            </w:r>
          </w:p>
        </w:tc>
        <w:tc>
          <w:tcPr>
            <w:tcW w:w="2230" w:type="dxa"/>
          </w:tcPr>
          <w:p w14:paraId="78FD569C" w14:textId="77777777" w:rsidR="00AC36F0" w:rsidRPr="00393BB1" w:rsidRDefault="00AC36F0" w:rsidP="00D86EF7">
            <w:pPr>
              <w:spacing w:line="276" w:lineRule="auto"/>
              <w:jc w:val="center"/>
            </w:pPr>
            <w:r w:rsidRPr="00393BB1">
              <w:t>0.10 (0.01-0.51)</w:t>
            </w:r>
          </w:p>
        </w:tc>
        <w:tc>
          <w:tcPr>
            <w:tcW w:w="893" w:type="dxa"/>
            <w:vMerge/>
            <w:vAlign w:val="center"/>
          </w:tcPr>
          <w:p w14:paraId="29F09AE8" w14:textId="77777777" w:rsidR="00AC36F0" w:rsidRPr="00393BB1" w:rsidRDefault="00AC36F0" w:rsidP="00D86EF7">
            <w:pPr>
              <w:spacing w:line="276" w:lineRule="auto"/>
              <w:jc w:val="center"/>
            </w:pPr>
          </w:p>
        </w:tc>
      </w:tr>
      <w:tr w:rsidR="00AC36F0" w:rsidRPr="00393BB1" w14:paraId="4AEB595E" w14:textId="77777777" w:rsidTr="00C10541">
        <w:tc>
          <w:tcPr>
            <w:tcW w:w="2976" w:type="dxa"/>
          </w:tcPr>
          <w:p w14:paraId="7D9E7E48" w14:textId="77777777" w:rsidR="00AC36F0" w:rsidRPr="00393BB1" w:rsidRDefault="00AC36F0" w:rsidP="00D86EF7">
            <w:pPr>
              <w:spacing w:line="276" w:lineRule="auto"/>
              <w:ind w:left="447"/>
            </w:pPr>
            <w:r w:rsidRPr="00393BB1">
              <w:t>Severe anxiety</w:t>
            </w:r>
          </w:p>
        </w:tc>
        <w:tc>
          <w:tcPr>
            <w:tcW w:w="1134" w:type="dxa"/>
            <w:vAlign w:val="center"/>
          </w:tcPr>
          <w:p w14:paraId="445F8F03" w14:textId="77777777" w:rsidR="00AC36F0" w:rsidRPr="00393BB1" w:rsidRDefault="00AC36F0" w:rsidP="00D86EF7">
            <w:pPr>
              <w:spacing w:line="276" w:lineRule="auto"/>
              <w:jc w:val="center"/>
            </w:pPr>
            <w:r w:rsidRPr="00393BB1">
              <w:t>24(53.3)</w:t>
            </w:r>
          </w:p>
        </w:tc>
        <w:tc>
          <w:tcPr>
            <w:tcW w:w="1118" w:type="dxa"/>
            <w:vAlign w:val="center"/>
          </w:tcPr>
          <w:p w14:paraId="20FE2D80" w14:textId="77777777" w:rsidR="00AC36F0" w:rsidRPr="00393BB1" w:rsidRDefault="00AC36F0" w:rsidP="00D86EF7">
            <w:pPr>
              <w:spacing w:line="276" w:lineRule="auto"/>
              <w:jc w:val="center"/>
            </w:pPr>
            <w:r w:rsidRPr="00393BB1">
              <w:t>2 (4.4)</w:t>
            </w:r>
          </w:p>
        </w:tc>
        <w:tc>
          <w:tcPr>
            <w:tcW w:w="2230" w:type="dxa"/>
          </w:tcPr>
          <w:p w14:paraId="52243EF2" w14:textId="77777777" w:rsidR="00AC36F0" w:rsidRPr="00393BB1" w:rsidRDefault="00AC36F0" w:rsidP="00D86EF7">
            <w:pPr>
              <w:spacing w:line="276" w:lineRule="auto"/>
              <w:jc w:val="center"/>
            </w:pPr>
            <w:r w:rsidRPr="00393BB1">
              <w:t>0.04 (0.00-0.19)</w:t>
            </w:r>
          </w:p>
        </w:tc>
        <w:tc>
          <w:tcPr>
            <w:tcW w:w="893" w:type="dxa"/>
            <w:vMerge/>
            <w:vAlign w:val="center"/>
          </w:tcPr>
          <w:p w14:paraId="538FB3A3" w14:textId="77777777" w:rsidR="00AC36F0" w:rsidRPr="00393BB1" w:rsidRDefault="00AC36F0" w:rsidP="00D86EF7">
            <w:pPr>
              <w:spacing w:line="276" w:lineRule="auto"/>
              <w:jc w:val="center"/>
            </w:pPr>
          </w:p>
        </w:tc>
      </w:tr>
      <w:tr w:rsidR="00AC36F0" w:rsidRPr="00393BB1" w14:paraId="6902C8F9" w14:textId="77777777" w:rsidTr="00C10541">
        <w:tc>
          <w:tcPr>
            <w:tcW w:w="2976" w:type="dxa"/>
          </w:tcPr>
          <w:p w14:paraId="41D04D3B" w14:textId="77777777" w:rsidR="00AC36F0" w:rsidRPr="00393BB1" w:rsidRDefault="00AC36F0" w:rsidP="00D86EF7">
            <w:pPr>
              <w:spacing w:line="276" w:lineRule="auto"/>
            </w:pPr>
            <w:r w:rsidRPr="00393BB1">
              <w:t>IPAQ</w:t>
            </w:r>
          </w:p>
        </w:tc>
        <w:tc>
          <w:tcPr>
            <w:tcW w:w="1134" w:type="dxa"/>
            <w:vAlign w:val="center"/>
          </w:tcPr>
          <w:p w14:paraId="6F2FA15B" w14:textId="77777777" w:rsidR="00AC36F0" w:rsidRPr="00393BB1" w:rsidRDefault="00AC36F0" w:rsidP="00D86EF7">
            <w:pPr>
              <w:spacing w:line="276" w:lineRule="auto"/>
              <w:jc w:val="center"/>
            </w:pPr>
          </w:p>
        </w:tc>
        <w:tc>
          <w:tcPr>
            <w:tcW w:w="1118" w:type="dxa"/>
            <w:vAlign w:val="center"/>
          </w:tcPr>
          <w:p w14:paraId="114E007F" w14:textId="77777777" w:rsidR="00AC36F0" w:rsidRPr="00393BB1" w:rsidRDefault="00AC36F0" w:rsidP="00D86EF7">
            <w:pPr>
              <w:spacing w:line="276" w:lineRule="auto"/>
              <w:jc w:val="center"/>
            </w:pPr>
          </w:p>
        </w:tc>
        <w:tc>
          <w:tcPr>
            <w:tcW w:w="2230" w:type="dxa"/>
          </w:tcPr>
          <w:p w14:paraId="7875B2EB" w14:textId="77777777" w:rsidR="00AC36F0" w:rsidRPr="00393BB1" w:rsidRDefault="00AC36F0" w:rsidP="00D86EF7">
            <w:pPr>
              <w:spacing w:line="276" w:lineRule="auto"/>
              <w:jc w:val="center"/>
            </w:pPr>
          </w:p>
        </w:tc>
        <w:tc>
          <w:tcPr>
            <w:tcW w:w="893" w:type="dxa"/>
            <w:vAlign w:val="center"/>
          </w:tcPr>
          <w:p w14:paraId="565DD6B5" w14:textId="77777777" w:rsidR="00AC36F0" w:rsidRPr="00393BB1" w:rsidRDefault="00AC36F0" w:rsidP="00D86EF7">
            <w:pPr>
              <w:spacing w:line="276" w:lineRule="auto"/>
              <w:jc w:val="center"/>
            </w:pPr>
          </w:p>
        </w:tc>
      </w:tr>
      <w:tr w:rsidR="00AC36F0" w:rsidRPr="00393BB1" w14:paraId="2F0B79DF" w14:textId="77777777" w:rsidTr="00C10541">
        <w:tc>
          <w:tcPr>
            <w:tcW w:w="2976" w:type="dxa"/>
          </w:tcPr>
          <w:p w14:paraId="2AE4F5E3" w14:textId="77777777" w:rsidR="00AC36F0" w:rsidRPr="00393BB1" w:rsidRDefault="00AC36F0" w:rsidP="00D86EF7">
            <w:pPr>
              <w:spacing w:line="276" w:lineRule="auto"/>
              <w:ind w:left="447"/>
            </w:pPr>
            <w:r w:rsidRPr="00393BB1">
              <w:t>Very active</w:t>
            </w:r>
          </w:p>
        </w:tc>
        <w:tc>
          <w:tcPr>
            <w:tcW w:w="1134" w:type="dxa"/>
            <w:vAlign w:val="center"/>
          </w:tcPr>
          <w:p w14:paraId="2CB9E1DA" w14:textId="77777777" w:rsidR="00AC36F0" w:rsidRPr="00393BB1" w:rsidRDefault="00AC36F0" w:rsidP="00D86EF7">
            <w:pPr>
              <w:spacing w:line="276" w:lineRule="auto"/>
              <w:jc w:val="center"/>
            </w:pPr>
            <w:r w:rsidRPr="00393BB1">
              <w:t>8 (17.8)</w:t>
            </w:r>
          </w:p>
        </w:tc>
        <w:tc>
          <w:tcPr>
            <w:tcW w:w="1118" w:type="dxa"/>
            <w:vAlign w:val="center"/>
          </w:tcPr>
          <w:p w14:paraId="721A409C" w14:textId="77777777" w:rsidR="00AC36F0" w:rsidRPr="00393BB1" w:rsidRDefault="00AC36F0" w:rsidP="00D86EF7">
            <w:pPr>
              <w:spacing w:line="276" w:lineRule="auto"/>
              <w:jc w:val="center"/>
            </w:pPr>
            <w:r w:rsidRPr="00393BB1">
              <w:t>34 (75.6)</w:t>
            </w:r>
          </w:p>
        </w:tc>
        <w:tc>
          <w:tcPr>
            <w:tcW w:w="2230" w:type="dxa"/>
          </w:tcPr>
          <w:p w14:paraId="742D8765" w14:textId="77777777" w:rsidR="00AC36F0" w:rsidRPr="00393BB1" w:rsidRDefault="00AC36F0" w:rsidP="00D86EF7">
            <w:pPr>
              <w:spacing w:line="276" w:lineRule="auto"/>
              <w:jc w:val="center"/>
            </w:pPr>
            <w:r w:rsidRPr="00393BB1">
              <w:t>14.29(4.65-45.58)</w:t>
            </w:r>
          </w:p>
        </w:tc>
        <w:tc>
          <w:tcPr>
            <w:tcW w:w="893" w:type="dxa"/>
            <w:vMerge w:val="restart"/>
            <w:vAlign w:val="center"/>
          </w:tcPr>
          <w:p w14:paraId="11B02F19" w14:textId="77777777" w:rsidR="00AC36F0" w:rsidRPr="00393BB1" w:rsidRDefault="00AC36F0" w:rsidP="00D86EF7">
            <w:pPr>
              <w:spacing w:line="276" w:lineRule="auto"/>
              <w:jc w:val="center"/>
            </w:pPr>
            <w:r w:rsidRPr="00393BB1">
              <w:t>&lt;0.001</w:t>
            </w:r>
          </w:p>
        </w:tc>
      </w:tr>
      <w:tr w:rsidR="00AC36F0" w:rsidRPr="00393BB1" w14:paraId="771D2B1D" w14:textId="77777777" w:rsidTr="00C10541">
        <w:tc>
          <w:tcPr>
            <w:tcW w:w="2976" w:type="dxa"/>
          </w:tcPr>
          <w:p w14:paraId="664F24CB" w14:textId="77777777" w:rsidR="00AC36F0" w:rsidRPr="00393BB1" w:rsidRDefault="00AC36F0" w:rsidP="00D86EF7">
            <w:pPr>
              <w:spacing w:line="276" w:lineRule="auto"/>
              <w:ind w:left="447"/>
            </w:pPr>
            <w:r w:rsidRPr="00393BB1">
              <w:lastRenderedPageBreak/>
              <w:t>Active</w:t>
            </w:r>
          </w:p>
        </w:tc>
        <w:tc>
          <w:tcPr>
            <w:tcW w:w="1134" w:type="dxa"/>
            <w:vAlign w:val="center"/>
          </w:tcPr>
          <w:p w14:paraId="05437636" w14:textId="77777777" w:rsidR="00AC36F0" w:rsidRPr="00393BB1" w:rsidRDefault="00AC36F0" w:rsidP="00D86EF7">
            <w:pPr>
              <w:spacing w:line="276" w:lineRule="auto"/>
              <w:jc w:val="center"/>
            </w:pPr>
            <w:r w:rsidRPr="00393BB1">
              <w:t>9 (20.0)</w:t>
            </w:r>
          </w:p>
        </w:tc>
        <w:tc>
          <w:tcPr>
            <w:tcW w:w="1118" w:type="dxa"/>
            <w:vAlign w:val="center"/>
          </w:tcPr>
          <w:p w14:paraId="081AAFC4" w14:textId="77777777" w:rsidR="00AC36F0" w:rsidRPr="00393BB1" w:rsidRDefault="00AC36F0" w:rsidP="00D86EF7">
            <w:pPr>
              <w:spacing w:line="276" w:lineRule="auto"/>
              <w:jc w:val="center"/>
            </w:pPr>
            <w:r w:rsidRPr="00393BB1">
              <w:t>8 (17.8)</w:t>
            </w:r>
          </w:p>
        </w:tc>
        <w:tc>
          <w:tcPr>
            <w:tcW w:w="2230" w:type="dxa"/>
          </w:tcPr>
          <w:p w14:paraId="02D5A3E2" w14:textId="77777777" w:rsidR="00AC36F0" w:rsidRPr="00393BB1" w:rsidRDefault="00AC36F0" w:rsidP="00D86EF7">
            <w:pPr>
              <w:spacing w:line="276" w:lineRule="auto"/>
              <w:jc w:val="center"/>
            </w:pPr>
            <w:r w:rsidRPr="00393BB1">
              <w:t>0.86 (0.30-2.49)</w:t>
            </w:r>
          </w:p>
        </w:tc>
        <w:tc>
          <w:tcPr>
            <w:tcW w:w="893" w:type="dxa"/>
            <w:vMerge/>
            <w:vAlign w:val="center"/>
          </w:tcPr>
          <w:p w14:paraId="58FCD8FC" w14:textId="77777777" w:rsidR="00AC36F0" w:rsidRPr="00393BB1" w:rsidRDefault="00AC36F0" w:rsidP="00D86EF7">
            <w:pPr>
              <w:spacing w:line="276" w:lineRule="auto"/>
              <w:jc w:val="center"/>
            </w:pPr>
          </w:p>
        </w:tc>
      </w:tr>
      <w:tr w:rsidR="00AC36F0" w:rsidRPr="00393BB1" w14:paraId="363E4F5A" w14:textId="77777777" w:rsidTr="00C10541">
        <w:tc>
          <w:tcPr>
            <w:tcW w:w="2976" w:type="dxa"/>
          </w:tcPr>
          <w:p w14:paraId="350BFA23" w14:textId="77777777" w:rsidR="00AC36F0" w:rsidRPr="00393BB1" w:rsidRDefault="00AC36F0" w:rsidP="00D86EF7">
            <w:pPr>
              <w:spacing w:line="276" w:lineRule="auto"/>
              <w:ind w:left="447"/>
            </w:pPr>
            <w:r w:rsidRPr="00393BB1">
              <w:t>Irregularly active</w:t>
            </w:r>
          </w:p>
        </w:tc>
        <w:tc>
          <w:tcPr>
            <w:tcW w:w="1134" w:type="dxa"/>
            <w:vAlign w:val="center"/>
          </w:tcPr>
          <w:p w14:paraId="2787DB45" w14:textId="77777777" w:rsidR="00AC36F0" w:rsidRPr="00393BB1" w:rsidRDefault="00AC36F0" w:rsidP="00D86EF7">
            <w:pPr>
              <w:spacing w:line="276" w:lineRule="auto"/>
              <w:jc w:val="center"/>
            </w:pPr>
            <w:r w:rsidRPr="00393BB1">
              <w:t>8 (17.8)</w:t>
            </w:r>
          </w:p>
        </w:tc>
        <w:tc>
          <w:tcPr>
            <w:tcW w:w="1118" w:type="dxa"/>
            <w:vAlign w:val="center"/>
          </w:tcPr>
          <w:p w14:paraId="21F3B5A4" w14:textId="77777777" w:rsidR="00AC36F0" w:rsidRPr="00393BB1" w:rsidRDefault="00AC36F0" w:rsidP="00D86EF7">
            <w:pPr>
              <w:spacing w:line="276" w:lineRule="auto"/>
              <w:jc w:val="center"/>
            </w:pPr>
            <w:r w:rsidRPr="00393BB1">
              <w:t>0 (0)</w:t>
            </w:r>
          </w:p>
        </w:tc>
        <w:tc>
          <w:tcPr>
            <w:tcW w:w="2230" w:type="dxa"/>
          </w:tcPr>
          <w:p w14:paraId="1D8C2AAC" w14:textId="77777777" w:rsidR="00AC36F0" w:rsidRPr="00393BB1" w:rsidRDefault="00AC36F0" w:rsidP="00D86EF7">
            <w:pPr>
              <w:spacing w:line="276" w:lineRule="auto"/>
              <w:jc w:val="center"/>
              <w:rPr>
                <w:vertAlign w:val="superscript"/>
              </w:rPr>
            </w:pPr>
            <w:r w:rsidRPr="00393BB1">
              <w:t>NC</w:t>
            </w:r>
            <w:r w:rsidRPr="00393BB1">
              <w:rPr>
                <w:vertAlign w:val="superscript"/>
              </w:rPr>
              <w:t>2</w:t>
            </w:r>
          </w:p>
        </w:tc>
        <w:tc>
          <w:tcPr>
            <w:tcW w:w="893" w:type="dxa"/>
            <w:vMerge/>
            <w:vAlign w:val="center"/>
          </w:tcPr>
          <w:p w14:paraId="254DD703" w14:textId="77777777" w:rsidR="00AC36F0" w:rsidRPr="00393BB1" w:rsidRDefault="00AC36F0" w:rsidP="00D86EF7">
            <w:pPr>
              <w:spacing w:line="276" w:lineRule="auto"/>
              <w:jc w:val="center"/>
            </w:pPr>
          </w:p>
        </w:tc>
      </w:tr>
      <w:tr w:rsidR="00AC36F0" w:rsidRPr="00393BB1" w14:paraId="206C5BD4" w14:textId="77777777" w:rsidTr="00C10541">
        <w:tc>
          <w:tcPr>
            <w:tcW w:w="2976" w:type="dxa"/>
          </w:tcPr>
          <w:p w14:paraId="0F77118E" w14:textId="77777777" w:rsidR="00AC36F0" w:rsidRPr="00393BB1" w:rsidRDefault="00AC36F0" w:rsidP="00D86EF7">
            <w:pPr>
              <w:spacing w:line="276" w:lineRule="auto"/>
              <w:ind w:left="447"/>
            </w:pPr>
            <w:r w:rsidRPr="00393BB1">
              <w:t>Sedentary</w:t>
            </w:r>
          </w:p>
        </w:tc>
        <w:tc>
          <w:tcPr>
            <w:tcW w:w="1134" w:type="dxa"/>
            <w:vAlign w:val="center"/>
          </w:tcPr>
          <w:p w14:paraId="65E9309A" w14:textId="77777777" w:rsidR="00AC36F0" w:rsidRPr="00393BB1" w:rsidRDefault="00AC36F0" w:rsidP="00D86EF7">
            <w:pPr>
              <w:spacing w:line="276" w:lineRule="auto"/>
              <w:jc w:val="center"/>
            </w:pPr>
            <w:r w:rsidRPr="00393BB1">
              <w:t>20 (44.4)</w:t>
            </w:r>
          </w:p>
        </w:tc>
        <w:tc>
          <w:tcPr>
            <w:tcW w:w="1118" w:type="dxa"/>
            <w:vAlign w:val="center"/>
          </w:tcPr>
          <w:p w14:paraId="3DFA70BE" w14:textId="77777777" w:rsidR="00AC36F0" w:rsidRPr="00393BB1" w:rsidRDefault="00AC36F0" w:rsidP="00D86EF7">
            <w:pPr>
              <w:spacing w:line="276" w:lineRule="auto"/>
              <w:jc w:val="center"/>
            </w:pPr>
            <w:r w:rsidRPr="00393BB1">
              <w:t>3 (6.7)</w:t>
            </w:r>
          </w:p>
        </w:tc>
        <w:tc>
          <w:tcPr>
            <w:tcW w:w="2230" w:type="dxa"/>
          </w:tcPr>
          <w:p w14:paraId="4BC3F8F9" w14:textId="77777777" w:rsidR="00AC36F0" w:rsidRPr="00393BB1" w:rsidRDefault="00AC36F0" w:rsidP="00D86EF7">
            <w:pPr>
              <w:spacing w:line="276" w:lineRule="auto"/>
              <w:jc w:val="center"/>
            </w:pPr>
            <w:r w:rsidRPr="00393BB1">
              <w:t>0.09 (0.01-0.35)</w:t>
            </w:r>
          </w:p>
        </w:tc>
        <w:tc>
          <w:tcPr>
            <w:tcW w:w="893" w:type="dxa"/>
            <w:vMerge/>
            <w:vAlign w:val="center"/>
          </w:tcPr>
          <w:p w14:paraId="38333B07" w14:textId="77777777" w:rsidR="00AC36F0" w:rsidRPr="00393BB1" w:rsidRDefault="00AC36F0" w:rsidP="00D86EF7">
            <w:pPr>
              <w:spacing w:line="276" w:lineRule="auto"/>
              <w:jc w:val="center"/>
            </w:pPr>
          </w:p>
        </w:tc>
      </w:tr>
      <w:tr w:rsidR="00AC36F0" w:rsidRPr="00393BB1" w14:paraId="1A3C4658" w14:textId="77777777" w:rsidTr="00C10541">
        <w:tc>
          <w:tcPr>
            <w:tcW w:w="2976" w:type="dxa"/>
          </w:tcPr>
          <w:p w14:paraId="780B9726" w14:textId="77777777" w:rsidR="00AC36F0" w:rsidRPr="00393BB1" w:rsidRDefault="00AC36F0" w:rsidP="00D86EF7">
            <w:pPr>
              <w:spacing w:line="276" w:lineRule="auto"/>
            </w:pPr>
            <w:r w:rsidRPr="00393BB1">
              <w:t>Sleep – Pittsburgh</w:t>
            </w:r>
          </w:p>
        </w:tc>
        <w:tc>
          <w:tcPr>
            <w:tcW w:w="1134" w:type="dxa"/>
            <w:vAlign w:val="center"/>
          </w:tcPr>
          <w:p w14:paraId="6FB2836A" w14:textId="77777777" w:rsidR="00AC36F0" w:rsidRPr="00393BB1" w:rsidRDefault="00AC36F0" w:rsidP="00D86EF7">
            <w:pPr>
              <w:spacing w:line="276" w:lineRule="auto"/>
              <w:jc w:val="center"/>
            </w:pPr>
          </w:p>
        </w:tc>
        <w:tc>
          <w:tcPr>
            <w:tcW w:w="1118" w:type="dxa"/>
            <w:vAlign w:val="center"/>
          </w:tcPr>
          <w:p w14:paraId="2E686807" w14:textId="77777777" w:rsidR="00AC36F0" w:rsidRPr="00393BB1" w:rsidRDefault="00AC36F0" w:rsidP="00D86EF7">
            <w:pPr>
              <w:spacing w:line="276" w:lineRule="auto"/>
              <w:jc w:val="center"/>
            </w:pPr>
          </w:p>
        </w:tc>
        <w:tc>
          <w:tcPr>
            <w:tcW w:w="2230" w:type="dxa"/>
          </w:tcPr>
          <w:p w14:paraId="766BAB62" w14:textId="77777777" w:rsidR="00AC36F0" w:rsidRPr="00393BB1" w:rsidRDefault="00AC36F0" w:rsidP="00D86EF7">
            <w:pPr>
              <w:spacing w:line="276" w:lineRule="auto"/>
              <w:jc w:val="center"/>
            </w:pPr>
          </w:p>
        </w:tc>
        <w:tc>
          <w:tcPr>
            <w:tcW w:w="893" w:type="dxa"/>
            <w:vAlign w:val="center"/>
          </w:tcPr>
          <w:p w14:paraId="1B9ABC73" w14:textId="77777777" w:rsidR="00AC36F0" w:rsidRPr="00393BB1" w:rsidRDefault="00AC36F0" w:rsidP="00D86EF7">
            <w:pPr>
              <w:spacing w:line="276" w:lineRule="auto"/>
              <w:jc w:val="center"/>
            </w:pPr>
          </w:p>
        </w:tc>
      </w:tr>
      <w:tr w:rsidR="00AC36F0" w:rsidRPr="00393BB1" w14:paraId="689DB873" w14:textId="77777777" w:rsidTr="00C10541">
        <w:tc>
          <w:tcPr>
            <w:tcW w:w="2976" w:type="dxa"/>
          </w:tcPr>
          <w:p w14:paraId="15636B26" w14:textId="77777777" w:rsidR="00AC36F0" w:rsidRPr="00393BB1" w:rsidRDefault="00AC36F0" w:rsidP="00D86EF7">
            <w:pPr>
              <w:spacing w:line="276" w:lineRule="auto"/>
              <w:ind w:left="447"/>
            </w:pPr>
            <w:r w:rsidRPr="00393BB1">
              <w:t>Good sleep quality</w:t>
            </w:r>
          </w:p>
        </w:tc>
        <w:tc>
          <w:tcPr>
            <w:tcW w:w="1134" w:type="dxa"/>
            <w:vAlign w:val="center"/>
          </w:tcPr>
          <w:p w14:paraId="221247BB" w14:textId="77777777" w:rsidR="00AC36F0" w:rsidRPr="00393BB1" w:rsidRDefault="00AC36F0" w:rsidP="00D86EF7">
            <w:pPr>
              <w:spacing w:line="276" w:lineRule="auto"/>
              <w:jc w:val="center"/>
            </w:pPr>
            <w:r w:rsidRPr="00393BB1">
              <w:t>14 (31.1)</w:t>
            </w:r>
          </w:p>
        </w:tc>
        <w:tc>
          <w:tcPr>
            <w:tcW w:w="1118" w:type="dxa"/>
            <w:vAlign w:val="center"/>
          </w:tcPr>
          <w:p w14:paraId="325689E1" w14:textId="77777777" w:rsidR="00AC36F0" w:rsidRPr="00393BB1" w:rsidRDefault="00AC36F0" w:rsidP="00D86EF7">
            <w:pPr>
              <w:spacing w:line="276" w:lineRule="auto"/>
              <w:jc w:val="center"/>
            </w:pPr>
            <w:r w:rsidRPr="00393BB1">
              <w:t>39 (86.7)</w:t>
            </w:r>
          </w:p>
        </w:tc>
        <w:tc>
          <w:tcPr>
            <w:tcW w:w="2230" w:type="dxa"/>
          </w:tcPr>
          <w:p w14:paraId="3CF45860" w14:textId="77777777" w:rsidR="00AC36F0" w:rsidRPr="00393BB1" w:rsidRDefault="00AC36F0" w:rsidP="00D86EF7">
            <w:pPr>
              <w:spacing w:line="276" w:lineRule="auto"/>
              <w:jc w:val="center"/>
            </w:pPr>
            <w:r w:rsidRPr="00393BB1">
              <w:t>14.39 (4.51-49.80)</w:t>
            </w:r>
          </w:p>
        </w:tc>
        <w:tc>
          <w:tcPr>
            <w:tcW w:w="893" w:type="dxa"/>
            <w:vMerge w:val="restart"/>
            <w:vAlign w:val="center"/>
          </w:tcPr>
          <w:p w14:paraId="04EF3A56" w14:textId="77777777" w:rsidR="00AC36F0" w:rsidRPr="00393BB1" w:rsidRDefault="00AC36F0" w:rsidP="00D86EF7">
            <w:pPr>
              <w:spacing w:line="276" w:lineRule="auto"/>
              <w:jc w:val="center"/>
            </w:pPr>
            <w:r w:rsidRPr="00393BB1">
              <w:t>&lt;0.001</w:t>
            </w:r>
          </w:p>
        </w:tc>
      </w:tr>
      <w:tr w:rsidR="00AC36F0" w:rsidRPr="00393BB1" w14:paraId="3AEE8286" w14:textId="77777777" w:rsidTr="00C10541">
        <w:tc>
          <w:tcPr>
            <w:tcW w:w="2976" w:type="dxa"/>
          </w:tcPr>
          <w:p w14:paraId="05BA115C" w14:textId="77777777" w:rsidR="00AC36F0" w:rsidRPr="00393BB1" w:rsidRDefault="00AC36F0" w:rsidP="00D86EF7">
            <w:pPr>
              <w:spacing w:line="276" w:lineRule="auto"/>
              <w:ind w:left="447"/>
            </w:pPr>
            <w:r w:rsidRPr="00393BB1">
              <w:t>Poor sleep quality</w:t>
            </w:r>
          </w:p>
        </w:tc>
        <w:tc>
          <w:tcPr>
            <w:tcW w:w="1134" w:type="dxa"/>
            <w:vAlign w:val="center"/>
          </w:tcPr>
          <w:p w14:paraId="4E38BA62" w14:textId="77777777" w:rsidR="00AC36F0" w:rsidRPr="00393BB1" w:rsidRDefault="00AC36F0" w:rsidP="00D86EF7">
            <w:pPr>
              <w:spacing w:line="276" w:lineRule="auto"/>
              <w:jc w:val="center"/>
            </w:pPr>
            <w:r w:rsidRPr="00393BB1">
              <w:t>31 (68.9)</w:t>
            </w:r>
          </w:p>
        </w:tc>
        <w:tc>
          <w:tcPr>
            <w:tcW w:w="1118" w:type="dxa"/>
            <w:vAlign w:val="center"/>
          </w:tcPr>
          <w:p w14:paraId="715311C6" w14:textId="77777777" w:rsidR="00AC36F0" w:rsidRPr="00393BB1" w:rsidRDefault="00AC36F0" w:rsidP="00D86EF7">
            <w:pPr>
              <w:spacing w:line="276" w:lineRule="auto"/>
              <w:jc w:val="center"/>
            </w:pPr>
            <w:r w:rsidRPr="00393BB1">
              <w:t>6 (13.3)</w:t>
            </w:r>
          </w:p>
        </w:tc>
        <w:tc>
          <w:tcPr>
            <w:tcW w:w="2230" w:type="dxa"/>
          </w:tcPr>
          <w:p w14:paraId="1ADDC069" w14:textId="77777777" w:rsidR="00AC36F0" w:rsidRPr="00393BB1" w:rsidRDefault="00AC36F0" w:rsidP="00D86EF7">
            <w:pPr>
              <w:spacing w:line="276" w:lineRule="auto"/>
              <w:jc w:val="center"/>
            </w:pPr>
            <w:r w:rsidRPr="00393BB1">
              <w:t>0.07 (0.02-0.22)</w:t>
            </w:r>
          </w:p>
        </w:tc>
        <w:tc>
          <w:tcPr>
            <w:tcW w:w="893" w:type="dxa"/>
            <w:vMerge/>
            <w:vAlign w:val="center"/>
          </w:tcPr>
          <w:p w14:paraId="482B29C7" w14:textId="77777777" w:rsidR="00AC36F0" w:rsidRPr="00393BB1" w:rsidRDefault="00AC36F0" w:rsidP="00D86EF7">
            <w:pPr>
              <w:spacing w:line="276" w:lineRule="auto"/>
              <w:jc w:val="center"/>
            </w:pPr>
          </w:p>
        </w:tc>
      </w:tr>
      <w:tr w:rsidR="00AC36F0" w:rsidRPr="00393BB1" w14:paraId="077F16DB" w14:textId="77777777" w:rsidTr="00C10541">
        <w:tc>
          <w:tcPr>
            <w:tcW w:w="2976" w:type="dxa"/>
          </w:tcPr>
          <w:p w14:paraId="6B12103D" w14:textId="77777777" w:rsidR="00AC36F0" w:rsidRPr="00393BB1" w:rsidRDefault="00AC36F0" w:rsidP="00D86EF7">
            <w:pPr>
              <w:spacing w:line="276" w:lineRule="auto"/>
            </w:pPr>
            <w:r w:rsidRPr="00393BB1">
              <w:t>Fiber consumption</w:t>
            </w:r>
          </w:p>
        </w:tc>
        <w:tc>
          <w:tcPr>
            <w:tcW w:w="1134" w:type="dxa"/>
            <w:vAlign w:val="center"/>
          </w:tcPr>
          <w:p w14:paraId="2F05F1E4" w14:textId="77777777" w:rsidR="00AC36F0" w:rsidRPr="00393BB1" w:rsidRDefault="00AC36F0" w:rsidP="00D86EF7">
            <w:pPr>
              <w:spacing w:line="276" w:lineRule="auto"/>
              <w:jc w:val="center"/>
            </w:pPr>
          </w:p>
        </w:tc>
        <w:tc>
          <w:tcPr>
            <w:tcW w:w="1118" w:type="dxa"/>
            <w:vAlign w:val="center"/>
          </w:tcPr>
          <w:p w14:paraId="121D89E1" w14:textId="77777777" w:rsidR="00AC36F0" w:rsidRPr="00393BB1" w:rsidRDefault="00AC36F0" w:rsidP="00D86EF7">
            <w:pPr>
              <w:spacing w:line="276" w:lineRule="auto"/>
              <w:jc w:val="center"/>
            </w:pPr>
          </w:p>
        </w:tc>
        <w:tc>
          <w:tcPr>
            <w:tcW w:w="2230" w:type="dxa"/>
          </w:tcPr>
          <w:p w14:paraId="123F2C3F" w14:textId="77777777" w:rsidR="00AC36F0" w:rsidRPr="00393BB1" w:rsidRDefault="00AC36F0" w:rsidP="00D86EF7">
            <w:pPr>
              <w:spacing w:line="276" w:lineRule="auto"/>
              <w:jc w:val="center"/>
            </w:pPr>
          </w:p>
        </w:tc>
        <w:tc>
          <w:tcPr>
            <w:tcW w:w="893" w:type="dxa"/>
            <w:vAlign w:val="center"/>
          </w:tcPr>
          <w:p w14:paraId="1C912682" w14:textId="77777777" w:rsidR="00AC36F0" w:rsidRPr="00393BB1" w:rsidRDefault="00AC36F0" w:rsidP="00D86EF7">
            <w:pPr>
              <w:spacing w:line="276" w:lineRule="auto"/>
              <w:jc w:val="center"/>
            </w:pPr>
          </w:p>
        </w:tc>
      </w:tr>
      <w:tr w:rsidR="00AC36F0" w:rsidRPr="00393BB1" w14:paraId="1959EBBB" w14:textId="77777777" w:rsidTr="00C10541">
        <w:tc>
          <w:tcPr>
            <w:tcW w:w="2976" w:type="dxa"/>
          </w:tcPr>
          <w:p w14:paraId="319C89EE" w14:textId="77777777" w:rsidR="00AC36F0" w:rsidRPr="00393BB1" w:rsidRDefault="00AC36F0" w:rsidP="00D86EF7">
            <w:pPr>
              <w:spacing w:line="276" w:lineRule="auto"/>
              <w:ind w:left="447"/>
            </w:pPr>
            <w:r w:rsidRPr="00393BB1">
              <w:t>Yes</w:t>
            </w:r>
          </w:p>
        </w:tc>
        <w:tc>
          <w:tcPr>
            <w:tcW w:w="1134" w:type="dxa"/>
            <w:vAlign w:val="center"/>
          </w:tcPr>
          <w:p w14:paraId="5D64360B" w14:textId="77777777" w:rsidR="00AC36F0" w:rsidRPr="00393BB1" w:rsidRDefault="00AC36F0" w:rsidP="00D86EF7">
            <w:pPr>
              <w:spacing w:line="276" w:lineRule="auto"/>
              <w:jc w:val="center"/>
            </w:pPr>
            <w:r w:rsidRPr="00393BB1">
              <w:t>39 (86.7)</w:t>
            </w:r>
          </w:p>
        </w:tc>
        <w:tc>
          <w:tcPr>
            <w:tcW w:w="1118" w:type="dxa"/>
            <w:vAlign w:val="center"/>
          </w:tcPr>
          <w:p w14:paraId="687A21E1" w14:textId="77777777" w:rsidR="00AC36F0" w:rsidRPr="00393BB1" w:rsidRDefault="00AC36F0" w:rsidP="00D86EF7">
            <w:pPr>
              <w:spacing w:line="276" w:lineRule="auto"/>
              <w:jc w:val="center"/>
            </w:pPr>
            <w:r w:rsidRPr="00393BB1">
              <w:t>43 (95.6)</w:t>
            </w:r>
          </w:p>
        </w:tc>
        <w:tc>
          <w:tcPr>
            <w:tcW w:w="2230" w:type="dxa"/>
          </w:tcPr>
          <w:p w14:paraId="3072A56F" w14:textId="77777777" w:rsidR="00AC36F0" w:rsidRPr="00393BB1" w:rsidRDefault="00AC36F0" w:rsidP="00D86EF7">
            <w:pPr>
              <w:spacing w:line="276" w:lineRule="auto"/>
              <w:jc w:val="center"/>
            </w:pPr>
            <w:r w:rsidRPr="00393BB1">
              <w:t>3.30(0.63-17.36)</w:t>
            </w:r>
          </w:p>
        </w:tc>
        <w:tc>
          <w:tcPr>
            <w:tcW w:w="893" w:type="dxa"/>
            <w:vMerge w:val="restart"/>
            <w:vAlign w:val="center"/>
          </w:tcPr>
          <w:p w14:paraId="39414DFE" w14:textId="77777777" w:rsidR="00AC36F0" w:rsidRPr="00393BB1" w:rsidRDefault="00AC36F0" w:rsidP="00D86EF7">
            <w:pPr>
              <w:spacing w:line="276" w:lineRule="auto"/>
              <w:jc w:val="center"/>
            </w:pPr>
            <w:r w:rsidRPr="00393BB1">
              <w:t>0.125</w:t>
            </w:r>
          </w:p>
        </w:tc>
      </w:tr>
      <w:tr w:rsidR="00AC36F0" w:rsidRPr="00393BB1" w14:paraId="128517D8" w14:textId="77777777" w:rsidTr="00C10541">
        <w:tc>
          <w:tcPr>
            <w:tcW w:w="2976" w:type="dxa"/>
          </w:tcPr>
          <w:p w14:paraId="29B53256" w14:textId="77777777" w:rsidR="00AC36F0" w:rsidRPr="00393BB1" w:rsidRDefault="00AC36F0" w:rsidP="00D86EF7">
            <w:pPr>
              <w:spacing w:line="276" w:lineRule="auto"/>
              <w:ind w:left="447"/>
            </w:pPr>
            <w:r w:rsidRPr="00393BB1">
              <w:t>No</w:t>
            </w:r>
          </w:p>
        </w:tc>
        <w:tc>
          <w:tcPr>
            <w:tcW w:w="1134" w:type="dxa"/>
            <w:vAlign w:val="center"/>
          </w:tcPr>
          <w:p w14:paraId="2758D912" w14:textId="77777777" w:rsidR="00AC36F0" w:rsidRPr="00393BB1" w:rsidRDefault="00AC36F0" w:rsidP="00D86EF7">
            <w:pPr>
              <w:spacing w:line="276" w:lineRule="auto"/>
              <w:jc w:val="center"/>
            </w:pPr>
            <w:r w:rsidRPr="00393BB1">
              <w:t>6 (13.3)</w:t>
            </w:r>
          </w:p>
        </w:tc>
        <w:tc>
          <w:tcPr>
            <w:tcW w:w="1118" w:type="dxa"/>
            <w:vAlign w:val="center"/>
          </w:tcPr>
          <w:p w14:paraId="168C5A7D" w14:textId="77777777" w:rsidR="00AC36F0" w:rsidRPr="00393BB1" w:rsidRDefault="00AC36F0" w:rsidP="00D86EF7">
            <w:pPr>
              <w:spacing w:line="276" w:lineRule="auto"/>
              <w:jc w:val="center"/>
            </w:pPr>
            <w:r w:rsidRPr="00393BB1">
              <w:t>2 (4.4)</w:t>
            </w:r>
          </w:p>
        </w:tc>
        <w:tc>
          <w:tcPr>
            <w:tcW w:w="2230" w:type="dxa"/>
          </w:tcPr>
          <w:p w14:paraId="217823CF" w14:textId="77777777" w:rsidR="00AC36F0" w:rsidRPr="00393BB1" w:rsidRDefault="00AC36F0" w:rsidP="00D86EF7">
            <w:pPr>
              <w:spacing w:line="276" w:lineRule="auto"/>
              <w:jc w:val="center"/>
            </w:pPr>
            <w:r w:rsidRPr="00393BB1">
              <w:t>0.30(0.06-1.54)</w:t>
            </w:r>
          </w:p>
        </w:tc>
        <w:tc>
          <w:tcPr>
            <w:tcW w:w="893" w:type="dxa"/>
            <w:vMerge/>
            <w:vAlign w:val="center"/>
          </w:tcPr>
          <w:p w14:paraId="19029118" w14:textId="77777777" w:rsidR="00AC36F0" w:rsidRPr="00393BB1" w:rsidRDefault="00AC36F0" w:rsidP="00D86EF7">
            <w:pPr>
              <w:spacing w:line="276" w:lineRule="auto"/>
              <w:jc w:val="center"/>
            </w:pPr>
          </w:p>
        </w:tc>
      </w:tr>
      <w:tr w:rsidR="00AC36F0" w:rsidRPr="00393BB1" w14:paraId="7868FD4C" w14:textId="77777777" w:rsidTr="00C10541">
        <w:tc>
          <w:tcPr>
            <w:tcW w:w="2976" w:type="dxa"/>
          </w:tcPr>
          <w:p w14:paraId="16F06FF2" w14:textId="77777777" w:rsidR="00AC36F0" w:rsidRPr="00393BB1" w:rsidRDefault="00AC36F0" w:rsidP="00D86EF7">
            <w:pPr>
              <w:spacing w:line="276" w:lineRule="auto"/>
              <w:ind w:left="-19"/>
            </w:pPr>
            <w:r w:rsidRPr="00393BB1">
              <w:t>Water intake (cups/day)</w:t>
            </w:r>
          </w:p>
        </w:tc>
        <w:tc>
          <w:tcPr>
            <w:tcW w:w="1134" w:type="dxa"/>
            <w:vAlign w:val="center"/>
          </w:tcPr>
          <w:p w14:paraId="21034C6A" w14:textId="77777777" w:rsidR="00AC36F0" w:rsidRPr="00393BB1" w:rsidRDefault="00AC36F0" w:rsidP="00D86EF7">
            <w:pPr>
              <w:spacing w:line="276" w:lineRule="auto"/>
              <w:jc w:val="center"/>
            </w:pPr>
          </w:p>
        </w:tc>
        <w:tc>
          <w:tcPr>
            <w:tcW w:w="1118" w:type="dxa"/>
            <w:vAlign w:val="center"/>
          </w:tcPr>
          <w:p w14:paraId="16974C83" w14:textId="77777777" w:rsidR="00AC36F0" w:rsidRPr="00393BB1" w:rsidRDefault="00AC36F0" w:rsidP="00D86EF7">
            <w:pPr>
              <w:spacing w:line="276" w:lineRule="auto"/>
              <w:jc w:val="center"/>
            </w:pPr>
          </w:p>
        </w:tc>
        <w:tc>
          <w:tcPr>
            <w:tcW w:w="2230" w:type="dxa"/>
          </w:tcPr>
          <w:p w14:paraId="455EF470" w14:textId="77777777" w:rsidR="00AC36F0" w:rsidRPr="00393BB1" w:rsidRDefault="00AC36F0" w:rsidP="00D86EF7">
            <w:pPr>
              <w:spacing w:line="276" w:lineRule="auto"/>
              <w:jc w:val="center"/>
            </w:pPr>
          </w:p>
        </w:tc>
        <w:tc>
          <w:tcPr>
            <w:tcW w:w="893" w:type="dxa"/>
            <w:vAlign w:val="center"/>
          </w:tcPr>
          <w:p w14:paraId="66D44507" w14:textId="77777777" w:rsidR="00AC36F0" w:rsidRPr="00393BB1" w:rsidRDefault="00AC36F0" w:rsidP="00D86EF7">
            <w:pPr>
              <w:spacing w:line="276" w:lineRule="auto"/>
              <w:jc w:val="center"/>
            </w:pPr>
          </w:p>
        </w:tc>
      </w:tr>
      <w:tr w:rsidR="00AC36F0" w:rsidRPr="00393BB1" w14:paraId="5A5144AA" w14:textId="77777777" w:rsidTr="00C10541">
        <w:tc>
          <w:tcPr>
            <w:tcW w:w="2976" w:type="dxa"/>
          </w:tcPr>
          <w:p w14:paraId="6ECA520E" w14:textId="77777777" w:rsidR="00AC36F0" w:rsidRPr="00393BB1" w:rsidRDefault="00AC36F0" w:rsidP="00D86EF7">
            <w:pPr>
              <w:spacing w:line="276" w:lineRule="auto"/>
              <w:ind w:left="447"/>
            </w:pPr>
            <w:r w:rsidRPr="00393BB1">
              <w:t xml:space="preserve">1 </w:t>
            </w:r>
          </w:p>
        </w:tc>
        <w:tc>
          <w:tcPr>
            <w:tcW w:w="1134" w:type="dxa"/>
            <w:vAlign w:val="center"/>
          </w:tcPr>
          <w:p w14:paraId="62BAD041" w14:textId="77777777" w:rsidR="00AC36F0" w:rsidRPr="00393BB1" w:rsidRDefault="00AC36F0" w:rsidP="00D86EF7">
            <w:pPr>
              <w:spacing w:line="276" w:lineRule="auto"/>
              <w:jc w:val="center"/>
            </w:pPr>
            <w:r w:rsidRPr="00393BB1">
              <w:t>2 (4.4)</w:t>
            </w:r>
          </w:p>
        </w:tc>
        <w:tc>
          <w:tcPr>
            <w:tcW w:w="1118" w:type="dxa"/>
            <w:vAlign w:val="center"/>
          </w:tcPr>
          <w:p w14:paraId="33D4407B" w14:textId="77777777" w:rsidR="00AC36F0" w:rsidRPr="00393BB1" w:rsidRDefault="00AC36F0" w:rsidP="00D86EF7">
            <w:pPr>
              <w:spacing w:line="276" w:lineRule="auto"/>
              <w:jc w:val="center"/>
            </w:pPr>
            <w:r w:rsidRPr="00393BB1">
              <w:t>6 (13.3)</w:t>
            </w:r>
          </w:p>
        </w:tc>
        <w:tc>
          <w:tcPr>
            <w:tcW w:w="2230" w:type="dxa"/>
          </w:tcPr>
          <w:p w14:paraId="70BA739D" w14:textId="77777777" w:rsidR="00AC36F0" w:rsidRPr="00393BB1" w:rsidRDefault="00AC36F0" w:rsidP="00D86EF7">
            <w:pPr>
              <w:spacing w:line="276" w:lineRule="auto"/>
              <w:jc w:val="center"/>
            </w:pPr>
            <w:r w:rsidRPr="00393BB1">
              <w:t>3.30(0.63-17.36)</w:t>
            </w:r>
          </w:p>
        </w:tc>
        <w:tc>
          <w:tcPr>
            <w:tcW w:w="893" w:type="dxa"/>
            <w:vMerge w:val="restart"/>
            <w:vAlign w:val="center"/>
          </w:tcPr>
          <w:p w14:paraId="3BF2526F" w14:textId="77777777" w:rsidR="00AC36F0" w:rsidRPr="00393BB1" w:rsidRDefault="00AC36F0" w:rsidP="00D86EF7">
            <w:pPr>
              <w:spacing w:line="276" w:lineRule="auto"/>
              <w:jc w:val="center"/>
            </w:pPr>
            <w:r w:rsidRPr="00393BB1">
              <w:t>&lt;0.001</w:t>
            </w:r>
          </w:p>
        </w:tc>
      </w:tr>
      <w:tr w:rsidR="00AC36F0" w:rsidRPr="00393BB1" w14:paraId="58444F76" w14:textId="77777777" w:rsidTr="00C10541">
        <w:tc>
          <w:tcPr>
            <w:tcW w:w="2976" w:type="dxa"/>
          </w:tcPr>
          <w:p w14:paraId="7AC40D83" w14:textId="77777777" w:rsidR="00AC36F0" w:rsidRPr="00393BB1" w:rsidRDefault="00AC36F0" w:rsidP="00D86EF7">
            <w:pPr>
              <w:spacing w:line="276" w:lineRule="auto"/>
              <w:ind w:left="447"/>
            </w:pPr>
            <w:r w:rsidRPr="00393BB1">
              <w:t xml:space="preserve">2-5 </w:t>
            </w:r>
          </w:p>
        </w:tc>
        <w:tc>
          <w:tcPr>
            <w:tcW w:w="1134" w:type="dxa"/>
            <w:vAlign w:val="center"/>
          </w:tcPr>
          <w:p w14:paraId="4E476009" w14:textId="77777777" w:rsidR="00AC36F0" w:rsidRPr="00393BB1" w:rsidRDefault="00AC36F0" w:rsidP="00D86EF7">
            <w:pPr>
              <w:spacing w:line="276" w:lineRule="auto"/>
              <w:jc w:val="center"/>
            </w:pPr>
            <w:r w:rsidRPr="00393BB1">
              <w:t>31 (68.9)</w:t>
            </w:r>
          </w:p>
        </w:tc>
        <w:tc>
          <w:tcPr>
            <w:tcW w:w="1118" w:type="dxa"/>
            <w:vAlign w:val="center"/>
          </w:tcPr>
          <w:p w14:paraId="233C2671" w14:textId="77777777" w:rsidR="00AC36F0" w:rsidRPr="00393BB1" w:rsidRDefault="00AC36F0" w:rsidP="00D86EF7">
            <w:pPr>
              <w:spacing w:line="276" w:lineRule="auto"/>
              <w:jc w:val="center"/>
            </w:pPr>
            <w:r w:rsidRPr="00393BB1">
              <w:t>5 (11.1)</w:t>
            </w:r>
          </w:p>
        </w:tc>
        <w:tc>
          <w:tcPr>
            <w:tcW w:w="2230" w:type="dxa"/>
          </w:tcPr>
          <w:p w14:paraId="559B897A" w14:textId="77777777" w:rsidR="00AC36F0" w:rsidRPr="00393BB1" w:rsidRDefault="00AC36F0" w:rsidP="00D86EF7">
            <w:pPr>
              <w:spacing w:line="276" w:lineRule="auto"/>
              <w:jc w:val="center"/>
            </w:pPr>
            <w:r w:rsidRPr="00393BB1">
              <w:t>0.06(0.02-0.17)</w:t>
            </w:r>
          </w:p>
        </w:tc>
        <w:tc>
          <w:tcPr>
            <w:tcW w:w="893" w:type="dxa"/>
            <w:vMerge/>
            <w:vAlign w:val="center"/>
          </w:tcPr>
          <w:p w14:paraId="4AF5F1A6" w14:textId="77777777" w:rsidR="00AC36F0" w:rsidRPr="00393BB1" w:rsidRDefault="00AC36F0" w:rsidP="00D86EF7">
            <w:pPr>
              <w:spacing w:line="276" w:lineRule="auto"/>
              <w:jc w:val="center"/>
            </w:pPr>
          </w:p>
        </w:tc>
      </w:tr>
      <w:tr w:rsidR="00AC36F0" w:rsidRPr="00393BB1" w14:paraId="14845C15" w14:textId="77777777" w:rsidTr="00C10541">
        <w:tc>
          <w:tcPr>
            <w:tcW w:w="2976" w:type="dxa"/>
          </w:tcPr>
          <w:p w14:paraId="4FA939C2" w14:textId="77777777" w:rsidR="00AC36F0" w:rsidRPr="00393BB1" w:rsidRDefault="00AC36F0" w:rsidP="00D86EF7">
            <w:pPr>
              <w:spacing w:line="276" w:lineRule="auto"/>
              <w:ind w:left="447"/>
            </w:pPr>
            <w:r w:rsidRPr="00393BB1">
              <w:t xml:space="preserve">6-9 </w:t>
            </w:r>
          </w:p>
        </w:tc>
        <w:tc>
          <w:tcPr>
            <w:tcW w:w="1134" w:type="dxa"/>
            <w:vAlign w:val="center"/>
          </w:tcPr>
          <w:p w14:paraId="2A19A3CA" w14:textId="77777777" w:rsidR="00AC36F0" w:rsidRPr="00393BB1" w:rsidRDefault="00AC36F0" w:rsidP="00D86EF7">
            <w:pPr>
              <w:spacing w:line="276" w:lineRule="auto"/>
              <w:jc w:val="center"/>
            </w:pPr>
            <w:r w:rsidRPr="00393BB1">
              <w:t>8 (17.8)</w:t>
            </w:r>
          </w:p>
        </w:tc>
        <w:tc>
          <w:tcPr>
            <w:tcW w:w="1118" w:type="dxa"/>
            <w:vAlign w:val="center"/>
          </w:tcPr>
          <w:p w14:paraId="34AD4DD5" w14:textId="77777777" w:rsidR="00AC36F0" w:rsidRPr="00393BB1" w:rsidRDefault="00AC36F0" w:rsidP="00D86EF7">
            <w:pPr>
              <w:spacing w:line="276" w:lineRule="auto"/>
              <w:jc w:val="center"/>
            </w:pPr>
            <w:r w:rsidRPr="00393BB1">
              <w:t>11 (24.4)</w:t>
            </w:r>
          </w:p>
        </w:tc>
        <w:tc>
          <w:tcPr>
            <w:tcW w:w="2230" w:type="dxa"/>
          </w:tcPr>
          <w:p w14:paraId="778FA8DC" w14:textId="77777777" w:rsidR="00AC36F0" w:rsidRPr="00393BB1" w:rsidRDefault="00AC36F0" w:rsidP="00D86EF7">
            <w:pPr>
              <w:spacing w:line="276" w:lineRule="auto"/>
              <w:jc w:val="center"/>
            </w:pPr>
            <w:r w:rsidRPr="00393BB1">
              <w:t>1.50(0.54-4.16)</w:t>
            </w:r>
          </w:p>
        </w:tc>
        <w:tc>
          <w:tcPr>
            <w:tcW w:w="893" w:type="dxa"/>
            <w:vMerge/>
            <w:vAlign w:val="center"/>
          </w:tcPr>
          <w:p w14:paraId="5D4E00DF" w14:textId="77777777" w:rsidR="00AC36F0" w:rsidRPr="00393BB1" w:rsidRDefault="00AC36F0" w:rsidP="00D86EF7">
            <w:pPr>
              <w:spacing w:line="276" w:lineRule="auto"/>
              <w:jc w:val="center"/>
            </w:pPr>
          </w:p>
        </w:tc>
      </w:tr>
      <w:tr w:rsidR="00AC36F0" w:rsidRPr="00393BB1" w14:paraId="2D11916B" w14:textId="77777777" w:rsidTr="00C10541">
        <w:tc>
          <w:tcPr>
            <w:tcW w:w="2976" w:type="dxa"/>
          </w:tcPr>
          <w:p w14:paraId="34CD48C7" w14:textId="77777777" w:rsidR="00AC36F0" w:rsidRPr="00393BB1" w:rsidRDefault="00AC36F0" w:rsidP="00D86EF7">
            <w:pPr>
              <w:spacing w:line="276" w:lineRule="auto"/>
              <w:ind w:left="447"/>
            </w:pPr>
            <w:r w:rsidRPr="00393BB1">
              <w:t xml:space="preserve">≥ 10 </w:t>
            </w:r>
          </w:p>
        </w:tc>
        <w:tc>
          <w:tcPr>
            <w:tcW w:w="1134" w:type="dxa"/>
            <w:vAlign w:val="center"/>
          </w:tcPr>
          <w:p w14:paraId="426DC825" w14:textId="77777777" w:rsidR="00AC36F0" w:rsidRPr="00393BB1" w:rsidRDefault="00AC36F0" w:rsidP="00D86EF7">
            <w:pPr>
              <w:spacing w:line="276" w:lineRule="auto"/>
              <w:jc w:val="center"/>
            </w:pPr>
            <w:r w:rsidRPr="00393BB1">
              <w:t>4 (8.9)</w:t>
            </w:r>
          </w:p>
        </w:tc>
        <w:tc>
          <w:tcPr>
            <w:tcW w:w="1118" w:type="dxa"/>
            <w:vAlign w:val="center"/>
          </w:tcPr>
          <w:p w14:paraId="08A402B8" w14:textId="77777777" w:rsidR="00AC36F0" w:rsidRPr="00393BB1" w:rsidRDefault="00AC36F0" w:rsidP="00D86EF7">
            <w:pPr>
              <w:spacing w:line="276" w:lineRule="auto"/>
              <w:jc w:val="center"/>
            </w:pPr>
            <w:r w:rsidRPr="00393BB1">
              <w:t>23 (51.1)</w:t>
            </w:r>
          </w:p>
        </w:tc>
        <w:tc>
          <w:tcPr>
            <w:tcW w:w="2230" w:type="dxa"/>
          </w:tcPr>
          <w:p w14:paraId="17090711" w14:textId="77777777" w:rsidR="00AC36F0" w:rsidRPr="00393BB1" w:rsidRDefault="00AC36F0" w:rsidP="00D86EF7">
            <w:pPr>
              <w:spacing w:line="276" w:lineRule="auto"/>
              <w:jc w:val="center"/>
            </w:pPr>
            <w:r w:rsidRPr="00393BB1">
              <w:t>10.72(3.29-34.92)</w:t>
            </w:r>
          </w:p>
        </w:tc>
        <w:tc>
          <w:tcPr>
            <w:tcW w:w="893" w:type="dxa"/>
            <w:vMerge/>
            <w:vAlign w:val="center"/>
          </w:tcPr>
          <w:p w14:paraId="5060CFD2" w14:textId="77777777" w:rsidR="00AC36F0" w:rsidRPr="00393BB1" w:rsidRDefault="00AC36F0" w:rsidP="00D86EF7">
            <w:pPr>
              <w:spacing w:line="276" w:lineRule="auto"/>
              <w:jc w:val="center"/>
            </w:pPr>
          </w:p>
        </w:tc>
      </w:tr>
      <w:tr w:rsidR="00AC36F0" w:rsidRPr="00393BB1" w14:paraId="1E23F1CD" w14:textId="77777777" w:rsidTr="00C10541">
        <w:tc>
          <w:tcPr>
            <w:tcW w:w="2976" w:type="dxa"/>
          </w:tcPr>
          <w:p w14:paraId="16047F74" w14:textId="77777777" w:rsidR="00AC36F0" w:rsidRPr="00393BB1" w:rsidRDefault="00AC36F0" w:rsidP="00D86EF7">
            <w:pPr>
              <w:spacing w:line="276" w:lineRule="auto"/>
              <w:ind w:left="-19"/>
            </w:pPr>
            <w:r w:rsidRPr="00393BB1">
              <w:t>Soda consumption</w:t>
            </w:r>
          </w:p>
        </w:tc>
        <w:tc>
          <w:tcPr>
            <w:tcW w:w="1134" w:type="dxa"/>
            <w:vAlign w:val="center"/>
          </w:tcPr>
          <w:p w14:paraId="459A46DA" w14:textId="77777777" w:rsidR="00AC36F0" w:rsidRPr="00393BB1" w:rsidRDefault="00AC36F0" w:rsidP="00D86EF7">
            <w:pPr>
              <w:spacing w:line="276" w:lineRule="auto"/>
              <w:jc w:val="center"/>
            </w:pPr>
          </w:p>
        </w:tc>
        <w:tc>
          <w:tcPr>
            <w:tcW w:w="1118" w:type="dxa"/>
            <w:vAlign w:val="center"/>
          </w:tcPr>
          <w:p w14:paraId="4A9CFE7F" w14:textId="77777777" w:rsidR="00AC36F0" w:rsidRPr="00393BB1" w:rsidRDefault="00AC36F0" w:rsidP="00D86EF7">
            <w:pPr>
              <w:spacing w:line="276" w:lineRule="auto"/>
              <w:jc w:val="center"/>
            </w:pPr>
          </w:p>
        </w:tc>
        <w:tc>
          <w:tcPr>
            <w:tcW w:w="2230" w:type="dxa"/>
          </w:tcPr>
          <w:p w14:paraId="03DC3E29" w14:textId="77777777" w:rsidR="00AC36F0" w:rsidRPr="00393BB1" w:rsidRDefault="00AC36F0" w:rsidP="00D86EF7">
            <w:pPr>
              <w:spacing w:line="276" w:lineRule="auto"/>
              <w:jc w:val="center"/>
            </w:pPr>
          </w:p>
        </w:tc>
        <w:tc>
          <w:tcPr>
            <w:tcW w:w="893" w:type="dxa"/>
            <w:vAlign w:val="center"/>
          </w:tcPr>
          <w:p w14:paraId="33494D36" w14:textId="77777777" w:rsidR="00AC36F0" w:rsidRPr="00393BB1" w:rsidRDefault="00AC36F0" w:rsidP="00D86EF7">
            <w:pPr>
              <w:spacing w:line="276" w:lineRule="auto"/>
              <w:jc w:val="center"/>
            </w:pPr>
          </w:p>
        </w:tc>
      </w:tr>
      <w:tr w:rsidR="00AC36F0" w:rsidRPr="00393BB1" w14:paraId="511E4076" w14:textId="77777777" w:rsidTr="00C10541">
        <w:tc>
          <w:tcPr>
            <w:tcW w:w="2976" w:type="dxa"/>
          </w:tcPr>
          <w:p w14:paraId="64000F80" w14:textId="77777777" w:rsidR="00AC36F0" w:rsidRPr="00393BB1" w:rsidRDefault="00AC36F0" w:rsidP="00D86EF7">
            <w:pPr>
              <w:spacing w:line="276" w:lineRule="auto"/>
              <w:ind w:left="447"/>
            </w:pPr>
            <w:r w:rsidRPr="00393BB1">
              <w:t>Consumes</w:t>
            </w:r>
          </w:p>
        </w:tc>
        <w:tc>
          <w:tcPr>
            <w:tcW w:w="1134" w:type="dxa"/>
            <w:vAlign w:val="center"/>
          </w:tcPr>
          <w:p w14:paraId="715F8D05" w14:textId="77777777" w:rsidR="00AC36F0" w:rsidRPr="00393BB1" w:rsidRDefault="00AC36F0" w:rsidP="00D86EF7">
            <w:pPr>
              <w:spacing w:line="276" w:lineRule="auto"/>
              <w:jc w:val="center"/>
            </w:pPr>
            <w:r w:rsidRPr="00393BB1">
              <w:t>30 (66.7)</w:t>
            </w:r>
          </w:p>
        </w:tc>
        <w:tc>
          <w:tcPr>
            <w:tcW w:w="1118" w:type="dxa"/>
            <w:vAlign w:val="center"/>
          </w:tcPr>
          <w:p w14:paraId="79B1EBC1" w14:textId="77777777" w:rsidR="00AC36F0" w:rsidRPr="00393BB1" w:rsidRDefault="00AC36F0" w:rsidP="00D86EF7">
            <w:pPr>
              <w:spacing w:line="276" w:lineRule="auto"/>
              <w:jc w:val="center"/>
            </w:pPr>
            <w:r w:rsidRPr="00393BB1">
              <w:t>12 (26.7)</w:t>
            </w:r>
          </w:p>
        </w:tc>
        <w:tc>
          <w:tcPr>
            <w:tcW w:w="2230" w:type="dxa"/>
          </w:tcPr>
          <w:p w14:paraId="39AE3D88" w14:textId="77777777" w:rsidR="00AC36F0" w:rsidRPr="00393BB1" w:rsidRDefault="00AC36F0" w:rsidP="00D86EF7">
            <w:pPr>
              <w:spacing w:line="276" w:lineRule="auto"/>
              <w:jc w:val="center"/>
            </w:pPr>
            <w:r w:rsidRPr="00393BB1">
              <w:t>0.18 (0.07-0.45)</w:t>
            </w:r>
          </w:p>
        </w:tc>
        <w:tc>
          <w:tcPr>
            <w:tcW w:w="893" w:type="dxa"/>
            <w:vMerge w:val="restart"/>
            <w:vAlign w:val="center"/>
          </w:tcPr>
          <w:p w14:paraId="6C7B4BF7" w14:textId="77777777" w:rsidR="00AC36F0" w:rsidRPr="00393BB1" w:rsidRDefault="00AC36F0" w:rsidP="00D86EF7">
            <w:pPr>
              <w:spacing w:line="276" w:lineRule="auto"/>
              <w:jc w:val="center"/>
            </w:pPr>
            <w:r w:rsidRPr="00393BB1">
              <w:t>&lt;0.001</w:t>
            </w:r>
          </w:p>
        </w:tc>
      </w:tr>
      <w:tr w:rsidR="00AC36F0" w:rsidRPr="00393BB1" w14:paraId="1B748261" w14:textId="77777777" w:rsidTr="00C10541">
        <w:tc>
          <w:tcPr>
            <w:tcW w:w="2976" w:type="dxa"/>
          </w:tcPr>
          <w:p w14:paraId="109BC0EB" w14:textId="77777777" w:rsidR="00AC36F0" w:rsidRPr="00393BB1" w:rsidRDefault="00AC36F0" w:rsidP="00D86EF7">
            <w:pPr>
              <w:spacing w:line="276" w:lineRule="auto"/>
              <w:ind w:left="447"/>
            </w:pPr>
            <w:r w:rsidRPr="00393BB1">
              <w:t>Does not consume</w:t>
            </w:r>
          </w:p>
        </w:tc>
        <w:tc>
          <w:tcPr>
            <w:tcW w:w="1134" w:type="dxa"/>
            <w:vAlign w:val="center"/>
          </w:tcPr>
          <w:p w14:paraId="4244A6E0" w14:textId="77777777" w:rsidR="00AC36F0" w:rsidRPr="00393BB1" w:rsidRDefault="00AC36F0" w:rsidP="00D86EF7">
            <w:pPr>
              <w:spacing w:line="276" w:lineRule="auto"/>
              <w:jc w:val="center"/>
            </w:pPr>
            <w:r w:rsidRPr="00393BB1">
              <w:t>15 (33.3)</w:t>
            </w:r>
          </w:p>
        </w:tc>
        <w:tc>
          <w:tcPr>
            <w:tcW w:w="1118" w:type="dxa"/>
            <w:vAlign w:val="center"/>
          </w:tcPr>
          <w:p w14:paraId="5EC2BF5B" w14:textId="77777777" w:rsidR="00AC36F0" w:rsidRPr="00393BB1" w:rsidRDefault="00AC36F0" w:rsidP="00D86EF7">
            <w:pPr>
              <w:spacing w:line="276" w:lineRule="auto"/>
              <w:jc w:val="center"/>
            </w:pPr>
            <w:r w:rsidRPr="00393BB1">
              <w:t>33 (73.3)</w:t>
            </w:r>
          </w:p>
        </w:tc>
        <w:tc>
          <w:tcPr>
            <w:tcW w:w="2230" w:type="dxa"/>
          </w:tcPr>
          <w:p w14:paraId="7033FA0C" w14:textId="77777777" w:rsidR="00AC36F0" w:rsidRPr="00393BB1" w:rsidRDefault="00AC36F0" w:rsidP="00D86EF7">
            <w:pPr>
              <w:spacing w:line="276" w:lineRule="auto"/>
              <w:jc w:val="center"/>
            </w:pPr>
            <w:r w:rsidRPr="00393BB1">
              <w:t>5.50(2.23-13.61)</w:t>
            </w:r>
          </w:p>
        </w:tc>
        <w:tc>
          <w:tcPr>
            <w:tcW w:w="893" w:type="dxa"/>
            <w:vMerge/>
            <w:vAlign w:val="center"/>
          </w:tcPr>
          <w:p w14:paraId="150C7F18" w14:textId="77777777" w:rsidR="00AC36F0" w:rsidRPr="00393BB1" w:rsidRDefault="00AC36F0" w:rsidP="00D86EF7">
            <w:pPr>
              <w:spacing w:line="276" w:lineRule="auto"/>
              <w:jc w:val="center"/>
            </w:pPr>
          </w:p>
        </w:tc>
      </w:tr>
      <w:tr w:rsidR="00AC36F0" w:rsidRPr="00393BB1" w14:paraId="2644ABAC" w14:textId="77777777" w:rsidTr="00C10541">
        <w:tc>
          <w:tcPr>
            <w:tcW w:w="2976" w:type="dxa"/>
          </w:tcPr>
          <w:p w14:paraId="5FBA81BA" w14:textId="77777777" w:rsidR="00AC36F0" w:rsidRPr="00393BB1" w:rsidRDefault="00AC36F0" w:rsidP="00D86EF7">
            <w:pPr>
              <w:spacing w:line="276" w:lineRule="auto"/>
              <w:ind w:left="-19"/>
            </w:pPr>
            <w:r w:rsidRPr="00393BB1">
              <w:t>Consumption of processed foods</w:t>
            </w:r>
          </w:p>
        </w:tc>
        <w:tc>
          <w:tcPr>
            <w:tcW w:w="1134" w:type="dxa"/>
            <w:vAlign w:val="center"/>
          </w:tcPr>
          <w:p w14:paraId="110FA925" w14:textId="77777777" w:rsidR="00AC36F0" w:rsidRPr="00393BB1" w:rsidRDefault="00AC36F0" w:rsidP="00D86EF7">
            <w:pPr>
              <w:spacing w:line="276" w:lineRule="auto"/>
              <w:jc w:val="center"/>
            </w:pPr>
          </w:p>
        </w:tc>
        <w:tc>
          <w:tcPr>
            <w:tcW w:w="1118" w:type="dxa"/>
            <w:vAlign w:val="center"/>
          </w:tcPr>
          <w:p w14:paraId="20D8AB7D" w14:textId="77777777" w:rsidR="00AC36F0" w:rsidRPr="00393BB1" w:rsidRDefault="00AC36F0" w:rsidP="00D86EF7">
            <w:pPr>
              <w:spacing w:line="276" w:lineRule="auto"/>
              <w:jc w:val="center"/>
            </w:pPr>
          </w:p>
        </w:tc>
        <w:tc>
          <w:tcPr>
            <w:tcW w:w="2230" w:type="dxa"/>
          </w:tcPr>
          <w:p w14:paraId="333792FB" w14:textId="77777777" w:rsidR="00AC36F0" w:rsidRPr="00393BB1" w:rsidRDefault="00AC36F0" w:rsidP="00D86EF7">
            <w:pPr>
              <w:spacing w:line="276" w:lineRule="auto"/>
              <w:jc w:val="center"/>
            </w:pPr>
          </w:p>
        </w:tc>
        <w:tc>
          <w:tcPr>
            <w:tcW w:w="893" w:type="dxa"/>
            <w:vAlign w:val="center"/>
          </w:tcPr>
          <w:p w14:paraId="760E8657" w14:textId="77777777" w:rsidR="00AC36F0" w:rsidRPr="00393BB1" w:rsidRDefault="00AC36F0" w:rsidP="00D86EF7">
            <w:pPr>
              <w:spacing w:line="276" w:lineRule="auto"/>
              <w:jc w:val="center"/>
            </w:pPr>
          </w:p>
        </w:tc>
      </w:tr>
      <w:tr w:rsidR="00AC36F0" w:rsidRPr="00393BB1" w14:paraId="15B0D559" w14:textId="77777777" w:rsidTr="00C10541">
        <w:tc>
          <w:tcPr>
            <w:tcW w:w="2976" w:type="dxa"/>
          </w:tcPr>
          <w:p w14:paraId="337AA6E6" w14:textId="77777777" w:rsidR="00AC36F0" w:rsidRPr="00393BB1" w:rsidRDefault="00AC36F0" w:rsidP="00D86EF7">
            <w:pPr>
              <w:spacing w:line="276" w:lineRule="auto"/>
              <w:ind w:left="447"/>
            </w:pPr>
            <w:r w:rsidRPr="00393BB1">
              <w:t>Yes</w:t>
            </w:r>
          </w:p>
        </w:tc>
        <w:tc>
          <w:tcPr>
            <w:tcW w:w="1134" w:type="dxa"/>
          </w:tcPr>
          <w:p w14:paraId="03618EFD" w14:textId="77777777" w:rsidR="00AC36F0" w:rsidRPr="00393BB1" w:rsidRDefault="00AC36F0" w:rsidP="00D86EF7">
            <w:pPr>
              <w:spacing w:line="276" w:lineRule="auto"/>
              <w:jc w:val="center"/>
            </w:pPr>
            <w:r w:rsidRPr="00393BB1">
              <w:t>41 (91.1)</w:t>
            </w:r>
          </w:p>
        </w:tc>
        <w:tc>
          <w:tcPr>
            <w:tcW w:w="1118" w:type="dxa"/>
          </w:tcPr>
          <w:p w14:paraId="50B733AF" w14:textId="77777777" w:rsidR="00AC36F0" w:rsidRPr="00393BB1" w:rsidRDefault="00AC36F0" w:rsidP="00D86EF7">
            <w:pPr>
              <w:spacing w:line="276" w:lineRule="auto"/>
              <w:jc w:val="center"/>
            </w:pPr>
            <w:r w:rsidRPr="00393BB1">
              <w:t>9 (20.0)</w:t>
            </w:r>
          </w:p>
        </w:tc>
        <w:tc>
          <w:tcPr>
            <w:tcW w:w="2230" w:type="dxa"/>
          </w:tcPr>
          <w:p w14:paraId="1F46AE1F" w14:textId="77777777" w:rsidR="00AC36F0" w:rsidRPr="00393BB1" w:rsidRDefault="00AC36F0" w:rsidP="00D86EF7">
            <w:pPr>
              <w:spacing w:line="276" w:lineRule="auto"/>
              <w:jc w:val="center"/>
            </w:pPr>
            <w:r w:rsidRPr="00393BB1">
              <w:t>0.02(0.01-0.09)</w:t>
            </w:r>
          </w:p>
        </w:tc>
        <w:tc>
          <w:tcPr>
            <w:tcW w:w="893" w:type="dxa"/>
            <w:vMerge w:val="restart"/>
            <w:vAlign w:val="center"/>
          </w:tcPr>
          <w:p w14:paraId="7592A42A" w14:textId="77777777" w:rsidR="00AC36F0" w:rsidRPr="00393BB1" w:rsidRDefault="00AC36F0" w:rsidP="00D86EF7">
            <w:pPr>
              <w:spacing w:line="276" w:lineRule="auto"/>
              <w:jc w:val="center"/>
            </w:pPr>
            <w:r w:rsidRPr="00393BB1">
              <w:t>&lt;0.001</w:t>
            </w:r>
          </w:p>
        </w:tc>
      </w:tr>
      <w:tr w:rsidR="00AC36F0" w:rsidRPr="00393BB1" w14:paraId="380565EB" w14:textId="77777777" w:rsidTr="00C10541">
        <w:tc>
          <w:tcPr>
            <w:tcW w:w="2976" w:type="dxa"/>
            <w:tcBorders>
              <w:bottom w:val="single" w:sz="4" w:space="0" w:color="auto"/>
            </w:tcBorders>
          </w:tcPr>
          <w:p w14:paraId="3BF57500" w14:textId="77777777" w:rsidR="00AC36F0" w:rsidRPr="00393BB1" w:rsidRDefault="00AC36F0" w:rsidP="00D86EF7">
            <w:pPr>
              <w:spacing w:line="276" w:lineRule="auto"/>
              <w:ind w:left="447"/>
            </w:pPr>
            <w:r w:rsidRPr="00393BB1">
              <w:t>No</w:t>
            </w:r>
          </w:p>
        </w:tc>
        <w:tc>
          <w:tcPr>
            <w:tcW w:w="1134" w:type="dxa"/>
            <w:tcBorders>
              <w:bottom w:val="single" w:sz="4" w:space="0" w:color="auto"/>
            </w:tcBorders>
          </w:tcPr>
          <w:p w14:paraId="52964748" w14:textId="77777777" w:rsidR="00AC36F0" w:rsidRPr="00393BB1" w:rsidRDefault="00AC36F0" w:rsidP="00D86EF7">
            <w:pPr>
              <w:spacing w:line="276" w:lineRule="auto"/>
              <w:jc w:val="center"/>
            </w:pPr>
            <w:r w:rsidRPr="00393BB1">
              <w:t>4 (8.9)</w:t>
            </w:r>
          </w:p>
        </w:tc>
        <w:tc>
          <w:tcPr>
            <w:tcW w:w="1118" w:type="dxa"/>
            <w:tcBorders>
              <w:bottom w:val="single" w:sz="4" w:space="0" w:color="auto"/>
            </w:tcBorders>
          </w:tcPr>
          <w:p w14:paraId="6A397D87" w14:textId="77777777" w:rsidR="00AC36F0" w:rsidRPr="00393BB1" w:rsidRDefault="00AC36F0" w:rsidP="00D86EF7">
            <w:pPr>
              <w:spacing w:line="276" w:lineRule="auto"/>
              <w:jc w:val="center"/>
            </w:pPr>
            <w:r w:rsidRPr="00393BB1">
              <w:t>36 (80.0)</w:t>
            </w:r>
          </w:p>
        </w:tc>
        <w:tc>
          <w:tcPr>
            <w:tcW w:w="2230" w:type="dxa"/>
            <w:tcBorders>
              <w:bottom w:val="single" w:sz="4" w:space="0" w:color="auto"/>
            </w:tcBorders>
          </w:tcPr>
          <w:p w14:paraId="3A91A538" w14:textId="77777777" w:rsidR="00AC36F0" w:rsidRPr="00393BB1" w:rsidRDefault="00AC36F0" w:rsidP="00D86EF7">
            <w:pPr>
              <w:spacing w:line="276" w:lineRule="auto"/>
              <w:jc w:val="center"/>
            </w:pPr>
            <w:r w:rsidRPr="00393BB1">
              <w:t>41.00(11.63-144.55)</w:t>
            </w:r>
          </w:p>
        </w:tc>
        <w:tc>
          <w:tcPr>
            <w:tcW w:w="893" w:type="dxa"/>
            <w:vMerge/>
            <w:tcBorders>
              <w:bottom w:val="single" w:sz="4" w:space="0" w:color="auto"/>
            </w:tcBorders>
            <w:vAlign w:val="center"/>
          </w:tcPr>
          <w:p w14:paraId="007C34E2" w14:textId="77777777" w:rsidR="00AC36F0" w:rsidRPr="00393BB1" w:rsidRDefault="00AC36F0" w:rsidP="00D86EF7">
            <w:pPr>
              <w:spacing w:line="276" w:lineRule="auto"/>
              <w:jc w:val="center"/>
            </w:pPr>
          </w:p>
        </w:tc>
      </w:tr>
    </w:tbl>
    <w:p w14:paraId="33F15337" w14:textId="66A5F482" w:rsidR="00EC3CC1" w:rsidRDefault="00617E78" w:rsidP="008C0DAF">
      <w:pPr>
        <w:pStyle w:val="MDPI21heading1"/>
        <w:jc w:val="both"/>
        <w:rPr>
          <w:b w:val="0"/>
          <w:bCs/>
        </w:rPr>
      </w:pPr>
      <w:r w:rsidRPr="00617E78">
        <w:rPr>
          <w:b w:val="0"/>
          <w:bCs/>
        </w:rPr>
        <w:t xml:space="preserve">t0 = before treatment; t1 = 60 days after treatment; </w:t>
      </w:r>
      <w:r w:rsidRPr="00617E78">
        <w:rPr>
          <w:b w:val="0"/>
          <w:bCs/>
          <w:vertAlign w:val="superscript"/>
        </w:rPr>
        <w:t>1</w:t>
      </w:r>
      <w:r w:rsidRPr="00617E78">
        <w:rPr>
          <w:b w:val="0"/>
          <w:bCs/>
        </w:rPr>
        <w:t xml:space="preserve"> N(%) = number of patients (percentage); 2 NC = not calculated; *OR and CI were calculated by comparing post-treatment period to pre-treatment period; IPAQ: International Physical Activity Questionnaire. ** p&lt;0.05 = statistically significant difference by McNemar test (nominal variables) and Wilcoxon test (ordinal variables).</w:t>
      </w:r>
    </w:p>
    <w:p w14:paraId="0CB777A9" w14:textId="596A3BD5" w:rsidR="00F46423" w:rsidRDefault="00AE6ABF" w:rsidP="00AE6ABF">
      <w:pPr>
        <w:pStyle w:val="MDPI21heading1"/>
        <w:ind w:firstLine="452"/>
        <w:jc w:val="both"/>
        <w:rPr>
          <w:b w:val="0"/>
          <w:bCs/>
        </w:rPr>
      </w:pPr>
      <w:r w:rsidRPr="00AE6ABF">
        <w:rPr>
          <w:b w:val="0"/>
          <w:bCs/>
        </w:rPr>
        <w:t>After the 60-day period, a significant improvement was observed in several physiological parameters (Table 2). An average reduction of 6.04 kg in body weight (p &lt; 0.001) and 6.29 kg in fat mass (p &lt; 0.001) was observed. The average BMI reduced by 1.1 kg/m² (p = 0.003). Fasting glucose and glycated hemoglobin levels showed an average reduction of 8.33 mg/dL and 0.15% (p &lt; 0.001). Insulin levels (µUI/mL) reduced by an average of 5.5 (p&lt;0.001). The HOMA-IR index showed an average reduction of 0.99 (p=0.002). Furthermore, an improvement in the lipid profile was observed with a significant mean increase in HDL cholesterol of 8.4 mg/dL (p &lt; 0.001), a mean reduction in LDL cholesterol of 25.69 mg/dL (p &lt; 0.001) and the triglyceride levels also decreased by 67.45 mg/dL (p &lt; 0.001). Regarding the frequency of evacuation of participants, there was an increase of 44.4% in the number of participants who began to evacuate daily (OR=9.14; p&lt;0.001). Regarding stool consistency, assessed by the Bristol Scale, there was a 55.3% increase in the percentage of patients with stools classified as type 3 and type 4, compared to the other types (OR=10.81; p &lt; 0.001) (Table 2).</w:t>
      </w:r>
    </w:p>
    <w:p w14:paraId="1A05C5E7" w14:textId="77777777" w:rsidR="008F551B" w:rsidRDefault="008F551B" w:rsidP="00AE6ABF">
      <w:pPr>
        <w:pStyle w:val="MDPI21heading1"/>
        <w:ind w:firstLine="452"/>
        <w:jc w:val="both"/>
        <w:rPr>
          <w:b w:val="0"/>
          <w:bCs/>
        </w:rPr>
      </w:pPr>
    </w:p>
    <w:p w14:paraId="27935A8D" w14:textId="64D26906" w:rsidR="008F551B" w:rsidRDefault="000530DB" w:rsidP="00AE6ABF">
      <w:pPr>
        <w:pStyle w:val="MDPI21heading1"/>
        <w:ind w:firstLine="452"/>
        <w:jc w:val="both"/>
        <w:rPr>
          <w:b w:val="0"/>
          <w:bCs/>
        </w:rPr>
      </w:pPr>
      <w:r w:rsidRPr="00E05C79">
        <w:lastRenderedPageBreak/>
        <w:t>Table 2</w:t>
      </w:r>
      <w:r w:rsidRPr="000530DB">
        <w:rPr>
          <w:b w:val="0"/>
          <w:bCs/>
        </w:rPr>
        <w:t>. Analysis of physiological parameters of patients before and after treatment</w:t>
      </w:r>
    </w:p>
    <w:tbl>
      <w:tblPr>
        <w:tblStyle w:val="Tabelacomgrade"/>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843"/>
        <w:gridCol w:w="1843"/>
        <w:gridCol w:w="1984"/>
        <w:gridCol w:w="1134"/>
      </w:tblGrid>
      <w:tr w:rsidR="008F551B" w:rsidRPr="00893D65" w14:paraId="248580B8" w14:textId="77777777" w:rsidTr="00E15E1E">
        <w:tc>
          <w:tcPr>
            <w:tcW w:w="3544" w:type="dxa"/>
            <w:tcBorders>
              <w:top w:val="single" w:sz="4" w:space="0" w:color="auto"/>
            </w:tcBorders>
            <w:shd w:val="clear" w:color="auto" w:fill="auto"/>
            <w:vAlign w:val="center"/>
          </w:tcPr>
          <w:p w14:paraId="0018A188" w14:textId="77777777" w:rsidR="008F551B" w:rsidRPr="00893D65" w:rsidRDefault="008F551B" w:rsidP="00D86EF7">
            <w:pPr>
              <w:jc w:val="center"/>
              <w:rPr>
                <w:rFonts w:ascii="Times New Roman" w:hAnsi="Times New Roman"/>
                <w:sz w:val="24"/>
                <w:szCs w:val="24"/>
              </w:rPr>
            </w:pPr>
            <w:r w:rsidRPr="00893D65">
              <w:rPr>
                <w:rFonts w:ascii="Times New Roman" w:hAnsi="Times New Roman"/>
                <w:sz w:val="24"/>
                <w:szCs w:val="24"/>
              </w:rPr>
              <w:t>Variables</w:t>
            </w:r>
          </w:p>
        </w:tc>
        <w:tc>
          <w:tcPr>
            <w:tcW w:w="3686" w:type="dxa"/>
            <w:gridSpan w:val="2"/>
            <w:tcBorders>
              <w:top w:val="single" w:sz="4" w:space="0" w:color="auto"/>
            </w:tcBorders>
            <w:shd w:val="clear" w:color="auto" w:fill="auto"/>
            <w:vAlign w:val="center"/>
          </w:tcPr>
          <w:p w14:paraId="4BF98166" w14:textId="77777777" w:rsidR="008F551B" w:rsidRPr="00893D65" w:rsidRDefault="008F551B" w:rsidP="00D86EF7">
            <w:pPr>
              <w:jc w:val="center"/>
              <w:rPr>
                <w:rFonts w:ascii="Times New Roman" w:hAnsi="Times New Roman"/>
                <w:sz w:val="24"/>
                <w:szCs w:val="24"/>
              </w:rPr>
            </w:pPr>
            <w:r w:rsidRPr="00893D65">
              <w:rPr>
                <w:rFonts w:ascii="Times New Roman" w:hAnsi="Times New Roman"/>
                <w:sz w:val="24"/>
                <w:szCs w:val="24"/>
              </w:rPr>
              <w:t>Patients (n=45)</w:t>
            </w:r>
          </w:p>
        </w:tc>
        <w:tc>
          <w:tcPr>
            <w:tcW w:w="1984" w:type="dxa"/>
            <w:vMerge w:val="restart"/>
            <w:tcBorders>
              <w:top w:val="single" w:sz="4" w:space="0" w:color="auto"/>
            </w:tcBorders>
            <w:shd w:val="clear" w:color="auto" w:fill="auto"/>
            <w:vAlign w:val="center"/>
          </w:tcPr>
          <w:p w14:paraId="3DE5F93A" w14:textId="77777777" w:rsidR="008F551B" w:rsidRPr="00893D65" w:rsidRDefault="008F551B" w:rsidP="00D86EF7">
            <w:pPr>
              <w:jc w:val="center"/>
              <w:rPr>
                <w:rFonts w:ascii="Times New Roman" w:hAnsi="Times New Roman"/>
                <w:sz w:val="24"/>
                <w:szCs w:val="24"/>
              </w:rPr>
            </w:pPr>
            <w:r w:rsidRPr="00893D65">
              <w:rPr>
                <w:rFonts w:ascii="Times New Roman" w:hAnsi="Times New Roman"/>
                <w:sz w:val="24"/>
                <w:szCs w:val="24"/>
              </w:rPr>
              <w:t>OR (IC)*</w:t>
            </w:r>
          </w:p>
        </w:tc>
        <w:tc>
          <w:tcPr>
            <w:tcW w:w="1134" w:type="dxa"/>
            <w:vMerge w:val="restart"/>
            <w:tcBorders>
              <w:top w:val="single" w:sz="4" w:space="0" w:color="auto"/>
            </w:tcBorders>
            <w:vAlign w:val="center"/>
          </w:tcPr>
          <w:p w14:paraId="3A96FF03" w14:textId="77777777" w:rsidR="008F551B" w:rsidRPr="00893D65" w:rsidRDefault="008F551B" w:rsidP="00D86EF7">
            <w:pPr>
              <w:jc w:val="center"/>
              <w:rPr>
                <w:rFonts w:ascii="Times New Roman" w:hAnsi="Times New Roman"/>
                <w:sz w:val="24"/>
                <w:szCs w:val="24"/>
              </w:rPr>
            </w:pPr>
            <w:r w:rsidRPr="00893D65">
              <w:rPr>
                <w:rFonts w:ascii="Times New Roman" w:hAnsi="Times New Roman"/>
                <w:sz w:val="24"/>
                <w:szCs w:val="24"/>
              </w:rPr>
              <w:t>Value</w:t>
            </w:r>
          </w:p>
          <w:p w14:paraId="4DC1E0DE" w14:textId="77777777" w:rsidR="008F551B" w:rsidRPr="00893D65" w:rsidRDefault="008F551B" w:rsidP="00D86EF7">
            <w:pPr>
              <w:jc w:val="center"/>
              <w:rPr>
                <w:rFonts w:ascii="Times New Roman" w:hAnsi="Times New Roman"/>
                <w:sz w:val="24"/>
                <w:szCs w:val="24"/>
              </w:rPr>
            </w:pPr>
            <w:r w:rsidRPr="00893D65">
              <w:rPr>
                <w:rFonts w:ascii="Times New Roman" w:hAnsi="Times New Roman"/>
                <w:sz w:val="24"/>
                <w:szCs w:val="24"/>
              </w:rPr>
              <w:t>p**</w:t>
            </w:r>
          </w:p>
          <w:p w14:paraId="21DC8921" w14:textId="77777777" w:rsidR="008F551B" w:rsidRPr="00893D65" w:rsidRDefault="008F551B" w:rsidP="00D86EF7">
            <w:pPr>
              <w:jc w:val="center"/>
              <w:rPr>
                <w:rFonts w:ascii="Times New Roman" w:hAnsi="Times New Roman"/>
                <w:sz w:val="24"/>
                <w:szCs w:val="24"/>
              </w:rPr>
            </w:pPr>
          </w:p>
        </w:tc>
      </w:tr>
      <w:tr w:rsidR="008F551B" w:rsidRPr="00893D65" w14:paraId="12410BBF" w14:textId="77777777" w:rsidTr="00E15E1E">
        <w:tc>
          <w:tcPr>
            <w:tcW w:w="3544" w:type="dxa"/>
            <w:tcBorders>
              <w:bottom w:val="single" w:sz="4" w:space="0" w:color="auto"/>
            </w:tcBorders>
            <w:shd w:val="clear" w:color="auto" w:fill="auto"/>
            <w:vAlign w:val="center"/>
          </w:tcPr>
          <w:p w14:paraId="30A7E27E" w14:textId="77777777" w:rsidR="008F551B" w:rsidRPr="00893D65" w:rsidRDefault="008F551B" w:rsidP="00D86EF7">
            <w:pPr>
              <w:jc w:val="center"/>
              <w:rPr>
                <w:rFonts w:ascii="Times New Roman" w:hAnsi="Times New Roman"/>
                <w:sz w:val="24"/>
                <w:szCs w:val="24"/>
              </w:rPr>
            </w:pPr>
          </w:p>
        </w:tc>
        <w:tc>
          <w:tcPr>
            <w:tcW w:w="1843" w:type="dxa"/>
            <w:tcBorders>
              <w:bottom w:val="single" w:sz="4" w:space="0" w:color="auto"/>
            </w:tcBorders>
            <w:shd w:val="clear" w:color="auto" w:fill="auto"/>
            <w:vAlign w:val="center"/>
          </w:tcPr>
          <w:p w14:paraId="33A8D8D6" w14:textId="77777777" w:rsidR="008F551B" w:rsidRPr="00893D65" w:rsidRDefault="008F551B" w:rsidP="00D86EF7">
            <w:pPr>
              <w:jc w:val="center"/>
              <w:rPr>
                <w:rFonts w:ascii="Times New Roman" w:hAnsi="Times New Roman"/>
                <w:sz w:val="24"/>
                <w:szCs w:val="24"/>
              </w:rPr>
            </w:pPr>
            <w:r w:rsidRPr="00893D65">
              <w:rPr>
                <w:rFonts w:ascii="Times New Roman" w:hAnsi="Times New Roman"/>
                <w:sz w:val="24"/>
                <w:szCs w:val="24"/>
              </w:rPr>
              <w:t xml:space="preserve">Antes (t0)  </w:t>
            </w:r>
          </w:p>
        </w:tc>
        <w:tc>
          <w:tcPr>
            <w:tcW w:w="1843" w:type="dxa"/>
            <w:tcBorders>
              <w:bottom w:val="single" w:sz="4" w:space="0" w:color="auto"/>
            </w:tcBorders>
            <w:shd w:val="clear" w:color="auto" w:fill="auto"/>
            <w:vAlign w:val="center"/>
          </w:tcPr>
          <w:p w14:paraId="6F935425" w14:textId="77777777" w:rsidR="008F551B" w:rsidRPr="00893D65" w:rsidRDefault="008F551B" w:rsidP="00D86EF7">
            <w:pPr>
              <w:jc w:val="center"/>
              <w:rPr>
                <w:rFonts w:ascii="Times New Roman" w:hAnsi="Times New Roman"/>
                <w:sz w:val="24"/>
                <w:szCs w:val="24"/>
              </w:rPr>
            </w:pPr>
            <w:r w:rsidRPr="00893D65">
              <w:rPr>
                <w:rFonts w:ascii="Times New Roman" w:hAnsi="Times New Roman"/>
                <w:sz w:val="24"/>
                <w:szCs w:val="24"/>
              </w:rPr>
              <w:t xml:space="preserve">Após (t1) </w:t>
            </w:r>
          </w:p>
        </w:tc>
        <w:tc>
          <w:tcPr>
            <w:tcW w:w="1984" w:type="dxa"/>
            <w:vMerge/>
            <w:tcBorders>
              <w:bottom w:val="single" w:sz="4" w:space="0" w:color="auto"/>
            </w:tcBorders>
            <w:shd w:val="clear" w:color="auto" w:fill="auto"/>
            <w:vAlign w:val="center"/>
          </w:tcPr>
          <w:p w14:paraId="020FF772" w14:textId="77777777" w:rsidR="008F551B" w:rsidRPr="00893D65" w:rsidRDefault="008F551B" w:rsidP="00D86EF7">
            <w:pPr>
              <w:jc w:val="center"/>
              <w:rPr>
                <w:rFonts w:ascii="Times New Roman" w:hAnsi="Times New Roman"/>
                <w:sz w:val="24"/>
                <w:szCs w:val="24"/>
              </w:rPr>
            </w:pPr>
          </w:p>
        </w:tc>
        <w:tc>
          <w:tcPr>
            <w:tcW w:w="1134" w:type="dxa"/>
            <w:vMerge/>
            <w:tcBorders>
              <w:bottom w:val="single" w:sz="4" w:space="0" w:color="auto"/>
            </w:tcBorders>
            <w:vAlign w:val="center"/>
          </w:tcPr>
          <w:p w14:paraId="39948863" w14:textId="77777777" w:rsidR="008F551B" w:rsidRPr="00893D65" w:rsidRDefault="008F551B" w:rsidP="00D86EF7">
            <w:pPr>
              <w:jc w:val="center"/>
              <w:rPr>
                <w:rFonts w:ascii="Times New Roman" w:hAnsi="Times New Roman"/>
                <w:sz w:val="24"/>
                <w:szCs w:val="24"/>
              </w:rPr>
            </w:pPr>
          </w:p>
        </w:tc>
      </w:tr>
      <w:tr w:rsidR="008F551B" w:rsidRPr="00893D65" w14:paraId="4823FEA5" w14:textId="77777777" w:rsidTr="00E15E1E">
        <w:tc>
          <w:tcPr>
            <w:tcW w:w="3544" w:type="dxa"/>
            <w:tcBorders>
              <w:top w:val="single" w:sz="4" w:space="0" w:color="auto"/>
            </w:tcBorders>
          </w:tcPr>
          <w:p w14:paraId="646C5755" w14:textId="77777777" w:rsidR="008F551B" w:rsidRPr="00893D65" w:rsidRDefault="008F551B" w:rsidP="00D86EF7">
            <w:pPr>
              <w:spacing w:line="360" w:lineRule="auto"/>
              <w:rPr>
                <w:rFonts w:ascii="Times New Roman" w:hAnsi="Times New Roman"/>
                <w:sz w:val="24"/>
                <w:szCs w:val="24"/>
                <w:vertAlign w:val="superscript"/>
              </w:rPr>
            </w:pPr>
            <w:r w:rsidRPr="00893D65">
              <w:rPr>
                <w:rFonts w:ascii="Times New Roman" w:hAnsi="Times New Roman"/>
                <w:sz w:val="24"/>
                <w:szCs w:val="24"/>
              </w:rPr>
              <w:t>Weight (kg) (</w:t>
            </w:r>
            <m:oMath>
              <m:acc>
                <m:accPr>
                  <m:chr m:val="̅"/>
                  <m:ctrlPr>
                    <w:rPr>
                      <w:rFonts w:ascii="Cambria Math" w:hAnsi="Cambria Math"/>
                      <w:iCs/>
                      <w:sz w:val="24"/>
                      <w:szCs w:val="24"/>
                    </w:rPr>
                  </m:ctrlPr>
                </m:accPr>
                <m:e>
                  <m:r>
                    <m:rPr>
                      <m:sty m:val="p"/>
                    </m:rPr>
                    <w:rPr>
                      <w:rFonts w:ascii="Cambria Math" w:hAnsi="Cambria Math"/>
                      <w:sz w:val="24"/>
                      <w:szCs w:val="24"/>
                    </w:rPr>
                    <m:t>x</m:t>
                  </m:r>
                </m:e>
              </m:acc>
              <m:r>
                <m:rPr>
                  <m:sty m:val="p"/>
                </m:rPr>
                <w:rPr>
                  <w:rFonts w:ascii="Cambria Math" w:hAnsi="Cambria Math"/>
                  <w:sz w:val="24"/>
                  <w:szCs w:val="24"/>
                </w:rPr>
                <m:t>±dp</m:t>
              </m:r>
              <m:r>
                <w:rPr>
                  <w:rFonts w:ascii="Cambria Math" w:hAnsi="Cambria Math"/>
                  <w:sz w:val="24"/>
                  <w:szCs w:val="24"/>
                </w:rPr>
                <m:t>)</m:t>
              </m:r>
            </m:oMath>
            <w:r w:rsidRPr="00893D65">
              <w:rPr>
                <w:rFonts w:ascii="Times New Roman" w:eastAsiaTheme="minorEastAsia" w:hAnsi="Times New Roman"/>
                <w:sz w:val="24"/>
                <w:szCs w:val="24"/>
                <w:vertAlign w:val="superscript"/>
              </w:rPr>
              <w:t>1</w:t>
            </w:r>
          </w:p>
        </w:tc>
        <w:tc>
          <w:tcPr>
            <w:tcW w:w="1843" w:type="dxa"/>
            <w:tcBorders>
              <w:top w:val="single" w:sz="4" w:space="0" w:color="auto"/>
            </w:tcBorders>
            <w:vAlign w:val="center"/>
          </w:tcPr>
          <w:p w14:paraId="2B5F3385"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96.67 ± 14.89</w:t>
            </w:r>
          </w:p>
        </w:tc>
        <w:tc>
          <w:tcPr>
            <w:tcW w:w="1843" w:type="dxa"/>
            <w:tcBorders>
              <w:top w:val="single" w:sz="4" w:space="0" w:color="auto"/>
            </w:tcBorders>
            <w:vAlign w:val="center"/>
          </w:tcPr>
          <w:p w14:paraId="7E482E69"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90.93 ± 15.01</w:t>
            </w:r>
          </w:p>
        </w:tc>
        <w:tc>
          <w:tcPr>
            <w:tcW w:w="1984" w:type="dxa"/>
            <w:tcBorders>
              <w:top w:val="single" w:sz="4" w:space="0" w:color="auto"/>
            </w:tcBorders>
            <w:vAlign w:val="center"/>
          </w:tcPr>
          <w:p w14:paraId="32295BB8"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w:t>
            </w:r>
          </w:p>
        </w:tc>
        <w:tc>
          <w:tcPr>
            <w:tcW w:w="1134" w:type="dxa"/>
            <w:tcBorders>
              <w:top w:val="single" w:sz="4" w:space="0" w:color="auto"/>
            </w:tcBorders>
            <w:vAlign w:val="center"/>
          </w:tcPr>
          <w:p w14:paraId="77B07922"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&lt;0.001</w:t>
            </w:r>
          </w:p>
        </w:tc>
      </w:tr>
      <w:tr w:rsidR="008F551B" w:rsidRPr="00893D65" w14:paraId="08005C61" w14:textId="77777777" w:rsidTr="00E15E1E">
        <w:tc>
          <w:tcPr>
            <w:tcW w:w="3544" w:type="dxa"/>
          </w:tcPr>
          <w:p w14:paraId="27ECCBFF" w14:textId="77777777" w:rsidR="008F551B" w:rsidRPr="00893D65" w:rsidRDefault="008F551B" w:rsidP="00D86EF7">
            <w:pPr>
              <w:spacing w:line="360" w:lineRule="auto"/>
              <w:rPr>
                <w:rFonts w:ascii="Times New Roman" w:hAnsi="Times New Roman"/>
                <w:sz w:val="24"/>
                <w:szCs w:val="24"/>
              </w:rPr>
            </w:pPr>
            <w:r w:rsidRPr="00893D65">
              <w:rPr>
                <w:rFonts w:ascii="Times New Roman" w:hAnsi="Times New Roman"/>
                <w:sz w:val="24"/>
                <w:szCs w:val="24"/>
              </w:rPr>
              <w:t xml:space="preserve">Body fat mass (Kg)( </w:t>
            </w:r>
            <m:oMath>
              <m:acc>
                <m:accPr>
                  <m:chr m:val="̅"/>
                  <m:ctrlPr>
                    <w:rPr>
                      <w:rFonts w:ascii="Cambria Math" w:hAnsi="Cambria Math"/>
                      <w:iCs/>
                      <w:sz w:val="24"/>
                      <w:szCs w:val="24"/>
                    </w:rPr>
                  </m:ctrlPr>
                </m:accPr>
                <m:e>
                  <m:r>
                    <m:rPr>
                      <m:sty m:val="p"/>
                    </m:rPr>
                    <w:rPr>
                      <w:rFonts w:ascii="Cambria Math" w:hAnsi="Cambria Math"/>
                      <w:sz w:val="24"/>
                      <w:szCs w:val="24"/>
                    </w:rPr>
                    <m:t>x</m:t>
                  </m:r>
                </m:e>
              </m:acc>
              <m:r>
                <m:rPr>
                  <m:sty m:val="p"/>
                </m:rPr>
                <w:rPr>
                  <w:rFonts w:ascii="Cambria Math" w:hAnsi="Cambria Math"/>
                  <w:sz w:val="24"/>
                  <w:szCs w:val="24"/>
                </w:rPr>
                <m:t>±dp</m:t>
              </m:r>
              <m:r>
                <w:rPr>
                  <w:rFonts w:ascii="Cambria Math" w:hAnsi="Cambria Math"/>
                  <w:sz w:val="24"/>
                  <w:szCs w:val="24"/>
                </w:rPr>
                <m:t>)</m:t>
              </m:r>
            </m:oMath>
          </w:p>
        </w:tc>
        <w:tc>
          <w:tcPr>
            <w:tcW w:w="1843" w:type="dxa"/>
            <w:vAlign w:val="center"/>
          </w:tcPr>
          <w:p w14:paraId="425AB720"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39.48 ± 9.58</w:t>
            </w:r>
          </w:p>
        </w:tc>
        <w:tc>
          <w:tcPr>
            <w:tcW w:w="1843" w:type="dxa"/>
            <w:vAlign w:val="center"/>
          </w:tcPr>
          <w:p w14:paraId="2D301706"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33.19 ± 8.36</w:t>
            </w:r>
          </w:p>
        </w:tc>
        <w:tc>
          <w:tcPr>
            <w:tcW w:w="1984" w:type="dxa"/>
            <w:vAlign w:val="center"/>
          </w:tcPr>
          <w:p w14:paraId="28F01733"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w:t>
            </w:r>
          </w:p>
        </w:tc>
        <w:tc>
          <w:tcPr>
            <w:tcW w:w="1134" w:type="dxa"/>
            <w:vAlign w:val="center"/>
          </w:tcPr>
          <w:p w14:paraId="1DB6C716"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&lt;0.001</w:t>
            </w:r>
          </w:p>
        </w:tc>
      </w:tr>
      <w:tr w:rsidR="008F551B" w:rsidRPr="00893D65" w14:paraId="691332E1" w14:textId="77777777" w:rsidTr="00E15E1E">
        <w:tc>
          <w:tcPr>
            <w:tcW w:w="3544" w:type="dxa"/>
            <w:shd w:val="clear" w:color="auto" w:fill="auto"/>
          </w:tcPr>
          <w:p w14:paraId="10E4B05C" w14:textId="77777777" w:rsidR="008F551B" w:rsidRPr="00893D65" w:rsidRDefault="008F551B" w:rsidP="00D86EF7">
            <w:pPr>
              <w:spacing w:line="360" w:lineRule="auto"/>
              <w:rPr>
                <w:rFonts w:ascii="Times New Roman" w:hAnsi="Times New Roman"/>
                <w:sz w:val="24"/>
                <w:szCs w:val="24"/>
              </w:rPr>
            </w:pPr>
            <w:r w:rsidRPr="00893D65">
              <w:rPr>
                <w:rFonts w:ascii="Times New Roman" w:hAnsi="Times New Roman"/>
                <w:sz w:val="24"/>
                <w:szCs w:val="24"/>
              </w:rPr>
              <w:t xml:space="preserve">Lean body mass (kg)( </w:t>
            </w:r>
            <m:oMath>
              <m:acc>
                <m:accPr>
                  <m:chr m:val="̅"/>
                  <m:ctrlPr>
                    <w:rPr>
                      <w:rFonts w:ascii="Cambria Math" w:hAnsi="Cambria Math"/>
                      <w:iCs/>
                      <w:sz w:val="24"/>
                      <w:szCs w:val="24"/>
                    </w:rPr>
                  </m:ctrlPr>
                </m:accPr>
                <m:e>
                  <m:r>
                    <m:rPr>
                      <m:sty m:val="p"/>
                    </m:rPr>
                    <w:rPr>
                      <w:rFonts w:ascii="Cambria Math" w:hAnsi="Cambria Math"/>
                      <w:sz w:val="24"/>
                      <w:szCs w:val="24"/>
                    </w:rPr>
                    <m:t>x</m:t>
                  </m:r>
                </m:e>
              </m:acc>
              <m:r>
                <m:rPr>
                  <m:sty m:val="p"/>
                </m:rPr>
                <w:rPr>
                  <w:rFonts w:ascii="Cambria Math" w:hAnsi="Cambria Math"/>
                  <w:sz w:val="24"/>
                  <w:szCs w:val="24"/>
                </w:rPr>
                <m:t>±dp</m:t>
              </m:r>
              <m:r>
                <w:rPr>
                  <w:rFonts w:ascii="Cambria Math" w:hAnsi="Cambria Math"/>
                  <w:sz w:val="24"/>
                  <w:szCs w:val="24"/>
                </w:rPr>
                <m:t>)</m:t>
              </m:r>
            </m:oMath>
          </w:p>
        </w:tc>
        <w:tc>
          <w:tcPr>
            <w:tcW w:w="1843" w:type="dxa"/>
            <w:shd w:val="clear" w:color="auto" w:fill="auto"/>
            <w:vAlign w:val="center"/>
          </w:tcPr>
          <w:p w14:paraId="304E78F6"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28.59 ± 6.17</w:t>
            </w:r>
          </w:p>
        </w:tc>
        <w:tc>
          <w:tcPr>
            <w:tcW w:w="1843" w:type="dxa"/>
            <w:shd w:val="clear" w:color="auto" w:fill="auto"/>
            <w:vAlign w:val="center"/>
          </w:tcPr>
          <w:p w14:paraId="4D835068"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29.21 ±6.42</w:t>
            </w:r>
          </w:p>
        </w:tc>
        <w:tc>
          <w:tcPr>
            <w:tcW w:w="1984" w:type="dxa"/>
            <w:shd w:val="clear" w:color="auto" w:fill="auto"/>
            <w:vAlign w:val="center"/>
          </w:tcPr>
          <w:p w14:paraId="41B073DB"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w:t>
            </w:r>
          </w:p>
        </w:tc>
        <w:tc>
          <w:tcPr>
            <w:tcW w:w="1134" w:type="dxa"/>
            <w:vAlign w:val="center"/>
          </w:tcPr>
          <w:p w14:paraId="29597CBD"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0.158</w:t>
            </w:r>
          </w:p>
        </w:tc>
      </w:tr>
      <w:tr w:rsidR="008F551B" w:rsidRPr="00893D65" w14:paraId="58075827" w14:textId="77777777" w:rsidTr="00E15E1E">
        <w:tc>
          <w:tcPr>
            <w:tcW w:w="3544" w:type="dxa"/>
          </w:tcPr>
          <w:p w14:paraId="2093C1E0" w14:textId="77777777" w:rsidR="008F551B" w:rsidRPr="00893D65" w:rsidRDefault="008F551B" w:rsidP="00D86EF7">
            <w:pPr>
              <w:spacing w:line="276" w:lineRule="auto"/>
              <w:rPr>
                <w:rFonts w:ascii="Times New Roman" w:hAnsi="Times New Roman"/>
                <w:sz w:val="24"/>
                <w:szCs w:val="24"/>
              </w:rPr>
            </w:pPr>
            <w:r w:rsidRPr="00893D65">
              <w:rPr>
                <w:rFonts w:ascii="Times New Roman" w:hAnsi="Times New Roman"/>
                <w:sz w:val="24"/>
                <w:szCs w:val="24"/>
              </w:rPr>
              <w:t>BMI</w:t>
            </w:r>
          </w:p>
        </w:tc>
        <w:tc>
          <w:tcPr>
            <w:tcW w:w="1843" w:type="dxa"/>
            <w:vAlign w:val="center"/>
          </w:tcPr>
          <w:p w14:paraId="5F816393" w14:textId="77777777" w:rsidR="008F551B" w:rsidRPr="00893D65" w:rsidRDefault="008F551B" w:rsidP="00D86EF7">
            <w:pPr>
              <w:spacing w:line="276" w:lineRule="auto"/>
              <w:jc w:val="center"/>
              <w:rPr>
                <w:rFonts w:ascii="Times New Roman" w:hAnsi="Times New Roman"/>
                <w:sz w:val="24"/>
                <w:szCs w:val="24"/>
              </w:rPr>
            </w:pPr>
            <w:r w:rsidRPr="00893D65">
              <w:rPr>
                <w:rFonts w:ascii="Times New Roman" w:hAnsi="Times New Roman"/>
                <w:sz w:val="24"/>
                <w:szCs w:val="24"/>
              </w:rPr>
              <w:t>34.63 ±4.97</w:t>
            </w:r>
          </w:p>
        </w:tc>
        <w:tc>
          <w:tcPr>
            <w:tcW w:w="1843" w:type="dxa"/>
            <w:vAlign w:val="center"/>
          </w:tcPr>
          <w:p w14:paraId="01D5D6E6" w14:textId="77777777" w:rsidR="008F551B" w:rsidRPr="00893D65" w:rsidRDefault="008F551B" w:rsidP="00D86EF7">
            <w:pPr>
              <w:spacing w:line="276" w:lineRule="auto"/>
              <w:jc w:val="center"/>
              <w:rPr>
                <w:rFonts w:ascii="Times New Roman" w:hAnsi="Times New Roman"/>
                <w:sz w:val="24"/>
                <w:szCs w:val="24"/>
              </w:rPr>
            </w:pPr>
            <w:r w:rsidRPr="00893D65">
              <w:rPr>
                <w:rFonts w:ascii="Times New Roman" w:hAnsi="Times New Roman"/>
                <w:sz w:val="24"/>
                <w:szCs w:val="24"/>
              </w:rPr>
              <w:t>33.53 ± 5.35</w:t>
            </w:r>
          </w:p>
        </w:tc>
        <w:tc>
          <w:tcPr>
            <w:tcW w:w="1984" w:type="dxa"/>
            <w:vAlign w:val="center"/>
          </w:tcPr>
          <w:p w14:paraId="03A1D687" w14:textId="77777777" w:rsidR="008F551B" w:rsidRPr="00893D65" w:rsidRDefault="008F551B" w:rsidP="00D86EF7">
            <w:pPr>
              <w:spacing w:line="276" w:lineRule="auto"/>
              <w:jc w:val="center"/>
              <w:rPr>
                <w:rFonts w:ascii="Times New Roman" w:hAnsi="Times New Roman"/>
                <w:sz w:val="24"/>
                <w:szCs w:val="24"/>
              </w:rPr>
            </w:pPr>
            <w:r w:rsidRPr="00893D65">
              <w:rPr>
                <w:rFonts w:ascii="Times New Roman" w:hAnsi="Times New Roman"/>
                <w:sz w:val="24"/>
                <w:szCs w:val="24"/>
              </w:rPr>
              <w:t>-</w:t>
            </w:r>
          </w:p>
        </w:tc>
        <w:tc>
          <w:tcPr>
            <w:tcW w:w="1134" w:type="dxa"/>
            <w:vAlign w:val="center"/>
          </w:tcPr>
          <w:p w14:paraId="72AFA985" w14:textId="77777777" w:rsidR="008F551B" w:rsidRPr="00893D65" w:rsidRDefault="008F551B" w:rsidP="00D86EF7">
            <w:pPr>
              <w:spacing w:line="276" w:lineRule="auto"/>
              <w:jc w:val="center"/>
              <w:rPr>
                <w:rFonts w:ascii="Times New Roman" w:hAnsi="Times New Roman"/>
                <w:sz w:val="24"/>
                <w:szCs w:val="24"/>
              </w:rPr>
            </w:pPr>
            <w:r w:rsidRPr="00893D65">
              <w:rPr>
                <w:rFonts w:ascii="Times New Roman" w:hAnsi="Times New Roman"/>
                <w:sz w:val="24"/>
                <w:szCs w:val="24"/>
              </w:rPr>
              <w:t>0.035</w:t>
            </w:r>
          </w:p>
        </w:tc>
      </w:tr>
      <w:tr w:rsidR="008F551B" w:rsidRPr="00893D65" w14:paraId="53A9857F" w14:textId="77777777" w:rsidTr="00E15E1E">
        <w:tc>
          <w:tcPr>
            <w:tcW w:w="3544" w:type="dxa"/>
          </w:tcPr>
          <w:p w14:paraId="2CCDC309" w14:textId="77777777" w:rsidR="008F551B" w:rsidRPr="008F551B" w:rsidRDefault="008F551B" w:rsidP="00D86EF7">
            <w:pPr>
              <w:spacing w:line="360" w:lineRule="auto"/>
              <w:rPr>
                <w:rFonts w:ascii="Times New Roman" w:hAnsi="Times New Roman"/>
                <w:sz w:val="24"/>
                <w:szCs w:val="24"/>
                <w:lang w:val="pt-BR"/>
              </w:rPr>
            </w:pPr>
            <w:r w:rsidRPr="008F551B">
              <w:rPr>
                <w:rFonts w:ascii="Times New Roman" w:hAnsi="Times New Roman"/>
                <w:sz w:val="24"/>
                <w:szCs w:val="24"/>
                <w:lang w:val="pt-BR"/>
              </w:rPr>
              <w:t>Glucose (mmol/L)</w:t>
            </w:r>
            <w:r w:rsidRPr="008F551B">
              <w:rPr>
                <w:rFonts w:ascii="Times New Roman" w:hAnsi="Times New Roman"/>
                <w:iCs/>
                <w:sz w:val="24"/>
                <w:szCs w:val="24"/>
                <w:lang w:val="pt-BR"/>
              </w:rPr>
              <w:t xml:space="preserve"> </w:t>
            </w:r>
            <m:oMath>
              <m:r>
                <w:rPr>
                  <w:rFonts w:ascii="Cambria Math" w:hAnsi="Cambria Math"/>
                  <w:sz w:val="24"/>
                  <w:szCs w:val="24"/>
                  <w:lang w:val="pt-BR"/>
                </w:rPr>
                <m:t>(</m:t>
              </m:r>
              <m:acc>
                <m:accPr>
                  <m:chr m:val="̅"/>
                  <m:ctrlPr>
                    <w:rPr>
                      <w:rFonts w:ascii="Cambria Math" w:hAnsi="Cambria Math"/>
                      <w:iCs/>
                      <w:sz w:val="24"/>
                      <w:szCs w:val="24"/>
                    </w:rPr>
                  </m:ctrlPr>
                </m:accPr>
                <m:e>
                  <m:r>
                    <m:rPr>
                      <m:sty m:val="p"/>
                    </m:rPr>
                    <w:rPr>
                      <w:rFonts w:ascii="Cambria Math" w:hAnsi="Cambria Math"/>
                      <w:sz w:val="24"/>
                      <w:szCs w:val="24"/>
                      <w:lang w:val="pt-BR"/>
                    </w:rPr>
                    <m:t>x</m:t>
                  </m:r>
                </m:e>
              </m:acc>
              <m:r>
                <m:rPr>
                  <m:sty m:val="p"/>
                </m:rPr>
                <w:rPr>
                  <w:rFonts w:ascii="Cambria Math" w:hAnsi="Cambria Math"/>
                  <w:sz w:val="24"/>
                  <w:szCs w:val="24"/>
                  <w:lang w:val="pt-BR"/>
                </w:rPr>
                <m:t>±dp</m:t>
              </m:r>
              <m:r>
                <w:rPr>
                  <w:rFonts w:ascii="Cambria Math" w:hAnsi="Cambria Math"/>
                  <w:sz w:val="24"/>
                  <w:szCs w:val="24"/>
                  <w:lang w:val="pt-BR"/>
                </w:rPr>
                <m:t>)</m:t>
              </m:r>
            </m:oMath>
          </w:p>
        </w:tc>
        <w:tc>
          <w:tcPr>
            <w:tcW w:w="1843" w:type="dxa"/>
            <w:vAlign w:val="center"/>
          </w:tcPr>
          <w:p w14:paraId="6CBFF533"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95.93 ± 9.86</w:t>
            </w:r>
          </w:p>
        </w:tc>
        <w:tc>
          <w:tcPr>
            <w:tcW w:w="1843" w:type="dxa"/>
            <w:vAlign w:val="center"/>
          </w:tcPr>
          <w:p w14:paraId="1B2EA9EE"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87.60 ± 6.49</w:t>
            </w:r>
          </w:p>
        </w:tc>
        <w:tc>
          <w:tcPr>
            <w:tcW w:w="1984" w:type="dxa"/>
            <w:vAlign w:val="center"/>
          </w:tcPr>
          <w:p w14:paraId="6839C170"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w:t>
            </w:r>
          </w:p>
        </w:tc>
        <w:tc>
          <w:tcPr>
            <w:tcW w:w="1134" w:type="dxa"/>
            <w:vAlign w:val="center"/>
          </w:tcPr>
          <w:p w14:paraId="0ABEC573"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&lt;0.001</w:t>
            </w:r>
          </w:p>
        </w:tc>
      </w:tr>
      <w:tr w:rsidR="008F551B" w:rsidRPr="00893D65" w14:paraId="2506E968" w14:textId="77777777" w:rsidTr="00E15E1E">
        <w:tc>
          <w:tcPr>
            <w:tcW w:w="3544" w:type="dxa"/>
          </w:tcPr>
          <w:p w14:paraId="2973463C" w14:textId="77777777" w:rsidR="008F551B" w:rsidRPr="00893D65" w:rsidRDefault="008F551B" w:rsidP="00D86EF7">
            <w:pPr>
              <w:spacing w:line="360" w:lineRule="auto"/>
              <w:rPr>
                <w:rFonts w:ascii="Times New Roman" w:hAnsi="Times New Roman"/>
                <w:sz w:val="24"/>
                <w:szCs w:val="24"/>
              </w:rPr>
            </w:pPr>
            <w:r w:rsidRPr="00893D65">
              <w:rPr>
                <w:rFonts w:ascii="Times New Roman" w:hAnsi="Times New Roman"/>
                <w:sz w:val="24"/>
                <w:szCs w:val="24"/>
              </w:rPr>
              <w:t>HBa1c (%)</w:t>
            </w:r>
            <m:oMath>
              <m:acc>
                <m:accPr>
                  <m:chr m:val="̅"/>
                  <m:ctrlPr>
                    <w:rPr>
                      <w:rFonts w:ascii="Cambria Math" w:hAnsi="Cambria Math"/>
                      <w:iCs/>
                      <w:sz w:val="24"/>
                      <w:szCs w:val="24"/>
                    </w:rPr>
                  </m:ctrlPr>
                </m:accPr>
                <m:e>
                  <m:r>
                    <m:rPr>
                      <m:sty m:val="p"/>
                    </m:rPr>
                    <w:rPr>
                      <w:rFonts w:ascii="Cambria Math" w:hAnsi="Cambria Math"/>
                      <w:sz w:val="24"/>
                      <w:szCs w:val="24"/>
                    </w:rPr>
                    <m:t>(x</m:t>
                  </m:r>
                </m:e>
              </m:acc>
              <m:r>
                <m:rPr>
                  <m:sty m:val="p"/>
                </m:rPr>
                <w:rPr>
                  <w:rFonts w:ascii="Cambria Math" w:hAnsi="Cambria Math"/>
                  <w:sz w:val="24"/>
                  <w:szCs w:val="24"/>
                </w:rPr>
                <m:t>±dp</m:t>
              </m:r>
              <m:r>
                <w:rPr>
                  <w:rFonts w:ascii="Cambria Math" w:hAnsi="Cambria Math"/>
                  <w:sz w:val="24"/>
                  <w:szCs w:val="24"/>
                </w:rPr>
                <m:t>)</m:t>
              </m:r>
            </m:oMath>
          </w:p>
        </w:tc>
        <w:tc>
          <w:tcPr>
            <w:tcW w:w="1843" w:type="dxa"/>
            <w:vAlign w:val="center"/>
          </w:tcPr>
          <w:p w14:paraId="465A3141"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5.59 ± 0.45</w:t>
            </w:r>
          </w:p>
        </w:tc>
        <w:tc>
          <w:tcPr>
            <w:tcW w:w="1843" w:type="dxa"/>
            <w:vAlign w:val="center"/>
          </w:tcPr>
          <w:p w14:paraId="0D207311"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5.44 ± 0.36</w:t>
            </w:r>
          </w:p>
        </w:tc>
        <w:tc>
          <w:tcPr>
            <w:tcW w:w="1984" w:type="dxa"/>
            <w:vAlign w:val="center"/>
          </w:tcPr>
          <w:p w14:paraId="30EB0E98"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w:t>
            </w:r>
          </w:p>
        </w:tc>
        <w:tc>
          <w:tcPr>
            <w:tcW w:w="1134" w:type="dxa"/>
            <w:vAlign w:val="center"/>
          </w:tcPr>
          <w:p w14:paraId="449BB8A2"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0.01</w:t>
            </w:r>
          </w:p>
        </w:tc>
      </w:tr>
      <w:tr w:rsidR="008F551B" w:rsidRPr="00893D65" w14:paraId="1EFD0206" w14:textId="77777777" w:rsidTr="00E15E1E">
        <w:tc>
          <w:tcPr>
            <w:tcW w:w="3544" w:type="dxa"/>
          </w:tcPr>
          <w:p w14:paraId="15350A5C" w14:textId="77777777" w:rsidR="008F551B" w:rsidRPr="00893D65" w:rsidRDefault="008F551B" w:rsidP="00D86EF7">
            <w:pPr>
              <w:spacing w:line="360" w:lineRule="auto"/>
              <w:rPr>
                <w:rFonts w:ascii="Times New Roman" w:hAnsi="Times New Roman"/>
                <w:sz w:val="24"/>
                <w:szCs w:val="24"/>
              </w:rPr>
            </w:pPr>
            <w:r w:rsidRPr="00893D65">
              <w:rPr>
                <w:rFonts w:ascii="Times New Roman" w:hAnsi="Times New Roman"/>
                <w:sz w:val="24"/>
                <w:szCs w:val="24"/>
              </w:rPr>
              <w:t>Insulin (µUI/I)</w:t>
            </w:r>
            <w:r w:rsidRPr="00893D65">
              <w:rPr>
                <w:rFonts w:ascii="Times New Roman" w:hAnsi="Times New Roman"/>
                <w:iCs/>
                <w:sz w:val="24"/>
                <w:szCs w:val="24"/>
              </w:rPr>
              <w:t xml:space="preserve"> </w:t>
            </w:r>
            <m:oMath>
              <m:r>
                <w:rPr>
                  <w:rFonts w:ascii="Cambria Math" w:hAnsi="Cambria Math"/>
                  <w:sz w:val="24"/>
                  <w:szCs w:val="24"/>
                </w:rPr>
                <m:t>(</m:t>
              </m:r>
              <m:acc>
                <m:accPr>
                  <m:chr m:val="̅"/>
                  <m:ctrlPr>
                    <w:rPr>
                      <w:rFonts w:ascii="Cambria Math" w:hAnsi="Cambria Math"/>
                      <w:iCs/>
                      <w:sz w:val="24"/>
                      <w:szCs w:val="24"/>
                    </w:rPr>
                  </m:ctrlPr>
                </m:accPr>
                <m:e>
                  <m:r>
                    <m:rPr>
                      <m:sty m:val="p"/>
                    </m:rPr>
                    <w:rPr>
                      <w:rFonts w:ascii="Cambria Math" w:hAnsi="Cambria Math"/>
                      <w:sz w:val="24"/>
                      <w:szCs w:val="24"/>
                    </w:rPr>
                    <m:t>x</m:t>
                  </m:r>
                </m:e>
              </m:acc>
              <m:r>
                <m:rPr>
                  <m:sty m:val="p"/>
                </m:rPr>
                <w:rPr>
                  <w:rFonts w:ascii="Cambria Math" w:hAnsi="Cambria Math"/>
                  <w:sz w:val="24"/>
                  <w:szCs w:val="24"/>
                </w:rPr>
                <m:t>±dp</m:t>
              </m:r>
              <m:r>
                <w:rPr>
                  <w:rFonts w:ascii="Cambria Math" w:hAnsi="Cambria Math"/>
                  <w:sz w:val="24"/>
                  <w:szCs w:val="24"/>
                </w:rPr>
                <m:t>)</m:t>
              </m:r>
            </m:oMath>
          </w:p>
        </w:tc>
        <w:tc>
          <w:tcPr>
            <w:tcW w:w="1843" w:type="dxa"/>
            <w:vAlign w:val="center"/>
          </w:tcPr>
          <w:p w14:paraId="2EDB1B27"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14.33 ± 7.44</w:t>
            </w:r>
          </w:p>
        </w:tc>
        <w:tc>
          <w:tcPr>
            <w:tcW w:w="1843" w:type="dxa"/>
            <w:vAlign w:val="center"/>
          </w:tcPr>
          <w:p w14:paraId="26AD75B2"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8.83 ± 5.14</w:t>
            </w:r>
          </w:p>
        </w:tc>
        <w:tc>
          <w:tcPr>
            <w:tcW w:w="1984" w:type="dxa"/>
            <w:vAlign w:val="center"/>
          </w:tcPr>
          <w:p w14:paraId="6788EEED"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w:t>
            </w:r>
          </w:p>
        </w:tc>
        <w:tc>
          <w:tcPr>
            <w:tcW w:w="1134" w:type="dxa"/>
            <w:vAlign w:val="center"/>
          </w:tcPr>
          <w:p w14:paraId="0B42DBF5"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&lt;0.001</w:t>
            </w:r>
          </w:p>
        </w:tc>
      </w:tr>
      <w:tr w:rsidR="008F551B" w:rsidRPr="00893D65" w14:paraId="30B1F6D0" w14:textId="77777777" w:rsidTr="00E15E1E">
        <w:tc>
          <w:tcPr>
            <w:tcW w:w="3544" w:type="dxa"/>
          </w:tcPr>
          <w:p w14:paraId="6B43669C" w14:textId="77777777" w:rsidR="008F551B" w:rsidRPr="00893D65" w:rsidRDefault="008F551B" w:rsidP="00D86EF7">
            <w:pPr>
              <w:spacing w:line="360" w:lineRule="auto"/>
              <w:rPr>
                <w:rFonts w:ascii="Times New Roman" w:hAnsi="Times New Roman"/>
                <w:sz w:val="24"/>
                <w:szCs w:val="24"/>
              </w:rPr>
            </w:pPr>
            <w:r w:rsidRPr="00893D65">
              <w:rPr>
                <w:rFonts w:ascii="Times New Roman" w:hAnsi="Times New Roman"/>
                <w:sz w:val="24"/>
                <w:szCs w:val="24"/>
              </w:rPr>
              <w:t>HOMA-IR</w:t>
            </w:r>
            <m:oMath>
              <m:acc>
                <m:accPr>
                  <m:chr m:val="̅"/>
                  <m:ctrlPr>
                    <w:rPr>
                      <w:rFonts w:ascii="Cambria Math" w:hAnsi="Cambria Math"/>
                      <w:iCs/>
                      <w:sz w:val="24"/>
                      <w:szCs w:val="24"/>
                    </w:rPr>
                  </m:ctrlPr>
                </m:accPr>
                <m:e>
                  <m:r>
                    <m:rPr>
                      <m:sty m:val="p"/>
                    </m:rPr>
                    <w:rPr>
                      <w:rFonts w:ascii="Cambria Math" w:hAnsi="Cambria Math"/>
                      <w:sz w:val="24"/>
                      <w:szCs w:val="24"/>
                    </w:rPr>
                    <m:t>(x</m:t>
                  </m:r>
                </m:e>
              </m:acc>
              <m:r>
                <m:rPr>
                  <m:sty m:val="p"/>
                </m:rPr>
                <w:rPr>
                  <w:rFonts w:ascii="Cambria Math" w:hAnsi="Cambria Math"/>
                  <w:sz w:val="24"/>
                  <w:szCs w:val="24"/>
                </w:rPr>
                <m:t>±dp</m:t>
              </m:r>
              <m:r>
                <w:rPr>
                  <w:rFonts w:ascii="Cambria Math" w:hAnsi="Cambria Math"/>
                  <w:sz w:val="24"/>
                  <w:szCs w:val="24"/>
                </w:rPr>
                <m:t>)</m:t>
              </m:r>
            </m:oMath>
          </w:p>
        </w:tc>
        <w:tc>
          <w:tcPr>
            <w:tcW w:w="1843" w:type="dxa"/>
            <w:vAlign w:val="center"/>
          </w:tcPr>
          <w:p w14:paraId="13C464FD"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3.36 ± 1.84</w:t>
            </w:r>
          </w:p>
        </w:tc>
        <w:tc>
          <w:tcPr>
            <w:tcW w:w="1843" w:type="dxa"/>
            <w:vAlign w:val="center"/>
          </w:tcPr>
          <w:p w14:paraId="7062EA31"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2.37± 2.65</w:t>
            </w:r>
          </w:p>
        </w:tc>
        <w:tc>
          <w:tcPr>
            <w:tcW w:w="1984" w:type="dxa"/>
            <w:vAlign w:val="center"/>
          </w:tcPr>
          <w:p w14:paraId="1DBF410E"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w:t>
            </w:r>
          </w:p>
        </w:tc>
        <w:tc>
          <w:tcPr>
            <w:tcW w:w="1134" w:type="dxa"/>
            <w:vAlign w:val="center"/>
          </w:tcPr>
          <w:p w14:paraId="4D2F7540"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0.002</w:t>
            </w:r>
          </w:p>
        </w:tc>
      </w:tr>
      <w:tr w:rsidR="008F551B" w:rsidRPr="00893D65" w14:paraId="65F4A638" w14:textId="77777777" w:rsidTr="00E15E1E">
        <w:tc>
          <w:tcPr>
            <w:tcW w:w="3544" w:type="dxa"/>
          </w:tcPr>
          <w:p w14:paraId="365645E1" w14:textId="77777777" w:rsidR="008F551B" w:rsidRPr="00893D65" w:rsidRDefault="008F551B" w:rsidP="00D86EF7">
            <w:pPr>
              <w:spacing w:line="360" w:lineRule="auto"/>
              <w:rPr>
                <w:rFonts w:ascii="Times New Roman" w:hAnsi="Times New Roman"/>
                <w:sz w:val="24"/>
                <w:szCs w:val="24"/>
              </w:rPr>
            </w:pPr>
            <w:r w:rsidRPr="00893D65">
              <w:rPr>
                <w:rFonts w:ascii="Times New Roman" w:hAnsi="Times New Roman"/>
                <w:sz w:val="24"/>
                <w:szCs w:val="24"/>
              </w:rPr>
              <w:t>HDL (mmol/L)(</w:t>
            </w:r>
            <w:r w:rsidRPr="00893D65">
              <w:rPr>
                <w:rFonts w:ascii="Times New Roman" w:hAnsi="Times New Roman"/>
                <w:iCs/>
                <w:sz w:val="24"/>
                <w:szCs w:val="24"/>
              </w:rPr>
              <w:t xml:space="preserve"> </w:t>
            </w:r>
            <m:oMath>
              <m:acc>
                <m:accPr>
                  <m:chr m:val="̅"/>
                  <m:ctrlPr>
                    <w:rPr>
                      <w:rFonts w:ascii="Cambria Math" w:hAnsi="Cambria Math"/>
                      <w:iCs/>
                      <w:sz w:val="24"/>
                      <w:szCs w:val="24"/>
                    </w:rPr>
                  </m:ctrlPr>
                </m:accPr>
                <m:e>
                  <m:r>
                    <m:rPr>
                      <m:sty m:val="p"/>
                    </m:rPr>
                    <w:rPr>
                      <w:rFonts w:ascii="Cambria Math" w:hAnsi="Cambria Math"/>
                      <w:sz w:val="24"/>
                      <w:szCs w:val="24"/>
                    </w:rPr>
                    <m:t>x</m:t>
                  </m:r>
                </m:e>
              </m:acc>
              <m:r>
                <m:rPr>
                  <m:sty m:val="p"/>
                </m:rPr>
                <w:rPr>
                  <w:rFonts w:ascii="Cambria Math" w:hAnsi="Cambria Math"/>
                  <w:sz w:val="24"/>
                  <w:szCs w:val="24"/>
                </w:rPr>
                <m:t>±dp</m:t>
              </m:r>
              <m:r>
                <w:rPr>
                  <w:rFonts w:ascii="Cambria Math" w:hAnsi="Cambria Math"/>
                  <w:sz w:val="24"/>
                  <w:szCs w:val="24"/>
                </w:rPr>
                <m:t>)</m:t>
              </m:r>
            </m:oMath>
          </w:p>
        </w:tc>
        <w:tc>
          <w:tcPr>
            <w:tcW w:w="1843" w:type="dxa"/>
            <w:vAlign w:val="center"/>
          </w:tcPr>
          <w:p w14:paraId="26C3AB0C"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47.62 ± 12.35</w:t>
            </w:r>
          </w:p>
        </w:tc>
        <w:tc>
          <w:tcPr>
            <w:tcW w:w="1843" w:type="dxa"/>
            <w:vAlign w:val="center"/>
          </w:tcPr>
          <w:p w14:paraId="3B85AAD3"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56.02 ± 13.70</w:t>
            </w:r>
          </w:p>
        </w:tc>
        <w:tc>
          <w:tcPr>
            <w:tcW w:w="1984" w:type="dxa"/>
            <w:vAlign w:val="center"/>
          </w:tcPr>
          <w:p w14:paraId="11F734BA"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w:t>
            </w:r>
          </w:p>
        </w:tc>
        <w:tc>
          <w:tcPr>
            <w:tcW w:w="1134" w:type="dxa"/>
            <w:vAlign w:val="center"/>
          </w:tcPr>
          <w:p w14:paraId="53AE6F67"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&lt;0.001</w:t>
            </w:r>
          </w:p>
        </w:tc>
      </w:tr>
      <w:tr w:rsidR="008F551B" w:rsidRPr="00893D65" w14:paraId="1E565FA4" w14:textId="77777777" w:rsidTr="00E15E1E">
        <w:tc>
          <w:tcPr>
            <w:tcW w:w="3544" w:type="dxa"/>
          </w:tcPr>
          <w:p w14:paraId="7599B072" w14:textId="77777777" w:rsidR="008F551B" w:rsidRPr="00893D65" w:rsidRDefault="008F551B" w:rsidP="00D86EF7">
            <w:pPr>
              <w:spacing w:line="360" w:lineRule="auto"/>
              <w:rPr>
                <w:rFonts w:ascii="Times New Roman" w:hAnsi="Times New Roman"/>
                <w:sz w:val="24"/>
                <w:szCs w:val="24"/>
              </w:rPr>
            </w:pPr>
            <w:r w:rsidRPr="00893D65">
              <w:rPr>
                <w:rFonts w:ascii="Times New Roman" w:hAnsi="Times New Roman"/>
                <w:sz w:val="24"/>
                <w:szCs w:val="24"/>
              </w:rPr>
              <w:t>LDL (mmol/L)</w:t>
            </w:r>
            <w:r w:rsidRPr="00893D65">
              <w:rPr>
                <w:rFonts w:ascii="Times New Roman" w:hAnsi="Times New Roman"/>
                <w:iCs/>
                <w:sz w:val="24"/>
                <w:szCs w:val="24"/>
              </w:rPr>
              <w:t xml:space="preserve"> </w:t>
            </w:r>
            <m:oMath>
              <m:r>
                <w:rPr>
                  <w:rFonts w:ascii="Cambria Math" w:hAnsi="Cambria Math"/>
                  <w:sz w:val="24"/>
                  <w:szCs w:val="24"/>
                </w:rPr>
                <m:t>(</m:t>
              </m:r>
              <m:acc>
                <m:accPr>
                  <m:chr m:val="̅"/>
                  <m:ctrlPr>
                    <w:rPr>
                      <w:rFonts w:ascii="Cambria Math" w:hAnsi="Cambria Math"/>
                      <w:iCs/>
                      <w:sz w:val="24"/>
                      <w:szCs w:val="24"/>
                    </w:rPr>
                  </m:ctrlPr>
                </m:accPr>
                <m:e>
                  <m:r>
                    <m:rPr>
                      <m:sty m:val="p"/>
                    </m:rPr>
                    <w:rPr>
                      <w:rFonts w:ascii="Cambria Math" w:hAnsi="Cambria Math"/>
                      <w:sz w:val="24"/>
                      <w:szCs w:val="24"/>
                    </w:rPr>
                    <m:t>x</m:t>
                  </m:r>
                </m:e>
              </m:acc>
              <m:r>
                <m:rPr>
                  <m:sty m:val="p"/>
                </m:rPr>
                <w:rPr>
                  <w:rFonts w:ascii="Cambria Math" w:hAnsi="Cambria Math"/>
                  <w:sz w:val="24"/>
                  <w:szCs w:val="24"/>
                </w:rPr>
                <m:t>±dp</m:t>
              </m:r>
              <m:r>
                <w:rPr>
                  <w:rFonts w:ascii="Cambria Math" w:hAnsi="Cambria Math"/>
                  <w:sz w:val="24"/>
                  <w:szCs w:val="24"/>
                </w:rPr>
                <m:t>)</m:t>
              </m:r>
            </m:oMath>
          </w:p>
        </w:tc>
        <w:tc>
          <w:tcPr>
            <w:tcW w:w="1843" w:type="dxa"/>
            <w:vAlign w:val="center"/>
          </w:tcPr>
          <w:p w14:paraId="2412FA28"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136.36 ± 44.07</w:t>
            </w:r>
          </w:p>
        </w:tc>
        <w:tc>
          <w:tcPr>
            <w:tcW w:w="1843" w:type="dxa"/>
            <w:vAlign w:val="center"/>
          </w:tcPr>
          <w:p w14:paraId="07138403"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110.69 ± 39.76</w:t>
            </w:r>
          </w:p>
        </w:tc>
        <w:tc>
          <w:tcPr>
            <w:tcW w:w="1984" w:type="dxa"/>
            <w:vAlign w:val="center"/>
          </w:tcPr>
          <w:p w14:paraId="12BC1267"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w:t>
            </w:r>
          </w:p>
        </w:tc>
        <w:tc>
          <w:tcPr>
            <w:tcW w:w="1134" w:type="dxa"/>
            <w:vAlign w:val="center"/>
          </w:tcPr>
          <w:p w14:paraId="541AAC71"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&lt;0.001</w:t>
            </w:r>
          </w:p>
        </w:tc>
      </w:tr>
      <w:tr w:rsidR="008F551B" w:rsidRPr="00893D65" w14:paraId="4D7C03F3" w14:textId="77777777" w:rsidTr="00E15E1E">
        <w:tc>
          <w:tcPr>
            <w:tcW w:w="3544" w:type="dxa"/>
          </w:tcPr>
          <w:p w14:paraId="729FE254" w14:textId="77777777" w:rsidR="008F551B" w:rsidRPr="00893D65" w:rsidRDefault="008F551B" w:rsidP="00D86EF7">
            <w:pPr>
              <w:spacing w:line="360" w:lineRule="auto"/>
              <w:rPr>
                <w:rFonts w:ascii="Times New Roman" w:hAnsi="Times New Roman"/>
                <w:sz w:val="24"/>
                <w:szCs w:val="24"/>
              </w:rPr>
            </w:pPr>
            <w:r w:rsidRPr="00893D65">
              <w:rPr>
                <w:rFonts w:ascii="Times New Roman" w:hAnsi="Times New Roman"/>
                <w:sz w:val="24"/>
                <w:szCs w:val="24"/>
              </w:rPr>
              <w:t>Triglycerides (mmol/L)</w:t>
            </w:r>
            <w:r w:rsidRPr="00893D65">
              <w:rPr>
                <w:rFonts w:ascii="Times New Roman" w:hAnsi="Times New Roman"/>
                <w:iCs/>
                <w:sz w:val="24"/>
                <w:szCs w:val="24"/>
              </w:rPr>
              <w:t xml:space="preserve"> </w:t>
            </w:r>
            <m:oMath>
              <m:r>
                <w:rPr>
                  <w:rFonts w:ascii="Cambria Math" w:hAnsi="Cambria Math"/>
                  <w:sz w:val="24"/>
                  <w:szCs w:val="24"/>
                </w:rPr>
                <m:t>(</m:t>
              </m:r>
              <m:acc>
                <m:accPr>
                  <m:chr m:val="̅"/>
                  <m:ctrlPr>
                    <w:rPr>
                      <w:rFonts w:ascii="Cambria Math" w:hAnsi="Cambria Math"/>
                      <w:iCs/>
                      <w:sz w:val="24"/>
                      <w:szCs w:val="24"/>
                    </w:rPr>
                  </m:ctrlPr>
                </m:accPr>
                <m:e>
                  <m:r>
                    <m:rPr>
                      <m:sty m:val="p"/>
                    </m:rPr>
                    <w:rPr>
                      <w:rFonts w:ascii="Cambria Math" w:hAnsi="Cambria Math"/>
                      <w:sz w:val="24"/>
                      <w:szCs w:val="24"/>
                    </w:rPr>
                    <m:t>x</m:t>
                  </m:r>
                </m:e>
              </m:acc>
              <m:r>
                <m:rPr>
                  <m:sty m:val="p"/>
                </m:rPr>
                <w:rPr>
                  <w:rFonts w:ascii="Cambria Math" w:hAnsi="Cambria Math"/>
                  <w:sz w:val="24"/>
                  <w:szCs w:val="24"/>
                </w:rPr>
                <m:t>±dp</m:t>
              </m:r>
              <m:r>
                <w:rPr>
                  <w:rFonts w:ascii="Cambria Math" w:hAnsi="Cambria Math"/>
                  <w:sz w:val="24"/>
                  <w:szCs w:val="24"/>
                </w:rPr>
                <m:t>)</m:t>
              </m:r>
            </m:oMath>
          </w:p>
        </w:tc>
        <w:tc>
          <w:tcPr>
            <w:tcW w:w="1843" w:type="dxa"/>
            <w:vAlign w:val="center"/>
          </w:tcPr>
          <w:p w14:paraId="7ABAA2DA"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171.09 ± 97.66</w:t>
            </w:r>
          </w:p>
        </w:tc>
        <w:tc>
          <w:tcPr>
            <w:tcW w:w="1843" w:type="dxa"/>
            <w:vAlign w:val="center"/>
          </w:tcPr>
          <w:p w14:paraId="65068C97"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103.64 ± 46.01</w:t>
            </w:r>
          </w:p>
        </w:tc>
        <w:tc>
          <w:tcPr>
            <w:tcW w:w="1984" w:type="dxa"/>
            <w:vAlign w:val="center"/>
          </w:tcPr>
          <w:p w14:paraId="474C5F63"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w:t>
            </w:r>
          </w:p>
        </w:tc>
        <w:tc>
          <w:tcPr>
            <w:tcW w:w="1134" w:type="dxa"/>
            <w:vAlign w:val="center"/>
          </w:tcPr>
          <w:p w14:paraId="57F42D55"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&lt;0.001</w:t>
            </w:r>
          </w:p>
        </w:tc>
      </w:tr>
      <w:tr w:rsidR="008F551B" w:rsidRPr="00893D65" w14:paraId="46BA6EB3" w14:textId="77777777" w:rsidTr="00E15E1E">
        <w:tc>
          <w:tcPr>
            <w:tcW w:w="3544" w:type="dxa"/>
          </w:tcPr>
          <w:p w14:paraId="29B05499" w14:textId="77777777" w:rsidR="008F551B" w:rsidRPr="00893D65" w:rsidRDefault="008F551B" w:rsidP="00D86EF7">
            <w:pPr>
              <w:spacing w:line="276" w:lineRule="auto"/>
              <w:rPr>
                <w:rFonts w:ascii="Times New Roman" w:hAnsi="Times New Roman"/>
                <w:sz w:val="24"/>
                <w:szCs w:val="24"/>
                <w:vertAlign w:val="superscript"/>
              </w:rPr>
            </w:pPr>
            <w:r w:rsidRPr="00893D65">
              <w:rPr>
                <w:rFonts w:ascii="Times New Roman" w:hAnsi="Times New Roman"/>
                <w:sz w:val="24"/>
                <w:szCs w:val="24"/>
              </w:rPr>
              <w:t>BMI Classification - N(%)</w:t>
            </w:r>
            <w:r w:rsidRPr="00893D65">
              <w:rPr>
                <w:rFonts w:ascii="Times New Roman" w:hAnsi="Times New Roman"/>
                <w:sz w:val="24"/>
                <w:szCs w:val="24"/>
                <w:vertAlign w:val="superscript"/>
              </w:rPr>
              <w:t>2</w:t>
            </w:r>
          </w:p>
        </w:tc>
        <w:tc>
          <w:tcPr>
            <w:tcW w:w="1843" w:type="dxa"/>
            <w:vAlign w:val="center"/>
          </w:tcPr>
          <w:p w14:paraId="6CAA4AD2" w14:textId="77777777" w:rsidR="008F551B" w:rsidRPr="00893D65" w:rsidRDefault="008F551B" w:rsidP="00D86EF7">
            <w:pPr>
              <w:spacing w:line="276" w:lineRule="auto"/>
              <w:jc w:val="center"/>
              <w:rPr>
                <w:rFonts w:ascii="Times New Roman" w:hAnsi="Times New Roman"/>
                <w:sz w:val="24"/>
                <w:szCs w:val="24"/>
              </w:rPr>
            </w:pPr>
          </w:p>
        </w:tc>
        <w:tc>
          <w:tcPr>
            <w:tcW w:w="1843" w:type="dxa"/>
            <w:vAlign w:val="center"/>
          </w:tcPr>
          <w:p w14:paraId="5C0540F0" w14:textId="77777777" w:rsidR="008F551B" w:rsidRPr="00893D65" w:rsidRDefault="008F551B" w:rsidP="00D86EF7">
            <w:pPr>
              <w:spacing w:line="276" w:lineRule="auto"/>
              <w:jc w:val="center"/>
              <w:rPr>
                <w:rFonts w:ascii="Times New Roman" w:hAnsi="Times New Roman"/>
                <w:sz w:val="24"/>
                <w:szCs w:val="24"/>
              </w:rPr>
            </w:pPr>
          </w:p>
        </w:tc>
        <w:tc>
          <w:tcPr>
            <w:tcW w:w="1984" w:type="dxa"/>
            <w:vAlign w:val="center"/>
          </w:tcPr>
          <w:p w14:paraId="509931B2" w14:textId="77777777" w:rsidR="008F551B" w:rsidRPr="00893D65" w:rsidRDefault="008F551B" w:rsidP="00D86EF7">
            <w:pPr>
              <w:spacing w:line="276" w:lineRule="auto"/>
              <w:jc w:val="center"/>
              <w:rPr>
                <w:rFonts w:ascii="Times New Roman" w:hAnsi="Times New Roman"/>
                <w:sz w:val="24"/>
                <w:szCs w:val="24"/>
              </w:rPr>
            </w:pPr>
          </w:p>
        </w:tc>
        <w:tc>
          <w:tcPr>
            <w:tcW w:w="1134" w:type="dxa"/>
            <w:vAlign w:val="center"/>
          </w:tcPr>
          <w:p w14:paraId="201452D5" w14:textId="77777777" w:rsidR="008F551B" w:rsidRPr="00893D65" w:rsidRDefault="008F551B" w:rsidP="00D86EF7">
            <w:pPr>
              <w:spacing w:line="276" w:lineRule="auto"/>
              <w:jc w:val="center"/>
              <w:rPr>
                <w:rFonts w:ascii="Times New Roman" w:hAnsi="Times New Roman"/>
                <w:sz w:val="24"/>
                <w:szCs w:val="24"/>
              </w:rPr>
            </w:pPr>
          </w:p>
        </w:tc>
      </w:tr>
      <w:tr w:rsidR="008F551B" w:rsidRPr="00893D65" w14:paraId="0A9F11F6" w14:textId="77777777" w:rsidTr="00E15E1E">
        <w:tc>
          <w:tcPr>
            <w:tcW w:w="3544" w:type="dxa"/>
          </w:tcPr>
          <w:p w14:paraId="7935A124" w14:textId="77777777" w:rsidR="008F551B" w:rsidRPr="00893D65" w:rsidRDefault="008F551B" w:rsidP="00D86EF7">
            <w:pPr>
              <w:spacing w:line="276" w:lineRule="auto"/>
              <w:ind w:firstLine="406"/>
              <w:rPr>
                <w:rFonts w:ascii="Times New Roman" w:hAnsi="Times New Roman"/>
                <w:sz w:val="24"/>
                <w:szCs w:val="24"/>
              </w:rPr>
            </w:pPr>
            <w:r w:rsidRPr="00893D65">
              <w:rPr>
                <w:rFonts w:ascii="Times New Roman" w:hAnsi="Times New Roman"/>
                <w:sz w:val="24"/>
                <w:szCs w:val="24"/>
              </w:rPr>
              <w:t>Overweight</w:t>
            </w:r>
          </w:p>
        </w:tc>
        <w:tc>
          <w:tcPr>
            <w:tcW w:w="1843" w:type="dxa"/>
            <w:vAlign w:val="center"/>
          </w:tcPr>
          <w:p w14:paraId="1973D34C" w14:textId="77777777" w:rsidR="008F551B" w:rsidRPr="00893D65" w:rsidRDefault="008F551B" w:rsidP="00D86EF7">
            <w:pPr>
              <w:spacing w:line="276" w:lineRule="auto"/>
              <w:jc w:val="center"/>
              <w:rPr>
                <w:rFonts w:ascii="Times New Roman" w:hAnsi="Times New Roman"/>
                <w:sz w:val="24"/>
                <w:szCs w:val="24"/>
              </w:rPr>
            </w:pPr>
            <w:r w:rsidRPr="00893D65">
              <w:rPr>
                <w:rFonts w:ascii="Times New Roman" w:hAnsi="Times New Roman"/>
                <w:sz w:val="24"/>
                <w:szCs w:val="24"/>
              </w:rPr>
              <w:t>0 (0)</w:t>
            </w:r>
          </w:p>
        </w:tc>
        <w:tc>
          <w:tcPr>
            <w:tcW w:w="1843" w:type="dxa"/>
            <w:vAlign w:val="center"/>
          </w:tcPr>
          <w:p w14:paraId="0B7DCFC6" w14:textId="77777777" w:rsidR="008F551B" w:rsidRPr="00893D65" w:rsidRDefault="008F551B" w:rsidP="00D86EF7">
            <w:pPr>
              <w:spacing w:line="276" w:lineRule="auto"/>
              <w:jc w:val="center"/>
              <w:rPr>
                <w:rFonts w:ascii="Times New Roman" w:hAnsi="Times New Roman"/>
                <w:sz w:val="24"/>
                <w:szCs w:val="24"/>
              </w:rPr>
            </w:pPr>
            <w:r w:rsidRPr="00893D65">
              <w:rPr>
                <w:rFonts w:ascii="Times New Roman" w:hAnsi="Times New Roman"/>
                <w:sz w:val="24"/>
                <w:szCs w:val="24"/>
              </w:rPr>
              <w:t>13 (28.9)</w:t>
            </w:r>
          </w:p>
        </w:tc>
        <w:tc>
          <w:tcPr>
            <w:tcW w:w="1984" w:type="dxa"/>
            <w:vAlign w:val="center"/>
          </w:tcPr>
          <w:p w14:paraId="74988524" w14:textId="77777777" w:rsidR="008F551B" w:rsidRPr="00893D65" w:rsidRDefault="008F551B" w:rsidP="00D86EF7">
            <w:pPr>
              <w:spacing w:line="276" w:lineRule="auto"/>
              <w:jc w:val="center"/>
              <w:rPr>
                <w:rFonts w:ascii="Times New Roman" w:hAnsi="Times New Roman"/>
                <w:sz w:val="24"/>
                <w:szCs w:val="24"/>
                <w:vertAlign w:val="superscript"/>
              </w:rPr>
            </w:pPr>
            <w:r w:rsidRPr="00893D65">
              <w:rPr>
                <w:rFonts w:ascii="Times New Roman" w:hAnsi="Times New Roman"/>
                <w:sz w:val="24"/>
                <w:szCs w:val="24"/>
              </w:rPr>
              <w:t>NC</w:t>
            </w:r>
            <w:r w:rsidRPr="00893D65">
              <w:rPr>
                <w:rFonts w:ascii="Times New Roman" w:hAnsi="Times New Roman"/>
                <w:sz w:val="24"/>
                <w:szCs w:val="24"/>
                <w:vertAlign w:val="superscript"/>
              </w:rPr>
              <w:t>3</w:t>
            </w:r>
          </w:p>
        </w:tc>
        <w:tc>
          <w:tcPr>
            <w:tcW w:w="1134" w:type="dxa"/>
            <w:vMerge w:val="restart"/>
            <w:vAlign w:val="center"/>
          </w:tcPr>
          <w:p w14:paraId="1A38A859" w14:textId="77777777" w:rsidR="008F551B" w:rsidRPr="00893D65" w:rsidRDefault="008F551B" w:rsidP="00D86EF7">
            <w:pPr>
              <w:spacing w:line="276" w:lineRule="auto"/>
              <w:jc w:val="center"/>
              <w:rPr>
                <w:rFonts w:ascii="Times New Roman" w:hAnsi="Times New Roman"/>
                <w:sz w:val="24"/>
                <w:szCs w:val="24"/>
              </w:rPr>
            </w:pPr>
            <w:r w:rsidRPr="00893D65">
              <w:rPr>
                <w:rFonts w:ascii="Times New Roman" w:hAnsi="Times New Roman"/>
                <w:sz w:val="24"/>
                <w:szCs w:val="24"/>
              </w:rPr>
              <w:t>0.09</w:t>
            </w:r>
          </w:p>
        </w:tc>
      </w:tr>
      <w:tr w:rsidR="008F551B" w:rsidRPr="00893D65" w14:paraId="1E8875C6" w14:textId="77777777" w:rsidTr="00E15E1E">
        <w:tc>
          <w:tcPr>
            <w:tcW w:w="3544" w:type="dxa"/>
          </w:tcPr>
          <w:p w14:paraId="1380C39E" w14:textId="77777777" w:rsidR="008F551B" w:rsidRPr="00893D65" w:rsidRDefault="008F551B" w:rsidP="00D86EF7">
            <w:pPr>
              <w:spacing w:line="276" w:lineRule="auto"/>
              <w:ind w:firstLine="406"/>
              <w:rPr>
                <w:rFonts w:ascii="Times New Roman" w:hAnsi="Times New Roman"/>
                <w:sz w:val="24"/>
                <w:szCs w:val="24"/>
              </w:rPr>
            </w:pPr>
            <w:r w:rsidRPr="00893D65">
              <w:rPr>
                <w:rFonts w:ascii="Times New Roman" w:hAnsi="Times New Roman"/>
                <w:sz w:val="24"/>
                <w:szCs w:val="24"/>
              </w:rPr>
              <w:t>Obesity Grade I</w:t>
            </w:r>
          </w:p>
        </w:tc>
        <w:tc>
          <w:tcPr>
            <w:tcW w:w="1843" w:type="dxa"/>
            <w:vAlign w:val="center"/>
          </w:tcPr>
          <w:p w14:paraId="4DDD2F2F" w14:textId="77777777" w:rsidR="008F551B" w:rsidRPr="00893D65" w:rsidRDefault="008F551B" w:rsidP="00D86EF7">
            <w:pPr>
              <w:spacing w:line="276" w:lineRule="auto"/>
              <w:jc w:val="center"/>
              <w:rPr>
                <w:rFonts w:ascii="Times New Roman" w:hAnsi="Times New Roman"/>
                <w:sz w:val="24"/>
                <w:szCs w:val="24"/>
              </w:rPr>
            </w:pPr>
            <w:r w:rsidRPr="00893D65">
              <w:rPr>
                <w:rFonts w:ascii="Times New Roman" w:hAnsi="Times New Roman"/>
                <w:sz w:val="24"/>
                <w:szCs w:val="24"/>
              </w:rPr>
              <w:t>34 (75.60)</w:t>
            </w:r>
          </w:p>
        </w:tc>
        <w:tc>
          <w:tcPr>
            <w:tcW w:w="1843" w:type="dxa"/>
            <w:vAlign w:val="center"/>
          </w:tcPr>
          <w:p w14:paraId="3967ED0D" w14:textId="77777777" w:rsidR="008F551B" w:rsidRPr="00893D65" w:rsidRDefault="008F551B" w:rsidP="00D86EF7">
            <w:pPr>
              <w:spacing w:line="276" w:lineRule="auto"/>
              <w:jc w:val="center"/>
              <w:rPr>
                <w:rFonts w:ascii="Times New Roman" w:hAnsi="Times New Roman"/>
                <w:sz w:val="24"/>
                <w:szCs w:val="24"/>
              </w:rPr>
            </w:pPr>
            <w:r w:rsidRPr="00893D65">
              <w:rPr>
                <w:rFonts w:ascii="Times New Roman" w:hAnsi="Times New Roman"/>
                <w:sz w:val="24"/>
                <w:szCs w:val="24"/>
              </w:rPr>
              <w:t>18 (40)</w:t>
            </w:r>
          </w:p>
        </w:tc>
        <w:tc>
          <w:tcPr>
            <w:tcW w:w="1984" w:type="dxa"/>
            <w:vAlign w:val="center"/>
          </w:tcPr>
          <w:p w14:paraId="62FDD06E" w14:textId="77777777" w:rsidR="008F551B" w:rsidRPr="00893D65" w:rsidRDefault="008F551B" w:rsidP="00D86EF7">
            <w:pPr>
              <w:spacing w:line="276" w:lineRule="auto"/>
              <w:jc w:val="center"/>
              <w:rPr>
                <w:rFonts w:ascii="Times New Roman" w:hAnsi="Times New Roman"/>
                <w:sz w:val="24"/>
                <w:szCs w:val="24"/>
              </w:rPr>
            </w:pPr>
            <w:r w:rsidRPr="00893D65">
              <w:rPr>
                <w:rFonts w:ascii="Times New Roman" w:hAnsi="Times New Roman"/>
                <w:sz w:val="24"/>
                <w:szCs w:val="24"/>
              </w:rPr>
              <w:t>0.22(0.09-0.53)</w:t>
            </w:r>
          </w:p>
        </w:tc>
        <w:tc>
          <w:tcPr>
            <w:tcW w:w="1134" w:type="dxa"/>
            <w:vMerge/>
            <w:vAlign w:val="center"/>
          </w:tcPr>
          <w:p w14:paraId="3E31FB74" w14:textId="77777777" w:rsidR="008F551B" w:rsidRPr="00893D65" w:rsidRDefault="008F551B" w:rsidP="00D86EF7">
            <w:pPr>
              <w:spacing w:line="276" w:lineRule="auto"/>
              <w:jc w:val="center"/>
              <w:rPr>
                <w:rFonts w:ascii="Times New Roman" w:hAnsi="Times New Roman"/>
                <w:sz w:val="24"/>
                <w:szCs w:val="24"/>
              </w:rPr>
            </w:pPr>
          </w:p>
        </w:tc>
      </w:tr>
      <w:tr w:rsidR="008F551B" w:rsidRPr="00893D65" w14:paraId="5570D133" w14:textId="77777777" w:rsidTr="00E15E1E">
        <w:tc>
          <w:tcPr>
            <w:tcW w:w="3544" w:type="dxa"/>
          </w:tcPr>
          <w:p w14:paraId="741ADE3B" w14:textId="77777777" w:rsidR="008F551B" w:rsidRPr="00893D65" w:rsidRDefault="008F551B" w:rsidP="00D86EF7">
            <w:pPr>
              <w:spacing w:line="276" w:lineRule="auto"/>
              <w:ind w:firstLine="406"/>
              <w:rPr>
                <w:rFonts w:ascii="Times New Roman" w:hAnsi="Times New Roman"/>
                <w:sz w:val="24"/>
                <w:szCs w:val="24"/>
              </w:rPr>
            </w:pPr>
            <w:r w:rsidRPr="00893D65">
              <w:rPr>
                <w:rFonts w:ascii="Times New Roman" w:hAnsi="Times New Roman"/>
                <w:sz w:val="24"/>
                <w:szCs w:val="24"/>
              </w:rPr>
              <w:t>Obesity Grade II</w:t>
            </w:r>
          </w:p>
        </w:tc>
        <w:tc>
          <w:tcPr>
            <w:tcW w:w="1843" w:type="dxa"/>
            <w:vAlign w:val="center"/>
          </w:tcPr>
          <w:p w14:paraId="45CC6B34" w14:textId="77777777" w:rsidR="008F551B" w:rsidRPr="00893D65" w:rsidRDefault="008F551B" w:rsidP="00D86EF7">
            <w:pPr>
              <w:spacing w:line="276" w:lineRule="auto"/>
              <w:jc w:val="center"/>
              <w:rPr>
                <w:rFonts w:ascii="Times New Roman" w:hAnsi="Times New Roman"/>
                <w:sz w:val="24"/>
                <w:szCs w:val="24"/>
              </w:rPr>
            </w:pPr>
            <w:r w:rsidRPr="00893D65">
              <w:rPr>
                <w:rFonts w:ascii="Times New Roman" w:hAnsi="Times New Roman"/>
                <w:sz w:val="24"/>
                <w:szCs w:val="24"/>
              </w:rPr>
              <w:t>6 (13.30)</w:t>
            </w:r>
          </w:p>
        </w:tc>
        <w:tc>
          <w:tcPr>
            <w:tcW w:w="1843" w:type="dxa"/>
            <w:vAlign w:val="center"/>
          </w:tcPr>
          <w:p w14:paraId="4E3987C6" w14:textId="77777777" w:rsidR="008F551B" w:rsidRPr="00893D65" w:rsidRDefault="008F551B" w:rsidP="00D86EF7">
            <w:pPr>
              <w:spacing w:line="276" w:lineRule="auto"/>
              <w:jc w:val="center"/>
              <w:rPr>
                <w:rFonts w:ascii="Times New Roman" w:hAnsi="Times New Roman"/>
                <w:sz w:val="24"/>
                <w:szCs w:val="24"/>
              </w:rPr>
            </w:pPr>
            <w:r w:rsidRPr="00893D65">
              <w:rPr>
                <w:rFonts w:ascii="Times New Roman" w:hAnsi="Times New Roman"/>
                <w:sz w:val="24"/>
                <w:szCs w:val="24"/>
              </w:rPr>
              <w:t>9 (20)</w:t>
            </w:r>
          </w:p>
        </w:tc>
        <w:tc>
          <w:tcPr>
            <w:tcW w:w="1984" w:type="dxa"/>
            <w:vAlign w:val="center"/>
          </w:tcPr>
          <w:p w14:paraId="101AA7A0" w14:textId="77777777" w:rsidR="008F551B" w:rsidRPr="00893D65" w:rsidRDefault="008F551B" w:rsidP="00D86EF7">
            <w:pPr>
              <w:spacing w:line="276" w:lineRule="auto"/>
              <w:jc w:val="center"/>
              <w:rPr>
                <w:rFonts w:ascii="Times New Roman" w:hAnsi="Times New Roman"/>
                <w:sz w:val="24"/>
                <w:szCs w:val="24"/>
              </w:rPr>
            </w:pPr>
            <w:r w:rsidRPr="00893D65">
              <w:rPr>
                <w:rFonts w:ascii="Times New Roman" w:hAnsi="Times New Roman"/>
                <w:sz w:val="24"/>
                <w:szCs w:val="24"/>
              </w:rPr>
              <w:t>1.62(0.53-5.02)</w:t>
            </w:r>
          </w:p>
        </w:tc>
        <w:tc>
          <w:tcPr>
            <w:tcW w:w="1134" w:type="dxa"/>
            <w:vMerge/>
            <w:vAlign w:val="center"/>
          </w:tcPr>
          <w:p w14:paraId="699D5FCB" w14:textId="77777777" w:rsidR="008F551B" w:rsidRPr="00893D65" w:rsidRDefault="008F551B" w:rsidP="00D86EF7">
            <w:pPr>
              <w:spacing w:line="276" w:lineRule="auto"/>
              <w:jc w:val="center"/>
              <w:rPr>
                <w:rFonts w:ascii="Times New Roman" w:hAnsi="Times New Roman"/>
                <w:sz w:val="24"/>
                <w:szCs w:val="24"/>
              </w:rPr>
            </w:pPr>
          </w:p>
        </w:tc>
      </w:tr>
      <w:tr w:rsidR="008F551B" w:rsidRPr="00893D65" w14:paraId="2F169066" w14:textId="77777777" w:rsidTr="00E15E1E">
        <w:trPr>
          <w:trHeight w:val="80"/>
        </w:trPr>
        <w:tc>
          <w:tcPr>
            <w:tcW w:w="3544" w:type="dxa"/>
          </w:tcPr>
          <w:p w14:paraId="6416854A" w14:textId="77777777" w:rsidR="008F551B" w:rsidRPr="00893D65" w:rsidRDefault="008F551B" w:rsidP="00D86EF7">
            <w:pPr>
              <w:spacing w:line="276" w:lineRule="auto"/>
              <w:ind w:firstLine="406"/>
              <w:rPr>
                <w:rFonts w:ascii="Times New Roman" w:hAnsi="Times New Roman"/>
                <w:sz w:val="24"/>
                <w:szCs w:val="24"/>
              </w:rPr>
            </w:pPr>
            <w:r w:rsidRPr="00893D65">
              <w:rPr>
                <w:rFonts w:ascii="Times New Roman" w:hAnsi="Times New Roman"/>
                <w:sz w:val="24"/>
                <w:szCs w:val="24"/>
              </w:rPr>
              <w:t>Obesity Grade III</w:t>
            </w:r>
          </w:p>
        </w:tc>
        <w:tc>
          <w:tcPr>
            <w:tcW w:w="1843" w:type="dxa"/>
            <w:vAlign w:val="center"/>
          </w:tcPr>
          <w:p w14:paraId="4F045A13" w14:textId="77777777" w:rsidR="008F551B" w:rsidRPr="00893D65" w:rsidRDefault="008F551B" w:rsidP="00D86EF7">
            <w:pPr>
              <w:spacing w:line="276" w:lineRule="auto"/>
              <w:jc w:val="center"/>
              <w:rPr>
                <w:rFonts w:ascii="Times New Roman" w:hAnsi="Times New Roman"/>
                <w:sz w:val="24"/>
                <w:szCs w:val="24"/>
              </w:rPr>
            </w:pPr>
            <w:r w:rsidRPr="00893D65">
              <w:rPr>
                <w:rFonts w:ascii="Times New Roman" w:hAnsi="Times New Roman"/>
                <w:sz w:val="24"/>
                <w:szCs w:val="24"/>
              </w:rPr>
              <w:t>5 (11.1)</w:t>
            </w:r>
          </w:p>
        </w:tc>
        <w:tc>
          <w:tcPr>
            <w:tcW w:w="1843" w:type="dxa"/>
            <w:vAlign w:val="center"/>
          </w:tcPr>
          <w:p w14:paraId="75005DD8" w14:textId="77777777" w:rsidR="008F551B" w:rsidRPr="00893D65" w:rsidRDefault="008F551B" w:rsidP="00D86EF7">
            <w:pPr>
              <w:spacing w:line="276" w:lineRule="auto"/>
              <w:jc w:val="center"/>
              <w:rPr>
                <w:rFonts w:ascii="Times New Roman" w:hAnsi="Times New Roman"/>
                <w:sz w:val="24"/>
                <w:szCs w:val="24"/>
              </w:rPr>
            </w:pPr>
            <w:r w:rsidRPr="00893D65">
              <w:rPr>
                <w:rFonts w:ascii="Times New Roman" w:hAnsi="Times New Roman"/>
                <w:sz w:val="24"/>
                <w:szCs w:val="24"/>
              </w:rPr>
              <w:t>5 (11.1)</w:t>
            </w:r>
          </w:p>
        </w:tc>
        <w:tc>
          <w:tcPr>
            <w:tcW w:w="1984" w:type="dxa"/>
            <w:vAlign w:val="center"/>
          </w:tcPr>
          <w:p w14:paraId="2A1D2A98" w14:textId="77777777" w:rsidR="008F551B" w:rsidRPr="00893D65" w:rsidRDefault="008F551B" w:rsidP="00D86EF7">
            <w:pPr>
              <w:spacing w:line="276" w:lineRule="auto"/>
              <w:jc w:val="center"/>
              <w:rPr>
                <w:rFonts w:ascii="Times New Roman" w:hAnsi="Times New Roman"/>
                <w:sz w:val="24"/>
                <w:szCs w:val="24"/>
              </w:rPr>
            </w:pPr>
            <w:r w:rsidRPr="00893D65">
              <w:rPr>
                <w:rFonts w:ascii="Times New Roman" w:hAnsi="Times New Roman"/>
                <w:sz w:val="24"/>
                <w:szCs w:val="24"/>
              </w:rPr>
              <w:t>1.00(0.27-3.72)</w:t>
            </w:r>
          </w:p>
        </w:tc>
        <w:tc>
          <w:tcPr>
            <w:tcW w:w="1134" w:type="dxa"/>
            <w:vMerge/>
            <w:vAlign w:val="center"/>
          </w:tcPr>
          <w:p w14:paraId="3BF7DE43" w14:textId="77777777" w:rsidR="008F551B" w:rsidRPr="00893D65" w:rsidRDefault="008F551B" w:rsidP="00D86EF7">
            <w:pPr>
              <w:spacing w:line="276" w:lineRule="auto"/>
              <w:jc w:val="center"/>
              <w:rPr>
                <w:rFonts w:ascii="Times New Roman" w:hAnsi="Times New Roman"/>
                <w:sz w:val="24"/>
                <w:szCs w:val="24"/>
              </w:rPr>
            </w:pPr>
          </w:p>
        </w:tc>
      </w:tr>
      <w:tr w:rsidR="008F551B" w:rsidRPr="00893D65" w14:paraId="6EF1F35F" w14:textId="77777777" w:rsidTr="00E15E1E">
        <w:tc>
          <w:tcPr>
            <w:tcW w:w="3544" w:type="dxa"/>
            <w:shd w:val="clear" w:color="auto" w:fill="FFFFFF" w:themeFill="background1"/>
          </w:tcPr>
          <w:p w14:paraId="0FAE6DA7" w14:textId="77777777" w:rsidR="008F551B" w:rsidRPr="00893D65" w:rsidRDefault="008F551B" w:rsidP="00D86EF7">
            <w:pPr>
              <w:spacing w:line="360" w:lineRule="auto"/>
              <w:rPr>
                <w:rFonts w:ascii="Times New Roman" w:hAnsi="Times New Roman"/>
                <w:sz w:val="24"/>
                <w:szCs w:val="24"/>
              </w:rPr>
            </w:pPr>
            <w:r w:rsidRPr="00893D65">
              <w:rPr>
                <w:rFonts w:ascii="Times New Roman" w:hAnsi="Times New Roman"/>
                <w:sz w:val="24"/>
                <w:szCs w:val="24"/>
              </w:rPr>
              <w:t>Bowel Movement Frequency N(%)</w:t>
            </w:r>
          </w:p>
        </w:tc>
        <w:tc>
          <w:tcPr>
            <w:tcW w:w="1843" w:type="dxa"/>
            <w:shd w:val="clear" w:color="auto" w:fill="FFFFFF" w:themeFill="background1"/>
            <w:vAlign w:val="center"/>
          </w:tcPr>
          <w:p w14:paraId="31B155EB" w14:textId="77777777" w:rsidR="008F551B" w:rsidRPr="00893D65" w:rsidRDefault="008F551B" w:rsidP="00D86EF7">
            <w:pPr>
              <w:spacing w:line="360" w:lineRule="auto"/>
              <w:jc w:val="center"/>
              <w:rPr>
                <w:rFonts w:ascii="Times New Roman" w:hAnsi="Times New Roman"/>
                <w:sz w:val="24"/>
                <w:szCs w:val="24"/>
              </w:rPr>
            </w:pPr>
          </w:p>
        </w:tc>
        <w:tc>
          <w:tcPr>
            <w:tcW w:w="1843" w:type="dxa"/>
            <w:shd w:val="clear" w:color="auto" w:fill="FFFFFF" w:themeFill="background1"/>
            <w:vAlign w:val="center"/>
          </w:tcPr>
          <w:p w14:paraId="7B39DF53" w14:textId="77777777" w:rsidR="008F551B" w:rsidRPr="00893D65" w:rsidRDefault="008F551B" w:rsidP="00D86EF7">
            <w:pPr>
              <w:spacing w:line="360" w:lineRule="auto"/>
              <w:jc w:val="center"/>
              <w:rPr>
                <w:rFonts w:ascii="Times New Roman" w:hAnsi="Times New Roman"/>
                <w:sz w:val="24"/>
                <w:szCs w:val="24"/>
              </w:rPr>
            </w:pPr>
          </w:p>
        </w:tc>
        <w:tc>
          <w:tcPr>
            <w:tcW w:w="1984" w:type="dxa"/>
            <w:shd w:val="clear" w:color="auto" w:fill="FFFFFF" w:themeFill="background1"/>
            <w:vAlign w:val="center"/>
          </w:tcPr>
          <w:p w14:paraId="763973E0" w14:textId="77777777" w:rsidR="008F551B" w:rsidRPr="00893D65" w:rsidRDefault="008F551B" w:rsidP="00D86EF7">
            <w:pPr>
              <w:spacing w:line="360" w:lineRule="auto"/>
              <w:jc w:val="center"/>
              <w:rPr>
                <w:rFonts w:ascii="Times New Roman" w:hAnsi="Times New Roman"/>
                <w:sz w:val="24"/>
                <w:szCs w:val="24"/>
              </w:rPr>
            </w:pPr>
          </w:p>
        </w:tc>
        <w:tc>
          <w:tcPr>
            <w:tcW w:w="1134" w:type="dxa"/>
            <w:shd w:val="clear" w:color="auto" w:fill="FFFFFF" w:themeFill="background1"/>
            <w:vAlign w:val="center"/>
          </w:tcPr>
          <w:p w14:paraId="151F5AFA" w14:textId="77777777" w:rsidR="008F551B" w:rsidRPr="00893D65" w:rsidRDefault="008F551B" w:rsidP="00D86EF7">
            <w:pPr>
              <w:spacing w:line="360" w:lineRule="auto"/>
              <w:jc w:val="center"/>
              <w:rPr>
                <w:rFonts w:ascii="Times New Roman" w:hAnsi="Times New Roman"/>
                <w:sz w:val="24"/>
                <w:szCs w:val="24"/>
              </w:rPr>
            </w:pPr>
          </w:p>
        </w:tc>
      </w:tr>
      <w:tr w:rsidR="008F551B" w:rsidRPr="00893D65" w14:paraId="2A2429FB" w14:textId="77777777" w:rsidTr="00E15E1E">
        <w:tc>
          <w:tcPr>
            <w:tcW w:w="3544" w:type="dxa"/>
          </w:tcPr>
          <w:p w14:paraId="53127973" w14:textId="77777777" w:rsidR="008F551B" w:rsidRPr="00893D65" w:rsidRDefault="008F551B" w:rsidP="00D86EF7">
            <w:pPr>
              <w:spacing w:line="360" w:lineRule="auto"/>
              <w:ind w:left="406"/>
              <w:rPr>
                <w:rFonts w:ascii="Times New Roman" w:hAnsi="Times New Roman"/>
                <w:sz w:val="24"/>
                <w:szCs w:val="24"/>
              </w:rPr>
            </w:pPr>
            <w:r w:rsidRPr="00893D65">
              <w:rPr>
                <w:rFonts w:ascii="Times New Roman" w:hAnsi="Times New Roman"/>
                <w:sz w:val="24"/>
                <w:szCs w:val="24"/>
              </w:rPr>
              <w:t>Daily</w:t>
            </w:r>
          </w:p>
        </w:tc>
        <w:tc>
          <w:tcPr>
            <w:tcW w:w="1843" w:type="dxa"/>
            <w:vAlign w:val="center"/>
          </w:tcPr>
          <w:p w14:paraId="06CA0706"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21 (46.7%)</w:t>
            </w:r>
          </w:p>
        </w:tc>
        <w:tc>
          <w:tcPr>
            <w:tcW w:w="1843" w:type="dxa"/>
            <w:vAlign w:val="center"/>
          </w:tcPr>
          <w:p w14:paraId="0F7C2748"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40 (89.9%)</w:t>
            </w:r>
          </w:p>
        </w:tc>
        <w:tc>
          <w:tcPr>
            <w:tcW w:w="1984" w:type="dxa"/>
            <w:vAlign w:val="center"/>
          </w:tcPr>
          <w:p w14:paraId="28FBAE2E"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9.14(3.05-27.44)</w:t>
            </w:r>
          </w:p>
        </w:tc>
        <w:tc>
          <w:tcPr>
            <w:tcW w:w="1134" w:type="dxa"/>
            <w:vMerge w:val="restart"/>
            <w:vAlign w:val="center"/>
          </w:tcPr>
          <w:p w14:paraId="5A55D6F4"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&lt;0.001</w:t>
            </w:r>
          </w:p>
        </w:tc>
      </w:tr>
      <w:tr w:rsidR="008F551B" w:rsidRPr="00893D65" w14:paraId="53C4EF7F" w14:textId="77777777" w:rsidTr="00E15E1E">
        <w:tc>
          <w:tcPr>
            <w:tcW w:w="3544" w:type="dxa"/>
          </w:tcPr>
          <w:p w14:paraId="486B45C5" w14:textId="77777777" w:rsidR="008F551B" w:rsidRPr="00893D65" w:rsidRDefault="008F551B" w:rsidP="00D86EF7">
            <w:pPr>
              <w:spacing w:line="360" w:lineRule="auto"/>
              <w:ind w:left="406"/>
              <w:rPr>
                <w:rFonts w:ascii="Times New Roman" w:hAnsi="Times New Roman"/>
                <w:sz w:val="24"/>
                <w:szCs w:val="24"/>
              </w:rPr>
            </w:pPr>
            <w:r w:rsidRPr="00893D65">
              <w:rPr>
                <w:rFonts w:ascii="Times New Roman" w:hAnsi="Times New Roman"/>
                <w:sz w:val="24"/>
                <w:szCs w:val="24"/>
              </w:rPr>
              <w:t>Every Other Day</w:t>
            </w:r>
          </w:p>
        </w:tc>
        <w:tc>
          <w:tcPr>
            <w:tcW w:w="1843" w:type="dxa"/>
            <w:vAlign w:val="center"/>
          </w:tcPr>
          <w:p w14:paraId="56606A43"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10 (22.2%)</w:t>
            </w:r>
          </w:p>
        </w:tc>
        <w:tc>
          <w:tcPr>
            <w:tcW w:w="1843" w:type="dxa"/>
            <w:vAlign w:val="center"/>
          </w:tcPr>
          <w:p w14:paraId="4BD9620F"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0 (0)</w:t>
            </w:r>
          </w:p>
        </w:tc>
        <w:tc>
          <w:tcPr>
            <w:tcW w:w="1984" w:type="dxa"/>
            <w:vAlign w:val="center"/>
          </w:tcPr>
          <w:p w14:paraId="6D93AB7E"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NC</w:t>
            </w:r>
          </w:p>
        </w:tc>
        <w:tc>
          <w:tcPr>
            <w:tcW w:w="1134" w:type="dxa"/>
            <w:vMerge/>
            <w:vAlign w:val="center"/>
          </w:tcPr>
          <w:p w14:paraId="5526FD01" w14:textId="77777777" w:rsidR="008F551B" w:rsidRPr="00893D65" w:rsidRDefault="008F551B" w:rsidP="00D86EF7">
            <w:pPr>
              <w:spacing w:line="360" w:lineRule="auto"/>
              <w:jc w:val="center"/>
              <w:rPr>
                <w:rFonts w:ascii="Times New Roman" w:hAnsi="Times New Roman"/>
                <w:sz w:val="24"/>
                <w:szCs w:val="24"/>
              </w:rPr>
            </w:pPr>
          </w:p>
        </w:tc>
      </w:tr>
      <w:tr w:rsidR="008F551B" w:rsidRPr="00893D65" w14:paraId="525B1B4C" w14:textId="77777777" w:rsidTr="00E15E1E">
        <w:tc>
          <w:tcPr>
            <w:tcW w:w="3544" w:type="dxa"/>
          </w:tcPr>
          <w:p w14:paraId="4524B6B3" w14:textId="77777777" w:rsidR="008F551B" w:rsidRPr="00893D65" w:rsidRDefault="008F551B" w:rsidP="00D86EF7">
            <w:pPr>
              <w:spacing w:line="360" w:lineRule="auto"/>
              <w:ind w:left="406"/>
              <w:rPr>
                <w:rFonts w:ascii="Times New Roman" w:hAnsi="Times New Roman"/>
                <w:sz w:val="24"/>
                <w:szCs w:val="24"/>
              </w:rPr>
            </w:pPr>
            <w:r w:rsidRPr="00893D65">
              <w:rPr>
                <w:rFonts w:ascii="Times New Roman" w:hAnsi="Times New Roman"/>
                <w:sz w:val="24"/>
                <w:szCs w:val="24"/>
              </w:rPr>
              <w:t>2 Times/Week</w:t>
            </w:r>
          </w:p>
        </w:tc>
        <w:tc>
          <w:tcPr>
            <w:tcW w:w="1843" w:type="dxa"/>
            <w:vAlign w:val="center"/>
          </w:tcPr>
          <w:p w14:paraId="2C81C985"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5 (11.1%)</w:t>
            </w:r>
          </w:p>
        </w:tc>
        <w:tc>
          <w:tcPr>
            <w:tcW w:w="1843" w:type="dxa"/>
            <w:vAlign w:val="center"/>
          </w:tcPr>
          <w:p w14:paraId="0A1CBAA7"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3 (6.7%)</w:t>
            </w:r>
          </w:p>
        </w:tc>
        <w:tc>
          <w:tcPr>
            <w:tcW w:w="1984" w:type="dxa"/>
            <w:vAlign w:val="center"/>
          </w:tcPr>
          <w:p w14:paraId="0B314926"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0.54(0.13-2.55)</w:t>
            </w:r>
          </w:p>
        </w:tc>
        <w:tc>
          <w:tcPr>
            <w:tcW w:w="1134" w:type="dxa"/>
            <w:vMerge/>
            <w:vAlign w:val="center"/>
          </w:tcPr>
          <w:p w14:paraId="7CCFFE48" w14:textId="77777777" w:rsidR="008F551B" w:rsidRPr="00893D65" w:rsidRDefault="008F551B" w:rsidP="00D86EF7">
            <w:pPr>
              <w:spacing w:line="360" w:lineRule="auto"/>
              <w:jc w:val="center"/>
              <w:rPr>
                <w:rFonts w:ascii="Times New Roman" w:hAnsi="Times New Roman"/>
                <w:sz w:val="24"/>
                <w:szCs w:val="24"/>
              </w:rPr>
            </w:pPr>
          </w:p>
        </w:tc>
      </w:tr>
      <w:tr w:rsidR="008F551B" w:rsidRPr="00893D65" w14:paraId="7E0A3AAF" w14:textId="77777777" w:rsidTr="00E15E1E">
        <w:tc>
          <w:tcPr>
            <w:tcW w:w="3544" w:type="dxa"/>
          </w:tcPr>
          <w:p w14:paraId="0C33184A" w14:textId="77777777" w:rsidR="008F551B" w:rsidRPr="00893D65" w:rsidRDefault="008F551B" w:rsidP="00D86EF7">
            <w:pPr>
              <w:spacing w:line="360" w:lineRule="auto"/>
              <w:ind w:left="406"/>
              <w:rPr>
                <w:rFonts w:ascii="Times New Roman" w:hAnsi="Times New Roman"/>
                <w:sz w:val="24"/>
                <w:szCs w:val="24"/>
              </w:rPr>
            </w:pPr>
            <w:r w:rsidRPr="00893D65">
              <w:rPr>
                <w:rFonts w:ascii="Times New Roman" w:hAnsi="Times New Roman"/>
                <w:sz w:val="24"/>
                <w:szCs w:val="24"/>
              </w:rPr>
              <w:t>Every 5 Days or More</w:t>
            </w:r>
          </w:p>
        </w:tc>
        <w:tc>
          <w:tcPr>
            <w:tcW w:w="1843" w:type="dxa"/>
            <w:vAlign w:val="center"/>
          </w:tcPr>
          <w:p w14:paraId="1F379505"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9 (20%)</w:t>
            </w:r>
          </w:p>
        </w:tc>
        <w:tc>
          <w:tcPr>
            <w:tcW w:w="1843" w:type="dxa"/>
            <w:vAlign w:val="center"/>
          </w:tcPr>
          <w:p w14:paraId="325C94E5"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1 (2.2%)</w:t>
            </w:r>
          </w:p>
        </w:tc>
        <w:tc>
          <w:tcPr>
            <w:tcW w:w="1984" w:type="dxa"/>
            <w:vAlign w:val="center"/>
          </w:tcPr>
          <w:p w14:paraId="24C8D1E3"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0.09(0.01-0.75)</w:t>
            </w:r>
          </w:p>
        </w:tc>
        <w:tc>
          <w:tcPr>
            <w:tcW w:w="1134" w:type="dxa"/>
            <w:vMerge/>
            <w:vAlign w:val="center"/>
          </w:tcPr>
          <w:p w14:paraId="4728A9E3" w14:textId="77777777" w:rsidR="008F551B" w:rsidRPr="00893D65" w:rsidRDefault="008F551B" w:rsidP="00D86EF7">
            <w:pPr>
              <w:spacing w:line="360" w:lineRule="auto"/>
              <w:jc w:val="center"/>
              <w:rPr>
                <w:rFonts w:ascii="Times New Roman" w:hAnsi="Times New Roman"/>
                <w:sz w:val="24"/>
                <w:szCs w:val="24"/>
              </w:rPr>
            </w:pPr>
          </w:p>
        </w:tc>
      </w:tr>
      <w:tr w:rsidR="008F551B" w:rsidRPr="00893D65" w14:paraId="2D5A606B" w14:textId="77777777" w:rsidTr="00E15E1E">
        <w:tc>
          <w:tcPr>
            <w:tcW w:w="3544" w:type="dxa"/>
            <w:shd w:val="clear" w:color="auto" w:fill="FFFFFF" w:themeFill="background1"/>
          </w:tcPr>
          <w:p w14:paraId="697A47E1" w14:textId="77777777" w:rsidR="008F551B" w:rsidRPr="00893D65" w:rsidRDefault="008F551B" w:rsidP="00D86EF7">
            <w:pPr>
              <w:spacing w:line="360" w:lineRule="auto"/>
              <w:rPr>
                <w:rFonts w:ascii="Times New Roman" w:hAnsi="Times New Roman"/>
                <w:sz w:val="24"/>
                <w:szCs w:val="24"/>
              </w:rPr>
            </w:pPr>
            <w:r w:rsidRPr="00893D65">
              <w:rPr>
                <w:rFonts w:ascii="Times New Roman" w:hAnsi="Times New Roman"/>
                <w:sz w:val="24"/>
                <w:szCs w:val="24"/>
              </w:rPr>
              <w:t>Bristol Stool Scale - N(%)</w:t>
            </w:r>
          </w:p>
        </w:tc>
        <w:tc>
          <w:tcPr>
            <w:tcW w:w="1843" w:type="dxa"/>
            <w:shd w:val="clear" w:color="auto" w:fill="FFFFFF" w:themeFill="background1"/>
            <w:vAlign w:val="center"/>
          </w:tcPr>
          <w:p w14:paraId="132469C5" w14:textId="77777777" w:rsidR="008F551B" w:rsidRPr="00893D65" w:rsidRDefault="008F551B" w:rsidP="00D86EF7">
            <w:pPr>
              <w:spacing w:line="360" w:lineRule="auto"/>
              <w:jc w:val="center"/>
              <w:rPr>
                <w:rFonts w:ascii="Times New Roman" w:hAnsi="Times New Roman"/>
                <w:sz w:val="24"/>
                <w:szCs w:val="24"/>
              </w:rPr>
            </w:pPr>
          </w:p>
        </w:tc>
        <w:tc>
          <w:tcPr>
            <w:tcW w:w="1843" w:type="dxa"/>
            <w:shd w:val="clear" w:color="auto" w:fill="FFFFFF" w:themeFill="background1"/>
            <w:vAlign w:val="center"/>
          </w:tcPr>
          <w:p w14:paraId="76FA54AC" w14:textId="77777777" w:rsidR="008F551B" w:rsidRPr="00893D65" w:rsidRDefault="008F551B" w:rsidP="00D86EF7">
            <w:pPr>
              <w:spacing w:line="360" w:lineRule="auto"/>
              <w:jc w:val="center"/>
              <w:rPr>
                <w:rFonts w:ascii="Times New Roman" w:hAnsi="Times New Roman"/>
                <w:sz w:val="24"/>
                <w:szCs w:val="24"/>
              </w:rPr>
            </w:pPr>
          </w:p>
        </w:tc>
        <w:tc>
          <w:tcPr>
            <w:tcW w:w="1984" w:type="dxa"/>
            <w:shd w:val="clear" w:color="auto" w:fill="FFFFFF" w:themeFill="background1"/>
            <w:vAlign w:val="center"/>
          </w:tcPr>
          <w:p w14:paraId="7C8F4DD5" w14:textId="77777777" w:rsidR="008F551B" w:rsidRPr="00893D65" w:rsidRDefault="008F551B" w:rsidP="00D86EF7">
            <w:pPr>
              <w:spacing w:line="360" w:lineRule="auto"/>
              <w:jc w:val="center"/>
              <w:rPr>
                <w:rFonts w:ascii="Times New Roman" w:hAnsi="Times New Roman"/>
                <w:sz w:val="24"/>
                <w:szCs w:val="24"/>
              </w:rPr>
            </w:pPr>
          </w:p>
        </w:tc>
        <w:tc>
          <w:tcPr>
            <w:tcW w:w="1134" w:type="dxa"/>
            <w:shd w:val="clear" w:color="auto" w:fill="FFFFFF" w:themeFill="background1"/>
            <w:vAlign w:val="center"/>
          </w:tcPr>
          <w:p w14:paraId="20A9CE41" w14:textId="77777777" w:rsidR="008F551B" w:rsidRPr="00893D65" w:rsidRDefault="008F551B" w:rsidP="00D86EF7">
            <w:pPr>
              <w:spacing w:line="360" w:lineRule="auto"/>
              <w:jc w:val="center"/>
              <w:rPr>
                <w:rFonts w:ascii="Times New Roman" w:hAnsi="Times New Roman"/>
                <w:sz w:val="24"/>
                <w:szCs w:val="24"/>
              </w:rPr>
            </w:pPr>
          </w:p>
        </w:tc>
      </w:tr>
      <w:tr w:rsidR="008F551B" w:rsidRPr="00893D65" w14:paraId="3B0BADE7" w14:textId="77777777" w:rsidTr="00E15E1E">
        <w:tc>
          <w:tcPr>
            <w:tcW w:w="3544" w:type="dxa"/>
          </w:tcPr>
          <w:p w14:paraId="7F31A350" w14:textId="77777777" w:rsidR="008F551B" w:rsidRPr="00893D65" w:rsidRDefault="008F551B" w:rsidP="00D86EF7">
            <w:pPr>
              <w:spacing w:line="360" w:lineRule="auto"/>
              <w:ind w:firstLine="406"/>
              <w:rPr>
                <w:rFonts w:ascii="Times New Roman" w:hAnsi="Times New Roman"/>
                <w:sz w:val="24"/>
                <w:szCs w:val="24"/>
              </w:rPr>
            </w:pPr>
            <w:r w:rsidRPr="00893D65">
              <w:rPr>
                <w:rFonts w:ascii="Times New Roman" w:hAnsi="Times New Roman"/>
                <w:sz w:val="24"/>
                <w:szCs w:val="24"/>
              </w:rPr>
              <w:t>3 and 4</w:t>
            </w:r>
          </w:p>
        </w:tc>
        <w:tc>
          <w:tcPr>
            <w:tcW w:w="1843" w:type="dxa"/>
            <w:vAlign w:val="center"/>
          </w:tcPr>
          <w:p w14:paraId="2E5327FA"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10 (22.2%)</w:t>
            </w:r>
          </w:p>
        </w:tc>
        <w:tc>
          <w:tcPr>
            <w:tcW w:w="1843" w:type="dxa"/>
            <w:vAlign w:val="center"/>
          </w:tcPr>
          <w:p w14:paraId="47317BA9"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34 (75.6)</w:t>
            </w:r>
          </w:p>
        </w:tc>
        <w:tc>
          <w:tcPr>
            <w:tcW w:w="1984" w:type="dxa"/>
            <w:vAlign w:val="center"/>
          </w:tcPr>
          <w:p w14:paraId="5061D411"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10.81(4.07-28.76)</w:t>
            </w:r>
          </w:p>
        </w:tc>
        <w:tc>
          <w:tcPr>
            <w:tcW w:w="1134" w:type="dxa"/>
            <w:vAlign w:val="center"/>
          </w:tcPr>
          <w:p w14:paraId="54116990"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&lt;0.001</w:t>
            </w:r>
          </w:p>
        </w:tc>
      </w:tr>
      <w:tr w:rsidR="008F551B" w:rsidRPr="00893D65" w14:paraId="02B70E33" w14:textId="77777777" w:rsidTr="00E15E1E">
        <w:tc>
          <w:tcPr>
            <w:tcW w:w="3544" w:type="dxa"/>
            <w:tcBorders>
              <w:bottom w:val="single" w:sz="12" w:space="0" w:color="auto"/>
            </w:tcBorders>
          </w:tcPr>
          <w:p w14:paraId="4A1B42AC" w14:textId="77777777" w:rsidR="008F551B" w:rsidRPr="00893D65" w:rsidRDefault="008F551B" w:rsidP="00D86EF7">
            <w:pPr>
              <w:spacing w:line="360" w:lineRule="auto"/>
              <w:ind w:firstLine="406"/>
              <w:rPr>
                <w:rFonts w:ascii="Times New Roman" w:hAnsi="Times New Roman"/>
                <w:sz w:val="24"/>
                <w:szCs w:val="24"/>
              </w:rPr>
            </w:pPr>
            <w:r w:rsidRPr="00893D65">
              <w:rPr>
                <w:rFonts w:ascii="Times New Roman" w:hAnsi="Times New Roman"/>
                <w:sz w:val="24"/>
                <w:szCs w:val="24"/>
              </w:rPr>
              <w:t>Others</w:t>
            </w:r>
          </w:p>
        </w:tc>
        <w:tc>
          <w:tcPr>
            <w:tcW w:w="1843" w:type="dxa"/>
            <w:tcBorders>
              <w:bottom w:val="single" w:sz="12" w:space="0" w:color="auto"/>
            </w:tcBorders>
            <w:vAlign w:val="center"/>
          </w:tcPr>
          <w:p w14:paraId="12D98C77"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35 (77.8)</w:t>
            </w:r>
          </w:p>
        </w:tc>
        <w:tc>
          <w:tcPr>
            <w:tcW w:w="1843" w:type="dxa"/>
            <w:tcBorders>
              <w:bottom w:val="single" w:sz="12" w:space="0" w:color="auto"/>
            </w:tcBorders>
            <w:vAlign w:val="center"/>
          </w:tcPr>
          <w:p w14:paraId="3EEE6BC0"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11 (24.4)</w:t>
            </w:r>
          </w:p>
        </w:tc>
        <w:tc>
          <w:tcPr>
            <w:tcW w:w="1984" w:type="dxa"/>
            <w:tcBorders>
              <w:bottom w:val="single" w:sz="12" w:space="0" w:color="auto"/>
            </w:tcBorders>
            <w:vAlign w:val="center"/>
          </w:tcPr>
          <w:p w14:paraId="5BA87945" w14:textId="77777777" w:rsidR="008F551B" w:rsidRPr="00893D65" w:rsidRDefault="008F551B" w:rsidP="00D86EF7">
            <w:pPr>
              <w:spacing w:line="360" w:lineRule="auto"/>
              <w:jc w:val="center"/>
              <w:rPr>
                <w:rFonts w:ascii="Times New Roman" w:hAnsi="Times New Roman"/>
                <w:sz w:val="24"/>
                <w:szCs w:val="24"/>
              </w:rPr>
            </w:pPr>
            <w:r w:rsidRPr="00893D65">
              <w:rPr>
                <w:rFonts w:ascii="Times New Roman" w:hAnsi="Times New Roman"/>
                <w:sz w:val="24"/>
                <w:szCs w:val="24"/>
              </w:rPr>
              <w:t>0.09(0.03-0.27)</w:t>
            </w:r>
          </w:p>
        </w:tc>
        <w:tc>
          <w:tcPr>
            <w:tcW w:w="1134" w:type="dxa"/>
            <w:tcBorders>
              <w:bottom w:val="single" w:sz="12" w:space="0" w:color="auto"/>
            </w:tcBorders>
            <w:vAlign w:val="center"/>
          </w:tcPr>
          <w:p w14:paraId="694121B5" w14:textId="77777777" w:rsidR="008F551B" w:rsidRPr="00893D65" w:rsidRDefault="008F551B" w:rsidP="00D86EF7">
            <w:pPr>
              <w:spacing w:line="360" w:lineRule="auto"/>
              <w:jc w:val="center"/>
              <w:rPr>
                <w:rFonts w:ascii="Times New Roman" w:hAnsi="Times New Roman"/>
                <w:sz w:val="24"/>
                <w:szCs w:val="24"/>
              </w:rPr>
            </w:pPr>
          </w:p>
        </w:tc>
      </w:tr>
    </w:tbl>
    <w:p w14:paraId="6318F38D" w14:textId="77777777" w:rsidR="00365273" w:rsidRPr="00365273" w:rsidRDefault="00365273" w:rsidP="00365273">
      <w:pPr>
        <w:pStyle w:val="MDPI21heading1"/>
        <w:rPr>
          <w:b w:val="0"/>
          <w:bCs/>
        </w:rPr>
      </w:pPr>
      <w:r w:rsidRPr="00365273">
        <w:rPr>
          <w:b w:val="0"/>
          <w:bCs/>
        </w:rPr>
        <w:t>t0 = before treatment; t1 = 60 days after treatment; HBa1c = Glycated hemoglobin. BMI =Body Mass Index; HOMA-IR = Homeostasis model assessment for insulin resistance; LDL= Low-density lipoprotein; HDL= High-density lipoprotein.</w:t>
      </w:r>
    </w:p>
    <w:p w14:paraId="163E8217" w14:textId="46E02BB1" w:rsidR="00EC5256" w:rsidRDefault="00365273" w:rsidP="00365273">
      <w:pPr>
        <w:pStyle w:val="MDPI21heading1"/>
        <w:jc w:val="both"/>
        <w:rPr>
          <w:b w:val="0"/>
          <w:bCs/>
        </w:rPr>
      </w:pPr>
      <w:r w:rsidRPr="00365273">
        <w:rPr>
          <w:b w:val="0"/>
          <w:bCs/>
          <w:vertAlign w:val="superscript"/>
        </w:rPr>
        <w:lastRenderedPageBreak/>
        <w:t>1</w:t>
      </w:r>
      <w:r w:rsidRPr="00365273">
        <w:rPr>
          <w:b w:val="0"/>
          <w:bCs/>
        </w:rPr>
        <w:t xml:space="preserve"> (x </w:t>
      </w:r>
      <w:r w:rsidRPr="00365273">
        <w:rPr>
          <w:rFonts w:ascii="Times New Roman" w:hAnsi="Times New Roman"/>
          <w:b w:val="0"/>
          <w:bCs/>
        </w:rPr>
        <w:t>̅</w:t>
      </w:r>
      <w:r w:rsidRPr="00365273">
        <w:rPr>
          <w:rFonts w:cs="Palatino Linotype"/>
          <w:b w:val="0"/>
          <w:bCs/>
        </w:rPr>
        <w:t>±</w:t>
      </w:r>
      <w:r w:rsidRPr="00365273">
        <w:rPr>
          <w:b w:val="0"/>
          <w:bCs/>
        </w:rPr>
        <w:t xml:space="preserve">dp)=(Mean </w:t>
      </w:r>
      <w:r w:rsidRPr="00365273">
        <w:rPr>
          <w:rFonts w:cs="Palatino Linotype"/>
          <w:b w:val="0"/>
          <w:bCs/>
        </w:rPr>
        <w:t>±</w:t>
      </w:r>
      <w:r w:rsidRPr="00365273">
        <w:rPr>
          <w:b w:val="0"/>
          <w:bCs/>
        </w:rPr>
        <w:t xml:space="preserve"> standard deviation); </w:t>
      </w:r>
      <w:r w:rsidRPr="00365273">
        <w:rPr>
          <w:b w:val="0"/>
          <w:bCs/>
          <w:vertAlign w:val="superscript"/>
        </w:rPr>
        <w:t>2</w:t>
      </w:r>
      <w:r w:rsidRPr="00365273">
        <w:rPr>
          <w:b w:val="0"/>
          <w:bCs/>
        </w:rPr>
        <w:t xml:space="preserve">N(%)= Number of patients (percentage); </w:t>
      </w:r>
      <w:r w:rsidRPr="00365273">
        <w:rPr>
          <w:b w:val="0"/>
          <w:bCs/>
          <w:vertAlign w:val="superscript"/>
        </w:rPr>
        <w:t>3</w:t>
      </w:r>
      <w:r w:rsidRPr="00365273">
        <w:rPr>
          <w:b w:val="0"/>
          <w:bCs/>
        </w:rPr>
        <w:t>NC=not calculated; * OR (Odds Ratio) and CI (Confidence Interval) were calculated by comparing the post-treatment period to the pre-treatment period. ** p&lt;0.05 = statistically significant difference by McNemar test (nominal variables) and Wilcoxon test (ordinal variables) and t-Student test (quantitative variables)</w:t>
      </w:r>
      <w:r w:rsidR="00817F49">
        <w:rPr>
          <w:b w:val="0"/>
          <w:bCs/>
        </w:rPr>
        <w:t>.</w:t>
      </w:r>
    </w:p>
    <w:p w14:paraId="176BDEAB" w14:textId="6A43345E" w:rsidR="00EC5256" w:rsidRDefault="00817F49" w:rsidP="00AE6ABF">
      <w:pPr>
        <w:pStyle w:val="MDPI21heading1"/>
        <w:ind w:firstLine="452"/>
        <w:jc w:val="both"/>
        <w:rPr>
          <w:b w:val="0"/>
          <w:bCs/>
        </w:rPr>
      </w:pPr>
      <w:r w:rsidRPr="00817F49">
        <w:rPr>
          <w:b w:val="0"/>
          <w:bCs/>
        </w:rPr>
        <w:t>The results of this study revealed significant changes in the composition of the intestinal microbiota in patients with obesity after 60 days of treatment. Figure 2 shows the rates for the phyla in relation to the period before and after treatment. There was no significant variation in the balance between phyla. A statistically significant increase in the diversity of phyla was observed (p&lt;0.001). The phyla Proteobacteria (p&lt;0.001) and Euryarchaeota (p&lt;0.001) showed an average reduction. There was no significant difference in the presence of the firmicutes phylum in the pre- and post-treatment periods. The other phyla showed a significant increase in their presence in the intestinal microbiota (p&lt;0.001): Fusobacteria, Tenericutes, Euryarchaeota, Verrucomicrobia, Actinobacteria and Bacteroidetes.</w:t>
      </w:r>
    </w:p>
    <w:p w14:paraId="72FAD453" w14:textId="390983CE" w:rsidR="00817F49" w:rsidRDefault="00206737" w:rsidP="00AE6ABF">
      <w:pPr>
        <w:pStyle w:val="MDPI21heading1"/>
        <w:ind w:firstLine="452"/>
        <w:jc w:val="both"/>
        <w:rPr>
          <w:b w:val="0"/>
          <w:bCs/>
        </w:rPr>
      </w:pPr>
      <w:r>
        <w:rPr>
          <w:b w:val="0"/>
          <w:bCs/>
          <w:noProof/>
          <w:snapToGrid/>
        </w:rPr>
        <w:drawing>
          <wp:inline distT="0" distB="0" distL="0" distR="0" wp14:anchorId="3D124184" wp14:editId="6113284C">
            <wp:extent cx="4298950" cy="2698750"/>
            <wp:effectExtent l="0" t="0" r="6350" b="6350"/>
            <wp:docPr id="169162541" name="Imagem 3" descr="Gráfi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62541" name="Imagem 3" descr="Gráfico&#10;&#10;Descrição gerada automaticamente"/>
                    <pic:cNvPicPr/>
                  </pic:nvPicPr>
                  <pic:blipFill>
                    <a:blip r:embed="rId19"/>
                    <a:stretch>
                      <a:fillRect/>
                    </a:stretch>
                  </pic:blipFill>
                  <pic:spPr>
                    <a:xfrm>
                      <a:off x="0" y="0"/>
                      <a:ext cx="4298950" cy="2698750"/>
                    </a:xfrm>
                    <a:prstGeom prst="rect">
                      <a:avLst/>
                    </a:prstGeom>
                  </pic:spPr>
                </pic:pic>
              </a:graphicData>
            </a:graphic>
          </wp:inline>
        </w:drawing>
      </w:r>
    </w:p>
    <w:p w14:paraId="304C1DB2" w14:textId="77777777" w:rsidR="00B5496A" w:rsidRPr="00B5496A" w:rsidRDefault="00B5496A" w:rsidP="00B5496A">
      <w:pPr>
        <w:pStyle w:val="MDPI21heading1"/>
        <w:ind w:firstLine="452"/>
        <w:rPr>
          <w:b w:val="0"/>
          <w:bCs/>
        </w:rPr>
      </w:pPr>
      <w:r w:rsidRPr="00B5496A">
        <w:rPr>
          <w:b w:val="0"/>
          <w:bCs/>
        </w:rPr>
        <w:t>Figure 2. Analysis of phylum-related rates before and after treatment</w:t>
      </w:r>
    </w:p>
    <w:p w14:paraId="626C05DC" w14:textId="731C0862" w:rsidR="00817F49" w:rsidRDefault="00B5496A" w:rsidP="00B5496A">
      <w:pPr>
        <w:pStyle w:val="MDPI21heading1"/>
        <w:ind w:firstLine="452"/>
        <w:jc w:val="both"/>
        <w:rPr>
          <w:b w:val="0"/>
          <w:bCs/>
        </w:rPr>
      </w:pPr>
      <w:r w:rsidRPr="00B5496A">
        <w:rPr>
          <w:b w:val="0"/>
          <w:bCs/>
        </w:rPr>
        <w:t>*p&lt;0.05 = statistically significant difference by Wilcoxon Test</w:t>
      </w:r>
    </w:p>
    <w:p w14:paraId="5AD6C035" w14:textId="77777777" w:rsidR="00B5496A" w:rsidRDefault="00B5496A" w:rsidP="00B5496A">
      <w:pPr>
        <w:pStyle w:val="MDPI21heading1"/>
        <w:ind w:firstLine="452"/>
        <w:jc w:val="both"/>
        <w:rPr>
          <w:b w:val="0"/>
          <w:bCs/>
        </w:rPr>
      </w:pPr>
    </w:p>
    <w:p w14:paraId="0C5405E9" w14:textId="3FD6CBE3" w:rsidR="0052047C" w:rsidRPr="0052047C" w:rsidRDefault="0052047C" w:rsidP="0052047C">
      <w:pPr>
        <w:pStyle w:val="MDPI21heading1"/>
        <w:ind w:firstLine="452"/>
        <w:jc w:val="both"/>
        <w:rPr>
          <w:b w:val="0"/>
          <w:bCs/>
        </w:rPr>
      </w:pPr>
      <w:r w:rsidRPr="0052047C">
        <w:rPr>
          <w:b w:val="0"/>
          <w:bCs/>
        </w:rPr>
        <w:t xml:space="preserve">Regarding bacterial species, several showed statistically significant differences (p&lt;0.001) when comparing before and after the 60-day treatment period. In the Firmicutes phylum, there was a reduction in </w:t>
      </w:r>
      <w:r w:rsidRPr="007578F4">
        <w:rPr>
          <w:b w:val="0"/>
          <w:bCs/>
          <w:i/>
          <w:iCs/>
        </w:rPr>
        <w:t>Ruminococcus</w:t>
      </w:r>
      <w:r w:rsidRPr="0052047C">
        <w:rPr>
          <w:b w:val="0"/>
          <w:bCs/>
        </w:rPr>
        <w:t xml:space="preserve"> spp., </w:t>
      </w:r>
      <w:r w:rsidRPr="007578F4">
        <w:rPr>
          <w:b w:val="0"/>
          <w:bCs/>
          <w:i/>
          <w:iCs/>
        </w:rPr>
        <w:t>Oribacterium sinus</w:t>
      </w:r>
      <w:r w:rsidRPr="0052047C">
        <w:rPr>
          <w:b w:val="0"/>
          <w:bCs/>
        </w:rPr>
        <w:t xml:space="preserve">, </w:t>
      </w:r>
      <w:r w:rsidRPr="007578F4">
        <w:rPr>
          <w:b w:val="0"/>
          <w:bCs/>
          <w:i/>
          <w:iCs/>
        </w:rPr>
        <w:t>Lachnospira</w:t>
      </w:r>
      <w:r w:rsidRPr="0052047C">
        <w:rPr>
          <w:b w:val="0"/>
          <w:bCs/>
        </w:rPr>
        <w:t xml:space="preserve"> spp, </w:t>
      </w:r>
      <w:r w:rsidRPr="007578F4">
        <w:rPr>
          <w:b w:val="0"/>
          <w:bCs/>
          <w:i/>
          <w:iCs/>
        </w:rPr>
        <w:t>Limosilactobacillus</w:t>
      </w:r>
      <w:r w:rsidRPr="0052047C">
        <w:rPr>
          <w:b w:val="0"/>
          <w:bCs/>
        </w:rPr>
        <w:t xml:space="preserve"> spp, and </w:t>
      </w:r>
      <w:r w:rsidRPr="007578F4">
        <w:rPr>
          <w:b w:val="0"/>
          <w:bCs/>
          <w:i/>
          <w:iCs/>
        </w:rPr>
        <w:t>Dorea longicatena</w:t>
      </w:r>
      <w:r w:rsidRPr="0052047C">
        <w:rPr>
          <w:b w:val="0"/>
          <w:bCs/>
        </w:rPr>
        <w:t>. There was also a significant increase in</w:t>
      </w:r>
      <w:r w:rsidR="00652E63">
        <w:rPr>
          <w:b w:val="0"/>
          <w:bCs/>
        </w:rPr>
        <w:t xml:space="preserve"> </w:t>
      </w:r>
      <w:r w:rsidRPr="0052047C">
        <w:rPr>
          <w:b w:val="0"/>
          <w:bCs/>
        </w:rPr>
        <w:t xml:space="preserve"> </w:t>
      </w:r>
      <w:r w:rsidRPr="007578F4">
        <w:rPr>
          <w:b w:val="0"/>
          <w:bCs/>
          <w:i/>
          <w:iCs/>
        </w:rPr>
        <w:t>Roseburia hominis, Lactobacillus</w:t>
      </w:r>
      <w:r w:rsidRPr="0052047C">
        <w:rPr>
          <w:b w:val="0"/>
          <w:bCs/>
        </w:rPr>
        <w:t xml:space="preserve"> spp, and </w:t>
      </w:r>
      <w:r w:rsidRPr="007578F4">
        <w:rPr>
          <w:b w:val="0"/>
          <w:bCs/>
          <w:i/>
          <w:iCs/>
        </w:rPr>
        <w:t>Eubacterium</w:t>
      </w:r>
      <w:r w:rsidRPr="0052047C">
        <w:rPr>
          <w:b w:val="0"/>
          <w:bCs/>
        </w:rPr>
        <w:t xml:space="preserve"> spp (Figure 3). In the Bacteroidetes phylum (Figure 4), in addition to a substantial increase in diversity, there was a significant increase in various species such as </w:t>
      </w:r>
      <w:r w:rsidRPr="00652E63">
        <w:rPr>
          <w:b w:val="0"/>
          <w:bCs/>
          <w:i/>
          <w:iCs/>
        </w:rPr>
        <w:t>Barnesiella intestinihominis</w:t>
      </w:r>
      <w:r w:rsidRPr="0052047C">
        <w:rPr>
          <w:b w:val="0"/>
          <w:bCs/>
        </w:rPr>
        <w:t xml:space="preserve">, </w:t>
      </w:r>
      <w:r w:rsidRPr="00652E63">
        <w:rPr>
          <w:b w:val="0"/>
          <w:bCs/>
          <w:i/>
          <w:iCs/>
        </w:rPr>
        <w:t>Alistipes putredini</w:t>
      </w:r>
      <w:r w:rsidRPr="0052047C">
        <w:rPr>
          <w:b w:val="0"/>
          <w:bCs/>
        </w:rPr>
        <w:t xml:space="preserve">, species of </w:t>
      </w:r>
      <w:r w:rsidRPr="00652E63">
        <w:rPr>
          <w:b w:val="0"/>
          <w:bCs/>
          <w:i/>
          <w:iCs/>
        </w:rPr>
        <w:t>Prevotella</w:t>
      </w:r>
      <w:r w:rsidRPr="0052047C">
        <w:rPr>
          <w:b w:val="0"/>
          <w:bCs/>
        </w:rPr>
        <w:t xml:space="preserve">, and a reduction in </w:t>
      </w:r>
      <w:r w:rsidRPr="00652E63">
        <w:rPr>
          <w:b w:val="0"/>
          <w:bCs/>
          <w:i/>
          <w:iCs/>
        </w:rPr>
        <w:t>Bacteroides dorei</w:t>
      </w:r>
      <w:r w:rsidRPr="0052047C">
        <w:rPr>
          <w:b w:val="0"/>
          <w:bCs/>
        </w:rPr>
        <w:t xml:space="preserve"> and </w:t>
      </w:r>
      <w:r w:rsidRPr="00652E63">
        <w:rPr>
          <w:b w:val="0"/>
          <w:bCs/>
          <w:i/>
          <w:iCs/>
        </w:rPr>
        <w:t>Alistipes obesi</w:t>
      </w:r>
      <w:r w:rsidRPr="0052047C">
        <w:rPr>
          <w:b w:val="0"/>
          <w:bCs/>
        </w:rPr>
        <w:t xml:space="preserve">. As for other detected phyla, a reduction in their presence in the intestinal microbiota was observed for species such as </w:t>
      </w:r>
      <w:r w:rsidRPr="00652E63">
        <w:rPr>
          <w:b w:val="0"/>
          <w:bCs/>
          <w:i/>
          <w:iCs/>
        </w:rPr>
        <w:t>Methanobrevibacter smithii</w:t>
      </w:r>
      <w:r w:rsidRPr="0052047C">
        <w:rPr>
          <w:b w:val="0"/>
          <w:bCs/>
        </w:rPr>
        <w:t xml:space="preserve"> (Euryarchaeota phylum), </w:t>
      </w:r>
      <w:r w:rsidRPr="00652E63">
        <w:rPr>
          <w:b w:val="0"/>
          <w:bCs/>
          <w:i/>
          <w:iCs/>
        </w:rPr>
        <w:t xml:space="preserve">Escherichia coli, Acinetobacter baumannii, Klebsiella pneumoniae, Staphyococcus aureus, Proteus mirabilis, Desulfovibrio piger, Bilophila wadsworthia, Parasutterella excrementihominis, </w:t>
      </w:r>
      <w:r w:rsidRPr="00D400BA">
        <w:rPr>
          <w:b w:val="0"/>
          <w:bCs/>
        </w:rPr>
        <w:t>and</w:t>
      </w:r>
      <w:r w:rsidRPr="00652E63">
        <w:rPr>
          <w:b w:val="0"/>
          <w:bCs/>
          <w:i/>
          <w:iCs/>
        </w:rPr>
        <w:t xml:space="preserve"> Citrobacter freundii</w:t>
      </w:r>
      <w:r w:rsidRPr="0052047C">
        <w:rPr>
          <w:b w:val="0"/>
          <w:bCs/>
        </w:rPr>
        <w:t xml:space="preserve"> (Proteobacteria phylum) (Figure 5).</w:t>
      </w:r>
    </w:p>
    <w:p w14:paraId="1B5AA103" w14:textId="3987B64C" w:rsidR="0052047C" w:rsidRDefault="00972A98" w:rsidP="0052047C">
      <w:pPr>
        <w:pStyle w:val="MDPI21heading1"/>
        <w:ind w:firstLine="452"/>
        <w:jc w:val="both"/>
        <w:rPr>
          <w:b w:val="0"/>
          <w:bCs/>
        </w:rPr>
      </w:pPr>
      <w:r>
        <w:rPr>
          <w:b w:val="0"/>
          <w:bCs/>
          <w:noProof/>
          <w:snapToGrid/>
        </w:rPr>
        <w:lastRenderedPageBreak/>
        <w:drawing>
          <wp:inline distT="0" distB="0" distL="0" distR="0" wp14:anchorId="26695A8D" wp14:editId="3B0F693B">
            <wp:extent cx="3244850" cy="4229100"/>
            <wp:effectExtent l="0" t="0" r="0" b="0"/>
            <wp:docPr id="1701593077" name="Imagem 5" descr="Gráfico, Gráfico de barras, Gráfico de funil&#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593077" name="Imagem 5" descr="Gráfico, Gráfico de barras, Gráfico de funil&#10;&#10;Descrição gerada automaticamente"/>
                    <pic:cNvPicPr/>
                  </pic:nvPicPr>
                  <pic:blipFill>
                    <a:blip r:embed="rId20"/>
                    <a:stretch>
                      <a:fillRect/>
                    </a:stretch>
                  </pic:blipFill>
                  <pic:spPr>
                    <a:xfrm>
                      <a:off x="0" y="0"/>
                      <a:ext cx="3244850" cy="4229100"/>
                    </a:xfrm>
                    <a:prstGeom prst="rect">
                      <a:avLst/>
                    </a:prstGeom>
                  </pic:spPr>
                </pic:pic>
              </a:graphicData>
            </a:graphic>
          </wp:inline>
        </w:drawing>
      </w:r>
    </w:p>
    <w:p w14:paraId="2E710D93" w14:textId="77777777" w:rsidR="00206503" w:rsidRPr="00206503" w:rsidRDefault="00206503" w:rsidP="00206503">
      <w:pPr>
        <w:pStyle w:val="MDPI21heading1"/>
        <w:ind w:firstLine="452"/>
        <w:rPr>
          <w:b w:val="0"/>
          <w:bCs/>
        </w:rPr>
      </w:pPr>
      <w:r w:rsidRPr="00206503">
        <w:t>Figure 3</w:t>
      </w:r>
      <w:r w:rsidRPr="00206503">
        <w:rPr>
          <w:b w:val="0"/>
          <w:bCs/>
        </w:rPr>
        <w:t>. Bacterial species present in the phylum Firmicutes detected before and after treatment</w:t>
      </w:r>
    </w:p>
    <w:p w14:paraId="53009435" w14:textId="422292D3" w:rsidR="00B5496A" w:rsidRDefault="00206503" w:rsidP="00206503">
      <w:pPr>
        <w:pStyle w:val="MDPI21heading1"/>
        <w:ind w:firstLine="452"/>
        <w:jc w:val="both"/>
        <w:rPr>
          <w:b w:val="0"/>
          <w:bCs/>
        </w:rPr>
      </w:pPr>
      <w:r w:rsidRPr="00206503">
        <w:rPr>
          <w:b w:val="0"/>
          <w:bCs/>
        </w:rPr>
        <w:t>*p&lt;0.05 = statistically significant difference by the Wilcoxon Test</w:t>
      </w:r>
    </w:p>
    <w:p w14:paraId="40F67CF2" w14:textId="7B75745C" w:rsidR="00EC5256" w:rsidRPr="00617E78" w:rsidRDefault="00685DA6" w:rsidP="00AE6ABF">
      <w:pPr>
        <w:pStyle w:val="MDPI21heading1"/>
        <w:ind w:firstLine="452"/>
        <w:jc w:val="both"/>
        <w:rPr>
          <w:b w:val="0"/>
          <w:bCs/>
        </w:rPr>
      </w:pPr>
      <w:r>
        <w:rPr>
          <w:b w:val="0"/>
          <w:bCs/>
          <w:noProof/>
          <w:snapToGrid/>
        </w:rPr>
        <w:lastRenderedPageBreak/>
        <w:drawing>
          <wp:inline distT="0" distB="0" distL="0" distR="0" wp14:anchorId="63FDDA97" wp14:editId="5BA03937">
            <wp:extent cx="2990850" cy="5721350"/>
            <wp:effectExtent l="0" t="0" r="0" b="0"/>
            <wp:docPr id="1777469951" name="Imagem 6" descr="Uma imagem contendo Aplicativ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469951" name="Imagem 6" descr="Uma imagem contendo Aplicativo&#10;&#10;Descrição gerada automaticamente"/>
                    <pic:cNvPicPr/>
                  </pic:nvPicPr>
                  <pic:blipFill>
                    <a:blip r:embed="rId21"/>
                    <a:stretch>
                      <a:fillRect/>
                    </a:stretch>
                  </pic:blipFill>
                  <pic:spPr>
                    <a:xfrm>
                      <a:off x="0" y="0"/>
                      <a:ext cx="2990850" cy="5721350"/>
                    </a:xfrm>
                    <a:prstGeom prst="rect">
                      <a:avLst/>
                    </a:prstGeom>
                  </pic:spPr>
                </pic:pic>
              </a:graphicData>
            </a:graphic>
          </wp:inline>
        </w:drawing>
      </w:r>
    </w:p>
    <w:p w14:paraId="6F6104CA" w14:textId="77777777" w:rsidR="0020616B" w:rsidRPr="0020616B" w:rsidRDefault="0020616B" w:rsidP="0020616B">
      <w:pPr>
        <w:pStyle w:val="MDPI21heading1"/>
        <w:rPr>
          <w:b w:val="0"/>
          <w:bCs/>
        </w:rPr>
      </w:pPr>
      <w:r>
        <w:t xml:space="preserve">Figure 4. </w:t>
      </w:r>
      <w:r w:rsidRPr="0020616B">
        <w:rPr>
          <w:b w:val="0"/>
          <w:bCs/>
        </w:rPr>
        <w:t>Bacterial species present in the phylum Bacteroidetes detected before and after treatment.</w:t>
      </w:r>
    </w:p>
    <w:p w14:paraId="5DD6B72A" w14:textId="7801B84F" w:rsidR="00685DA6" w:rsidRPr="0020616B" w:rsidRDefault="0020616B" w:rsidP="0020616B">
      <w:pPr>
        <w:pStyle w:val="MDPI21heading1"/>
        <w:rPr>
          <w:b w:val="0"/>
          <w:bCs/>
        </w:rPr>
      </w:pPr>
      <w:r>
        <w:rPr>
          <w:rFonts w:hint="eastAsia"/>
        </w:rPr>
        <w:t>*</w:t>
      </w:r>
      <w:r w:rsidRPr="0020616B">
        <w:rPr>
          <w:rFonts w:hint="eastAsia"/>
          <w:b w:val="0"/>
          <w:bCs/>
        </w:rPr>
        <w:t>p≤ 0.05 = statistically significant difference by the Wilcoxon test.</w:t>
      </w:r>
    </w:p>
    <w:p w14:paraId="3D743781" w14:textId="77777777" w:rsidR="00685DA6" w:rsidRDefault="00685DA6" w:rsidP="00554A5B">
      <w:pPr>
        <w:pStyle w:val="MDPI21heading1"/>
        <w:rPr>
          <w:b w:val="0"/>
          <w:bCs/>
        </w:rPr>
      </w:pPr>
    </w:p>
    <w:p w14:paraId="3514E8FD" w14:textId="189153D0" w:rsidR="003D72BB" w:rsidRPr="0020616B" w:rsidRDefault="003D72BB" w:rsidP="00554A5B">
      <w:pPr>
        <w:pStyle w:val="MDPI21heading1"/>
        <w:rPr>
          <w:b w:val="0"/>
          <w:bCs/>
        </w:rPr>
      </w:pPr>
      <w:r>
        <w:rPr>
          <w:b w:val="0"/>
          <w:bCs/>
          <w:noProof/>
          <w:snapToGrid/>
        </w:rPr>
        <w:lastRenderedPageBreak/>
        <w:drawing>
          <wp:inline distT="0" distB="0" distL="0" distR="0" wp14:anchorId="1A491C85" wp14:editId="33742EFB">
            <wp:extent cx="3048000" cy="3162300"/>
            <wp:effectExtent l="0" t="0" r="0" b="0"/>
            <wp:docPr id="1042805612" name="Imagem 7" descr="Linha do temp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805612" name="Imagem 7" descr="Linha do tempo&#10;&#10;Descrição gerada automaticamente com confiança média"/>
                    <pic:cNvPicPr/>
                  </pic:nvPicPr>
                  <pic:blipFill>
                    <a:blip r:embed="rId22"/>
                    <a:stretch>
                      <a:fillRect/>
                    </a:stretch>
                  </pic:blipFill>
                  <pic:spPr>
                    <a:xfrm>
                      <a:off x="0" y="0"/>
                      <a:ext cx="3048000" cy="3162300"/>
                    </a:xfrm>
                    <a:prstGeom prst="rect">
                      <a:avLst/>
                    </a:prstGeom>
                  </pic:spPr>
                </pic:pic>
              </a:graphicData>
            </a:graphic>
          </wp:inline>
        </w:drawing>
      </w:r>
    </w:p>
    <w:p w14:paraId="4F71CFF2" w14:textId="77777777" w:rsidR="006057DA" w:rsidRPr="006057DA" w:rsidRDefault="006057DA" w:rsidP="006057DA">
      <w:pPr>
        <w:pStyle w:val="MDPI21heading1"/>
        <w:jc w:val="both"/>
        <w:rPr>
          <w:b w:val="0"/>
          <w:bCs/>
        </w:rPr>
      </w:pPr>
      <w:r>
        <w:t xml:space="preserve">Figure 5. </w:t>
      </w:r>
      <w:r w:rsidRPr="006057DA">
        <w:rPr>
          <w:b w:val="0"/>
          <w:bCs/>
        </w:rPr>
        <w:t>Bacterial species present in the phyla Verrucomicrobia, Actinobacteria, Proteobacteria, Euryarchaeota, Tenericutes, and Fusobacteria detected before and after treatment.</w:t>
      </w:r>
    </w:p>
    <w:p w14:paraId="7DCE35F7" w14:textId="5C436895" w:rsidR="00685DA6" w:rsidRDefault="006057DA" w:rsidP="006057DA">
      <w:pPr>
        <w:pStyle w:val="MDPI21heading1"/>
        <w:jc w:val="both"/>
        <w:rPr>
          <w:b w:val="0"/>
          <w:bCs/>
        </w:rPr>
      </w:pPr>
      <w:r>
        <w:t xml:space="preserve">*p&lt;0.05 = </w:t>
      </w:r>
      <w:r w:rsidRPr="006057DA">
        <w:rPr>
          <w:b w:val="0"/>
          <w:bCs/>
        </w:rPr>
        <w:t>statistically significant difference by the Wilcoxon test.</w:t>
      </w:r>
    </w:p>
    <w:p w14:paraId="33969C14" w14:textId="26D88F40" w:rsidR="006057DA" w:rsidRDefault="00CB4AD2" w:rsidP="00CB4AD2">
      <w:pPr>
        <w:pStyle w:val="MDPI21heading1"/>
        <w:ind w:firstLine="452"/>
        <w:jc w:val="both"/>
        <w:rPr>
          <w:b w:val="0"/>
          <w:bCs/>
        </w:rPr>
      </w:pPr>
      <w:r w:rsidRPr="00CB4AD2">
        <w:rPr>
          <w:b w:val="0"/>
          <w:bCs/>
        </w:rPr>
        <w:t>It is noteworthy that, among the 45 patients included in this study, only 5 of them opted exclusively for the use of probiotics, refusing to adhere to the proposal to modify their lifestyle habits, even after continuous stimulation. In these patients, no significant weight loss was observed (with an average loss of only 1 kilogram over 60 days) and their clinical parameters did not show notable improvements (data not shown).</w:t>
      </w:r>
    </w:p>
    <w:p w14:paraId="32CBED34" w14:textId="77777777" w:rsidR="00D565DE" w:rsidRPr="006057DA" w:rsidRDefault="00D565DE" w:rsidP="00CB4AD2">
      <w:pPr>
        <w:pStyle w:val="MDPI21heading1"/>
        <w:ind w:firstLine="452"/>
        <w:jc w:val="both"/>
        <w:rPr>
          <w:b w:val="0"/>
          <w:bCs/>
        </w:rPr>
      </w:pPr>
    </w:p>
    <w:p w14:paraId="461B2726" w14:textId="4857B1A7" w:rsidR="00114CC5" w:rsidRPr="00325902" w:rsidRDefault="00554A5B" w:rsidP="00114CC5">
      <w:pPr>
        <w:pStyle w:val="MDPI21heading1"/>
        <w:jc w:val="both"/>
      </w:pPr>
      <w:r w:rsidRPr="00325902">
        <w:t>4. Discussion</w:t>
      </w:r>
    </w:p>
    <w:p w14:paraId="5F7A00CD" w14:textId="77777777" w:rsidR="002A7E73" w:rsidRDefault="002A7E73" w:rsidP="002A7E73">
      <w:pPr>
        <w:pStyle w:val="MDPI31text"/>
      </w:pPr>
      <w:r>
        <w:t xml:space="preserve">This is the first study conducted involving the combined use of a multispecies probiotic and lifestyle changes, with an analysis of the intestinal microbiota, aiming to improve both the intestinal microbiota and various clinical and health parameters, with an emphasis on weight loss. The research involved 45 patients with obesity over a 60-day period and yielded promising results. Previous studies have indicated that the introduction of probiotics can positively influence bacterial composition, resulting in beneficial effects on the health of patients with obesity [15,33,34]. One possible explanation for these effects is related to the increase in short-chain fatty acid (SCFA)-producing bacteria, as well as the reduction in lipopolysaccharide (LPS) producers [7,35,36]. These changes in the gut microbiota have been associated with a reduction in tissue and organ inflammation induced by LPS. Additionally, probiotics may play a role in reducing opportunistic pathogens and their harmful metabolites, such as trimethylamine, LPS, and indole [22]. In the study by Narmaki et al [37], it was observed that probiotics can reduce fat accumulation, lower inflammation levels, and improve insulin sensitivity. These metabolic benefits have been associated with increased neuropeptides and gastrointestinal peptides, as well as an increase in the abundance of various beneficial bacteria [17,38]. However, other studies did not show improvement in weight loss when using probiotics alone [12,39,40]. Therefore, </w:t>
      </w:r>
      <w:r>
        <w:lastRenderedPageBreak/>
        <w:t>this study aims to investigate the combined effect of probiotics with healthy lifestyle habits.</w:t>
      </w:r>
    </w:p>
    <w:p w14:paraId="667DAE68" w14:textId="77777777" w:rsidR="002A7E73" w:rsidRDefault="002A7E73" w:rsidP="002A7E73">
      <w:pPr>
        <w:pStyle w:val="MDPI31text"/>
      </w:pPr>
      <w:r>
        <w:t>There was a significant increase in the which plays a fundamental role in maintaining intestinal health [43]. These fatty acids have anti-inflammatory effects and can strengthen the integrity of the intestinal barrier, reducing permeability and inflammation [14]. Physical exercise can influence the production of hormones and neurotransmitters that can indirectly affect the intestinal microbiota [44]. In addition to modulating the production of substances such as GABA (gamma-aminobutyric acid) and serotonin, which can influence the composition and function of the microbiota, being of great importance in the homeostasis of the microbiome-gut-brain axis [45]. Physical exercise can influence the production of hormones and neurotransmitters that can indirectly affect the intestinal microbiota [44]. In addition to modulating the production of substances such as GABA (gamma-aminobutyric acid) and serotonin, which can influence the composition and function of the microbiota, being of great importance in the homeostasis of the microbiome-gut-brain axis [45]. Physical exercise can influence the production of hormones and neurotransmitters that can indirectly affect the intestinal microbiota [44]. In addition to modulating the production of substances such as GABA (gamma-aminobutyric acid) and serotonin, which can influence the composition and function of the microbiota, being of great importance in the homeostasis of the microbiome-gut-brain axis [45].</w:t>
      </w:r>
    </w:p>
    <w:p w14:paraId="7E98C83C" w14:textId="77777777" w:rsidR="002A7E73" w:rsidRDefault="002A7E73" w:rsidP="002A7E73">
      <w:pPr>
        <w:pStyle w:val="MDPI31text"/>
      </w:pPr>
      <w:r>
        <w:t>In the present study, the analysis of the degree of anxiety using the Hamilton Anxiety Scale [28] revealed significant improvements and important correlations with the improvement of the intestinal microbiota in obese patients. In this investigation, a significant reduction in anxiety was observed with the positive impact of treatment with probiotics and changes in lifestyle habits, such as practicing meditation, yoga, deep breathing, in reducing anxiety levels. These results are consistent with previous studies that have shown a correlation between gut health and mental health, highlighting the importance of the gut microbiota in regulating mood and emotional well-being [46,47,48].</w:t>
      </w:r>
    </w:p>
    <w:p w14:paraId="46469AAF" w14:textId="77777777" w:rsidR="002A7E73" w:rsidRDefault="002A7E73" w:rsidP="002A7E73">
      <w:pPr>
        <w:pStyle w:val="MDPI31text"/>
      </w:pPr>
      <w:r>
        <w:t>The relationship between anxiety and intestinal microbiota has been the subject of increasing interest in scientific literature. Cai and colleagues demonstrated a bidirectional communication between the brain and the intestine, known as the gut-brain axis, which involves the complex interaction between the central nervous system, the immune system and the intestinal microbiota [49]. Changes in the gut microbiota have been linked to neuropsychiatric disorders, including anxiety. A balanced gut microbiota is essential for the adequate production of beneficial neurotransmitters, such as GABA and serotonin, which play a crucial role in regulating mood and emotional well-being [15]. The intestinal microbiota is also responsible for the synthesis of vitamins essential for mood, such as vitamin B12 and folate [13]. Therefore, an imbalance in the intestinal microbiota can lead to changes in the production of these neurotransmitters and vitamins, negatively impacting mood and emotional health [23]. The use of probiotics has been suggested as a therapeutic strategy to create a balanced intestinal environment for the production of these essential substances in mental health [50].</w:t>
      </w:r>
    </w:p>
    <w:p w14:paraId="1DA91334" w14:textId="77777777" w:rsidR="002A7E73" w:rsidRDefault="002A7E73" w:rsidP="002A7E73">
      <w:pPr>
        <w:pStyle w:val="MDPI31text"/>
      </w:pPr>
      <w:r>
        <w:t>Improvement in sleep quality is also a relevant aspect of this study. The reduction in the average Pittsburgh Sleep Quality Index score [29] indicates an overall improvement in participants' sleep quality. Adequate sleep quality is essential for health and well-being, and sleep disorders are associated with a variety of health problems, including cardiovascular disease, obesity, and cognitive impairment [51,52]. The significant improvement in sleep quality observed in the study may be related to the influence of the intestinal microbiota on the production and regulation of hormones and neurotransmitters involved in sleep, such as melatonin, GABA and 5-HTP (5-hydroxytryptophan), as well as has been demonstrated in other research [53-55]. Some intestinal microorganisms are capable of synthesizing melatonin from tryptophan, an essential amino acid present in the diet. Therefore, a healthy and diverse gut microbiome can contribute to adequate melatonin production, promoting quality sleep [56-58].</w:t>
      </w:r>
    </w:p>
    <w:p w14:paraId="7A526D61" w14:textId="77777777" w:rsidR="002A7E73" w:rsidRDefault="002A7E73" w:rsidP="002A7E73">
      <w:pPr>
        <w:pStyle w:val="MDPI31text"/>
      </w:pPr>
      <w:r>
        <w:lastRenderedPageBreak/>
        <w:t>When it comes to nutrition, a significant increase in daily water intake was observed after treatment. Adequate hydration is essential for the proper functioning of the body, including gastrointestinal health and the composition of the intestinal microbiota [16, 59-61]. Additionally, in this research, a significant reduction in the frequency of consumption of industrialized products after treatment was observed. This change is positive, since processed foods are generally rich in saturated fats, sugars and additives, and their excessive consumption is associated with a greater risk of intestinal dysbiosis which is associated with obesity, cardiovascular disease and other chronic conditions [10, 62]. Interestingly, in this study, individuals who consumed processed or ultra-processed foods had an increased level of Proteobacteria (63-66). Furthermore, regular intake of processed foods is associated with an increase in intestinal permeability, resulting in a condition known as "leaky gut" [23,67,68].</w:t>
      </w:r>
    </w:p>
    <w:p w14:paraId="473B2AFB" w14:textId="77777777" w:rsidR="002A7E73" w:rsidRDefault="002A7E73" w:rsidP="002A7E73">
      <w:pPr>
        <w:pStyle w:val="MDPI31text"/>
      </w:pPr>
      <w:r>
        <w:t>The results obtained in this series demonstrated significant improvements in relation to body mass index (BMI), glycemic control and lipid profile. The reduction in BMI may be directly related to changes in habits and the improvement of the intestinal microbiota provided by probiotics [9,69]. Furthermore, improvements in glycemic control were observed, with reductions in fasting glucose, glycated hemoglobin, insulin and HOMA-IR index levels suggesting an improvement in insulin sensitivity and glycemic control. These results are consistent with previous studies linking metabolic health and gut microbiota composition [70–72]. The improvement in the lipid profile was also an important finding. The increase in HDL cholesterol and the reduction in LDL cholesterol and triglycerides indicate a positive effect on the prevention and treatment of participants' cardiovascular health. These changes are of great relevance, since dyslipidemia is a significant risk factor for cardiovascular diseases [1,73]. There was a significant improvement in participants' bowel movement frequency after treatment.</w:t>
      </w:r>
    </w:p>
    <w:p w14:paraId="43ECCC0E" w14:textId="77777777" w:rsidR="002A7E73" w:rsidRDefault="002A7E73" w:rsidP="002A7E73">
      <w:pPr>
        <w:pStyle w:val="MDPI31text"/>
      </w:pPr>
      <w:r>
        <w:t>The treatment also had a positive effect on participants' bowel movement frequency and stool consistency. Studies have shown that probiotics can promote the balance of the intestinal microbiota, improving intestinal regularity and stool consistency [3,74,75]. Furthermore, a healthy diet and increased water intake are important factors in maintaining intestinal health. This reinforces the importance of integrative approaches that combine the use of probiotics with lifestyle changes to improve intestinal function and the quality of bowel movements [4,8,76].</w:t>
      </w:r>
    </w:p>
    <w:p w14:paraId="6E5D0C00" w14:textId="77777777" w:rsidR="002A7E73" w:rsidRDefault="002A7E73" w:rsidP="002A7E73">
      <w:pPr>
        <w:pStyle w:val="MDPI31text"/>
      </w:pPr>
      <w:r>
        <w:t>Regarding the composition of the intestinal microbiota, the results revealed significant changes with an increase in microbial diversity after treatment. The reduction in the phylum Firmicutes and the increase in the phylum Bacteroidetes stand out, indicating an improvement in the balance between these key bacterial phyla. The reduction of the Firmicutes phylum is particularly relevant, as this group of bacteria is associated with nutrient metabolism and energy extraction from food [11,77]. These changes are consistent with previous studies linking obesity and other metabolic disorders to the imbalance between Firmicutes and Bacteroidetes in the gut microbiota [78,79]. The Firmicutes/Bacteroidetes relationship has often been considered as a possible hallmark of obesity, there is still controversy on this issue due to the relative abundance of the Firmicutes and Bacteroidetes phyla being highly variable among individuals within the same population [80]. This is likely due to many lifestyle factors, including diet, physical activity, food additives and contaminants, antibiotic consumption, physical activity, among others that influence the composition of the microbiota in the gastrointestinal tract [2,81,82].</w:t>
      </w:r>
    </w:p>
    <w:p w14:paraId="02A250D1" w14:textId="77777777" w:rsidR="002A7E73" w:rsidRDefault="002A7E73" w:rsidP="002A7E73">
      <w:pPr>
        <w:pStyle w:val="MDPI31text"/>
      </w:pPr>
      <w:r>
        <w:t>On the other hand, the increase in the Bacteroidetes phylum is associated with a healthier and more diverse microbiota [83]. These bacteria play important roles in the degradation of plant fibers, the production of SCFAs, and the regulation of inflammation in the intestine [84,85,86]. The increase in the Bacteroidetes phylum may contribute to greater SCFA production, which in turn plays a crucial role in maintaining intestinal health by promoting the integrity of the intestinal barrier, regulating the immune response and providing energy to intestinal cells [ 18 , 87 ,88].</w:t>
      </w:r>
    </w:p>
    <w:p w14:paraId="19B986A0" w14:textId="02E5B589" w:rsidR="00554A5B" w:rsidRDefault="002A7E73" w:rsidP="006F00D8">
      <w:pPr>
        <w:pStyle w:val="MDPI31text"/>
      </w:pPr>
      <w:r>
        <w:lastRenderedPageBreak/>
        <w:t>When analyzing changes in bacterial species, an increase in several beneficial species was observed,</w:t>
      </w:r>
      <w:r w:rsidR="00FC368A">
        <w:t xml:space="preserve"> </w:t>
      </w:r>
      <w:r>
        <w:t xml:space="preserve"> such as </w:t>
      </w:r>
      <w:r w:rsidR="00FC368A">
        <w:t xml:space="preserve"> </w:t>
      </w:r>
      <w:r w:rsidRPr="009A382A">
        <w:rPr>
          <w:i/>
          <w:iCs/>
        </w:rPr>
        <w:t xml:space="preserve">Akkermansia </w:t>
      </w:r>
      <w:r w:rsidR="00FC368A">
        <w:rPr>
          <w:i/>
          <w:iCs/>
        </w:rPr>
        <w:t xml:space="preserve"> </w:t>
      </w:r>
      <w:r w:rsidRPr="009A382A">
        <w:rPr>
          <w:i/>
          <w:iCs/>
        </w:rPr>
        <w:t>muciniphila</w:t>
      </w:r>
      <w:r>
        <w:t xml:space="preserve">, </w:t>
      </w:r>
      <w:r w:rsidRPr="009A382A">
        <w:rPr>
          <w:i/>
          <w:iCs/>
        </w:rPr>
        <w:t>Prevotella copri</w:t>
      </w:r>
      <w:r>
        <w:t xml:space="preserve">, </w:t>
      </w:r>
      <w:r w:rsidRPr="006F00D8">
        <w:rPr>
          <w:i/>
          <w:iCs/>
        </w:rPr>
        <w:t>Ruminococcus bromii</w:t>
      </w:r>
      <w:r>
        <w:t xml:space="preserve">, </w:t>
      </w:r>
      <w:r w:rsidRPr="006F00D8">
        <w:rPr>
          <w:i/>
          <w:iCs/>
        </w:rPr>
        <w:t xml:space="preserve">Limosilactobacillus reuteri, Bifidobacterium adolescentis </w:t>
      </w:r>
      <w:r w:rsidRPr="006F00D8">
        <w:t>and</w:t>
      </w:r>
      <w:r w:rsidRPr="006F00D8">
        <w:rPr>
          <w:i/>
          <w:iCs/>
        </w:rPr>
        <w:t xml:space="preserve"> Bifidobacterium bifidum</w:t>
      </w:r>
      <w:r>
        <w:t xml:space="preserve">. These species are associated with health benefits including regulating metabolism, controlling weight, improving the immune system, and reducing inflammation [19,33]. On the other hand, </w:t>
      </w:r>
      <w:r w:rsidR="004E5F5D">
        <w:t xml:space="preserve">there </w:t>
      </w:r>
      <w:r w:rsidR="00632057">
        <w:t xml:space="preserve"> </w:t>
      </w:r>
      <w:r w:rsidR="004E5F5D">
        <w:t>was</w:t>
      </w:r>
      <w:r>
        <w:t xml:space="preserve"> </w:t>
      </w:r>
      <w:r w:rsidR="00632057">
        <w:t xml:space="preserve"> </w:t>
      </w:r>
      <w:r>
        <w:t xml:space="preserve">a </w:t>
      </w:r>
      <w:r w:rsidR="00632057">
        <w:t xml:space="preserve"> </w:t>
      </w:r>
      <w:r>
        <w:t xml:space="preserve">reduction in potentially harmful species, such as </w:t>
      </w:r>
      <w:r w:rsidRPr="004E5F5D">
        <w:rPr>
          <w:i/>
          <w:iCs/>
        </w:rPr>
        <w:t>Escherichia coli</w:t>
      </w:r>
      <w:r>
        <w:t>,</w:t>
      </w:r>
      <w:r w:rsidR="00632057">
        <w:t xml:space="preserve"> </w:t>
      </w:r>
      <w:r w:rsidRPr="004E5F5D">
        <w:rPr>
          <w:i/>
          <w:iCs/>
        </w:rPr>
        <w:t>Bacteroides dorei</w:t>
      </w:r>
      <w:r>
        <w:t xml:space="preserve">, </w:t>
      </w:r>
      <w:r w:rsidRPr="004E5F5D">
        <w:rPr>
          <w:i/>
          <w:iCs/>
        </w:rPr>
        <w:t>Lachnospira pectinoschiza</w:t>
      </w:r>
      <w:r>
        <w:t xml:space="preserve">, </w:t>
      </w:r>
      <w:r w:rsidRPr="004E5F5D">
        <w:rPr>
          <w:i/>
          <w:iCs/>
        </w:rPr>
        <w:t>Lactobacillus acidophilus</w:t>
      </w:r>
      <w:r>
        <w:t xml:space="preserve"> and </w:t>
      </w:r>
      <w:r w:rsidRPr="004E5F5D">
        <w:rPr>
          <w:i/>
          <w:iCs/>
        </w:rPr>
        <w:t>Staphylococcus aureus</w:t>
      </w:r>
      <w:r>
        <w:t xml:space="preserve">. These changes in bacterial species indicate an improvement in the composition of the intestinal microbiota towards a healthier and more balanced profile [21,37,89,90] (Figure 6; </w:t>
      </w:r>
      <w:r w:rsidR="00874E99">
        <w:t xml:space="preserve">and </w:t>
      </w:r>
      <w:r>
        <w:t xml:space="preserve">Supplementary </w:t>
      </w:r>
      <w:r w:rsidR="00874E99">
        <w:t>data (Table</w:t>
      </w:r>
      <w:r>
        <w:t>).</w:t>
      </w:r>
    </w:p>
    <w:p w14:paraId="301B8D70" w14:textId="2C6B8440" w:rsidR="00076BEC" w:rsidRDefault="00245356" w:rsidP="002A7E73">
      <w:pPr>
        <w:pStyle w:val="MDPI31text"/>
      </w:pPr>
      <w:r>
        <w:rPr>
          <w:noProof/>
          <w:snapToGrid/>
        </w:rPr>
        <w:drawing>
          <wp:anchor distT="0" distB="0" distL="114300" distR="114300" simplePos="0" relativeHeight="251658240" behindDoc="0" locked="0" layoutInCell="1" allowOverlap="1" wp14:anchorId="646CC6ED" wp14:editId="0DA77153">
            <wp:simplePos x="0" y="0"/>
            <wp:positionH relativeFrom="column">
              <wp:posOffset>65361</wp:posOffset>
            </wp:positionH>
            <wp:positionV relativeFrom="paragraph">
              <wp:posOffset>170425</wp:posOffset>
            </wp:positionV>
            <wp:extent cx="6645910" cy="3738245"/>
            <wp:effectExtent l="0" t="0" r="2540" b="0"/>
            <wp:wrapSquare wrapText="bothSides"/>
            <wp:docPr id="1228815129" name="Imagem 9" descr="Diagram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815129" name="Imagem 9" descr="Diagrama&#10;&#10;Descrição gerada automaticamente"/>
                    <pic:cNvPicPr/>
                  </pic:nvPicPr>
                  <pic:blipFill>
                    <a:blip r:embed="rId23"/>
                    <a:stretch>
                      <a:fillRect/>
                    </a:stretch>
                  </pic:blipFill>
                  <pic:spPr>
                    <a:xfrm>
                      <a:off x="0" y="0"/>
                      <a:ext cx="6645910" cy="3738245"/>
                    </a:xfrm>
                    <a:prstGeom prst="rect">
                      <a:avLst/>
                    </a:prstGeom>
                  </pic:spPr>
                </pic:pic>
              </a:graphicData>
            </a:graphic>
          </wp:anchor>
        </w:drawing>
      </w:r>
    </w:p>
    <w:p w14:paraId="1FA4795F" w14:textId="77777777" w:rsidR="00996A09" w:rsidRDefault="00996A09" w:rsidP="00996A09">
      <w:pPr>
        <w:pStyle w:val="MDPI31text"/>
        <w:ind w:firstLine="0"/>
      </w:pPr>
    </w:p>
    <w:p w14:paraId="4D6FC3BD" w14:textId="0A41F6C4" w:rsidR="00114CC5" w:rsidRDefault="00996A09" w:rsidP="00996A09">
      <w:pPr>
        <w:pStyle w:val="MDPI31text"/>
        <w:ind w:firstLine="0"/>
      </w:pPr>
      <w:r w:rsidRPr="00996A09">
        <w:t>Figure 6. Schematic Representation of the Evolution of Intestinal Microbiota During Combined Probiotics and Healthy Lifestyle Treatment. A representation of a treatment with probiotics.</w:t>
      </w:r>
    </w:p>
    <w:p w14:paraId="571F8101" w14:textId="77777777" w:rsidR="00B50355" w:rsidRDefault="00B50355" w:rsidP="00996A09">
      <w:pPr>
        <w:pStyle w:val="MDPI31text"/>
        <w:ind w:firstLine="0"/>
      </w:pPr>
    </w:p>
    <w:p w14:paraId="3735EC5E" w14:textId="77777777" w:rsidR="002841FE" w:rsidRDefault="002841FE" w:rsidP="002841FE">
      <w:pPr>
        <w:pStyle w:val="MDPI31text"/>
      </w:pPr>
      <w:r>
        <w:t>The first part of the figure (BEFORE) is showing the pathogenic bacterias' resistance mechanisms, as toxins which cause damage and inflammation of the mucosa. The second part (IN TREATMENT) relates the benefits of the probiotics, such as bacteriocins, substances that are able to stop the increase of pathogenic bacteria; is important to notice the inflammation's reduction. The last part (AFTER) is showing the mucosa and microbiome after treatment, the flora is in homeostasis and, as consequence, there is no inflammation on the mucosa.</w:t>
      </w:r>
    </w:p>
    <w:p w14:paraId="2AB9A2E3" w14:textId="77777777" w:rsidR="002841FE" w:rsidRDefault="002841FE" w:rsidP="002841FE">
      <w:pPr>
        <w:pStyle w:val="MDPI31text"/>
      </w:pPr>
      <w:r>
        <w:t xml:space="preserve">On the other hand, the analysis of these results clearly shows that the exclusive administration of probiotics, without the concomitant modification of lifestyle habits, results in a considerably divergent response. Patients who opted for this approach experienced an average weight loss of just 1 kilogram over 60 days, without observing significant improvements in their clinical parameters and improvement in the composition of the intestinal microbiota. These findings highlight the importance of the synergy between the use of probiotics and the adoption of healthy lifestyle habits as a more effective strategy to achieve substantial results in relation to weight loss and the general well-being of patients. </w:t>
      </w:r>
      <w:r>
        <w:lastRenderedPageBreak/>
        <w:t>Therefore, it reinforces the idea that the combination of probiotics with positive lifestyle changes is essential for achieving significant clinical benefits.</w:t>
      </w:r>
    </w:p>
    <w:p w14:paraId="2EAA9A42" w14:textId="77777777" w:rsidR="002841FE" w:rsidRDefault="002841FE" w:rsidP="002841FE">
      <w:pPr>
        <w:pStyle w:val="MDPI31text"/>
      </w:pPr>
      <w:r>
        <w:t>The study has several strengths, including its study design (before-and-after study), a broad panel of measured parameters (anthropometric, biochemical, and lifestyle factors), and microbial analysis of feces demonstrating the influence of probiotic bacteria on the composition of the intestinal microbiota. Additionally, the detailed data collection through in-person meetings, the absence of participant dropouts, and no reported treatment-related side effects are other strong points of the research.</w:t>
      </w:r>
    </w:p>
    <w:p w14:paraId="1ABF3606" w14:textId="61ECADDE" w:rsidR="00B50355" w:rsidRDefault="002841FE" w:rsidP="002841FE">
      <w:pPr>
        <w:pStyle w:val="MDPI31text"/>
        <w:ind w:firstLine="0"/>
      </w:pPr>
      <w:r>
        <w:t>The main limitation of the study is the relatively small number of individuals analyzed. The main reason for this was the use of very strict inclusion and exclusion criteria. However, the criteria applied made it possible to select a homogeneous group of subjects, not affected by diseases or conditions that could have significantly influenced the results of the study. Another limitation was the fact that the control group was not used, resulting in the risk of overestimating the effectiveness of the treatment, and may provide useful insights for future study designs.</w:t>
      </w:r>
    </w:p>
    <w:p w14:paraId="69B5F22C" w14:textId="77777777" w:rsidR="00B50355" w:rsidRDefault="00B50355" w:rsidP="00996A09">
      <w:pPr>
        <w:pStyle w:val="MDPI31text"/>
        <w:ind w:firstLine="0"/>
      </w:pPr>
    </w:p>
    <w:p w14:paraId="08E65391" w14:textId="77777777" w:rsidR="00996A09" w:rsidRPr="00325902" w:rsidRDefault="00996A09" w:rsidP="005970D4">
      <w:pPr>
        <w:pStyle w:val="MDPI31text"/>
      </w:pPr>
    </w:p>
    <w:p w14:paraId="7D6E5F7E" w14:textId="77777777" w:rsidR="00554A5B" w:rsidRDefault="00554A5B" w:rsidP="00891611">
      <w:pPr>
        <w:pStyle w:val="MDPI21heading1"/>
      </w:pPr>
      <w:r>
        <w:t>5. Conclusions</w:t>
      </w:r>
    </w:p>
    <w:p w14:paraId="024A18F1" w14:textId="68BEEAB1" w:rsidR="00996A09" w:rsidRPr="002D6428" w:rsidRDefault="002D6428" w:rsidP="002D6428">
      <w:pPr>
        <w:pStyle w:val="MDPI21heading1"/>
        <w:ind w:firstLine="452"/>
        <w:jc w:val="both"/>
        <w:rPr>
          <w:b w:val="0"/>
          <w:bCs/>
        </w:rPr>
      </w:pPr>
      <w:r w:rsidRPr="002D6428">
        <w:rPr>
          <w:b w:val="0"/>
          <w:bCs/>
        </w:rPr>
        <w:t>The results of this study indicate that treatment with probiotics and lifestyle modifications for 60 days promoted significant improvements in several clinical and health parameters. These changes are related to improving the composition of the intestinal microbiota, eating habits, increased physical activity, reduced anxiety and better sleep quality. These findings reinforce the importance of an integrated approach to health care, considering not only the intestinal microbiota, but also other aspects of lifestyle. It is recommended that future studies deepen these analyses, including a more detailed assessment of bacterial species and their relationship with different clinical and health parameters, as well as long-term follow-up to assess the sustainability of these improvements.</w:t>
      </w:r>
    </w:p>
    <w:p w14:paraId="176CDAD6" w14:textId="77777777" w:rsidR="00660593" w:rsidRPr="00660593" w:rsidRDefault="00554A5B" w:rsidP="00660593">
      <w:pPr>
        <w:pStyle w:val="MDPI62BackMatter"/>
        <w:spacing w:before="240"/>
        <w:rPr>
          <w:bCs/>
        </w:rPr>
      </w:pPr>
      <w:r w:rsidRPr="00FA04F1">
        <w:rPr>
          <w:b/>
        </w:rPr>
        <w:t>Supplementary Materials:</w:t>
      </w:r>
      <w:r w:rsidR="009A384D">
        <w:rPr>
          <w:b/>
        </w:rPr>
        <w:t xml:space="preserve"> </w:t>
      </w:r>
      <w:r w:rsidR="00660593" w:rsidRPr="00660593">
        <w:rPr>
          <w:bCs/>
        </w:rPr>
        <w:t>Supplementary table: Frequency of occurrence of phyla, genera, and species of microorganisms before and after treatment and their role in metabolism.</w:t>
      </w:r>
    </w:p>
    <w:p w14:paraId="1FD6121E" w14:textId="20631FC0" w:rsidR="00554A5B" w:rsidRPr="00613B31" w:rsidRDefault="00554A5B" w:rsidP="00660593">
      <w:pPr>
        <w:pStyle w:val="MDPI62BackMatter"/>
        <w:spacing w:before="240"/>
      </w:pPr>
      <w:r w:rsidRPr="00613B31">
        <w:rPr>
          <w:b/>
        </w:rPr>
        <w:t>Author Contributions:</w:t>
      </w:r>
      <w:r w:rsidRPr="00613B31">
        <w:t xml:space="preserve"> Conceptualization, </w:t>
      </w:r>
      <w:r w:rsidR="005209AE">
        <w:t>G.P.F</w:t>
      </w:r>
      <w:r w:rsidRPr="00613B31">
        <w:t xml:space="preserve">. and </w:t>
      </w:r>
      <w:r w:rsidR="005209AE">
        <w:t>D.V.D.B.R</w:t>
      </w:r>
      <w:r w:rsidRPr="00613B31">
        <w:t xml:space="preserve">.; methodology, </w:t>
      </w:r>
      <w:r w:rsidR="0044439B">
        <w:t>R.P.M</w:t>
      </w:r>
      <w:r w:rsidRPr="00613B31">
        <w:t>.</w:t>
      </w:r>
      <w:r w:rsidR="001C1FC7">
        <w:t xml:space="preserve"> and G.S.L.</w:t>
      </w:r>
      <w:r w:rsidRPr="00613B31">
        <w:t xml:space="preserve">; software, </w:t>
      </w:r>
      <w:r w:rsidR="0044439B">
        <w:t>R.P.M</w:t>
      </w:r>
      <w:r w:rsidRPr="00613B31">
        <w:t>.;</w:t>
      </w:r>
      <w:r w:rsidR="0044439B">
        <w:t xml:space="preserve"> </w:t>
      </w:r>
      <w:r w:rsidRPr="00613B31">
        <w:t xml:space="preserve">formal analysis, </w:t>
      </w:r>
      <w:r w:rsidR="0044439B">
        <w:t>G.P.F</w:t>
      </w:r>
      <w:r w:rsidRPr="00613B31">
        <w:t xml:space="preserve">.; investigation, </w:t>
      </w:r>
      <w:r w:rsidR="0044439B">
        <w:t>G.P.F</w:t>
      </w:r>
      <w:r w:rsidR="005814AD">
        <w:t xml:space="preserve"> and</w:t>
      </w:r>
      <w:r w:rsidR="00F1581E">
        <w:t xml:space="preserve"> and A.R.X and</w:t>
      </w:r>
      <w:r w:rsidR="005814AD">
        <w:t xml:space="preserve"> D.V.D.B.R</w:t>
      </w:r>
      <w:r w:rsidRPr="00613B31">
        <w:t xml:space="preserve">.; resources, </w:t>
      </w:r>
      <w:r w:rsidR="005814AD">
        <w:t>D.V.D.B.R</w:t>
      </w:r>
      <w:r w:rsidRPr="00613B31">
        <w:t xml:space="preserve">.; data curation, </w:t>
      </w:r>
      <w:r w:rsidR="005814AD">
        <w:t>G.S.L</w:t>
      </w:r>
      <w:r w:rsidRPr="00613B31">
        <w:t xml:space="preserve">.; writing—original draft preparation, </w:t>
      </w:r>
      <w:r w:rsidR="005814AD">
        <w:t>G.P.F</w:t>
      </w:r>
      <w:r w:rsidR="0023353C">
        <w:t xml:space="preserve"> and L.J.P</w:t>
      </w:r>
      <w:r w:rsidRPr="00613B31">
        <w:t xml:space="preserve">.; writing—review and editing, </w:t>
      </w:r>
      <w:r w:rsidR="005814AD">
        <w:t>A.C.C.N and D.V.D.B.R</w:t>
      </w:r>
      <w:r w:rsidRPr="00613B31">
        <w:t xml:space="preserve">; visualization, </w:t>
      </w:r>
      <w:r w:rsidR="009121B8">
        <w:t>G.G.P</w:t>
      </w:r>
      <w:r w:rsidR="00453724">
        <w:t xml:space="preserve"> and L.J.P</w:t>
      </w:r>
      <w:r w:rsidRPr="00613B31">
        <w:t>.; supervision,</w:t>
      </w:r>
      <w:r w:rsidR="009121B8">
        <w:t xml:space="preserve"> G.G.P</w:t>
      </w:r>
      <w:r w:rsidRPr="00613B31">
        <w:t xml:space="preserve">.; project administration, </w:t>
      </w:r>
      <w:r w:rsidR="009121B8">
        <w:t>D.V.D.B.R</w:t>
      </w:r>
      <w:r w:rsidRPr="00613B31">
        <w:t xml:space="preserve">.; funding acquisition, </w:t>
      </w:r>
      <w:r w:rsidR="009121B8">
        <w:t>D.V.D.B.R</w:t>
      </w:r>
      <w:r w:rsidRPr="00613B31">
        <w:t>. All authors have read and agreed to the published version of the manuscript.</w:t>
      </w:r>
    </w:p>
    <w:p w14:paraId="7281D10D" w14:textId="0F745D57" w:rsidR="00554A5B" w:rsidRPr="00613B31" w:rsidRDefault="00554A5B" w:rsidP="00554A5B">
      <w:pPr>
        <w:pStyle w:val="MDPI62BackMatter"/>
      </w:pPr>
      <w:r w:rsidRPr="00613B31">
        <w:rPr>
          <w:b/>
        </w:rPr>
        <w:t>Funding:</w:t>
      </w:r>
      <w:r w:rsidR="007205F7">
        <w:rPr>
          <w:b/>
        </w:rPr>
        <w:t xml:space="preserve"> </w:t>
      </w:r>
      <w:r w:rsidRPr="00613B31">
        <w:t xml:space="preserve">This research was funded by </w:t>
      </w:r>
      <w:r w:rsidR="007205F7">
        <w:t>FAPEMIG</w:t>
      </w:r>
      <w:r w:rsidRPr="00613B31">
        <w:t xml:space="preserve">, </w:t>
      </w:r>
      <w:r w:rsidR="007205F7">
        <w:t>AP</w:t>
      </w:r>
      <w:r w:rsidR="00E85986">
        <w:t>Q-00</w:t>
      </w:r>
      <w:r w:rsidR="001D115D">
        <w:t>965-18</w:t>
      </w:r>
      <w:r w:rsidRPr="00613B31">
        <w:t>.</w:t>
      </w:r>
    </w:p>
    <w:p w14:paraId="793DDCDA" w14:textId="7214A5F7" w:rsidR="00037366" w:rsidRPr="00B27433" w:rsidRDefault="00037366" w:rsidP="00037366">
      <w:pPr>
        <w:pStyle w:val="MDPI62BackMatter"/>
        <w:rPr>
          <w:b/>
        </w:rPr>
      </w:pPr>
      <w:bookmarkStart w:id="0" w:name="_Hlk89945590"/>
      <w:bookmarkStart w:id="1" w:name="_Hlk60054323"/>
      <w:r w:rsidRPr="00B27433">
        <w:rPr>
          <w:b/>
        </w:rPr>
        <w:t xml:space="preserve">Institutional Review Board Statement: </w:t>
      </w:r>
      <w:r w:rsidR="00DB44CC" w:rsidRPr="00DB44CC">
        <w:t>The study proposal was forwarded and approved by the Ethics and Research Committee of the Federal University of Uberlândia - CAAE n 49391221.8.0000.5152, Opinion number: 5.003.231. All subjects provided their consent to participate in the study and signed the Informed Consent Form. The clinical investigation was conducted in accordance with the principles outlined in the Declaration of Helsinki.</w:t>
      </w:r>
    </w:p>
    <w:bookmarkEnd w:id="0"/>
    <w:p w14:paraId="3F4D2141" w14:textId="48DD7021" w:rsidR="003749F1" w:rsidRPr="007D75A8" w:rsidRDefault="003749F1" w:rsidP="00E65A07">
      <w:pPr>
        <w:pStyle w:val="MDPI62BackMatter"/>
        <w:spacing w:after="0"/>
      </w:pPr>
      <w:r w:rsidRPr="007D75A8">
        <w:rPr>
          <w:b/>
        </w:rPr>
        <w:t xml:space="preserve">Informed Consent Statement: </w:t>
      </w:r>
      <w:r w:rsidRPr="007D75A8">
        <w:t>Informed consent was obtained from all subjects involved in the study</w:t>
      </w:r>
      <w:r w:rsidR="00E65A07">
        <w:t xml:space="preserve"> and w</w:t>
      </w:r>
      <w:r w:rsidRPr="007D75A8">
        <w:t>ritten informed consent has been obtained from the patient(s) to publish this paper</w:t>
      </w:r>
      <w:r w:rsidR="00E65A07">
        <w:t>.</w:t>
      </w:r>
    </w:p>
    <w:bookmarkEnd w:id="1"/>
    <w:p w14:paraId="122D065B" w14:textId="22C411DB" w:rsidR="00554A5B" w:rsidRPr="00613B31" w:rsidRDefault="00F04D12" w:rsidP="00012D49">
      <w:pPr>
        <w:pStyle w:val="MDPI62BackMatter"/>
      </w:pPr>
      <w:r w:rsidRPr="00F04D12">
        <w:rPr>
          <w:b/>
        </w:rPr>
        <w:t>Data Availability Statement:</w:t>
      </w:r>
      <w:r w:rsidRPr="00F04D12">
        <w:t xml:space="preserve"> </w:t>
      </w:r>
      <w:r w:rsidR="0017675B">
        <w:t>The data that support the findings</w:t>
      </w:r>
      <w:r w:rsidR="00133521">
        <w:t xml:space="preserve"> of this study are available from the corresponding author (DVDBR)</w:t>
      </w:r>
      <w:r w:rsidR="006B279E">
        <w:t>, upon reasonable request.</w:t>
      </w:r>
      <w:r w:rsidR="002E3A36" w:rsidRPr="002E3A36">
        <w:t xml:space="preserve"> </w:t>
      </w:r>
      <w:r w:rsidR="002E3A36">
        <w:t>The data that support the findings will be available in [https://repositorio.ufu.br/handle/123456789/39223] at [DOI: 10.14393/ufu.di.2023.521] following an embargo from the date of publication to allow for commercialization of research findings. All data regarding the metagenomic and proteomic analyses conducted by a private company are not available due to patient data protection measures.</w:t>
      </w:r>
      <w:r w:rsidR="00554A5B" w:rsidRPr="00613B31">
        <w:t xml:space="preserve"> </w:t>
      </w:r>
    </w:p>
    <w:p w14:paraId="64599731" w14:textId="219EA01E" w:rsidR="00554A5B" w:rsidRPr="00613B31" w:rsidRDefault="00554A5B" w:rsidP="00554A5B">
      <w:pPr>
        <w:pStyle w:val="MDPI62BackMatter"/>
      </w:pPr>
      <w:r w:rsidRPr="00613B31">
        <w:rPr>
          <w:b/>
        </w:rPr>
        <w:t>Conflicts of Interest:</w:t>
      </w:r>
      <w:r w:rsidRPr="00613B31">
        <w:t xml:space="preserve"> The </w:t>
      </w:r>
      <w:r w:rsidR="00256E08">
        <w:t xml:space="preserve">authors declare no conflicts of </w:t>
      </w:r>
      <w:r w:rsidRPr="00613B31">
        <w:t xml:space="preserve">interest. </w:t>
      </w:r>
    </w:p>
    <w:p w14:paraId="4B25578A" w14:textId="77777777" w:rsidR="00554A5B" w:rsidRPr="00FA04F1" w:rsidRDefault="00554A5B" w:rsidP="00523C6D">
      <w:pPr>
        <w:pStyle w:val="MDPI21heading1"/>
        <w:ind w:left="0"/>
      </w:pPr>
      <w:r w:rsidRPr="00FA04F1">
        <w:lastRenderedPageBreak/>
        <w:t>References</w:t>
      </w:r>
    </w:p>
    <w:p w14:paraId="27B21D1C" w14:textId="7DE3D7A1" w:rsidR="003C345F" w:rsidRPr="00B06110" w:rsidRDefault="003C345F" w:rsidP="00B06110">
      <w:pPr>
        <w:pStyle w:val="PargrafodaLista"/>
        <w:numPr>
          <w:ilvl w:val="0"/>
          <w:numId w:val="26"/>
        </w:numPr>
        <w:spacing w:line="240" w:lineRule="auto"/>
        <w:ind w:firstLineChars="0"/>
        <w:contextualSpacing/>
        <w:rPr>
          <w:rFonts w:eastAsia="Times New Roman"/>
          <w:color w:val="000000" w:themeColor="text1"/>
        </w:rPr>
      </w:pPr>
      <w:r w:rsidRPr="00B06110">
        <w:rPr>
          <w:rFonts w:eastAsia="Times New Roman"/>
          <w:color w:val="000000" w:themeColor="text1"/>
        </w:rPr>
        <w:t>Mohajan</w:t>
      </w:r>
      <w:r w:rsidR="003B364B">
        <w:rPr>
          <w:rFonts w:eastAsia="Times New Roman"/>
          <w:color w:val="000000" w:themeColor="text1"/>
        </w:rPr>
        <w:t>,</w:t>
      </w:r>
      <w:r w:rsidRPr="00B06110">
        <w:rPr>
          <w:rFonts w:eastAsia="Times New Roman"/>
          <w:color w:val="000000" w:themeColor="text1"/>
        </w:rPr>
        <w:t xml:space="preserve"> D</w:t>
      </w:r>
      <w:r w:rsidR="003B364B">
        <w:rPr>
          <w:rFonts w:eastAsia="Times New Roman"/>
          <w:color w:val="000000" w:themeColor="text1"/>
        </w:rPr>
        <w:t>.</w:t>
      </w:r>
      <w:r w:rsidR="00442DC1">
        <w:rPr>
          <w:rFonts w:eastAsia="Times New Roman"/>
          <w:color w:val="000000" w:themeColor="text1"/>
        </w:rPr>
        <w:t>;</w:t>
      </w:r>
      <w:r w:rsidRPr="00B06110">
        <w:rPr>
          <w:rFonts w:eastAsia="Times New Roman"/>
          <w:color w:val="000000" w:themeColor="text1"/>
        </w:rPr>
        <w:t xml:space="preserve"> Mohajan</w:t>
      </w:r>
      <w:r w:rsidR="00442DC1">
        <w:rPr>
          <w:rFonts w:eastAsia="Times New Roman"/>
          <w:color w:val="000000" w:themeColor="text1"/>
        </w:rPr>
        <w:t>,</w:t>
      </w:r>
      <w:r w:rsidRPr="00B06110">
        <w:rPr>
          <w:rFonts w:eastAsia="Times New Roman"/>
          <w:color w:val="000000" w:themeColor="text1"/>
        </w:rPr>
        <w:t xml:space="preserve"> H</w:t>
      </w:r>
      <w:r w:rsidR="00442DC1">
        <w:rPr>
          <w:rFonts w:eastAsia="Times New Roman"/>
          <w:color w:val="000000" w:themeColor="text1"/>
        </w:rPr>
        <w:t>.</w:t>
      </w:r>
      <w:r w:rsidRPr="00B06110">
        <w:rPr>
          <w:rFonts w:eastAsia="Times New Roman"/>
          <w:color w:val="000000" w:themeColor="text1"/>
        </w:rPr>
        <w:t xml:space="preserve">K. Obesity and Its Related Diseases: A New Escalating Alarming in Global Health. Paradigm Academic Press: </w:t>
      </w:r>
      <w:r w:rsidRPr="00442DC1">
        <w:rPr>
          <w:rFonts w:eastAsia="Times New Roman"/>
          <w:i/>
          <w:iCs/>
          <w:color w:val="000000" w:themeColor="text1"/>
        </w:rPr>
        <w:t>J Innov Med Res</w:t>
      </w:r>
      <w:r w:rsidRPr="00B06110">
        <w:rPr>
          <w:rFonts w:eastAsia="Times New Roman"/>
          <w:color w:val="000000" w:themeColor="text1"/>
        </w:rPr>
        <w:t xml:space="preserve">. </w:t>
      </w:r>
      <w:r w:rsidRPr="004D2E89">
        <w:rPr>
          <w:rFonts w:eastAsia="Times New Roman"/>
          <w:b/>
          <w:bCs/>
          <w:color w:val="000000" w:themeColor="text1"/>
        </w:rPr>
        <w:t>2023</w:t>
      </w:r>
      <w:r w:rsidRPr="00B06110">
        <w:rPr>
          <w:rFonts w:eastAsia="Times New Roman"/>
          <w:color w:val="000000" w:themeColor="text1"/>
        </w:rPr>
        <w:t>; 2:3. doi:10.56397/JIMR/2023.03.04.</w:t>
      </w:r>
    </w:p>
    <w:p w14:paraId="77138C2B" w14:textId="12C3D7BC" w:rsidR="003C345F" w:rsidRPr="00B06110" w:rsidRDefault="003C345F" w:rsidP="00B06110">
      <w:pPr>
        <w:pStyle w:val="PargrafodaLista"/>
        <w:numPr>
          <w:ilvl w:val="0"/>
          <w:numId w:val="26"/>
        </w:numPr>
        <w:spacing w:after="160" w:line="240" w:lineRule="auto"/>
        <w:ind w:firstLineChars="0"/>
        <w:contextualSpacing/>
        <w:rPr>
          <w:rFonts w:eastAsia="Times New Roman"/>
          <w:color w:val="000000" w:themeColor="text1"/>
        </w:rPr>
      </w:pPr>
      <w:r w:rsidRPr="00C806F1">
        <w:rPr>
          <w:rFonts w:eastAsia="Times New Roman"/>
          <w:color w:val="000000" w:themeColor="text1"/>
        </w:rPr>
        <w:t>Kodaira</w:t>
      </w:r>
      <w:r w:rsidR="00210DDB" w:rsidRPr="00C806F1">
        <w:rPr>
          <w:rFonts w:eastAsia="Times New Roman"/>
          <w:color w:val="000000" w:themeColor="text1"/>
        </w:rPr>
        <w:t>,</w:t>
      </w:r>
      <w:r w:rsidRPr="00C806F1">
        <w:rPr>
          <w:rFonts w:eastAsia="Times New Roman"/>
          <w:color w:val="000000" w:themeColor="text1"/>
        </w:rPr>
        <w:t xml:space="preserve"> K</w:t>
      </w:r>
      <w:r w:rsidR="00210DDB" w:rsidRPr="00C806F1">
        <w:rPr>
          <w:rFonts w:eastAsia="Times New Roman"/>
          <w:color w:val="000000" w:themeColor="text1"/>
        </w:rPr>
        <w:t>.;</w:t>
      </w:r>
      <w:r w:rsidRPr="00C806F1">
        <w:rPr>
          <w:rFonts w:eastAsia="Times New Roman"/>
          <w:color w:val="000000" w:themeColor="text1"/>
        </w:rPr>
        <w:t xml:space="preserve"> Abe</w:t>
      </w:r>
      <w:r w:rsidR="00210DDB" w:rsidRPr="00C806F1">
        <w:rPr>
          <w:rFonts w:eastAsia="Times New Roman"/>
          <w:color w:val="000000" w:themeColor="text1"/>
        </w:rPr>
        <w:t>,</w:t>
      </w:r>
      <w:r w:rsidRPr="00C806F1">
        <w:rPr>
          <w:rFonts w:eastAsia="Times New Roman"/>
          <w:color w:val="000000" w:themeColor="text1"/>
        </w:rPr>
        <w:t xml:space="preserve"> F</w:t>
      </w:r>
      <w:r w:rsidR="00210DDB" w:rsidRPr="00C806F1">
        <w:rPr>
          <w:rFonts w:eastAsia="Times New Roman"/>
          <w:color w:val="000000" w:themeColor="text1"/>
        </w:rPr>
        <w:t>.</w:t>
      </w:r>
      <w:r w:rsidRPr="00C806F1">
        <w:rPr>
          <w:rFonts w:eastAsia="Times New Roman"/>
          <w:color w:val="000000" w:themeColor="text1"/>
        </w:rPr>
        <w:t>C</w:t>
      </w:r>
      <w:r w:rsidR="00210DDB" w:rsidRPr="00C806F1">
        <w:rPr>
          <w:rFonts w:eastAsia="Times New Roman"/>
          <w:color w:val="000000" w:themeColor="text1"/>
        </w:rPr>
        <w:t>.;</w:t>
      </w:r>
      <w:r w:rsidRPr="00C806F1">
        <w:rPr>
          <w:rFonts w:eastAsia="Times New Roman"/>
          <w:color w:val="000000" w:themeColor="text1"/>
        </w:rPr>
        <w:t xml:space="preserve"> Galvão</w:t>
      </w:r>
      <w:r w:rsidR="00210DDB" w:rsidRPr="00C806F1">
        <w:rPr>
          <w:rFonts w:eastAsia="Times New Roman"/>
          <w:color w:val="000000" w:themeColor="text1"/>
        </w:rPr>
        <w:t>,</w:t>
      </w:r>
      <w:r w:rsidRPr="00C806F1">
        <w:rPr>
          <w:rFonts w:eastAsia="Times New Roman"/>
          <w:color w:val="000000" w:themeColor="text1"/>
        </w:rPr>
        <w:t xml:space="preserve"> T</w:t>
      </w:r>
      <w:r w:rsidR="00210DDB" w:rsidRPr="00C806F1">
        <w:rPr>
          <w:rFonts w:eastAsia="Times New Roman"/>
          <w:color w:val="000000" w:themeColor="text1"/>
        </w:rPr>
        <w:t>.</w:t>
      </w:r>
      <w:r w:rsidRPr="00C806F1">
        <w:rPr>
          <w:rFonts w:eastAsia="Times New Roman"/>
          <w:color w:val="000000" w:themeColor="text1"/>
        </w:rPr>
        <w:t>F</w:t>
      </w:r>
      <w:r w:rsidR="00210DDB" w:rsidRPr="00C806F1">
        <w:rPr>
          <w:rFonts w:eastAsia="Times New Roman"/>
          <w:color w:val="000000" w:themeColor="text1"/>
        </w:rPr>
        <w:t>.;</w:t>
      </w:r>
      <w:r w:rsidRPr="00C806F1">
        <w:rPr>
          <w:rFonts w:eastAsia="Times New Roman"/>
          <w:color w:val="000000" w:themeColor="text1"/>
        </w:rPr>
        <w:t xml:space="preserve"> Silva</w:t>
      </w:r>
      <w:r w:rsidR="00210DDB" w:rsidRPr="00C806F1">
        <w:rPr>
          <w:rFonts w:eastAsia="Times New Roman"/>
          <w:color w:val="000000" w:themeColor="text1"/>
        </w:rPr>
        <w:t>,</w:t>
      </w:r>
      <w:r w:rsidRPr="00C806F1">
        <w:rPr>
          <w:rFonts w:eastAsia="Times New Roman"/>
          <w:color w:val="000000" w:themeColor="text1"/>
        </w:rPr>
        <w:t xml:space="preserve"> M</w:t>
      </w:r>
      <w:r w:rsidR="00210DDB" w:rsidRPr="00C806F1">
        <w:rPr>
          <w:rFonts w:eastAsia="Times New Roman"/>
          <w:color w:val="000000" w:themeColor="text1"/>
        </w:rPr>
        <w:t>.</w:t>
      </w:r>
      <w:r w:rsidRPr="00C806F1">
        <w:rPr>
          <w:rFonts w:eastAsia="Times New Roman"/>
          <w:color w:val="000000" w:themeColor="text1"/>
        </w:rPr>
        <w:t xml:space="preserve">T. </w:t>
      </w:r>
      <w:r w:rsidRPr="00B06110">
        <w:rPr>
          <w:rFonts w:eastAsia="Times New Roman"/>
          <w:color w:val="000000" w:themeColor="text1"/>
        </w:rPr>
        <w:t xml:space="preserve">Time-trend in excess weight in Brazilian adults: A systematic review and meta-analysis. </w:t>
      </w:r>
      <w:r w:rsidRPr="006A735F">
        <w:rPr>
          <w:rFonts w:eastAsia="Times New Roman"/>
          <w:i/>
          <w:iCs/>
          <w:color w:val="000000" w:themeColor="text1"/>
        </w:rPr>
        <w:t>PLoS ONE</w:t>
      </w:r>
      <w:r w:rsidRPr="00B06110">
        <w:rPr>
          <w:rFonts w:eastAsia="Times New Roman"/>
          <w:color w:val="000000" w:themeColor="text1"/>
        </w:rPr>
        <w:t xml:space="preserve">. </w:t>
      </w:r>
      <w:r w:rsidRPr="004D2E89">
        <w:rPr>
          <w:rFonts w:eastAsia="Times New Roman"/>
          <w:b/>
          <w:bCs/>
          <w:color w:val="000000" w:themeColor="text1"/>
        </w:rPr>
        <w:t>2021</w:t>
      </w:r>
      <w:r w:rsidRPr="00B06110">
        <w:rPr>
          <w:rFonts w:eastAsia="Times New Roman"/>
          <w:color w:val="000000" w:themeColor="text1"/>
        </w:rPr>
        <w:t xml:space="preserve">; 16: e0257755. </w:t>
      </w:r>
      <w:hyperlink r:id="rId24">
        <w:r w:rsidRPr="00B06110">
          <w:rPr>
            <w:rStyle w:val="Hyperlink"/>
            <w:color w:val="auto"/>
            <w:u w:val="none"/>
          </w:rPr>
          <w:t>doi: 10.1371/journal.pone.0257755</w:t>
        </w:r>
      </w:hyperlink>
      <w:r w:rsidRPr="00B06110">
        <w:rPr>
          <w:rStyle w:val="Hyperlink"/>
          <w:color w:val="auto"/>
          <w:u w:val="none"/>
        </w:rPr>
        <w:t>.</w:t>
      </w:r>
    </w:p>
    <w:p w14:paraId="43F53506" w14:textId="77052F99" w:rsidR="003C345F" w:rsidRPr="00981BA1" w:rsidRDefault="003C345F" w:rsidP="00B06110">
      <w:pPr>
        <w:pStyle w:val="PargrafodaLista"/>
        <w:numPr>
          <w:ilvl w:val="0"/>
          <w:numId w:val="26"/>
        </w:numPr>
        <w:spacing w:after="160" w:line="240" w:lineRule="auto"/>
        <w:ind w:firstLineChars="0"/>
        <w:contextualSpacing/>
        <w:rPr>
          <w:rFonts w:eastAsia="Times New Roman"/>
          <w:lang w:val="pt-BR"/>
        </w:rPr>
      </w:pPr>
      <w:r w:rsidRPr="00320F2A">
        <w:rPr>
          <w:rStyle w:val="Hyperlink"/>
          <w:color w:val="auto"/>
          <w:u w:val="none"/>
          <w:lang w:val="pt-BR"/>
        </w:rPr>
        <w:t>Abevanoli</w:t>
      </w:r>
      <w:r w:rsidR="00C806F1" w:rsidRPr="00320F2A">
        <w:rPr>
          <w:rStyle w:val="Hyperlink"/>
          <w:color w:val="auto"/>
          <w:u w:val="none"/>
          <w:lang w:val="pt-BR"/>
        </w:rPr>
        <w:t>,</w:t>
      </w:r>
      <w:r w:rsidRPr="00320F2A">
        <w:rPr>
          <w:rStyle w:val="Hyperlink"/>
          <w:color w:val="auto"/>
          <w:u w:val="none"/>
          <w:lang w:val="pt-BR"/>
        </w:rPr>
        <w:t xml:space="preserve"> L</w:t>
      </w:r>
      <w:r w:rsidR="00C806F1" w:rsidRPr="00320F2A">
        <w:rPr>
          <w:rStyle w:val="Hyperlink"/>
          <w:color w:val="auto"/>
          <w:u w:val="none"/>
          <w:lang w:val="pt-BR"/>
        </w:rPr>
        <w:t>.;</w:t>
      </w:r>
      <w:r w:rsidRPr="00320F2A">
        <w:rPr>
          <w:rStyle w:val="Hyperlink"/>
          <w:color w:val="auto"/>
          <w:u w:val="none"/>
          <w:lang w:val="pt-BR"/>
        </w:rPr>
        <w:t xml:space="preserve"> Scarpellini</w:t>
      </w:r>
      <w:r w:rsidR="00C806F1" w:rsidRPr="00320F2A">
        <w:rPr>
          <w:rStyle w:val="Hyperlink"/>
          <w:color w:val="auto"/>
          <w:u w:val="none"/>
          <w:lang w:val="pt-BR"/>
        </w:rPr>
        <w:t>,</w:t>
      </w:r>
      <w:r w:rsidRPr="00320F2A">
        <w:rPr>
          <w:rStyle w:val="Hyperlink"/>
          <w:color w:val="auto"/>
          <w:u w:val="none"/>
          <w:lang w:val="pt-BR"/>
        </w:rPr>
        <w:t xml:space="preserve"> E</w:t>
      </w:r>
      <w:r w:rsidR="00C806F1" w:rsidRPr="00320F2A">
        <w:rPr>
          <w:rStyle w:val="Hyperlink"/>
          <w:color w:val="auto"/>
          <w:u w:val="none"/>
          <w:lang w:val="pt-BR"/>
        </w:rPr>
        <w:t>.;</w:t>
      </w:r>
      <w:r w:rsidRPr="00320F2A">
        <w:rPr>
          <w:rStyle w:val="Hyperlink"/>
          <w:color w:val="auto"/>
          <w:u w:val="none"/>
          <w:lang w:val="pt-BR"/>
        </w:rPr>
        <w:t xml:space="preserve"> Colica</w:t>
      </w:r>
      <w:r w:rsidR="00C806F1" w:rsidRPr="00320F2A">
        <w:rPr>
          <w:rStyle w:val="Hyperlink"/>
          <w:color w:val="auto"/>
          <w:u w:val="none"/>
          <w:lang w:val="pt-BR"/>
        </w:rPr>
        <w:t>,</w:t>
      </w:r>
      <w:r w:rsidRPr="00320F2A">
        <w:rPr>
          <w:rStyle w:val="Hyperlink"/>
          <w:color w:val="auto"/>
          <w:u w:val="none"/>
          <w:lang w:val="pt-BR"/>
        </w:rPr>
        <w:t xml:space="preserve"> C</w:t>
      </w:r>
      <w:r w:rsidR="00C806F1" w:rsidRPr="00320F2A">
        <w:rPr>
          <w:rStyle w:val="Hyperlink"/>
          <w:color w:val="auto"/>
          <w:u w:val="none"/>
          <w:lang w:val="pt-BR"/>
        </w:rPr>
        <w:t>.;</w:t>
      </w:r>
      <w:r w:rsidRPr="00320F2A">
        <w:rPr>
          <w:rStyle w:val="Hyperlink"/>
          <w:color w:val="auto"/>
          <w:u w:val="none"/>
          <w:lang w:val="pt-BR"/>
        </w:rPr>
        <w:t xml:space="preserve"> Boccuto</w:t>
      </w:r>
      <w:r w:rsidR="00C806F1" w:rsidRPr="00320F2A">
        <w:rPr>
          <w:rStyle w:val="Hyperlink"/>
          <w:color w:val="auto"/>
          <w:u w:val="none"/>
          <w:lang w:val="pt-BR"/>
        </w:rPr>
        <w:t>,</w:t>
      </w:r>
      <w:r w:rsidRPr="00320F2A">
        <w:rPr>
          <w:rStyle w:val="Hyperlink"/>
          <w:color w:val="auto"/>
          <w:u w:val="none"/>
          <w:lang w:val="pt-BR"/>
        </w:rPr>
        <w:t xml:space="preserve"> L</w:t>
      </w:r>
      <w:r w:rsidR="00C806F1" w:rsidRPr="00320F2A">
        <w:rPr>
          <w:rStyle w:val="Hyperlink"/>
          <w:color w:val="auto"/>
          <w:u w:val="none"/>
          <w:lang w:val="pt-BR"/>
        </w:rPr>
        <w:t>.;</w:t>
      </w:r>
      <w:r w:rsidRPr="00320F2A">
        <w:rPr>
          <w:rStyle w:val="Hyperlink"/>
          <w:color w:val="auto"/>
          <w:u w:val="none"/>
          <w:lang w:val="pt-BR"/>
        </w:rPr>
        <w:t xml:space="preserve"> Salehi</w:t>
      </w:r>
      <w:r w:rsidR="00C806F1" w:rsidRPr="00320F2A">
        <w:rPr>
          <w:rStyle w:val="Hyperlink"/>
          <w:color w:val="auto"/>
          <w:u w:val="none"/>
          <w:lang w:val="pt-BR"/>
        </w:rPr>
        <w:t>,</w:t>
      </w:r>
      <w:r w:rsidRPr="00320F2A">
        <w:rPr>
          <w:rStyle w:val="Hyperlink"/>
          <w:color w:val="auto"/>
          <w:u w:val="none"/>
          <w:lang w:val="pt-BR"/>
        </w:rPr>
        <w:t xml:space="preserve"> B</w:t>
      </w:r>
      <w:r w:rsidR="00C806F1" w:rsidRPr="00320F2A">
        <w:rPr>
          <w:rStyle w:val="Hyperlink"/>
          <w:color w:val="auto"/>
          <w:u w:val="none"/>
          <w:lang w:val="pt-BR"/>
        </w:rPr>
        <w:t>.;</w:t>
      </w:r>
      <w:r w:rsidRPr="00320F2A">
        <w:rPr>
          <w:rStyle w:val="Hyperlink"/>
          <w:color w:val="auto"/>
          <w:u w:val="none"/>
          <w:lang w:val="pt-BR"/>
        </w:rPr>
        <w:t xml:space="preserve"> Sharifi–Rad J</w:t>
      </w:r>
      <w:r w:rsidR="00B7219A" w:rsidRPr="00320F2A">
        <w:rPr>
          <w:rStyle w:val="Hyperlink"/>
          <w:color w:val="auto"/>
          <w:u w:val="none"/>
          <w:lang w:val="pt-BR"/>
        </w:rPr>
        <w:t>.;</w:t>
      </w:r>
      <w:r w:rsidR="000552E7" w:rsidRPr="00320F2A">
        <w:rPr>
          <w:rStyle w:val="Hyperlink"/>
          <w:color w:val="auto"/>
          <w:u w:val="none"/>
          <w:lang w:val="pt-BR"/>
        </w:rPr>
        <w:t xml:space="preserve"> </w:t>
      </w:r>
      <w:r w:rsidR="00320F2A" w:rsidRPr="00320F2A">
        <w:rPr>
          <w:rStyle w:val="Hyperlink"/>
          <w:color w:val="auto"/>
          <w:u w:val="none"/>
          <w:lang w:val="pt-BR"/>
        </w:rPr>
        <w:t>Aiello, V.; Romano, B.; De Lorenzo, A.;</w:t>
      </w:r>
      <w:r w:rsidR="00320F2A">
        <w:rPr>
          <w:rStyle w:val="Hyperlink"/>
          <w:color w:val="auto"/>
          <w:u w:val="none"/>
          <w:lang w:val="pt-BR"/>
        </w:rPr>
        <w:t xml:space="preserve"> </w:t>
      </w:r>
      <w:r w:rsidR="00CA7D46">
        <w:rPr>
          <w:rStyle w:val="Hyperlink"/>
          <w:color w:val="auto"/>
          <w:u w:val="none"/>
          <w:lang w:val="pt-BR"/>
        </w:rPr>
        <w:t>Izzo, A.A.; Capasso, R</w:t>
      </w:r>
      <w:r w:rsidRPr="00320F2A">
        <w:rPr>
          <w:rStyle w:val="Hyperlink"/>
          <w:color w:val="auto"/>
          <w:u w:val="none"/>
          <w:lang w:val="pt-BR"/>
        </w:rPr>
        <w:t xml:space="preserve">. </w:t>
      </w:r>
      <w:r w:rsidRPr="00981BA1">
        <w:rPr>
          <w:rStyle w:val="Hyperlink"/>
          <w:color w:val="auto"/>
          <w:u w:val="none"/>
          <w:lang w:val="pt-BR"/>
        </w:rPr>
        <w:t xml:space="preserve">Gut Microbiota and Obesity: A Role for Probiotics. </w:t>
      </w:r>
      <w:r w:rsidRPr="00981BA1">
        <w:rPr>
          <w:rStyle w:val="Hyperlink"/>
          <w:i/>
          <w:iCs/>
          <w:color w:val="auto"/>
          <w:u w:val="none"/>
          <w:lang w:val="pt-BR"/>
        </w:rPr>
        <w:t>Nutrients</w:t>
      </w:r>
      <w:r w:rsidRPr="00981BA1">
        <w:rPr>
          <w:rStyle w:val="Hyperlink"/>
          <w:color w:val="auto"/>
          <w:u w:val="none"/>
          <w:lang w:val="pt-BR"/>
        </w:rPr>
        <w:t xml:space="preserve">. </w:t>
      </w:r>
      <w:r w:rsidRPr="00A20F08">
        <w:rPr>
          <w:rStyle w:val="Hyperlink"/>
          <w:b/>
          <w:bCs/>
          <w:color w:val="auto"/>
          <w:u w:val="none"/>
          <w:lang w:val="pt-BR"/>
        </w:rPr>
        <w:t>2019</w:t>
      </w:r>
      <w:r w:rsidRPr="00981BA1">
        <w:rPr>
          <w:rStyle w:val="Hyperlink"/>
          <w:color w:val="auto"/>
          <w:u w:val="none"/>
          <w:lang w:val="pt-BR"/>
        </w:rPr>
        <w:t>; 11:2690. doi:10.3390/nu11112690.</w:t>
      </w:r>
    </w:p>
    <w:p w14:paraId="30FFF422" w14:textId="59A3ED66" w:rsidR="003C345F" w:rsidRPr="00B06110" w:rsidRDefault="003C345F" w:rsidP="00B06110">
      <w:pPr>
        <w:pStyle w:val="PargrafodaLista"/>
        <w:numPr>
          <w:ilvl w:val="0"/>
          <w:numId w:val="26"/>
        </w:numPr>
        <w:spacing w:after="160" w:line="240" w:lineRule="auto"/>
        <w:ind w:firstLineChars="0"/>
        <w:contextualSpacing/>
        <w:rPr>
          <w:rStyle w:val="Hyperlink"/>
          <w:color w:val="auto"/>
          <w:u w:val="none"/>
        </w:rPr>
      </w:pPr>
      <w:r w:rsidRPr="00B06110">
        <w:rPr>
          <w:rStyle w:val="Hyperlink"/>
          <w:color w:val="auto"/>
          <w:u w:val="none"/>
        </w:rPr>
        <w:t>Breton</w:t>
      </w:r>
      <w:r w:rsidR="00981BA1">
        <w:rPr>
          <w:rStyle w:val="Hyperlink"/>
          <w:color w:val="auto"/>
          <w:u w:val="none"/>
        </w:rPr>
        <w:t>,</w:t>
      </w:r>
      <w:r w:rsidRPr="00B06110">
        <w:rPr>
          <w:rStyle w:val="Hyperlink"/>
          <w:color w:val="auto"/>
          <w:u w:val="none"/>
        </w:rPr>
        <w:t xml:space="preserve"> J</w:t>
      </w:r>
      <w:r w:rsidR="00981BA1">
        <w:rPr>
          <w:rStyle w:val="Hyperlink"/>
          <w:color w:val="auto"/>
          <w:u w:val="none"/>
        </w:rPr>
        <w:t>.;</w:t>
      </w:r>
      <w:r w:rsidRPr="00B06110">
        <w:rPr>
          <w:rStyle w:val="Hyperlink"/>
          <w:color w:val="auto"/>
          <w:u w:val="none"/>
        </w:rPr>
        <w:t xml:space="preserve"> Galmiche</w:t>
      </w:r>
      <w:r w:rsidR="00981BA1">
        <w:rPr>
          <w:rStyle w:val="Hyperlink"/>
          <w:color w:val="auto"/>
          <w:u w:val="none"/>
        </w:rPr>
        <w:t>,</w:t>
      </w:r>
      <w:r w:rsidRPr="00B06110">
        <w:rPr>
          <w:rStyle w:val="Hyperlink"/>
          <w:color w:val="auto"/>
          <w:u w:val="none"/>
        </w:rPr>
        <w:t xml:space="preserve"> M</w:t>
      </w:r>
      <w:r w:rsidR="00981BA1">
        <w:rPr>
          <w:rStyle w:val="Hyperlink"/>
          <w:color w:val="auto"/>
          <w:u w:val="none"/>
        </w:rPr>
        <w:t>.;</w:t>
      </w:r>
      <w:r w:rsidRPr="00B06110">
        <w:rPr>
          <w:rStyle w:val="Hyperlink"/>
          <w:color w:val="auto"/>
          <w:u w:val="none"/>
        </w:rPr>
        <w:t xml:space="preserve"> Dechelotte</w:t>
      </w:r>
      <w:r w:rsidR="00981BA1">
        <w:rPr>
          <w:rStyle w:val="Hyperlink"/>
          <w:color w:val="auto"/>
          <w:u w:val="none"/>
        </w:rPr>
        <w:t>,</w:t>
      </w:r>
      <w:r w:rsidRPr="00B06110">
        <w:rPr>
          <w:rStyle w:val="Hyperlink"/>
          <w:color w:val="auto"/>
          <w:u w:val="none"/>
        </w:rPr>
        <w:t xml:space="preserve"> P. Dysbiotic Gut Bacteria in Obesity: An Overview of the Metabolic Mechanisms and Therapeutic Perspectives of Next-Generation Probiotics. </w:t>
      </w:r>
      <w:r w:rsidRPr="00B82530">
        <w:rPr>
          <w:rStyle w:val="Hyperlink"/>
          <w:i/>
          <w:iCs/>
          <w:color w:val="auto"/>
          <w:u w:val="none"/>
        </w:rPr>
        <w:t>Microorganisms</w:t>
      </w:r>
      <w:r w:rsidRPr="00B06110">
        <w:rPr>
          <w:rStyle w:val="Hyperlink"/>
          <w:color w:val="auto"/>
          <w:u w:val="none"/>
        </w:rPr>
        <w:t xml:space="preserve">. </w:t>
      </w:r>
      <w:r w:rsidRPr="00A20F08">
        <w:rPr>
          <w:rStyle w:val="Hyperlink"/>
          <w:b/>
          <w:bCs/>
          <w:color w:val="auto"/>
          <w:u w:val="none"/>
        </w:rPr>
        <w:t>2022</w:t>
      </w:r>
      <w:r w:rsidRPr="00B06110">
        <w:rPr>
          <w:rStyle w:val="Hyperlink"/>
          <w:color w:val="auto"/>
          <w:u w:val="none"/>
        </w:rPr>
        <w:t>; 10:452. doi.org/10.3390/microorganisms10020452.</w:t>
      </w:r>
    </w:p>
    <w:p w14:paraId="664584BB" w14:textId="77777777" w:rsidR="003C345F" w:rsidRPr="00B06110" w:rsidRDefault="003C345F" w:rsidP="00B06110">
      <w:pPr>
        <w:pStyle w:val="PargrafodaLista"/>
        <w:numPr>
          <w:ilvl w:val="0"/>
          <w:numId w:val="26"/>
        </w:numPr>
        <w:spacing w:after="160" w:line="240" w:lineRule="auto"/>
        <w:ind w:firstLineChars="0"/>
        <w:contextualSpacing/>
        <w:rPr>
          <w:rFonts w:eastAsia="Times New Roman"/>
          <w:color w:val="000000" w:themeColor="text1"/>
          <w:lang w:val="pt-BR"/>
        </w:rPr>
      </w:pPr>
      <w:r w:rsidRPr="00B06110">
        <w:rPr>
          <w:rFonts w:eastAsia="Times New Roman"/>
          <w:color w:val="000000" w:themeColor="text1"/>
          <w:lang w:val="pt-BR"/>
        </w:rPr>
        <w:t xml:space="preserve">Brasil, Ministério da Saúde, </w:t>
      </w:r>
      <w:r w:rsidRPr="00B06110">
        <w:rPr>
          <w:lang w:val="pt-BR"/>
        </w:rPr>
        <w:t>Vigitel Brasil 2006-2021 : vigilância de fatores de risco e proteção para doenças crônicas por inquérito telefônico : estimativas sobre frequência e distribuição sociodemográfica do estado nutricional e consumo alimentar nas capitais dos 26 estados brasileiros e no Distrito Federal entre 2006 e 2021 : estado nutricional e consumo alimentar [recurso eletrônico] / Ministério da Saúde, Secretaria de Vigilância em Saúde, Departamento de Análise em Saúde e Vigilância de Doenças Não Transmissíveis. – Brasília: Ministério da Saúde, 2022.</w:t>
      </w:r>
    </w:p>
    <w:p w14:paraId="1401E59C" w14:textId="36227954" w:rsidR="003C345F" w:rsidRPr="00B06110" w:rsidRDefault="003C345F" w:rsidP="00B06110">
      <w:pPr>
        <w:pStyle w:val="PargrafodaLista"/>
        <w:numPr>
          <w:ilvl w:val="0"/>
          <w:numId w:val="26"/>
        </w:numPr>
        <w:spacing w:after="160" w:line="240" w:lineRule="auto"/>
        <w:ind w:firstLineChars="0"/>
        <w:contextualSpacing/>
        <w:rPr>
          <w:rStyle w:val="Hyperlink"/>
          <w:color w:val="auto"/>
          <w:u w:val="none"/>
        </w:rPr>
      </w:pPr>
      <w:r w:rsidRPr="00B06110">
        <w:rPr>
          <w:rStyle w:val="Hyperlink"/>
          <w:color w:val="auto"/>
          <w:u w:val="none"/>
        </w:rPr>
        <w:t>Chooi</w:t>
      </w:r>
      <w:r w:rsidR="00CA3F7E">
        <w:rPr>
          <w:rStyle w:val="Hyperlink"/>
          <w:color w:val="auto"/>
          <w:u w:val="none"/>
        </w:rPr>
        <w:t>,</w:t>
      </w:r>
      <w:r w:rsidRPr="00B06110">
        <w:rPr>
          <w:rStyle w:val="Hyperlink"/>
          <w:color w:val="auto"/>
          <w:u w:val="none"/>
        </w:rPr>
        <w:t xml:space="preserve"> Y</w:t>
      </w:r>
      <w:r w:rsidR="00CA3F7E">
        <w:rPr>
          <w:rStyle w:val="Hyperlink"/>
          <w:color w:val="auto"/>
          <w:u w:val="none"/>
        </w:rPr>
        <w:t>.</w:t>
      </w:r>
      <w:r w:rsidRPr="00B06110">
        <w:rPr>
          <w:rStyle w:val="Hyperlink"/>
          <w:color w:val="auto"/>
          <w:u w:val="none"/>
        </w:rPr>
        <w:t>C</w:t>
      </w:r>
      <w:r w:rsidR="00CA3F7E">
        <w:rPr>
          <w:rStyle w:val="Hyperlink"/>
          <w:color w:val="auto"/>
          <w:u w:val="none"/>
        </w:rPr>
        <w:t>.;</w:t>
      </w:r>
      <w:r w:rsidRPr="00B06110">
        <w:rPr>
          <w:rStyle w:val="Hyperlink"/>
          <w:color w:val="auto"/>
          <w:u w:val="none"/>
        </w:rPr>
        <w:t xml:space="preserve"> Ding</w:t>
      </w:r>
      <w:r w:rsidR="00CA3F7E">
        <w:rPr>
          <w:rStyle w:val="Hyperlink"/>
          <w:color w:val="auto"/>
          <w:u w:val="none"/>
        </w:rPr>
        <w:t>,</w:t>
      </w:r>
      <w:r w:rsidRPr="00B06110">
        <w:rPr>
          <w:rStyle w:val="Hyperlink"/>
          <w:color w:val="auto"/>
          <w:u w:val="none"/>
        </w:rPr>
        <w:t xml:space="preserve"> C</w:t>
      </w:r>
      <w:r w:rsidR="00CA3F7E">
        <w:rPr>
          <w:rStyle w:val="Hyperlink"/>
          <w:color w:val="auto"/>
          <w:u w:val="none"/>
        </w:rPr>
        <w:t>.;</w:t>
      </w:r>
      <w:r w:rsidRPr="00B06110">
        <w:rPr>
          <w:rStyle w:val="Hyperlink"/>
          <w:color w:val="auto"/>
          <w:u w:val="none"/>
        </w:rPr>
        <w:t xml:space="preserve"> Magkos</w:t>
      </w:r>
      <w:r w:rsidR="00CA3F7E">
        <w:rPr>
          <w:rStyle w:val="Hyperlink"/>
          <w:color w:val="auto"/>
          <w:u w:val="none"/>
        </w:rPr>
        <w:t>,</w:t>
      </w:r>
      <w:r w:rsidRPr="00B06110">
        <w:rPr>
          <w:rStyle w:val="Hyperlink"/>
          <w:color w:val="auto"/>
          <w:u w:val="none"/>
        </w:rPr>
        <w:t xml:space="preserve"> F. The epidemiology of obesity.</w:t>
      </w:r>
      <w:r w:rsidR="00036F1E">
        <w:rPr>
          <w:rStyle w:val="Hyperlink"/>
          <w:color w:val="auto"/>
          <w:u w:val="none"/>
        </w:rPr>
        <w:t xml:space="preserve"> </w:t>
      </w:r>
      <w:r w:rsidRPr="00CA3F7E">
        <w:rPr>
          <w:rStyle w:val="Hyperlink"/>
          <w:i/>
          <w:iCs/>
          <w:color w:val="auto"/>
          <w:u w:val="none"/>
        </w:rPr>
        <w:t>Metabolism</w:t>
      </w:r>
      <w:r w:rsidRPr="00B06110">
        <w:rPr>
          <w:rStyle w:val="Hyperlink"/>
          <w:color w:val="auto"/>
          <w:u w:val="none"/>
        </w:rPr>
        <w:t xml:space="preserve">. </w:t>
      </w:r>
      <w:r w:rsidRPr="00CA3F7E">
        <w:rPr>
          <w:rStyle w:val="Hyperlink"/>
          <w:b/>
          <w:bCs/>
          <w:color w:val="auto"/>
          <w:u w:val="none"/>
        </w:rPr>
        <w:t>2019</w:t>
      </w:r>
      <w:r w:rsidRPr="00B06110">
        <w:rPr>
          <w:rStyle w:val="Hyperlink"/>
          <w:color w:val="auto"/>
          <w:u w:val="none"/>
        </w:rPr>
        <w:t>; 92:6–10. doi.org/10.1016/j.metabol.2018.09.005.</w:t>
      </w:r>
    </w:p>
    <w:p w14:paraId="27D245D3" w14:textId="03C9BDBF" w:rsidR="003C345F" w:rsidRPr="00B06110" w:rsidRDefault="003C345F" w:rsidP="00B06110">
      <w:pPr>
        <w:pStyle w:val="PargrafodaLista"/>
        <w:numPr>
          <w:ilvl w:val="0"/>
          <w:numId w:val="26"/>
        </w:numPr>
        <w:spacing w:after="160" w:line="240" w:lineRule="auto"/>
        <w:ind w:firstLineChars="0"/>
        <w:contextualSpacing/>
        <w:rPr>
          <w:rStyle w:val="Hyperlink"/>
          <w:color w:val="auto"/>
          <w:u w:val="none"/>
        </w:rPr>
      </w:pPr>
      <w:r w:rsidRPr="00B06110">
        <w:rPr>
          <w:rStyle w:val="Hyperlink"/>
          <w:color w:val="auto"/>
          <w:u w:val="none"/>
        </w:rPr>
        <w:t>Sivamaruthi</w:t>
      </w:r>
      <w:r w:rsidR="00756B91">
        <w:rPr>
          <w:rStyle w:val="Hyperlink"/>
          <w:color w:val="auto"/>
          <w:u w:val="none"/>
        </w:rPr>
        <w:t>,</w:t>
      </w:r>
      <w:r w:rsidRPr="00B06110">
        <w:rPr>
          <w:rStyle w:val="Hyperlink"/>
          <w:color w:val="auto"/>
          <w:u w:val="none"/>
        </w:rPr>
        <w:t xml:space="preserve"> B</w:t>
      </w:r>
      <w:r w:rsidR="00756B91">
        <w:rPr>
          <w:rStyle w:val="Hyperlink"/>
          <w:color w:val="auto"/>
          <w:u w:val="none"/>
        </w:rPr>
        <w:t>.</w:t>
      </w:r>
      <w:r w:rsidRPr="00B06110">
        <w:rPr>
          <w:rStyle w:val="Hyperlink"/>
          <w:color w:val="auto"/>
          <w:u w:val="none"/>
        </w:rPr>
        <w:t>S</w:t>
      </w:r>
      <w:r w:rsidR="00756B91">
        <w:rPr>
          <w:rStyle w:val="Hyperlink"/>
          <w:color w:val="auto"/>
          <w:u w:val="none"/>
        </w:rPr>
        <w:t>.;</w:t>
      </w:r>
      <w:r w:rsidRPr="00B06110">
        <w:rPr>
          <w:rStyle w:val="Hyperlink"/>
          <w:color w:val="auto"/>
          <w:u w:val="none"/>
        </w:rPr>
        <w:t xml:space="preserve"> Kesika</w:t>
      </w:r>
      <w:r w:rsidR="00756B91">
        <w:rPr>
          <w:rStyle w:val="Hyperlink"/>
          <w:color w:val="auto"/>
          <w:u w:val="none"/>
        </w:rPr>
        <w:t>,</w:t>
      </w:r>
      <w:r w:rsidRPr="00B06110">
        <w:rPr>
          <w:rStyle w:val="Hyperlink"/>
          <w:color w:val="auto"/>
          <w:u w:val="none"/>
        </w:rPr>
        <w:t xml:space="preserve"> P</w:t>
      </w:r>
      <w:r w:rsidR="00756B91">
        <w:rPr>
          <w:rStyle w:val="Hyperlink"/>
          <w:color w:val="auto"/>
          <w:u w:val="none"/>
        </w:rPr>
        <w:t>.;</w:t>
      </w:r>
      <w:r w:rsidRPr="00B06110">
        <w:rPr>
          <w:rStyle w:val="Hyperlink"/>
          <w:color w:val="auto"/>
          <w:u w:val="none"/>
        </w:rPr>
        <w:t xml:space="preserve"> Suganthy</w:t>
      </w:r>
      <w:r w:rsidR="00756B91">
        <w:rPr>
          <w:rStyle w:val="Hyperlink"/>
          <w:color w:val="auto"/>
          <w:u w:val="none"/>
        </w:rPr>
        <w:t>,</w:t>
      </w:r>
      <w:r w:rsidRPr="00B06110">
        <w:rPr>
          <w:rStyle w:val="Hyperlink"/>
          <w:color w:val="auto"/>
          <w:u w:val="none"/>
        </w:rPr>
        <w:t xml:space="preserve"> N</w:t>
      </w:r>
      <w:r w:rsidR="00756B91">
        <w:rPr>
          <w:rStyle w:val="Hyperlink"/>
          <w:color w:val="auto"/>
          <w:u w:val="none"/>
        </w:rPr>
        <w:t>.;</w:t>
      </w:r>
      <w:r w:rsidRPr="00B06110">
        <w:rPr>
          <w:rStyle w:val="Hyperlink"/>
          <w:color w:val="auto"/>
          <w:u w:val="none"/>
        </w:rPr>
        <w:t xml:space="preserve"> Chaiyasut</w:t>
      </w:r>
      <w:r w:rsidR="00756B91">
        <w:rPr>
          <w:rStyle w:val="Hyperlink"/>
          <w:color w:val="auto"/>
          <w:u w:val="none"/>
        </w:rPr>
        <w:t>,</w:t>
      </w:r>
      <w:r w:rsidRPr="00B06110">
        <w:rPr>
          <w:rStyle w:val="Hyperlink"/>
          <w:color w:val="auto"/>
          <w:u w:val="none"/>
        </w:rPr>
        <w:t xml:space="preserve"> C. A Review on Role of Microbiome in Obesity and Antiobesity Properties of Probiotic Supplements</w:t>
      </w:r>
      <w:r w:rsidR="009C660B">
        <w:rPr>
          <w:rStyle w:val="Hyperlink"/>
          <w:color w:val="auto"/>
          <w:u w:val="none"/>
        </w:rPr>
        <w:t>.</w:t>
      </w:r>
      <w:r w:rsidRPr="00B06110">
        <w:rPr>
          <w:rStyle w:val="Hyperlink"/>
          <w:color w:val="auto"/>
          <w:u w:val="none"/>
        </w:rPr>
        <w:t xml:space="preserve"> </w:t>
      </w:r>
      <w:r w:rsidRPr="00317CB4">
        <w:rPr>
          <w:rStyle w:val="Hyperlink"/>
          <w:i/>
          <w:iCs/>
          <w:color w:val="auto"/>
          <w:u w:val="none"/>
        </w:rPr>
        <w:t>BioMed Res Int</w:t>
      </w:r>
      <w:r w:rsidRPr="00B06110">
        <w:rPr>
          <w:rStyle w:val="Hyperlink"/>
          <w:color w:val="auto"/>
          <w:u w:val="none"/>
        </w:rPr>
        <w:t xml:space="preserve">. </w:t>
      </w:r>
      <w:r w:rsidRPr="00756B91">
        <w:rPr>
          <w:rStyle w:val="Hyperlink"/>
          <w:b/>
          <w:bCs/>
          <w:color w:val="auto"/>
          <w:u w:val="none"/>
        </w:rPr>
        <w:t>2019</w:t>
      </w:r>
      <w:r w:rsidRPr="00B06110">
        <w:rPr>
          <w:rStyle w:val="Hyperlink"/>
          <w:color w:val="auto"/>
          <w:u w:val="none"/>
        </w:rPr>
        <w:t>. doi: 10.1155/2019/3291367.</w:t>
      </w:r>
    </w:p>
    <w:p w14:paraId="48CD7350" w14:textId="2869995B" w:rsidR="003C345F" w:rsidRPr="00B06110" w:rsidRDefault="003C345F" w:rsidP="00B06110">
      <w:pPr>
        <w:pStyle w:val="PargrafodaLista"/>
        <w:numPr>
          <w:ilvl w:val="0"/>
          <w:numId w:val="26"/>
        </w:numPr>
        <w:spacing w:after="160" w:line="240" w:lineRule="auto"/>
        <w:ind w:firstLineChars="0"/>
        <w:contextualSpacing/>
        <w:rPr>
          <w:rStyle w:val="Hyperlink"/>
          <w:color w:val="auto"/>
          <w:u w:val="none"/>
        </w:rPr>
      </w:pPr>
      <w:r w:rsidRPr="00B06110">
        <w:rPr>
          <w:rStyle w:val="Hyperlink"/>
          <w:color w:val="auto"/>
          <w:u w:val="none"/>
        </w:rPr>
        <w:t>Masood</w:t>
      </w:r>
      <w:r w:rsidR="00E92929">
        <w:rPr>
          <w:rStyle w:val="Hyperlink"/>
          <w:color w:val="auto"/>
          <w:u w:val="none"/>
        </w:rPr>
        <w:t>,</w:t>
      </w:r>
      <w:r w:rsidRPr="00B06110">
        <w:rPr>
          <w:rStyle w:val="Hyperlink"/>
          <w:color w:val="auto"/>
          <w:u w:val="none"/>
        </w:rPr>
        <w:t xml:space="preserve"> A</w:t>
      </w:r>
      <w:r w:rsidR="00E92929">
        <w:rPr>
          <w:rStyle w:val="Hyperlink"/>
          <w:color w:val="auto"/>
          <w:u w:val="none"/>
        </w:rPr>
        <w:t>.;</w:t>
      </w:r>
      <w:r w:rsidRPr="00B06110">
        <w:rPr>
          <w:rStyle w:val="Hyperlink"/>
          <w:color w:val="auto"/>
          <w:u w:val="none"/>
        </w:rPr>
        <w:t xml:space="preserve"> Alsheddi</w:t>
      </w:r>
      <w:r w:rsidR="00E92929">
        <w:rPr>
          <w:rStyle w:val="Hyperlink"/>
          <w:color w:val="auto"/>
          <w:u w:val="none"/>
        </w:rPr>
        <w:t>,</w:t>
      </w:r>
      <w:r w:rsidRPr="00B06110">
        <w:rPr>
          <w:rStyle w:val="Hyperlink"/>
          <w:color w:val="auto"/>
          <w:u w:val="none"/>
        </w:rPr>
        <w:t xml:space="preserve"> L</w:t>
      </w:r>
      <w:r w:rsidR="00E92929">
        <w:rPr>
          <w:rStyle w:val="Hyperlink"/>
          <w:color w:val="auto"/>
          <w:u w:val="none"/>
        </w:rPr>
        <w:t>.;</w:t>
      </w:r>
      <w:r w:rsidRPr="00B06110">
        <w:rPr>
          <w:rStyle w:val="Hyperlink"/>
          <w:color w:val="auto"/>
          <w:u w:val="none"/>
        </w:rPr>
        <w:t xml:space="preserve"> Alfayadh</w:t>
      </w:r>
      <w:r w:rsidR="00E92929">
        <w:rPr>
          <w:rStyle w:val="Hyperlink"/>
          <w:color w:val="auto"/>
          <w:u w:val="none"/>
        </w:rPr>
        <w:t>,</w:t>
      </w:r>
      <w:r w:rsidRPr="00B06110">
        <w:rPr>
          <w:rStyle w:val="Hyperlink"/>
          <w:color w:val="auto"/>
          <w:u w:val="none"/>
        </w:rPr>
        <w:t xml:space="preserve"> L</w:t>
      </w:r>
      <w:r w:rsidR="00E92929">
        <w:rPr>
          <w:rStyle w:val="Hyperlink"/>
          <w:color w:val="auto"/>
          <w:u w:val="none"/>
        </w:rPr>
        <w:t>.;</w:t>
      </w:r>
      <w:r w:rsidRPr="00B06110">
        <w:rPr>
          <w:rStyle w:val="Hyperlink"/>
          <w:color w:val="auto"/>
          <w:u w:val="none"/>
        </w:rPr>
        <w:t xml:space="preserve"> Bukhari</w:t>
      </w:r>
      <w:r w:rsidR="00E92929">
        <w:rPr>
          <w:rStyle w:val="Hyperlink"/>
          <w:color w:val="auto"/>
          <w:u w:val="none"/>
        </w:rPr>
        <w:t>,</w:t>
      </w:r>
      <w:r w:rsidRPr="00B06110">
        <w:rPr>
          <w:rStyle w:val="Hyperlink"/>
          <w:color w:val="auto"/>
          <w:u w:val="none"/>
        </w:rPr>
        <w:t xml:space="preserve"> B</w:t>
      </w:r>
      <w:r w:rsidR="00E92929">
        <w:rPr>
          <w:rStyle w:val="Hyperlink"/>
          <w:color w:val="auto"/>
          <w:u w:val="none"/>
        </w:rPr>
        <w:t>.;</w:t>
      </w:r>
      <w:r w:rsidRPr="00B06110">
        <w:rPr>
          <w:rStyle w:val="Hyperlink"/>
          <w:color w:val="auto"/>
          <w:u w:val="none"/>
        </w:rPr>
        <w:t xml:space="preserve"> Elawad</w:t>
      </w:r>
      <w:r w:rsidR="00857ADB">
        <w:rPr>
          <w:rStyle w:val="Hyperlink"/>
          <w:color w:val="auto"/>
          <w:u w:val="none"/>
        </w:rPr>
        <w:t>,</w:t>
      </w:r>
      <w:r w:rsidRPr="00B06110">
        <w:rPr>
          <w:rStyle w:val="Hyperlink"/>
          <w:color w:val="auto"/>
          <w:u w:val="none"/>
        </w:rPr>
        <w:t xml:space="preserve"> R</w:t>
      </w:r>
      <w:r w:rsidR="00857ADB">
        <w:rPr>
          <w:rStyle w:val="Hyperlink"/>
          <w:color w:val="auto"/>
          <w:u w:val="none"/>
        </w:rPr>
        <w:t>.;</w:t>
      </w:r>
      <w:r w:rsidRPr="00B06110">
        <w:rPr>
          <w:rStyle w:val="Hyperlink"/>
          <w:color w:val="auto"/>
          <w:u w:val="none"/>
        </w:rPr>
        <w:t xml:space="preserve"> Alfadda</w:t>
      </w:r>
      <w:r w:rsidR="00857ADB">
        <w:rPr>
          <w:rStyle w:val="Hyperlink"/>
          <w:color w:val="auto"/>
          <w:u w:val="none"/>
        </w:rPr>
        <w:t>,</w:t>
      </w:r>
      <w:r w:rsidRPr="00B06110">
        <w:rPr>
          <w:rStyle w:val="Hyperlink"/>
          <w:color w:val="auto"/>
          <w:u w:val="none"/>
        </w:rPr>
        <w:t xml:space="preserve"> A</w:t>
      </w:r>
      <w:r w:rsidR="00857ADB">
        <w:rPr>
          <w:rStyle w:val="Hyperlink"/>
          <w:color w:val="auto"/>
          <w:u w:val="none"/>
        </w:rPr>
        <w:t>.</w:t>
      </w:r>
      <w:r w:rsidRPr="00B06110">
        <w:rPr>
          <w:rStyle w:val="Hyperlink"/>
          <w:color w:val="auto"/>
          <w:u w:val="none"/>
        </w:rPr>
        <w:t xml:space="preserve">A. Dietary and Lifestyle Factors Serve as Predictors of Successful Weight Loss Maintenance Postbariatric Surgery. </w:t>
      </w:r>
      <w:r w:rsidRPr="00857ADB">
        <w:rPr>
          <w:rStyle w:val="Hyperlink"/>
          <w:i/>
          <w:iCs/>
          <w:color w:val="auto"/>
          <w:u w:val="none"/>
        </w:rPr>
        <w:t>J Obes</w:t>
      </w:r>
      <w:r w:rsidRPr="00B06110">
        <w:rPr>
          <w:rStyle w:val="Hyperlink"/>
          <w:color w:val="auto"/>
          <w:u w:val="none"/>
        </w:rPr>
        <w:t xml:space="preserve">. </w:t>
      </w:r>
      <w:r w:rsidRPr="00857ADB">
        <w:rPr>
          <w:rStyle w:val="Hyperlink"/>
          <w:b/>
          <w:bCs/>
          <w:color w:val="auto"/>
          <w:u w:val="none"/>
        </w:rPr>
        <w:t>2019</w:t>
      </w:r>
      <w:r w:rsidRPr="00B06110">
        <w:rPr>
          <w:rStyle w:val="Hyperlink"/>
          <w:color w:val="auto"/>
          <w:u w:val="none"/>
        </w:rPr>
        <w:t>; 7295978. doi: 10.1155/2019/7295978.</w:t>
      </w:r>
    </w:p>
    <w:p w14:paraId="0CCD9EBB" w14:textId="48065F7D" w:rsidR="003C345F" w:rsidRPr="00B06110" w:rsidRDefault="003C345F" w:rsidP="00B06110">
      <w:pPr>
        <w:pStyle w:val="PargrafodaLista"/>
        <w:numPr>
          <w:ilvl w:val="0"/>
          <w:numId w:val="26"/>
        </w:numPr>
        <w:spacing w:after="160" w:line="240" w:lineRule="auto"/>
        <w:ind w:firstLineChars="0"/>
        <w:contextualSpacing/>
        <w:rPr>
          <w:rStyle w:val="Hyperlink"/>
          <w:color w:val="auto"/>
          <w:u w:val="none"/>
        </w:rPr>
      </w:pPr>
      <w:r w:rsidRPr="00B06110">
        <w:rPr>
          <w:rStyle w:val="Hyperlink"/>
          <w:color w:val="auto"/>
          <w:u w:val="none"/>
        </w:rPr>
        <w:t>Borgeraas</w:t>
      </w:r>
      <w:r w:rsidR="00857ADB">
        <w:rPr>
          <w:rStyle w:val="Hyperlink"/>
          <w:color w:val="auto"/>
          <w:u w:val="none"/>
        </w:rPr>
        <w:t>,</w:t>
      </w:r>
      <w:r w:rsidRPr="00B06110">
        <w:rPr>
          <w:rStyle w:val="Hyperlink"/>
          <w:color w:val="auto"/>
          <w:u w:val="none"/>
        </w:rPr>
        <w:t xml:space="preserve"> H</w:t>
      </w:r>
      <w:r w:rsidR="00857ADB">
        <w:rPr>
          <w:rStyle w:val="Hyperlink"/>
          <w:color w:val="auto"/>
          <w:u w:val="none"/>
        </w:rPr>
        <w:t>.;</w:t>
      </w:r>
      <w:r w:rsidRPr="00B06110">
        <w:rPr>
          <w:rStyle w:val="Hyperlink"/>
          <w:color w:val="auto"/>
          <w:u w:val="none"/>
        </w:rPr>
        <w:t xml:space="preserve"> Johnson</w:t>
      </w:r>
      <w:r w:rsidR="00857ADB">
        <w:rPr>
          <w:rStyle w:val="Hyperlink"/>
          <w:color w:val="auto"/>
          <w:u w:val="none"/>
        </w:rPr>
        <w:t>,</w:t>
      </w:r>
      <w:r w:rsidRPr="00B06110">
        <w:rPr>
          <w:rStyle w:val="Hyperlink"/>
          <w:color w:val="auto"/>
          <w:u w:val="none"/>
        </w:rPr>
        <w:t xml:space="preserve"> L</w:t>
      </w:r>
      <w:r w:rsidR="00857ADB">
        <w:rPr>
          <w:rStyle w:val="Hyperlink"/>
          <w:color w:val="auto"/>
          <w:u w:val="none"/>
        </w:rPr>
        <w:t>.</w:t>
      </w:r>
      <w:r w:rsidRPr="00B06110">
        <w:rPr>
          <w:rStyle w:val="Hyperlink"/>
          <w:color w:val="auto"/>
          <w:u w:val="none"/>
        </w:rPr>
        <w:t>K</w:t>
      </w:r>
      <w:r w:rsidR="00857ADB">
        <w:rPr>
          <w:rStyle w:val="Hyperlink"/>
          <w:color w:val="auto"/>
          <w:u w:val="none"/>
        </w:rPr>
        <w:t>.;</w:t>
      </w:r>
      <w:r w:rsidRPr="00B06110">
        <w:rPr>
          <w:rStyle w:val="Hyperlink"/>
          <w:color w:val="auto"/>
          <w:u w:val="none"/>
        </w:rPr>
        <w:t xml:space="preserve"> Skattebu</w:t>
      </w:r>
      <w:r w:rsidR="00857ADB">
        <w:rPr>
          <w:rStyle w:val="Hyperlink"/>
          <w:color w:val="auto"/>
          <w:u w:val="none"/>
        </w:rPr>
        <w:t>,</w:t>
      </w:r>
      <w:r w:rsidRPr="00B06110">
        <w:rPr>
          <w:rStyle w:val="Hyperlink"/>
          <w:color w:val="auto"/>
          <w:u w:val="none"/>
        </w:rPr>
        <w:t xml:space="preserve"> J</w:t>
      </w:r>
      <w:r w:rsidR="00857ADB">
        <w:rPr>
          <w:rStyle w:val="Hyperlink"/>
          <w:color w:val="auto"/>
          <w:u w:val="none"/>
        </w:rPr>
        <w:t>.;</w:t>
      </w:r>
      <w:r w:rsidRPr="00B06110">
        <w:rPr>
          <w:rStyle w:val="Hyperlink"/>
          <w:color w:val="auto"/>
          <w:u w:val="none"/>
        </w:rPr>
        <w:t xml:space="preserve"> Hertel</w:t>
      </w:r>
      <w:r w:rsidR="00857ADB">
        <w:rPr>
          <w:rStyle w:val="Hyperlink"/>
          <w:color w:val="auto"/>
          <w:u w:val="none"/>
        </w:rPr>
        <w:t>,</w:t>
      </w:r>
      <w:r w:rsidRPr="00B06110">
        <w:rPr>
          <w:rStyle w:val="Hyperlink"/>
          <w:color w:val="auto"/>
          <w:u w:val="none"/>
        </w:rPr>
        <w:t xml:space="preserve"> J</w:t>
      </w:r>
      <w:r w:rsidR="00857ADB">
        <w:rPr>
          <w:rStyle w:val="Hyperlink"/>
          <w:color w:val="auto"/>
          <w:u w:val="none"/>
        </w:rPr>
        <w:t>.</w:t>
      </w:r>
      <w:r w:rsidRPr="00B06110">
        <w:rPr>
          <w:rStyle w:val="Hyperlink"/>
          <w:color w:val="auto"/>
          <w:u w:val="none"/>
        </w:rPr>
        <w:t>K</w:t>
      </w:r>
      <w:r w:rsidR="00857ADB">
        <w:rPr>
          <w:rStyle w:val="Hyperlink"/>
          <w:color w:val="auto"/>
          <w:u w:val="none"/>
        </w:rPr>
        <w:t>.;</w:t>
      </w:r>
      <w:r w:rsidRPr="00B06110">
        <w:rPr>
          <w:rStyle w:val="Hyperlink"/>
          <w:color w:val="auto"/>
          <w:u w:val="none"/>
        </w:rPr>
        <w:t xml:space="preserve"> Hjelmesaeth</w:t>
      </w:r>
      <w:r w:rsidR="00857ADB">
        <w:rPr>
          <w:rStyle w:val="Hyperlink"/>
          <w:color w:val="auto"/>
          <w:u w:val="none"/>
        </w:rPr>
        <w:t>,</w:t>
      </w:r>
      <w:r w:rsidRPr="00B06110">
        <w:rPr>
          <w:rStyle w:val="Hyperlink"/>
          <w:color w:val="auto"/>
          <w:u w:val="none"/>
        </w:rPr>
        <w:t xml:space="preserve"> J. Effects of probiotics on body weight, body mass index, fat mass and fat percentage in subjects with overweight or obesity: a systematic review and meta-analysis of randomized controlled trials. </w:t>
      </w:r>
      <w:r w:rsidRPr="00FC6ADC">
        <w:rPr>
          <w:rStyle w:val="Hyperlink"/>
          <w:i/>
          <w:iCs/>
          <w:color w:val="auto"/>
          <w:u w:val="none"/>
        </w:rPr>
        <w:t>Obe</w:t>
      </w:r>
      <w:r w:rsidR="00FC6ADC" w:rsidRPr="00FC6ADC">
        <w:rPr>
          <w:rStyle w:val="Hyperlink"/>
          <w:i/>
          <w:iCs/>
          <w:color w:val="auto"/>
          <w:u w:val="none"/>
        </w:rPr>
        <w:t>s</w:t>
      </w:r>
      <w:r w:rsidRPr="00FC6ADC">
        <w:rPr>
          <w:rStyle w:val="Hyperlink"/>
          <w:i/>
          <w:iCs/>
          <w:color w:val="auto"/>
          <w:u w:val="none"/>
        </w:rPr>
        <w:t xml:space="preserve"> Rev</w:t>
      </w:r>
      <w:r w:rsidRPr="00B06110">
        <w:rPr>
          <w:rStyle w:val="Hyperlink"/>
          <w:color w:val="auto"/>
          <w:u w:val="none"/>
        </w:rPr>
        <w:t xml:space="preserve">. </w:t>
      </w:r>
      <w:r w:rsidRPr="00FC6ADC">
        <w:rPr>
          <w:rStyle w:val="Hyperlink"/>
          <w:b/>
          <w:bCs/>
          <w:color w:val="auto"/>
          <w:u w:val="none"/>
        </w:rPr>
        <w:t>2018</w:t>
      </w:r>
      <w:r w:rsidRPr="00B06110">
        <w:rPr>
          <w:rStyle w:val="Hyperlink"/>
          <w:color w:val="auto"/>
          <w:u w:val="none"/>
        </w:rPr>
        <w:t>; 19:219–232. doi: 10.1111/obr.12626.</w:t>
      </w:r>
    </w:p>
    <w:p w14:paraId="474F172B" w14:textId="2B8E87F5" w:rsidR="003C345F" w:rsidRPr="00B06110" w:rsidRDefault="003C345F" w:rsidP="00B06110">
      <w:pPr>
        <w:pStyle w:val="PargrafodaLista"/>
        <w:numPr>
          <w:ilvl w:val="0"/>
          <w:numId w:val="26"/>
        </w:numPr>
        <w:spacing w:after="160" w:line="240" w:lineRule="auto"/>
        <w:ind w:firstLineChars="0"/>
        <w:contextualSpacing/>
        <w:rPr>
          <w:rStyle w:val="Hyperlink"/>
          <w:color w:val="auto"/>
          <w:u w:val="none"/>
        </w:rPr>
      </w:pPr>
      <w:r w:rsidRPr="00B06110">
        <w:rPr>
          <w:rStyle w:val="Hyperlink"/>
          <w:color w:val="auto"/>
          <w:u w:val="none"/>
        </w:rPr>
        <w:t>Duranti</w:t>
      </w:r>
      <w:r w:rsidR="0075446B">
        <w:rPr>
          <w:rStyle w:val="Hyperlink"/>
          <w:color w:val="auto"/>
          <w:u w:val="none"/>
        </w:rPr>
        <w:t>,</w:t>
      </w:r>
      <w:r w:rsidRPr="00B06110">
        <w:rPr>
          <w:rStyle w:val="Hyperlink"/>
          <w:color w:val="auto"/>
          <w:u w:val="none"/>
        </w:rPr>
        <w:t xml:space="preserve"> S</w:t>
      </w:r>
      <w:r w:rsidR="0075446B">
        <w:rPr>
          <w:rStyle w:val="Hyperlink"/>
          <w:color w:val="auto"/>
          <w:u w:val="none"/>
        </w:rPr>
        <w:t>.;</w:t>
      </w:r>
      <w:r w:rsidRPr="00B06110">
        <w:rPr>
          <w:rStyle w:val="Hyperlink"/>
          <w:color w:val="auto"/>
          <w:u w:val="none"/>
        </w:rPr>
        <w:t xml:space="preserve"> Ferrario</w:t>
      </w:r>
      <w:r w:rsidR="0075446B">
        <w:rPr>
          <w:rStyle w:val="Hyperlink"/>
          <w:color w:val="auto"/>
          <w:u w:val="none"/>
        </w:rPr>
        <w:t>,</w:t>
      </w:r>
      <w:r w:rsidRPr="00B06110">
        <w:rPr>
          <w:rStyle w:val="Hyperlink"/>
          <w:color w:val="auto"/>
          <w:u w:val="none"/>
        </w:rPr>
        <w:t xml:space="preserve"> C</w:t>
      </w:r>
      <w:r w:rsidR="0075446B">
        <w:rPr>
          <w:rStyle w:val="Hyperlink"/>
          <w:color w:val="auto"/>
          <w:u w:val="none"/>
        </w:rPr>
        <w:t>.;</w:t>
      </w:r>
      <w:r w:rsidRPr="00B06110">
        <w:rPr>
          <w:rStyle w:val="Hyperlink"/>
          <w:color w:val="auto"/>
          <w:u w:val="none"/>
        </w:rPr>
        <w:t xml:space="preserve"> Sinderen</w:t>
      </w:r>
      <w:r w:rsidR="0075446B">
        <w:rPr>
          <w:rStyle w:val="Hyperlink"/>
          <w:color w:val="auto"/>
          <w:u w:val="none"/>
        </w:rPr>
        <w:t>,</w:t>
      </w:r>
      <w:r w:rsidRPr="00B06110">
        <w:rPr>
          <w:rStyle w:val="Hyperlink"/>
          <w:color w:val="auto"/>
          <w:u w:val="none"/>
        </w:rPr>
        <w:t xml:space="preserve"> D</w:t>
      </w:r>
      <w:r w:rsidR="0075446B">
        <w:rPr>
          <w:rStyle w:val="Hyperlink"/>
          <w:color w:val="auto"/>
          <w:u w:val="none"/>
        </w:rPr>
        <w:t>.</w:t>
      </w:r>
      <w:r w:rsidRPr="00B06110">
        <w:rPr>
          <w:rStyle w:val="Hyperlink"/>
          <w:color w:val="auto"/>
          <w:u w:val="none"/>
        </w:rPr>
        <w:t>V</w:t>
      </w:r>
      <w:r w:rsidR="0075446B">
        <w:rPr>
          <w:rStyle w:val="Hyperlink"/>
          <w:color w:val="auto"/>
          <w:u w:val="none"/>
        </w:rPr>
        <w:t>.;</w:t>
      </w:r>
      <w:r w:rsidRPr="00B06110">
        <w:rPr>
          <w:rStyle w:val="Hyperlink"/>
          <w:color w:val="auto"/>
          <w:u w:val="none"/>
        </w:rPr>
        <w:t xml:space="preserve"> Ventura</w:t>
      </w:r>
      <w:r w:rsidR="0075446B">
        <w:rPr>
          <w:rStyle w:val="Hyperlink"/>
          <w:color w:val="auto"/>
          <w:u w:val="none"/>
        </w:rPr>
        <w:t>,</w:t>
      </w:r>
      <w:r w:rsidRPr="00B06110">
        <w:rPr>
          <w:rStyle w:val="Hyperlink"/>
          <w:color w:val="auto"/>
          <w:u w:val="none"/>
        </w:rPr>
        <w:t xml:space="preserve"> M</w:t>
      </w:r>
      <w:r w:rsidR="0075446B">
        <w:rPr>
          <w:rStyle w:val="Hyperlink"/>
          <w:color w:val="auto"/>
          <w:u w:val="none"/>
        </w:rPr>
        <w:t>.;</w:t>
      </w:r>
      <w:r w:rsidRPr="00B06110">
        <w:rPr>
          <w:rStyle w:val="Hyperlink"/>
          <w:color w:val="auto"/>
          <w:u w:val="none"/>
        </w:rPr>
        <w:t xml:space="preserve"> Turroni</w:t>
      </w:r>
      <w:r w:rsidR="0075446B">
        <w:rPr>
          <w:rStyle w:val="Hyperlink"/>
          <w:color w:val="auto"/>
          <w:u w:val="none"/>
        </w:rPr>
        <w:t>,</w:t>
      </w:r>
      <w:r w:rsidRPr="00B06110">
        <w:rPr>
          <w:rStyle w:val="Hyperlink"/>
          <w:color w:val="auto"/>
          <w:u w:val="none"/>
        </w:rPr>
        <w:t xml:space="preserve"> F. Obesity and microbiota: an example of an intricate relationship. </w:t>
      </w:r>
      <w:r w:rsidRPr="0075446B">
        <w:rPr>
          <w:rStyle w:val="Hyperlink"/>
          <w:i/>
          <w:iCs/>
          <w:color w:val="auto"/>
          <w:u w:val="none"/>
        </w:rPr>
        <w:t>Nutr Genes</w:t>
      </w:r>
      <w:r w:rsidRPr="00B06110">
        <w:rPr>
          <w:rStyle w:val="Hyperlink"/>
          <w:color w:val="auto"/>
          <w:u w:val="none"/>
        </w:rPr>
        <w:t xml:space="preserve">. </w:t>
      </w:r>
      <w:r w:rsidRPr="0075446B">
        <w:rPr>
          <w:rStyle w:val="Hyperlink"/>
          <w:b/>
          <w:bCs/>
          <w:color w:val="auto"/>
          <w:u w:val="none"/>
        </w:rPr>
        <w:t>2017</w:t>
      </w:r>
      <w:r w:rsidRPr="00B06110">
        <w:rPr>
          <w:rStyle w:val="Hyperlink"/>
          <w:color w:val="auto"/>
          <w:u w:val="none"/>
        </w:rPr>
        <w:t>; 12:18. doi: 10.1186/s12263-017-0566-2.</w:t>
      </w:r>
    </w:p>
    <w:p w14:paraId="40389F0B" w14:textId="37645A5E"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Style w:val="Hyperlink"/>
          <w:color w:val="auto"/>
          <w:u w:val="none"/>
        </w:rPr>
        <w:t>Vijay</w:t>
      </w:r>
      <w:r w:rsidR="002A08CF">
        <w:rPr>
          <w:rStyle w:val="Hyperlink"/>
          <w:color w:val="auto"/>
          <w:u w:val="none"/>
        </w:rPr>
        <w:t>,</w:t>
      </w:r>
      <w:r w:rsidRPr="00B06110">
        <w:rPr>
          <w:rStyle w:val="Hyperlink"/>
          <w:color w:val="auto"/>
          <w:u w:val="none"/>
        </w:rPr>
        <w:t xml:space="preserve"> A</w:t>
      </w:r>
      <w:r w:rsidR="002A08CF">
        <w:rPr>
          <w:rStyle w:val="Hyperlink"/>
          <w:color w:val="auto"/>
          <w:u w:val="none"/>
        </w:rPr>
        <w:t>.;</w:t>
      </w:r>
      <w:r w:rsidRPr="00B06110">
        <w:rPr>
          <w:rStyle w:val="Hyperlink"/>
          <w:color w:val="auto"/>
          <w:u w:val="none"/>
        </w:rPr>
        <w:t xml:space="preserve"> Valdes</w:t>
      </w:r>
      <w:r w:rsidR="002A08CF">
        <w:rPr>
          <w:rStyle w:val="Hyperlink"/>
          <w:color w:val="auto"/>
          <w:u w:val="none"/>
        </w:rPr>
        <w:t>,</w:t>
      </w:r>
      <w:r w:rsidRPr="00B06110">
        <w:rPr>
          <w:rStyle w:val="Hyperlink"/>
          <w:color w:val="auto"/>
          <w:u w:val="none"/>
        </w:rPr>
        <w:t xml:space="preserve"> A</w:t>
      </w:r>
      <w:r w:rsidR="002A08CF">
        <w:rPr>
          <w:rStyle w:val="Hyperlink"/>
          <w:color w:val="auto"/>
          <w:u w:val="none"/>
        </w:rPr>
        <w:t>.</w:t>
      </w:r>
      <w:r w:rsidRPr="00B06110">
        <w:rPr>
          <w:rStyle w:val="Hyperlink"/>
          <w:color w:val="auto"/>
          <w:u w:val="none"/>
        </w:rPr>
        <w:t xml:space="preserve">M. Role of the gut microbiome in chronic diseases: a narrative review. </w:t>
      </w:r>
      <w:r w:rsidRPr="002A08CF">
        <w:rPr>
          <w:rStyle w:val="Hyperlink"/>
          <w:i/>
          <w:iCs/>
          <w:color w:val="auto"/>
          <w:u w:val="none"/>
        </w:rPr>
        <w:t>Eur J Clin</w:t>
      </w:r>
      <w:r w:rsidR="002A08CF" w:rsidRPr="002A08CF">
        <w:rPr>
          <w:rStyle w:val="Hyperlink"/>
          <w:i/>
          <w:iCs/>
          <w:color w:val="auto"/>
          <w:u w:val="none"/>
        </w:rPr>
        <w:t xml:space="preserve"> </w:t>
      </w:r>
      <w:r w:rsidRPr="002A08CF">
        <w:rPr>
          <w:rStyle w:val="Hyperlink"/>
          <w:i/>
          <w:iCs/>
          <w:color w:val="auto"/>
          <w:u w:val="none"/>
        </w:rPr>
        <w:t>Nutr</w:t>
      </w:r>
      <w:r w:rsidRPr="00B06110">
        <w:rPr>
          <w:rStyle w:val="Hyperlink"/>
          <w:color w:val="auto"/>
          <w:u w:val="none"/>
        </w:rPr>
        <w:t xml:space="preserve">. </w:t>
      </w:r>
      <w:r w:rsidRPr="002A08CF">
        <w:rPr>
          <w:rStyle w:val="Hyperlink"/>
          <w:b/>
          <w:bCs/>
          <w:color w:val="auto"/>
          <w:u w:val="none"/>
        </w:rPr>
        <w:t>2022</w:t>
      </w:r>
      <w:r w:rsidRPr="00B06110">
        <w:rPr>
          <w:rStyle w:val="Hyperlink"/>
          <w:color w:val="auto"/>
          <w:u w:val="none"/>
        </w:rPr>
        <w:t>; 76:489-501. doi:10.1038/s41430-021-00991-6.</w:t>
      </w:r>
    </w:p>
    <w:p w14:paraId="573A3B57" w14:textId="55DEE0C2" w:rsidR="003C345F" w:rsidRPr="00B06110" w:rsidRDefault="003C345F" w:rsidP="00B06110">
      <w:pPr>
        <w:pStyle w:val="PargrafodaLista"/>
        <w:numPr>
          <w:ilvl w:val="0"/>
          <w:numId w:val="26"/>
        </w:numPr>
        <w:spacing w:after="160" w:line="240" w:lineRule="auto"/>
        <w:ind w:firstLineChars="0"/>
        <w:contextualSpacing/>
        <w:rPr>
          <w:rStyle w:val="Hyperlink"/>
          <w:color w:val="auto"/>
          <w:u w:val="none"/>
        </w:rPr>
      </w:pPr>
      <w:r w:rsidRPr="00B06110">
        <w:rPr>
          <w:rStyle w:val="Hyperlink"/>
          <w:color w:val="auto"/>
          <w:u w:val="none"/>
          <w:lang w:val="pt-BR"/>
        </w:rPr>
        <w:t>Brusaferro</w:t>
      </w:r>
      <w:r w:rsidR="0034202F">
        <w:rPr>
          <w:rStyle w:val="Hyperlink"/>
          <w:color w:val="auto"/>
          <w:u w:val="none"/>
          <w:lang w:val="pt-BR"/>
        </w:rPr>
        <w:t>,</w:t>
      </w:r>
      <w:r w:rsidRPr="00B06110">
        <w:rPr>
          <w:rStyle w:val="Hyperlink"/>
          <w:color w:val="auto"/>
          <w:u w:val="none"/>
          <w:lang w:val="pt-BR"/>
        </w:rPr>
        <w:t xml:space="preserve"> A</w:t>
      </w:r>
      <w:r w:rsidR="0034202F">
        <w:rPr>
          <w:rStyle w:val="Hyperlink"/>
          <w:color w:val="auto"/>
          <w:u w:val="none"/>
          <w:lang w:val="pt-BR"/>
        </w:rPr>
        <w:t>.;</w:t>
      </w:r>
      <w:r w:rsidRPr="00B06110">
        <w:rPr>
          <w:rStyle w:val="Hyperlink"/>
          <w:color w:val="auto"/>
          <w:u w:val="none"/>
          <w:lang w:val="pt-BR"/>
        </w:rPr>
        <w:t xml:space="preserve"> Cozzali</w:t>
      </w:r>
      <w:r w:rsidR="0034202F">
        <w:rPr>
          <w:rStyle w:val="Hyperlink"/>
          <w:color w:val="auto"/>
          <w:u w:val="none"/>
          <w:lang w:val="pt-BR"/>
        </w:rPr>
        <w:t>,</w:t>
      </w:r>
      <w:r w:rsidRPr="00B06110">
        <w:rPr>
          <w:rStyle w:val="Hyperlink"/>
          <w:color w:val="auto"/>
          <w:u w:val="none"/>
          <w:lang w:val="pt-BR"/>
        </w:rPr>
        <w:t xml:space="preserve"> R</w:t>
      </w:r>
      <w:r w:rsidR="0034202F">
        <w:rPr>
          <w:rStyle w:val="Hyperlink"/>
          <w:color w:val="auto"/>
          <w:u w:val="none"/>
          <w:lang w:val="pt-BR"/>
        </w:rPr>
        <w:t>.;</w:t>
      </w:r>
      <w:r w:rsidRPr="00B06110">
        <w:rPr>
          <w:rStyle w:val="Hyperlink"/>
          <w:color w:val="auto"/>
          <w:u w:val="none"/>
          <w:lang w:val="pt-BR"/>
        </w:rPr>
        <w:t xml:space="preserve"> Orabona</w:t>
      </w:r>
      <w:r w:rsidR="0034202F">
        <w:rPr>
          <w:rStyle w:val="Hyperlink"/>
          <w:color w:val="auto"/>
          <w:u w:val="none"/>
          <w:lang w:val="pt-BR"/>
        </w:rPr>
        <w:t>,</w:t>
      </w:r>
      <w:r w:rsidRPr="00B06110">
        <w:rPr>
          <w:rStyle w:val="Hyperlink"/>
          <w:color w:val="auto"/>
          <w:u w:val="none"/>
          <w:lang w:val="pt-BR"/>
        </w:rPr>
        <w:t xml:space="preserve"> C</w:t>
      </w:r>
      <w:r w:rsidR="0034202F">
        <w:rPr>
          <w:rStyle w:val="Hyperlink"/>
          <w:color w:val="auto"/>
          <w:u w:val="none"/>
          <w:lang w:val="pt-BR"/>
        </w:rPr>
        <w:t>.;</w:t>
      </w:r>
      <w:r w:rsidRPr="00B06110">
        <w:rPr>
          <w:rStyle w:val="Hyperlink"/>
          <w:color w:val="auto"/>
          <w:u w:val="none"/>
          <w:lang w:val="pt-BR"/>
        </w:rPr>
        <w:t xml:space="preserve"> Biscarini A, Farinelli E, Cavalli E et al. </w:t>
      </w:r>
      <w:r w:rsidRPr="00B06110">
        <w:rPr>
          <w:rStyle w:val="Hyperlink"/>
          <w:color w:val="auto"/>
          <w:u w:val="none"/>
        </w:rPr>
        <w:t xml:space="preserve">Is It Time to Use Probiotics to Prevent or Treat Obesity? </w:t>
      </w:r>
      <w:r w:rsidRPr="00583CFA">
        <w:rPr>
          <w:rStyle w:val="Hyperlink"/>
          <w:i/>
          <w:iCs/>
          <w:color w:val="auto"/>
          <w:u w:val="none"/>
        </w:rPr>
        <w:t>Nutrients</w:t>
      </w:r>
      <w:r w:rsidRPr="00B06110">
        <w:rPr>
          <w:rStyle w:val="Hyperlink"/>
          <w:color w:val="auto"/>
          <w:u w:val="none"/>
        </w:rPr>
        <w:t xml:space="preserve">. </w:t>
      </w:r>
      <w:r w:rsidRPr="00DB04EB">
        <w:rPr>
          <w:rStyle w:val="Hyperlink"/>
          <w:b/>
          <w:bCs/>
          <w:color w:val="auto"/>
          <w:u w:val="none"/>
        </w:rPr>
        <w:t>2018</w:t>
      </w:r>
      <w:r w:rsidRPr="00B06110">
        <w:rPr>
          <w:rStyle w:val="Hyperlink"/>
          <w:color w:val="auto"/>
          <w:u w:val="none"/>
        </w:rPr>
        <w:t>;</w:t>
      </w:r>
      <w:r w:rsidR="00187502">
        <w:rPr>
          <w:rStyle w:val="Hyperlink"/>
          <w:color w:val="auto"/>
          <w:u w:val="none"/>
        </w:rPr>
        <w:t xml:space="preserve"> 10(11</w:t>
      </w:r>
      <w:r w:rsidR="00A57E7B">
        <w:rPr>
          <w:rStyle w:val="Hyperlink"/>
          <w:color w:val="auto"/>
          <w:u w:val="none"/>
        </w:rPr>
        <w:t>)</w:t>
      </w:r>
      <w:r w:rsidR="00187502">
        <w:rPr>
          <w:rStyle w:val="Hyperlink"/>
          <w:color w:val="auto"/>
          <w:u w:val="none"/>
        </w:rPr>
        <w:t>:1613</w:t>
      </w:r>
      <w:r w:rsidRPr="00B06110">
        <w:rPr>
          <w:rStyle w:val="Hyperlink"/>
          <w:color w:val="auto"/>
          <w:u w:val="none"/>
        </w:rPr>
        <w:t>. doi:10.3390/nu10111613.</w:t>
      </w:r>
    </w:p>
    <w:p w14:paraId="70036A58" w14:textId="09F5CB08" w:rsidR="003C345F" w:rsidRPr="00B06110" w:rsidRDefault="003C345F" w:rsidP="00B06110">
      <w:pPr>
        <w:pStyle w:val="PargrafodaLista"/>
        <w:numPr>
          <w:ilvl w:val="0"/>
          <w:numId w:val="26"/>
        </w:numPr>
        <w:spacing w:after="160" w:line="240" w:lineRule="auto"/>
        <w:ind w:firstLineChars="0"/>
        <w:contextualSpacing/>
        <w:rPr>
          <w:rFonts w:eastAsia="Times New Roman"/>
          <w:color w:val="000000" w:themeColor="text1"/>
        </w:rPr>
      </w:pPr>
      <w:r w:rsidRPr="00B06110">
        <w:rPr>
          <w:rFonts w:eastAsia="Times New Roman"/>
          <w:color w:val="000000" w:themeColor="text1"/>
        </w:rPr>
        <w:t>Parkar</w:t>
      </w:r>
      <w:r w:rsidR="007A4B52">
        <w:rPr>
          <w:rFonts w:eastAsia="Times New Roman"/>
          <w:color w:val="000000" w:themeColor="text1"/>
        </w:rPr>
        <w:t>,</w:t>
      </w:r>
      <w:r w:rsidRPr="00B06110">
        <w:rPr>
          <w:rFonts w:eastAsia="Times New Roman"/>
          <w:color w:val="000000" w:themeColor="text1"/>
        </w:rPr>
        <w:t xml:space="preserve"> S</w:t>
      </w:r>
      <w:r w:rsidR="007A4B52">
        <w:rPr>
          <w:rFonts w:eastAsia="Times New Roman"/>
          <w:color w:val="000000" w:themeColor="text1"/>
        </w:rPr>
        <w:t>.</w:t>
      </w:r>
      <w:r w:rsidRPr="00B06110">
        <w:rPr>
          <w:rFonts w:eastAsia="Times New Roman"/>
          <w:color w:val="000000" w:themeColor="text1"/>
        </w:rPr>
        <w:t>G</w:t>
      </w:r>
      <w:r w:rsidR="007A4B52">
        <w:rPr>
          <w:rFonts w:eastAsia="Times New Roman"/>
          <w:color w:val="000000" w:themeColor="text1"/>
        </w:rPr>
        <w:t>.;</w:t>
      </w:r>
      <w:r w:rsidRPr="00B06110">
        <w:rPr>
          <w:rFonts w:eastAsia="Times New Roman"/>
          <w:color w:val="000000" w:themeColor="text1"/>
        </w:rPr>
        <w:t xml:space="preserve"> Kalsbeek</w:t>
      </w:r>
      <w:r w:rsidR="007A4B52">
        <w:rPr>
          <w:rFonts w:eastAsia="Times New Roman"/>
          <w:color w:val="000000" w:themeColor="text1"/>
        </w:rPr>
        <w:t>,</w:t>
      </w:r>
      <w:r w:rsidRPr="00B06110">
        <w:rPr>
          <w:rFonts w:eastAsia="Times New Roman"/>
          <w:color w:val="000000" w:themeColor="text1"/>
        </w:rPr>
        <w:t xml:space="preserve"> A</w:t>
      </w:r>
      <w:r w:rsidR="007A4B52">
        <w:rPr>
          <w:rFonts w:eastAsia="Times New Roman"/>
          <w:color w:val="000000" w:themeColor="text1"/>
        </w:rPr>
        <w:t>.;</w:t>
      </w:r>
      <w:r w:rsidRPr="00B06110">
        <w:rPr>
          <w:rFonts w:eastAsia="Times New Roman"/>
          <w:color w:val="000000" w:themeColor="text1"/>
        </w:rPr>
        <w:t xml:space="preserve"> Cheeseman</w:t>
      </w:r>
      <w:r w:rsidR="007A4B52">
        <w:rPr>
          <w:rFonts w:eastAsia="Times New Roman"/>
          <w:color w:val="000000" w:themeColor="text1"/>
        </w:rPr>
        <w:t>,</w:t>
      </w:r>
      <w:r w:rsidRPr="00B06110">
        <w:rPr>
          <w:rFonts w:eastAsia="Times New Roman"/>
          <w:color w:val="000000" w:themeColor="text1"/>
        </w:rPr>
        <w:t xml:space="preserve"> J</w:t>
      </w:r>
      <w:r w:rsidR="007A4B52">
        <w:rPr>
          <w:rFonts w:eastAsia="Times New Roman"/>
          <w:color w:val="000000" w:themeColor="text1"/>
        </w:rPr>
        <w:t>.</w:t>
      </w:r>
      <w:r w:rsidRPr="00B06110">
        <w:rPr>
          <w:rFonts w:eastAsia="Times New Roman"/>
          <w:color w:val="000000" w:themeColor="text1"/>
        </w:rPr>
        <w:t xml:space="preserve">F. Potential Role for the Gut Microbiota in Modulating Host Circadian Rhythms and Metabolic Health. </w:t>
      </w:r>
      <w:r w:rsidRPr="007A4B52">
        <w:rPr>
          <w:rFonts w:eastAsia="Times New Roman"/>
          <w:i/>
          <w:iCs/>
          <w:color w:val="000000" w:themeColor="text1"/>
        </w:rPr>
        <w:t>Microorganisms</w:t>
      </w:r>
      <w:r w:rsidRPr="00B06110">
        <w:rPr>
          <w:rFonts w:eastAsia="Times New Roman"/>
          <w:color w:val="000000" w:themeColor="text1"/>
        </w:rPr>
        <w:t xml:space="preserve">. </w:t>
      </w:r>
      <w:r w:rsidRPr="00FE1190">
        <w:rPr>
          <w:rFonts w:eastAsia="Times New Roman"/>
          <w:b/>
          <w:bCs/>
          <w:color w:val="000000" w:themeColor="text1"/>
        </w:rPr>
        <w:t>2019</w:t>
      </w:r>
      <w:r w:rsidRPr="00B06110">
        <w:rPr>
          <w:rFonts w:eastAsia="Times New Roman"/>
          <w:color w:val="000000" w:themeColor="text1"/>
        </w:rPr>
        <w:t>; 7:41. doi: 10.3390/microorganisms7020041.</w:t>
      </w:r>
    </w:p>
    <w:p w14:paraId="4E13A7D5" w14:textId="4DFA3F69"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CF64C4">
        <w:rPr>
          <w:rFonts w:eastAsia="Times New Roman"/>
          <w:color w:val="202020"/>
        </w:rPr>
        <w:t>Aya</w:t>
      </w:r>
      <w:r w:rsidR="00CF64C4" w:rsidRPr="00CF64C4">
        <w:rPr>
          <w:rFonts w:eastAsia="Times New Roman"/>
          <w:color w:val="202020"/>
        </w:rPr>
        <w:t>,</w:t>
      </w:r>
      <w:r w:rsidRPr="00CF64C4">
        <w:rPr>
          <w:rFonts w:eastAsia="Times New Roman"/>
          <w:color w:val="202020"/>
        </w:rPr>
        <w:t xml:space="preserve"> V</w:t>
      </w:r>
      <w:r w:rsidR="00CF64C4" w:rsidRPr="00CF64C4">
        <w:rPr>
          <w:rFonts w:eastAsia="Times New Roman"/>
          <w:color w:val="202020"/>
        </w:rPr>
        <w:t>.;</w:t>
      </w:r>
      <w:r w:rsidRPr="00CF64C4">
        <w:rPr>
          <w:rFonts w:eastAsia="Times New Roman"/>
          <w:color w:val="202020"/>
        </w:rPr>
        <w:t xml:space="preserve"> Flórez</w:t>
      </w:r>
      <w:r w:rsidR="00CF64C4" w:rsidRPr="00CF64C4">
        <w:rPr>
          <w:rFonts w:eastAsia="Times New Roman"/>
          <w:color w:val="202020"/>
        </w:rPr>
        <w:t>,</w:t>
      </w:r>
      <w:r w:rsidRPr="00CF64C4">
        <w:rPr>
          <w:rFonts w:eastAsia="Times New Roman"/>
          <w:color w:val="202020"/>
        </w:rPr>
        <w:t xml:space="preserve"> A</w:t>
      </w:r>
      <w:r w:rsidR="00CF64C4" w:rsidRPr="00CF64C4">
        <w:rPr>
          <w:rFonts w:eastAsia="Times New Roman"/>
          <w:color w:val="202020"/>
        </w:rPr>
        <w:t>.;</w:t>
      </w:r>
      <w:r w:rsidRPr="00CF64C4">
        <w:rPr>
          <w:rFonts w:eastAsia="Times New Roman"/>
          <w:color w:val="202020"/>
        </w:rPr>
        <w:t xml:space="preserve"> Perez</w:t>
      </w:r>
      <w:r w:rsidR="00CF64C4" w:rsidRPr="00CF64C4">
        <w:rPr>
          <w:rFonts w:eastAsia="Times New Roman"/>
          <w:color w:val="202020"/>
        </w:rPr>
        <w:t>,</w:t>
      </w:r>
      <w:r w:rsidRPr="00CF64C4">
        <w:rPr>
          <w:rFonts w:eastAsia="Times New Roman"/>
          <w:color w:val="202020"/>
        </w:rPr>
        <w:t xml:space="preserve"> L</w:t>
      </w:r>
      <w:r w:rsidR="00CF64C4" w:rsidRPr="00CF64C4">
        <w:rPr>
          <w:rFonts w:eastAsia="Times New Roman"/>
          <w:color w:val="202020"/>
        </w:rPr>
        <w:t>.;</w:t>
      </w:r>
      <w:r w:rsidRPr="00CF64C4">
        <w:rPr>
          <w:rFonts w:eastAsia="Times New Roman"/>
          <w:color w:val="202020"/>
        </w:rPr>
        <w:t xml:space="preserve"> Ramírez</w:t>
      </w:r>
      <w:r w:rsidR="00CF64C4" w:rsidRPr="00CF64C4">
        <w:rPr>
          <w:rFonts w:eastAsia="Times New Roman"/>
          <w:color w:val="202020"/>
        </w:rPr>
        <w:t>,</w:t>
      </w:r>
      <w:r w:rsidRPr="00CF64C4">
        <w:rPr>
          <w:rFonts w:eastAsia="Times New Roman"/>
          <w:color w:val="202020"/>
        </w:rPr>
        <w:t xml:space="preserve"> J</w:t>
      </w:r>
      <w:r w:rsidR="00CF64C4" w:rsidRPr="00CF64C4">
        <w:rPr>
          <w:rFonts w:eastAsia="Times New Roman"/>
          <w:color w:val="202020"/>
        </w:rPr>
        <w:t>.</w:t>
      </w:r>
      <w:r w:rsidRPr="00CF64C4">
        <w:rPr>
          <w:rFonts w:eastAsia="Times New Roman"/>
          <w:color w:val="202020"/>
        </w:rPr>
        <w:t xml:space="preserve">D. </w:t>
      </w:r>
      <w:r w:rsidRPr="00B06110">
        <w:rPr>
          <w:rFonts w:eastAsia="Times New Roman"/>
          <w:color w:val="202020"/>
        </w:rPr>
        <w:t xml:space="preserve">Association between physical activity and changes in intestinal microbiota composition: A systematic review. </w:t>
      </w:r>
      <w:r w:rsidRPr="007A4B52">
        <w:rPr>
          <w:rFonts w:eastAsia="Times New Roman"/>
          <w:i/>
          <w:iCs/>
          <w:color w:val="202020"/>
        </w:rPr>
        <w:t>PLoS ONE</w:t>
      </w:r>
      <w:r w:rsidRPr="00B06110">
        <w:rPr>
          <w:rFonts w:eastAsia="Times New Roman"/>
          <w:color w:val="202020"/>
        </w:rPr>
        <w:t xml:space="preserve">. </w:t>
      </w:r>
      <w:r w:rsidRPr="00FE1190">
        <w:rPr>
          <w:rFonts w:eastAsia="Times New Roman"/>
          <w:b/>
          <w:bCs/>
          <w:color w:val="202020"/>
        </w:rPr>
        <w:t>2021</w:t>
      </w:r>
      <w:r w:rsidRPr="00B06110">
        <w:rPr>
          <w:rFonts w:eastAsia="Times New Roman"/>
          <w:color w:val="202020"/>
        </w:rPr>
        <w:t>; 16:e0247039. doi.org/10.1371/journal.pone.0247039.</w:t>
      </w:r>
    </w:p>
    <w:p w14:paraId="631A6594" w14:textId="0450D4DC"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shd w:val="clear" w:color="auto" w:fill="FFFFFF"/>
        </w:rPr>
      </w:pPr>
      <w:r w:rsidRPr="00B06110">
        <w:rPr>
          <w:rFonts w:eastAsia="Times New Roman"/>
          <w:color w:val="202020"/>
        </w:rPr>
        <w:t>Hadi</w:t>
      </w:r>
      <w:r w:rsidR="00CF64C4">
        <w:rPr>
          <w:rFonts w:eastAsia="Times New Roman"/>
          <w:color w:val="202020"/>
        </w:rPr>
        <w:t>,</w:t>
      </w:r>
      <w:r w:rsidRPr="00B06110">
        <w:rPr>
          <w:rFonts w:eastAsia="Times New Roman"/>
          <w:color w:val="202020"/>
        </w:rPr>
        <w:t xml:space="preserve"> A</w:t>
      </w:r>
      <w:r w:rsidR="00CF64C4">
        <w:rPr>
          <w:rFonts w:eastAsia="Times New Roman"/>
          <w:color w:val="202020"/>
        </w:rPr>
        <w:t>.;</w:t>
      </w:r>
      <w:r w:rsidRPr="00B06110">
        <w:rPr>
          <w:rFonts w:eastAsia="Times New Roman"/>
          <w:color w:val="202020"/>
        </w:rPr>
        <w:t xml:space="preserve"> Sepandi</w:t>
      </w:r>
      <w:r w:rsidR="00CF64C4">
        <w:rPr>
          <w:rFonts w:eastAsia="Times New Roman"/>
          <w:color w:val="202020"/>
        </w:rPr>
        <w:t>,</w:t>
      </w:r>
      <w:r w:rsidRPr="00B06110">
        <w:rPr>
          <w:rFonts w:eastAsia="Times New Roman"/>
          <w:color w:val="202020"/>
        </w:rPr>
        <w:t xml:space="preserve"> M</w:t>
      </w:r>
      <w:r w:rsidR="00CF64C4">
        <w:rPr>
          <w:rFonts w:eastAsia="Times New Roman"/>
          <w:color w:val="202020"/>
        </w:rPr>
        <w:t>.;</w:t>
      </w:r>
      <w:r w:rsidRPr="00B06110">
        <w:rPr>
          <w:rFonts w:eastAsia="Times New Roman"/>
          <w:color w:val="202020"/>
        </w:rPr>
        <w:t xml:space="preserve"> Marx</w:t>
      </w:r>
      <w:r w:rsidR="00CF64C4">
        <w:rPr>
          <w:rFonts w:eastAsia="Times New Roman"/>
          <w:color w:val="202020"/>
        </w:rPr>
        <w:t>,</w:t>
      </w:r>
      <w:r w:rsidRPr="00B06110">
        <w:rPr>
          <w:rFonts w:eastAsia="Times New Roman"/>
          <w:color w:val="202020"/>
        </w:rPr>
        <w:t xml:space="preserve"> W</w:t>
      </w:r>
      <w:r w:rsidR="00CF64C4">
        <w:rPr>
          <w:rFonts w:eastAsia="Times New Roman"/>
          <w:color w:val="202020"/>
        </w:rPr>
        <w:t>.;</w:t>
      </w:r>
      <w:r w:rsidRPr="00B06110">
        <w:rPr>
          <w:rFonts w:eastAsia="Times New Roman"/>
          <w:color w:val="202020"/>
        </w:rPr>
        <w:t xml:space="preserve"> Moradi</w:t>
      </w:r>
      <w:r w:rsidR="00CF64C4">
        <w:rPr>
          <w:rFonts w:eastAsia="Times New Roman"/>
          <w:color w:val="202020"/>
        </w:rPr>
        <w:t>,</w:t>
      </w:r>
      <w:r w:rsidRPr="00B06110">
        <w:rPr>
          <w:rFonts w:eastAsia="Times New Roman"/>
          <w:color w:val="202020"/>
        </w:rPr>
        <w:t xml:space="preserve"> S</w:t>
      </w:r>
      <w:r w:rsidR="00CF64C4">
        <w:rPr>
          <w:rFonts w:eastAsia="Times New Roman"/>
          <w:color w:val="202020"/>
        </w:rPr>
        <w:t>.;</w:t>
      </w:r>
      <w:r w:rsidRPr="00B06110">
        <w:rPr>
          <w:rFonts w:eastAsia="Times New Roman"/>
          <w:color w:val="202020"/>
        </w:rPr>
        <w:t xml:space="preserve"> Parastouei</w:t>
      </w:r>
      <w:r w:rsidR="00CF64C4">
        <w:rPr>
          <w:rFonts w:eastAsia="Times New Roman"/>
          <w:color w:val="202020"/>
        </w:rPr>
        <w:t>,</w:t>
      </w:r>
      <w:r w:rsidRPr="00B06110">
        <w:rPr>
          <w:rFonts w:eastAsia="Times New Roman"/>
          <w:color w:val="202020"/>
        </w:rPr>
        <w:t xml:space="preserve"> K. Clinical and psychological responses to synbiotic supplementation in obese or overweight adults: A randomized clinical trial. </w:t>
      </w:r>
      <w:r w:rsidRPr="004C3217">
        <w:rPr>
          <w:rFonts w:eastAsia="Times New Roman"/>
          <w:i/>
          <w:iCs/>
          <w:color w:val="202020"/>
        </w:rPr>
        <w:t>Complement Ther Med</w:t>
      </w:r>
      <w:r w:rsidRPr="00B06110">
        <w:rPr>
          <w:rFonts w:eastAsia="Times New Roman"/>
          <w:color w:val="202020"/>
        </w:rPr>
        <w:t xml:space="preserve">. </w:t>
      </w:r>
      <w:r w:rsidRPr="00C87BFA">
        <w:rPr>
          <w:rFonts w:eastAsia="Times New Roman"/>
          <w:b/>
          <w:bCs/>
          <w:color w:val="202020"/>
        </w:rPr>
        <w:t>2019</w:t>
      </w:r>
      <w:r w:rsidRPr="00B06110">
        <w:rPr>
          <w:rFonts w:eastAsia="Times New Roman"/>
          <w:color w:val="202020"/>
        </w:rPr>
        <w:t>; 47:102216. doi: 10.1016/j.ctim.2019.102216.</w:t>
      </w:r>
    </w:p>
    <w:p w14:paraId="06B7B862" w14:textId="7B955E81"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lastRenderedPageBreak/>
        <w:t>Fan</w:t>
      </w:r>
      <w:r w:rsidR="00C87BFA">
        <w:rPr>
          <w:rFonts w:eastAsia="Times New Roman"/>
          <w:color w:val="202020"/>
        </w:rPr>
        <w:t>,</w:t>
      </w:r>
      <w:r w:rsidRPr="00B06110">
        <w:rPr>
          <w:rFonts w:eastAsia="Times New Roman"/>
          <w:color w:val="202020"/>
        </w:rPr>
        <w:t xml:space="preserve"> Y</w:t>
      </w:r>
      <w:r w:rsidR="00C87BFA">
        <w:rPr>
          <w:rFonts w:eastAsia="Times New Roman"/>
          <w:color w:val="202020"/>
        </w:rPr>
        <w:t>.;</w:t>
      </w:r>
      <w:r w:rsidRPr="00B06110">
        <w:rPr>
          <w:rFonts w:eastAsia="Times New Roman"/>
          <w:color w:val="202020"/>
        </w:rPr>
        <w:t xml:space="preserve"> Pedersen</w:t>
      </w:r>
      <w:r w:rsidR="00C87BFA">
        <w:rPr>
          <w:rFonts w:eastAsia="Times New Roman"/>
          <w:color w:val="202020"/>
        </w:rPr>
        <w:t>,</w:t>
      </w:r>
      <w:r w:rsidRPr="00B06110">
        <w:rPr>
          <w:rFonts w:eastAsia="Times New Roman"/>
          <w:color w:val="202020"/>
        </w:rPr>
        <w:t xml:space="preserve"> O. Gut microbiota in human metabolic health and disease. </w:t>
      </w:r>
      <w:r w:rsidRPr="00085735">
        <w:rPr>
          <w:rFonts w:eastAsia="Times New Roman"/>
          <w:i/>
          <w:iCs/>
          <w:color w:val="202020"/>
        </w:rPr>
        <w:t>Nat Rev Microbiol</w:t>
      </w:r>
      <w:r w:rsidRPr="00B06110">
        <w:rPr>
          <w:rFonts w:eastAsia="Times New Roman"/>
          <w:color w:val="202020"/>
        </w:rPr>
        <w:t xml:space="preserve">. </w:t>
      </w:r>
      <w:r w:rsidRPr="00C87BFA">
        <w:rPr>
          <w:rFonts w:eastAsia="Times New Roman"/>
          <w:b/>
          <w:bCs/>
          <w:color w:val="202020"/>
        </w:rPr>
        <w:t>2021</w:t>
      </w:r>
      <w:r w:rsidRPr="00B06110">
        <w:rPr>
          <w:rFonts w:eastAsia="Times New Roman"/>
          <w:color w:val="202020"/>
        </w:rPr>
        <w:t>; 19:55-71. doi: 10.1038/s41579-020-0433-9.</w:t>
      </w:r>
    </w:p>
    <w:p w14:paraId="5129445E" w14:textId="27436780"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color w:val="202020"/>
        </w:rPr>
        <w:t>Sankararaman</w:t>
      </w:r>
      <w:r w:rsidR="00085735">
        <w:rPr>
          <w:rFonts w:eastAsia="Times New Roman"/>
          <w:color w:val="202020"/>
        </w:rPr>
        <w:t>,</w:t>
      </w:r>
      <w:r w:rsidRPr="00B06110">
        <w:rPr>
          <w:rFonts w:eastAsia="Times New Roman"/>
          <w:color w:val="202020"/>
        </w:rPr>
        <w:t xml:space="preserve"> S</w:t>
      </w:r>
      <w:r w:rsidR="00085735">
        <w:rPr>
          <w:rFonts w:eastAsia="Times New Roman"/>
          <w:color w:val="202020"/>
        </w:rPr>
        <w:t>.;</w:t>
      </w:r>
      <w:r w:rsidRPr="00B06110">
        <w:rPr>
          <w:rFonts w:eastAsia="Times New Roman"/>
          <w:color w:val="202020"/>
        </w:rPr>
        <w:t xml:space="preserve"> Noriega</w:t>
      </w:r>
      <w:r w:rsidR="00085735">
        <w:rPr>
          <w:rFonts w:eastAsia="Times New Roman"/>
          <w:color w:val="202020"/>
        </w:rPr>
        <w:t>,</w:t>
      </w:r>
      <w:r w:rsidRPr="00B06110">
        <w:rPr>
          <w:rFonts w:eastAsia="Times New Roman"/>
          <w:color w:val="202020"/>
        </w:rPr>
        <w:t xml:space="preserve"> K</w:t>
      </w:r>
      <w:r w:rsidR="00085735">
        <w:rPr>
          <w:rFonts w:eastAsia="Times New Roman"/>
          <w:color w:val="202020"/>
        </w:rPr>
        <w:t>.;</w:t>
      </w:r>
      <w:r w:rsidRPr="00B06110">
        <w:rPr>
          <w:rFonts w:eastAsia="Times New Roman"/>
          <w:color w:val="202020"/>
        </w:rPr>
        <w:t xml:space="preserve"> Velayuthan</w:t>
      </w:r>
      <w:r w:rsidR="00085735">
        <w:rPr>
          <w:rFonts w:eastAsia="Times New Roman"/>
          <w:color w:val="202020"/>
        </w:rPr>
        <w:t>,</w:t>
      </w:r>
      <w:r w:rsidRPr="00B06110">
        <w:rPr>
          <w:rFonts w:eastAsia="Times New Roman"/>
          <w:color w:val="202020"/>
        </w:rPr>
        <w:t xml:space="preserve"> S</w:t>
      </w:r>
      <w:r w:rsidR="00085735">
        <w:rPr>
          <w:rFonts w:eastAsia="Times New Roman"/>
          <w:color w:val="202020"/>
        </w:rPr>
        <w:t>.;</w:t>
      </w:r>
      <w:r w:rsidRPr="00B06110">
        <w:rPr>
          <w:rFonts w:eastAsia="Times New Roman"/>
          <w:color w:val="202020"/>
        </w:rPr>
        <w:t xml:space="preserve"> Sferra</w:t>
      </w:r>
      <w:r w:rsidR="00085735">
        <w:rPr>
          <w:rFonts w:eastAsia="Times New Roman"/>
          <w:color w:val="202020"/>
        </w:rPr>
        <w:t>,</w:t>
      </w:r>
      <w:r w:rsidRPr="00B06110">
        <w:rPr>
          <w:rFonts w:eastAsia="Times New Roman"/>
          <w:color w:val="202020"/>
        </w:rPr>
        <w:t xml:space="preserve"> T</w:t>
      </w:r>
      <w:r w:rsidR="00085735">
        <w:rPr>
          <w:rFonts w:eastAsia="Times New Roman"/>
          <w:color w:val="202020"/>
        </w:rPr>
        <w:t>.;</w:t>
      </w:r>
      <w:r w:rsidRPr="00B06110">
        <w:rPr>
          <w:rFonts w:eastAsia="Times New Roman"/>
          <w:color w:val="202020"/>
        </w:rPr>
        <w:t xml:space="preserve"> Martindale</w:t>
      </w:r>
      <w:r w:rsidR="00085735">
        <w:rPr>
          <w:rFonts w:eastAsia="Times New Roman"/>
          <w:color w:val="202020"/>
        </w:rPr>
        <w:t>,</w:t>
      </w:r>
      <w:r w:rsidRPr="00B06110">
        <w:rPr>
          <w:rFonts w:eastAsia="Times New Roman"/>
          <w:color w:val="202020"/>
        </w:rPr>
        <w:t xml:space="preserve"> R. Gut Microbiome and Its Impact on Obesity and Obesity-Related Disorders. </w:t>
      </w:r>
      <w:r w:rsidRPr="00085735">
        <w:rPr>
          <w:rFonts w:eastAsia="Times New Roman"/>
          <w:i/>
          <w:iCs/>
          <w:color w:val="202020"/>
        </w:rPr>
        <w:t>Curr Gastroenterol</w:t>
      </w:r>
      <w:r w:rsidRPr="00B06110">
        <w:rPr>
          <w:rFonts w:eastAsia="Times New Roman"/>
          <w:color w:val="202020"/>
        </w:rPr>
        <w:t xml:space="preserve">. </w:t>
      </w:r>
      <w:r w:rsidRPr="00085735">
        <w:rPr>
          <w:rFonts w:eastAsia="Times New Roman"/>
          <w:b/>
          <w:bCs/>
          <w:color w:val="202020"/>
        </w:rPr>
        <w:t>2023</w:t>
      </w:r>
      <w:r w:rsidRPr="00B06110">
        <w:rPr>
          <w:rFonts w:eastAsia="Times New Roman"/>
          <w:color w:val="202020"/>
        </w:rPr>
        <w:t>; 25:31–44. doi.org/10.1007/s11894-022-00859-0.</w:t>
      </w:r>
    </w:p>
    <w:p w14:paraId="3730AFE7" w14:textId="17340B93"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color w:val="202020"/>
        </w:rPr>
        <w:t>Kobyliak</w:t>
      </w:r>
      <w:r w:rsidR="00CB5B7A">
        <w:rPr>
          <w:rFonts w:eastAsia="Times New Roman"/>
          <w:color w:val="202020"/>
        </w:rPr>
        <w:t>,</w:t>
      </w:r>
      <w:r w:rsidRPr="00B06110">
        <w:rPr>
          <w:rFonts w:eastAsia="Times New Roman"/>
          <w:color w:val="202020"/>
        </w:rPr>
        <w:t xml:space="preserve"> N</w:t>
      </w:r>
      <w:r w:rsidR="00CB5B7A">
        <w:rPr>
          <w:rFonts w:eastAsia="Times New Roman"/>
          <w:color w:val="202020"/>
        </w:rPr>
        <w:t>.;</w:t>
      </w:r>
      <w:r w:rsidRPr="00B06110">
        <w:rPr>
          <w:rFonts w:eastAsia="Times New Roman"/>
          <w:color w:val="202020"/>
        </w:rPr>
        <w:t xml:space="preserve"> Falalyeyeva</w:t>
      </w:r>
      <w:r w:rsidR="00CB5B7A">
        <w:rPr>
          <w:rFonts w:eastAsia="Times New Roman"/>
          <w:color w:val="202020"/>
        </w:rPr>
        <w:t>,</w:t>
      </w:r>
      <w:r w:rsidRPr="00B06110">
        <w:rPr>
          <w:rFonts w:eastAsia="Times New Roman"/>
          <w:color w:val="202020"/>
        </w:rPr>
        <w:t xml:space="preserve"> T</w:t>
      </w:r>
      <w:r w:rsidR="00CB5B7A">
        <w:rPr>
          <w:rFonts w:eastAsia="Times New Roman"/>
          <w:color w:val="202020"/>
        </w:rPr>
        <w:t>.;</w:t>
      </w:r>
      <w:r w:rsidRPr="00B06110">
        <w:rPr>
          <w:rFonts w:eastAsia="Times New Roman"/>
          <w:color w:val="202020"/>
        </w:rPr>
        <w:t xml:space="preserve"> Boyko</w:t>
      </w:r>
      <w:r w:rsidR="00DB5407">
        <w:rPr>
          <w:rFonts w:eastAsia="Times New Roman"/>
          <w:color w:val="202020"/>
        </w:rPr>
        <w:t>,</w:t>
      </w:r>
      <w:r w:rsidRPr="00B06110">
        <w:rPr>
          <w:rFonts w:eastAsia="Times New Roman"/>
          <w:color w:val="202020"/>
        </w:rPr>
        <w:t xml:space="preserve"> N</w:t>
      </w:r>
      <w:r w:rsidR="00DB5407">
        <w:rPr>
          <w:rFonts w:eastAsia="Times New Roman"/>
          <w:color w:val="202020"/>
        </w:rPr>
        <w:t>.;</w:t>
      </w:r>
      <w:r w:rsidRPr="00B06110">
        <w:rPr>
          <w:rFonts w:eastAsia="Times New Roman"/>
          <w:color w:val="202020"/>
        </w:rPr>
        <w:t xml:space="preserve"> Tsyryuk</w:t>
      </w:r>
      <w:r w:rsidR="00DB5407">
        <w:rPr>
          <w:rFonts w:eastAsia="Times New Roman"/>
          <w:color w:val="202020"/>
        </w:rPr>
        <w:t>,</w:t>
      </w:r>
      <w:r w:rsidRPr="00B06110">
        <w:rPr>
          <w:rFonts w:eastAsia="Times New Roman"/>
          <w:color w:val="202020"/>
        </w:rPr>
        <w:t xml:space="preserve"> O</w:t>
      </w:r>
      <w:r w:rsidR="00DB5407">
        <w:rPr>
          <w:rFonts w:eastAsia="Times New Roman"/>
          <w:color w:val="202020"/>
        </w:rPr>
        <w:t>.;</w:t>
      </w:r>
      <w:r w:rsidRPr="00B06110">
        <w:rPr>
          <w:rFonts w:eastAsia="Times New Roman"/>
          <w:color w:val="202020"/>
        </w:rPr>
        <w:t xml:space="preserve"> Beregova</w:t>
      </w:r>
      <w:r w:rsidR="00DB5407">
        <w:rPr>
          <w:rFonts w:eastAsia="Times New Roman"/>
          <w:color w:val="202020"/>
        </w:rPr>
        <w:t>,</w:t>
      </w:r>
      <w:r w:rsidRPr="00B06110">
        <w:rPr>
          <w:rFonts w:eastAsia="Times New Roman"/>
          <w:color w:val="202020"/>
        </w:rPr>
        <w:t xml:space="preserve"> T</w:t>
      </w:r>
      <w:r w:rsidR="00DB5407">
        <w:rPr>
          <w:rFonts w:eastAsia="Times New Roman"/>
          <w:color w:val="202020"/>
        </w:rPr>
        <w:t>.;</w:t>
      </w:r>
      <w:r w:rsidRPr="00B06110">
        <w:rPr>
          <w:rFonts w:eastAsia="Times New Roman"/>
          <w:color w:val="202020"/>
        </w:rPr>
        <w:t xml:space="preserve"> Ostapchenko</w:t>
      </w:r>
      <w:r w:rsidR="00DB5407">
        <w:rPr>
          <w:rFonts w:eastAsia="Times New Roman"/>
          <w:color w:val="202020"/>
        </w:rPr>
        <w:t>,</w:t>
      </w:r>
      <w:r w:rsidRPr="00B06110">
        <w:rPr>
          <w:rFonts w:eastAsia="Times New Roman"/>
          <w:color w:val="202020"/>
        </w:rPr>
        <w:t xml:space="preserve"> L. Probiotics and nutraceuticals as a new frontier in obesity prevention and management. </w:t>
      </w:r>
      <w:r w:rsidRPr="00F97A1E">
        <w:rPr>
          <w:rFonts w:eastAsia="Times New Roman"/>
          <w:i/>
          <w:iCs/>
          <w:color w:val="202020"/>
        </w:rPr>
        <w:t>Diabetes Res</w:t>
      </w:r>
      <w:r w:rsidR="00F97A1E" w:rsidRPr="00F97A1E">
        <w:rPr>
          <w:rFonts w:eastAsia="Times New Roman"/>
          <w:i/>
          <w:iCs/>
          <w:color w:val="202020"/>
        </w:rPr>
        <w:t xml:space="preserve"> </w:t>
      </w:r>
      <w:r w:rsidRPr="00F97A1E">
        <w:rPr>
          <w:rFonts w:eastAsia="Times New Roman"/>
          <w:i/>
          <w:iCs/>
          <w:color w:val="202020"/>
        </w:rPr>
        <w:t>Clin Pract</w:t>
      </w:r>
      <w:r w:rsidRPr="00B06110">
        <w:rPr>
          <w:rFonts w:eastAsia="Times New Roman"/>
          <w:color w:val="202020"/>
        </w:rPr>
        <w:t xml:space="preserve">. </w:t>
      </w:r>
      <w:r w:rsidRPr="00DB5407">
        <w:rPr>
          <w:rFonts w:eastAsia="Times New Roman"/>
          <w:b/>
          <w:bCs/>
          <w:color w:val="202020"/>
        </w:rPr>
        <w:t>2018</w:t>
      </w:r>
      <w:r w:rsidRPr="00B06110">
        <w:rPr>
          <w:rFonts w:eastAsia="Times New Roman"/>
          <w:color w:val="202020"/>
        </w:rPr>
        <w:t>; 141:190–199. doi.org/10.1016/j.diabres.2018.05.005.</w:t>
      </w:r>
    </w:p>
    <w:p w14:paraId="61D8FE04" w14:textId="1E3B4FEE"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F97A1E">
        <w:rPr>
          <w:rFonts w:eastAsia="Times New Roman"/>
          <w:color w:val="202020"/>
        </w:rPr>
        <w:t>Vallianou</w:t>
      </w:r>
      <w:r w:rsidR="00F97A1E" w:rsidRPr="00F97A1E">
        <w:rPr>
          <w:rFonts w:eastAsia="Times New Roman"/>
          <w:color w:val="202020"/>
        </w:rPr>
        <w:t>,</w:t>
      </w:r>
      <w:r w:rsidRPr="00F97A1E">
        <w:rPr>
          <w:rFonts w:eastAsia="Times New Roman"/>
          <w:color w:val="202020"/>
        </w:rPr>
        <w:t xml:space="preserve"> N</w:t>
      </w:r>
      <w:r w:rsidR="00F97A1E" w:rsidRPr="00F97A1E">
        <w:rPr>
          <w:rFonts w:eastAsia="Times New Roman"/>
          <w:color w:val="202020"/>
        </w:rPr>
        <w:t>.;</w:t>
      </w:r>
      <w:r w:rsidRPr="00F97A1E">
        <w:rPr>
          <w:rFonts w:eastAsia="Times New Roman"/>
          <w:color w:val="202020"/>
        </w:rPr>
        <w:t xml:space="preserve"> Stratigou</w:t>
      </w:r>
      <w:r w:rsidR="00F97A1E" w:rsidRPr="00F97A1E">
        <w:rPr>
          <w:rFonts w:eastAsia="Times New Roman"/>
          <w:color w:val="202020"/>
        </w:rPr>
        <w:t>,</w:t>
      </w:r>
      <w:r w:rsidRPr="00F97A1E">
        <w:rPr>
          <w:rFonts w:eastAsia="Times New Roman"/>
          <w:color w:val="202020"/>
        </w:rPr>
        <w:t xml:space="preserve"> T</w:t>
      </w:r>
      <w:r w:rsidR="00F97A1E" w:rsidRPr="00F97A1E">
        <w:rPr>
          <w:rFonts w:eastAsia="Times New Roman"/>
          <w:color w:val="202020"/>
        </w:rPr>
        <w:t>.;</w:t>
      </w:r>
      <w:r w:rsidRPr="00F97A1E">
        <w:rPr>
          <w:rFonts w:eastAsia="Times New Roman"/>
          <w:color w:val="202020"/>
        </w:rPr>
        <w:t xml:space="preserve"> Christodoulatos</w:t>
      </w:r>
      <w:r w:rsidR="00F97A1E" w:rsidRPr="00F97A1E">
        <w:rPr>
          <w:rFonts w:eastAsia="Times New Roman"/>
          <w:color w:val="202020"/>
        </w:rPr>
        <w:t>,</w:t>
      </w:r>
      <w:r w:rsidRPr="00F97A1E">
        <w:rPr>
          <w:rFonts w:eastAsia="Times New Roman"/>
          <w:color w:val="202020"/>
        </w:rPr>
        <w:t xml:space="preserve"> G</w:t>
      </w:r>
      <w:r w:rsidR="00F97A1E">
        <w:rPr>
          <w:rFonts w:eastAsia="Times New Roman"/>
          <w:color w:val="202020"/>
        </w:rPr>
        <w:t>.</w:t>
      </w:r>
      <w:r w:rsidRPr="00F97A1E">
        <w:rPr>
          <w:rFonts w:eastAsia="Times New Roman"/>
          <w:color w:val="202020"/>
        </w:rPr>
        <w:t>S</w:t>
      </w:r>
      <w:r w:rsidR="00F97A1E" w:rsidRPr="00F97A1E">
        <w:rPr>
          <w:rFonts w:eastAsia="Times New Roman"/>
          <w:color w:val="202020"/>
        </w:rPr>
        <w:t>.;</w:t>
      </w:r>
      <w:r w:rsidRPr="00F97A1E">
        <w:rPr>
          <w:rFonts w:eastAsia="Times New Roman"/>
          <w:color w:val="202020"/>
        </w:rPr>
        <w:t xml:space="preserve"> </w:t>
      </w:r>
      <w:r w:rsidRPr="00B06110">
        <w:rPr>
          <w:rFonts w:eastAsia="Times New Roman"/>
          <w:color w:val="202020"/>
        </w:rPr>
        <w:t>Tsigalou</w:t>
      </w:r>
      <w:r w:rsidR="00F97A1E">
        <w:rPr>
          <w:rFonts w:eastAsia="Times New Roman"/>
          <w:color w:val="202020"/>
        </w:rPr>
        <w:t>,</w:t>
      </w:r>
      <w:r w:rsidRPr="00B06110">
        <w:rPr>
          <w:rFonts w:eastAsia="Times New Roman"/>
          <w:color w:val="202020"/>
        </w:rPr>
        <w:t xml:space="preserve"> C</w:t>
      </w:r>
      <w:r w:rsidR="00F97A1E">
        <w:rPr>
          <w:rFonts w:eastAsia="Times New Roman"/>
          <w:color w:val="202020"/>
        </w:rPr>
        <w:t>.;</w:t>
      </w:r>
      <w:r w:rsidRPr="00B06110">
        <w:rPr>
          <w:rFonts w:eastAsia="Times New Roman"/>
          <w:color w:val="202020"/>
        </w:rPr>
        <w:t xml:space="preserve"> Dalamaga</w:t>
      </w:r>
      <w:r w:rsidR="00F97A1E">
        <w:rPr>
          <w:rFonts w:eastAsia="Times New Roman"/>
          <w:color w:val="202020"/>
        </w:rPr>
        <w:t>,</w:t>
      </w:r>
      <w:r w:rsidRPr="00B06110">
        <w:rPr>
          <w:rFonts w:eastAsia="Times New Roman"/>
          <w:color w:val="202020"/>
        </w:rPr>
        <w:t xml:space="preserve"> M. Probiotics, Prebiotics, Synbiotics, Postbiotics, and Obesity: Current Evidence, Controversies, and Perspectives. </w:t>
      </w:r>
      <w:r w:rsidRPr="004E614B">
        <w:rPr>
          <w:rFonts w:eastAsia="Times New Roman"/>
          <w:i/>
          <w:iCs/>
          <w:color w:val="202020"/>
        </w:rPr>
        <w:t>Curr Obes</w:t>
      </w:r>
      <w:r w:rsidRPr="00B06110">
        <w:rPr>
          <w:rFonts w:eastAsia="Times New Roman"/>
          <w:color w:val="202020"/>
        </w:rPr>
        <w:t xml:space="preserve">. </w:t>
      </w:r>
      <w:r w:rsidRPr="004E614B">
        <w:rPr>
          <w:rFonts w:eastAsia="Times New Roman"/>
          <w:b/>
          <w:bCs/>
          <w:color w:val="202020"/>
        </w:rPr>
        <w:t>2020</w:t>
      </w:r>
      <w:r w:rsidRPr="00B06110">
        <w:rPr>
          <w:rFonts w:eastAsia="Times New Roman"/>
          <w:color w:val="202020"/>
        </w:rPr>
        <w:t>; 9:179–192. doi.org/10.1007/s13679-020-00379-w.</w:t>
      </w:r>
    </w:p>
    <w:p w14:paraId="5C95DC22" w14:textId="36464EA0"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color w:val="202020"/>
        </w:rPr>
        <w:t>Wang</w:t>
      </w:r>
      <w:r w:rsidR="004E614B">
        <w:rPr>
          <w:rFonts w:eastAsia="Times New Roman"/>
          <w:color w:val="202020"/>
        </w:rPr>
        <w:t>,</w:t>
      </w:r>
      <w:r w:rsidRPr="00B06110">
        <w:rPr>
          <w:rFonts w:eastAsia="Times New Roman"/>
          <w:color w:val="202020"/>
        </w:rPr>
        <w:t xml:space="preserve"> Z</w:t>
      </w:r>
      <w:r w:rsidR="004E614B">
        <w:rPr>
          <w:rFonts w:eastAsia="Times New Roman"/>
          <w:color w:val="202020"/>
        </w:rPr>
        <w:t>.;</w:t>
      </w:r>
      <w:r w:rsidRPr="00B06110">
        <w:rPr>
          <w:rFonts w:eastAsia="Times New Roman"/>
          <w:color w:val="202020"/>
        </w:rPr>
        <w:t xml:space="preserve"> Xin</w:t>
      </w:r>
      <w:r w:rsidR="004E614B">
        <w:rPr>
          <w:rFonts w:eastAsia="Times New Roman"/>
          <w:color w:val="202020"/>
        </w:rPr>
        <w:t>,</w:t>
      </w:r>
      <w:r w:rsidRPr="00B06110">
        <w:rPr>
          <w:rFonts w:eastAsia="Times New Roman"/>
          <w:color w:val="202020"/>
        </w:rPr>
        <w:t xml:space="preserve"> S</w:t>
      </w:r>
      <w:r w:rsidR="004E614B">
        <w:rPr>
          <w:rFonts w:eastAsia="Times New Roman"/>
          <w:color w:val="202020"/>
        </w:rPr>
        <w:t>.;</w:t>
      </w:r>
      <w:r w:rsidRPr="00B06110">
        <w:rPr>
          <w:rFonts w:eastAsia="Times New Roman"/>
          <w:color w:val="202020"/>
        </w:rPr>
        <w:t xml:space="preserve"> Ding</w:t>
      </w:r>
      <w:r w:rsidR="004E614B">
        <w:rPr>
          <w:rFonts w:eastAsia="Times New Roman"/>
          <w:color w:val="202020"/>
        </w:rPr>
        <w:t>,</w:t>
      </w:r>
      <w:r w:rsidRPr="00B06110">
        <w:rPr>
          <w:rFonts w:eastAsia="Times New Roman"/>
          <w:color w:val="202020"/>
        </w:rPr>
        <w:t xml:space="preserve"> L</w:t>
      </w:r>
      <w:r w:rsidR="004E614B">
        <w:rPr>
          <w:rFonts w:eastAsia="Times New Roman"/>
          <w:color w:val="202020"/>
        </w:rPr>
        <w:t>.;</w:t>
      </w:r>
      <w:r w:rsidRPr="00B06110">
        <w:rPr>
          <w:rFonts w:eastAsia="Times New Roman"/>
          <w:color w:val="202020"/>
        </w:rPr>
        <w:t xml:space="preserve"> Ding</w:t>
      </w:r>
      <w:r w:rsidR="004E614B">
        <w:rPr>
          <w:rFonts w:eastAsia="Times New Roman"/>
          <w:color w:val="202020"/>
        </w:rPr>
        <w:t>,</w:t>
      </w:r>
      <w:r w:rsidRPr="00B06110">
        <w:rPr>
          <w:rFonts w:eastAsia="Times New Roman"/>
          <w:color w:val="202020"/>
        </w:rPr>
        <w:t xml:space="preserve"> W</w:t>
      </w:r>
      <w:r w:rsidR="004E614B">
        <w:rPr>
          <w:rFonts w:eastAsia="Times New Roman"/>
          <w:color w:val="202020"/>
        </w:rPr>
        <w:t>.;</w:t>
      </w:r>
      <w:r w:rsidRPr="00B06110">
        <w:rPr>
          <w:rFonts w:eastAsia="Times New Roman"/>
          <w:color w:val="202020"/>
        </w:rPr>
        <w:t xml:space="preserve"> Hou</w:t>
      </w:r>
      <w:r w:rsidR="004E614B">
        <w:rPr>
          <w:rFonts w:eastAsia="Times New Roman"/>
          <w:color w:val="202020"/>
        </w:rPr>
        <w:t>,</w:t>
      </w:r>
      <w:r w:rsidRPr="00B06110">
        <w:rPr>
          <w:rFonts w:eastAsia="Times New Roman"/>
          <w:color w:val="202020"/>
        </w:rPr>
        <w:t xml:space="preserve"> Y</w:t>
      </w:r>
      <w:r w:rsidR="004E614B">
        <w:rPr>
          <w:rFonts w:eastAsia="Times New Roman"/>
          <w:color w:val="202020"/>
        </w:rPr>
        <w:t>.;</w:t>
      </w:r>
      <w:r w:rsidRPr="00B06110">
        <w:rPr>
          <w:rFonts w:eastAsia="Times New Roman"/>
          <w:color w:val="202020"/>
        </w:rPr>
        <w:t xml:space="preserve"> Liu</w:t>
      </w:r>
      <w:r w:rsidR="004E614B">
        <w:rPr>
          <w:rFonts w:eastAsia="Times New Roman"/>
          <w:color w:val="202020"/>
        </w:rPr>
        <w:t>,</w:t>
      </w:r>
      <w:r w:rsidRPr="00B06110">
        <w:rPr>
          <w:rFonts w:eastAsia="Times New Roman"/>
          <w:color w:val="202020"/>
        </w:rPr>
        <w:t xml:space="preserve"> C</w:t>
      </w:r>
      <w:r w:rsidR="004E614B">
        <w:rPr>
          <w:rFonts w:eastAsia="Times New Roman"/>
          <w:color w:val="202020"/>
        </w:rPr>
        <w:t>.</w:t>
      </w:r>
      <w:r w:rsidR="003E273F">
        <w:rPr>
          <w:rFonts w:eastAsia="Times New Roman"/>
          <w:color w:val="202020"/>
        </w:rPr>
        <w:t>Q.; Zhang</w:t>
      </w:r>
      <w:r w:rsidR="00B5495E">
        <w:rPr>
          <w:rFonts w:eastAsia="Times New Roman"/>
          <w:color w:val="202020"/>
        </w:rPr>
        <w:t>,</w:t>
      </w:r>
      <w:r w:rsidR="003E273F">
        <w:rPr>
          <w:rFonts w:eastAsia="Times New Roman"/>
          <w:color w:val="202020"/>
        </w:rPr>
        <w:t xml:space="preserve"> X.D</w:t>
      </w:r>
      <w:r w:rsidRPr="00B06110">
        <w:rPr>
          <w:rFonts w:eastAsia="Times New Roman"/>
          <w:color w:val="202020"/>
        </w:rPr>
        <w:t>. The Potential Role of Probiotics in Controlling Overweight/Obesity and Associated Metabolic Parameters in Adults: A Systematic Review and Meta-Analysis.</w:t>
      </w:r>
      <w:r w:rsidR="00A66917">
        <w:rPr>
          <w:rFonts w:eastAsia="Times New Roman"/>
          <w:color w:val="202020"/>
        </w:rPr>
        <w:t xml:space="preserve"> </w:t>
      </w:r>
      <w:r w:rsidRPr="00A66917">
        <w:rPr>
          <w:rFonts w:eastAsia="Times New Roman"/>
          <w:i/>
          <w:iCs/>
        </w:rPr>
        <w:t>Evid</w:t>
      </w:r>
      <w:r w:rsidR="00A66917" w:rsidRPr="00A66917">
        <w:rPr>
          <w:rFonts w:eastAsia="Times New Roman"/>
          <w:i/>
          <w:iCs/>
        </w:rPr>
        <w:t xml:space="preserve"> </w:t>
      </w:r>
      <w:r w:rsidRPr="00A66917">
        <w:rPr>
          <w:rFonts w:eastAsia="Times New Roman"/>
          <w:i/>
          <w:iCs/>
        </w:rPr>
        <w:t>Based Complement</w:t>
      </w:r>
      <w:r w:rsidR="00A66917" w:rsidRPr="00A66917">
        <w:rPr>
          <w:rFonts w:eastAsia="Times New Roman"/>
          <w:i/>
          <w:iCs/>
        </w:rPr>
        <w:t xml:space="preserve"> </w:t>
      </w:r>
      <w:r w:rsidRPr="00A66917">
        <w:rPr>
          <w:rFonts w:eastAsia="Times New Roman"/>
          <w:i/>
          <w:iCs/>
        </w:rPr>
        <w:t>Alternat Med</w:t>
      </w:r>
      <w:r w:rsidRPr="00B06110">
        <w:rPr>
          <w:rFonts w:eastAsia="Times New Roman"/>
        </w:rPr>
        <w:t xml:space="preserve">. </w:t>
      </w:r>
      <w:r w:rsidRPr="00A66917">
        <w:rPr>
          <w:rFonts w:eastAsia="Times New Roman"/>
          <w:b/>
          <w:bCs/>
        </w:rPr>
        <w:t>2019</w:t>
      </w:r>
      <w:r w:rsidRPr="00B06110">
        <w:rPr>
          <w:rFonts w:eastAsia="Times New Roman"/>
        </w:rPr>
        <w:t xml:space="preserve">. </w:t>
      </w:r>
      <w:hyperlink r:id="rId25">
        <w:r w:rsidRPr="00B06110">
          <w:rPr>
            <w:rStyle w:val="Hyperlink"/>
            <w:color w:val="auto"/>
            <w:u w:val="none"/>
          </w:rPr>
          <w:t>doi.org/10.1155/2019/3862971.</w:t>
        </w:r>
      </w:hyperlink>
      <w:r w:rsidRPr="00B06110">
        <w:rPr>
          <w:rFonts w:eastAsia="Times New Roman"/>
        </w:rPr>
        <w:t xml:space="preserve"> </w:t>
      </w:r>
    </w:p>
    <w:p w14:paraId="7C2AE7C7" w14:textId="44DE9743"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Bui</w:t>
      </w:r>
      <w:r w:rsidR="009D7989">
        <w:rPr>
          <w:rFonts w:eastAsia="Times New Roman"/>
          <w:color w:val="202020"/>
        </w:rPr>
        <w:t>,</w:t>
      </w:r>
      <w:r w:rsidRPr="00B06110">
        <w:rPr>
          <w:rFonts w:eastAsia="Times New Roman"/>
          <w:color w:val="202020"/>
        </w:rPr>
        <w:t xml:space="preserve"> T</w:t>
      </w:r>
      <w:r w:rsidR="009D7989">
        <w:rPr>
          <w:rFonts w:eastAsia="Times New Roman"/>
          <w:color w:val="202020"/>
        </w:rPr>
        <w:t>.</w:t>
      </w:r>
      <w:r w:rsidRPr="00B06110">
        <w:rPr>
          <w:rFonts w:eastAsia="Times New Roman"/>
          <w:color w:val="202020"/>
        </w:rPr>
        <w:t>P</w:t>
      </w:r>
      <w:r w:rsidR="009D7989">
        <w:rPr>
          <w:rFonts w:eastAsia="Times New Roman"/>
          <w:color w:val="202020"/>
        </w:rPr>
        <w:t>.</w:t>
      </w:r>
      <w:r w:rsidRPr="00B06110">
        <w:rPr>
          <w:rFonts w:eastAsia="Times New Roman"/>
          <w:color w:val="202020"/>
        </w:rPr>
        <w:t>N</w:t>
      </w:r>
      <w:r w:rsidR="00DB34DF">
        <w:rPr>
          <w:rFonts w:eastAsia="Times New Roman"/>
          <w:color w:val="202020"/>
        </w:rPr>
        <w:t>.;</w:t>
      </w:r>
      <w:r w:rsidRPr="00B06110">
        <w:rPr>
          <w:rFonts w:eastAsia="Times New Roman"/>
          <w:color w:val="202020"/>
        </w:rPr>
        <w:t xml:space="preserve"> Vos</w:t>
      </w:r>
      <w:r w:rsidR="00DB34DF">
        <w:rPr>
          <w:rFonts w:eastAsia="Times New Roman"/>
          <w:color w:val="202020"/>
        </w:rPr>
        <w:t>,</w:t>
      </w:r>
      <w:r w:rsidRPr="00B06110">
        <w:rPr>
          <w:rFonts w:eastAsia="Times New Roman"/>
          <w:color w:val="202020"/>
        </w:rPr>
        <w:t xml:space="preserve"> W</w:t>
      </w:r>
      <w:r w:rsidR="00DB34DF">
        <w:rPr>
          <w:rFonts w:eastAsia="Times New Roman"/>
          <w:color w:val="202020"/>
        </w:rPr>
        <w:t>.</w:t>
      </w:r>
      <w:r w:rsidRPr="00B06110">
        <w:rPr>
          <w:rFonts w:eastAsia="Times New Roman"/>
          <w:color w:val="202020"/>
        </w:rPr>
        <w:t xml:space="preserve">M. Next-generation therapeutic bacteria for treating obesity, diabetes, and other endocrine diseases. </w:t>
      </w:r>
      <w:r w:rsidRPr="009D7989">
        <w:rPr>
          <w:rFonts w:eastAsia="Times New Roman"/>
          <w:i/>
          <w:iCs/>
          <w:color w:val="202020"/>
        </w:rPr>
        <w:t>Best Pract Res Clin Endocrinol Metab</w:t>
      </w:r>
      <w:r w:rsidRPr="00B06110">
        <w:rPr>
          <w:rFonts w:eastAsia="Times New Roman"/>
          <w:color w:val="202020"/>
        </w:rPr>
        <w:t xml:space="preserve">. </w:t>
      </w:r>
      <w:r w:rsidRPr="009D7989">
        <w:rPr>
          <w:rFonts w:eastAsia="Times New Roman"/>
          <w:b/>
          <w:bCs/>
          <w:color w:val="202020"/>
        </w:rPr>
        <w:t>2021</w:t>
      </w:r>
      <w:r w:rsidRPr="00B06110">
        <w:rPr>
          <w:rFonts w:eastAsia="Times New Roman"/>
          <w:color w:val="202020"/>
        </w:rPr>
        <w:t xml:space="preserve">; 35:101504. doi: 10.1016/j.beem.2021.101504. </w:t>
      </w:r>
    </w:p>
    <w:p w14:paraId="150ABEEC" w14:textId="321134F0"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Park</w:t>
      </w:r>
      <w:r w:rsidR="0069322B">
        <w:rPr>
          <w:rFonts w:eastAsia="Times New Roman"/>
          <w:color w:val="202020"/>
        </w:rPr>
        <w:t>,</w:t>
      </w:r>
      <w:r w:rsidRPr="00B06110">
        <w:rPr>
          <w:rFonts w:eastAsia="Times New Roman"/>
          <w:color w:val="202020"/>
        </w:rPr>
        <w:t xml:space="preserve"> S</w:t>
      </w:r>
      <w:r w:rsidR="0069322B">
        <w:rPr>
          <w:rFonts w:eastAsia="Times New Roman"/>
          <w:color w:val="202020"/>
        </w:rPr>
        <w:t>.;</w:t>
      </w:r>
      <w:r w:rsidRPr="00B06110">
        <w:rPr>
          <w:rFonts w:eastAsia="Times New Roman"/>
          <w:color w:val="202020"/>
        </w:rPr>
        <w:t xml:space="preserve"> Bae</w:t>
      </w:r>
      <w:r w:rsidR="0069322B">
        <w:rPr>
          <w:rFonts w:eastAsia="Times New Roman"/>
          <w:color w:val="202020"/>
        </w:rPr>
        <w:t>,</w:t>
      </w:r>
      <w:r w:rsidRPr="00B06110">
        <w:rPr>
          <w:rFonts w:eastAsia="Times New Roman"/>
          <w:color w:val="202020"/>
        </w:rPr>
        <w:t xml:space="preserve"> J</w:t>
      </w:r>
      <w:r w:rsidR="0069322B">
        <w:rPr>
          <w:rFonts w:eastAsia="Times New Roman"/>
          <w:color w:val="202020"/>
        </w:rPr>
        <w:t>.</w:t>
      </w:r>
      <w:r w:rsidRPr="00B06110">
        <w:rPr>
          <w:rFonts w:eastAsia="Times New Roman"/>
          <w:color w:val="202020"/>
        </w:rPr>
        <w:t xml:space="preserve">H. Probiotics for weight loss: a systematic review and meta-analysis. </w:t>
      </w:r>
      <w:r w:rsidRPr="0069322B">
        <w:rPr>
          <w:rFonts w:eastAsia="Times New Roman"/>
          <w:i/>
          <w:iCs/>
          <w:color w:val="202020"/>
        </w:rPr>
        <w:t>Nutr Res</w:t>
      </w:r>
      <w:r w:rsidRPr="00B06110">
        <w:rPr>
          <w:rFonts w:eastAsia="Times New Roman"/>
          <w:color w:val="202020"/>
        </w:rPr>
        <w:t xml:space="preserve">. </w:t>
      </w:r>
      <w:r w:rsidRPr="0069322B">
        <w:rPr>
          <w:rFonts w:eastAsia="Times New Roman"/>
          <w:b/>
          <w:bCs/>
          <w:color w:val="202020"/>
        </w:rPr>
        <w:t>2015</w:t>
      </w:r>
      <w:r w:rsidRPr="00B06110">
        <w:rPr>
          <w:rFonts w:eastAsia="Times New Roman"/>
          <w:color w:val="202020"/>
        </w:rPr>
        <w:t xml:space="preserve">; 35:566-75. doi: 10.1016/j.nutres.2015.05.008. </w:t>
      </w:r>
    </w:p>
    <w:p w14:paraId="584B2080" w14:textId="726734D0"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Chattopadhyay</w:t>
      </w:r>
      <w:r w:rsidR="007811C0">
        <w:rPr>
          <w:rFonts w:eastAsia="Times New Roman"/>
          <w:color w:val="202020"/>
        </w:rPr>
        <w:t>,</w:t>
      </w:r>
      <w:r w:rsidRPr="00B06110">
        <w:rPr>
          <w:rFonts w:eastAsia="Times New Roman"/>
          <w:color w:val="202020"/>
        </w:rPr>
        <w:t xml:space="preserve"> A</w:t>
      </w:r>
      <w:r w:rsidR="007811C0">
        <w:rPr>
          <w:rFonts w:eastAsia="Times New Roman"/>
          <w:color w:val="202020"/>
        </w:rPr>
        <w:t>.;</w:t>
      </w:r>
      <w:r w:rsidRPr="00B06110">
        <w:rPr>
          <w:rFonts w:eastAsia="Times New Roman"/>
          <w:color w:val="202020"/>
        </w:rPr>
        <w:t xml:space="preserve"> Mythili</w:t>
      </w:r>
      <w:r w:rsidR="007811C0">
        <w:rPr>
          <w:rFonts w:eastAsia="Times New Roman"/>
          <w:color w:val="202020"/>
        </w:rPr>
        <w:t>,</w:t>
      </w:r>
      <w:r w:rsidRPr="00B06110">
        <w:rPr>
          <w:rFonts w:eastAsia="Times New Roman"/>
          <w:color w:val="202020"/>
        </w:rPr>
        <w:t xml:space="preserve"> S. The journey of gut microbiome – An introduction and its influence on metabolic disorders. </w:t>
      </w:r>
      <w:r w:rsidRPr="007811C0">
        <w:rPr>
          <w:rFonts w:eastAsia="Times New Roman"/>
          <w:i/>
          <w:iCs/>
          <w:color w:val="202020"/>
        </w:rPr>
        <w:t>Front Biol</w:t>
      </w:r>
      <w:r w:rsidRPr="00B06110">
        <w:rPr>
          <w:rFonts w:eastAsia="Times New Roman"/>
          <w:color w:val="202020"/>
        </w:rPr>
        <w:t xml:space="preserve">. </w:t>
      </w:r>
      <w:r w:rsidRPr="007811C0">
        <w:rPr>
          <w:rFonts w:eastAsia="Times New Roman"/>
          <w:b/>
          <w:bCs/>
          <w:color w:val="202020"/>
        </w:rPr>
        <w:t>2018</w:t>
      </w:r>
      <w:r w:rsidRPr="00B06110">
        <w:rPr>
          <w:rFonts w:eastAsia="Times New Roman"/>
          <w:color w:val="202020"/>
        </w:rPr>
        <w:t>; 13:327–341. doi:10.1007/s11515-018-1490-6.</w:t>
      </w:r>
    </w:p>
    <w:p w14:paraId="552AB440" w14:textId="4553746F"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color w:val="202020"/>
        </w:rPr>
        <w:t>Boulangé</w:t>
      </w:r>
      <w:r w:rsidR="00834D58">
        <w:rPr>
          <w:rFonts w:eastAsia="Times New Roman"/>
          <w:color w:val="202020"/>
        </w:rPr>
        <w:t>,</w:t>
      </w:r>
      <w:r w:rsidRPr="00B06110">
        <w:rPr>
          <w:rFonts w:eastAsia="Times New Roman"/>
          <w:color w:val="202020"/>
        </w:rPr>
        <w:t xml:space="preserve"> C</w:t>
      </w:r>
      <w:r w:rsidR="00834D58">
        <w:rPr>
          <w:rFonts w:eastAsia="Times New Roman"/>
          <w:color w:val="202020"/>
        </w:rPr>
        <w:t>.</w:t>
      </w:r>
      <w:r w:rsidRPr="00B06110">
        <w:rPr>
          <w:rFonts w:eastAsia="Times New Roman"/>
          <w:color w:val="202020"/>
        </w:rPr>
        <w:t>L</w:t>
      </w:r>
      <w:r w:rsidR="00834D58">
        <w:rPr>
          <w:rFonts w:eastAsia="Times New Roman"/>
          <w:color w:val="202020"/>
        </w:rPr>
        <w:t>.;</w:t>
      </w:r>
      <w:r w:rsidRPr="00B06110">
        <w:rPr>
          <w:rFonts w:eastAsia="Times New Roman"/>
          <w:color w:val="202020"/>
        </w:rPr>
        <w:t xml:space="preserve"> </w:t>
      </w:r>
      <w:r w:rsidRPr="00B06110">
        <w:rPr>
          <w:rFonts w:eastAsia="Times New Roman"/>
        </w:rPr>
        <w:t>Neves</w:t>
      </w:r>
      <w:r w:rsidR="00834D58">
        <w:rPr>
          <w:rFonts w:eastAsia="Times New Roman"/>
        </w:rPr>
        <w:t>,</w:t>
      </w:r>
      <w:r w:rsidRPr="00B06110">
        <w:rPr>
          <w:rFonts w:eastAsia="Times New Roman"/>
        </w:rPr>
        <w:t xml:space="preserve"> A</w:t>
      </w:r>
      <w:r w:rsidR="00834D58">
        <w:rPr>
          <w:rFonts w:eastAsia="Times New Roman"/>
        </w:rPr>
        <w:t>.</w:t>
      </w:r>
      <w:r w:rsidRPr="00B06110">
        <w:rPr>
          <w:rFonts w:eastAsia="Times New Roman"/>
        </w:rPr>
        <w:t>L</w:t>
      </w:r>
      <w:r w:rsidR="00834D58">
        <w:rPr>
          <w:rFonts w:eastAsia="Times New Roman"/>
        </w:rPr>
        <w:t>.;</w:t>
      </w:r>
      <w:r w:rsidRPr="00B06110">
        <w:rPr>
          <w:rFonts w:eastAsia="Times New Roman"/>
        </w:rPr>
        <w:t xml:space="preserve"> Chilloux</w:t>
      </w:r>
      <w:r w:rsidR="00834D58">
        <w:rPr>
          <w:rFonts w:eastAsia="Times New Roman"/>
        </w:rPr>
        <w:t>,</w:t>
      </w:r>
      <w:r w:rsidRPr="00B06110">
        <w:rPr>
          <w:rFonts w:eastAsia="Times New Roman"/>
        </w:rPr>
        <w:t xml:space="preserve"> J</w:t>
      </w:r>
      <w:r w:rsidR="00834D58">
        <w:rPr>
          <w:rFonts w:eastAsia="Times New Roman"/>
        </w:rPr>
        <w:t>.;</w:t>
      </w:r>
      <w:r w:rsidRPr="00B06110">
        <w:rPr>
          <w:rFonts w:eastAsia="Times New Roman"/>
        </w:rPr>
        <w:t xml:space="preserve"> Nicholson</w:t>
      </w:r>
      <w:r w:rsidR="00245D86">
        <w:rPr>
          <w:rFonts w:eastAsia="Times New Roman"/>
        </w:rPr>
        <w:t>,</w:t>
      </w:r>
      <w:r w:rsidRPr="00B06110">
        <w:rPr>
          <w:rFonts w:eastAsia="Times New Roman"/>
        </w:rPr>
        <w:t xml:space="preserve"> J</w:t>
      </w:r>
      <w:r w:rsidR="00245D86">
        <w:rPr>
          <w:rFonts w:eastAsia="Times New Roman"/>
        </w:rPr>
        <w:t>.</w:t>
      </w:r>
      <w:r w:rsidRPr="00B06110">
        <w:rPr>
          <w:rFonts w:eastAsia="Times New Roman"/>
        </w:rPr>
        <w:t>K</w:t>
      </w:r>
      <w:r w:rsidR="00245D86">
        <w:rPr>
          <w:rFonts w:eastAsia="Times New Roman"/>
        </w:rPr>
        <w:t>.;</w:t>
      </w:r>
      <w:r w:rsidRPr="00B06110">
        <w:rPr>
          <w:rFonts w:eastAsia="Times New Roman"/>
        </w:rPr>
        <w:t xml:space="preserve"> Dumas</w:t>
      </w:r>
      <w:r w:rsidR="00245D86">
        <w:rPr>
          <w:rFonts w:eastAsia="Times New Roman"/>
        </w:rPr>
        <w:t>,</w:t>
      </w:r>
      <w:r w:rsidRPr="00B06110">
        <w:rPr>
          <w:rFonts w:eastAsia="Times New Roman"/>
        </w:rPr>
        <w:t xml:space="preserve"> M</w:t>
      </w:r>
      <w:r w:rsidR="00245D86">
        <w:rPr>
          <w:rFonts w:eastAsia="Times New Roman"/>
        </w:rPr>
        <w:t>.</w:t>
      </w:r>
      <w:r w:rsidRPr="00B06110">
        <w:rPr>
          <w:rFonts w:eastAsia="Times New Roman"/>
        </w:rPr>
        <w:t xml:space="preserve">E. Impact of the gut microbiota on inflammation, obesity, and metabolic disease. </w:t>
      </w:r>
      <w:r w:rsidRPr="00245D86">
        <w:rPr>
          <w:rFonts w:eastAsia="Times New Roman"/>
          <w:i/>
          <w:iCs/>
        </w:rPr>
        <w:t>Genome Medicine</w:t>
      </w:r>
      <w:r w:rsidRPr="00B06110">
        <w:rPr>
          <w:rFonts w:eastAsia="Times New Roman"/>
        </w:rPr>
        <w:t xml:space="preserve">. </w:t>
      </w:r>
      <w:r w:rsidRPr="00245D86">
        <w:rPr>
          <w:rFonts w:eastAsia="Times New Roman"/>
          <w:b/>
          <w:bCs/>
        </w:rPr>
        <w:t>2016</w:t>
      </w:r>
      <w:r w:rsidRPr="00B06110">
        <w:rPr>
          <w:rFonts w:eastAsia="Times New Roman"/>
        </w:rPr>
        <w:t>; 8:42. doi: 10.1186/s13073-016-0303-2.</w:t>
      </w:r>
    </w:p>
    <w:p w14:paraId="6251EEB6" w14:textId="0D5893B4"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rPr>
        <w:t>Wiciński</w:t>
      </w:r>
      <w:r w:rsidR="00795A4E">
        <w:rPr>
          <w:rFonts w:eastAsia="Times New Roman"/>
        </w:rPr>
        <w:t>,</w:t>
      </w:r>
      <w:r w:rsidRPr="00B06110">
        <w:rPr>
          <w:rFonts w:eastAsia="Times New Roman"/>
        </w:rPr>
        <w:t xml:space="preserve"> M</w:t>
      </w:r>
      <w:r w:rsidR="00795A4E">
        <w:rPr>
          <w:rFonts w:eastAsia="Times New Roman"/>
        </w:rPr>
        <w:t>.;</w:t>
      </w:r>
      <w:r w:rsidRPr="00B06110">
        <w:rPr>
          <w:rFonts w:eastAsia="Times New Roman"/>
        </w:rPr>
        <w:t xml:space="preserve"> Gębalski</w:t>
      </w:r>
      <w:r w:rsidR="00795A4E">
        <w:rPr>
          <w:rFonts w:eastAsia="Times New Roman"/>
        </w:rPr>
        <w:t>,</w:t>
      </w:r>
      <w:r w:rsidRPr="00B06110">
        <w:rPr>
          <w:rFonts w:eastAsia="Times New Roman"/>
        </w:rPr>
        <w:t xml:space="preserve"> J</w:t>
      </w:r>
      <w:r w:rsidR="00795A4E">
        <w:rPr>
          <w:rFonts w:eastAsia="Times New Roman"/>
        </w:rPr>
        <w:t>.;</w:t>
      </w:r>
      <w:r w:rsidRPr="00B06110">
        <w:rPr>
          <w:rFonts w:eastAsia="Times New Roman"/>
        </w:rPr>
        <w:t xml:space="preserve"> Gołębiewski</w:t>
      </w:r>
      <w:r w:rsidR="00795A4E">
        <w:rPr>
          <w:rFonts w:eastAsia="Times New Roman"/>
        </w:rPr>
        <w:t>,</w:t>
      </w:r>
      <w:r w:rsidRPr="00B06110">
        <w:rPr>
          <w:rFonts w:eastAsia="Times New Roman"/>
        </w:rPr>
        <w:t xml:space="preserve"> J</w:t>
      </w:r>
      <w:r w:rsidR="00795A4E">
        <w:rPr>
          <w:rFonts w:eastAsia="Times New Roman"/>
        </w:rPr>
        <w:t>.;</w:t>
      </w:r>
      <w:r w:rsidRPr="00B06110">
        <w:rPr>
          <w:rFonts w:eastAsia="Times New Roman"/>
        </w:rPr>
        <w:t xml:space="preserve"> Malinowski</w:t>
      </w:r>
      <w:r w:rsidR="00795A4E">
        <w:rPr>
          <w:rFonts w:eastAsia="Times New Roman"/>
        </w:rPr>
        <w:t>,</w:t>
      </w:r>
      <w:r w:rsidRPr="00B06110">
        <w:rPr>
          <w:rFonts w:eastAsia="Times New Roman"/>
        </w:rPr>
        <w:t xml:space="preserve"> B. Probiotics for the Treatment of Overweight and Obesity in Humans—A Review of Clinical Trials. </w:t>
      </w:r>
      <w:r w:rsidRPr="00795A4E">
        <w:rPr>
          <w:rFonts w:eastAsia="Times New Roman"/>
          <w:i/>
          <w:iCs/>
        </w:rPr>
        <w:t>Microorganisms</w:t>
      </w:r>
      <w:r w:rsidRPr="00B06110">
        <w:rPr>
          <w:rFonts w:eastAsia="Times New Roman"/>
        </w:rPr>
        <w:t xml:space="preserve">. </w:t>
      </w:r>
      <w:r w:rsidRPr="00795A4E">
        <w:rPr>
          <w:rFonts w:eastAsia="Times New Roman"/>
          <w:b/>
          <w:bCs/>
        </w:rPr>
        <w:t>2020</w:t>
      </w:r>
      <w:r w:rsidRPr="00B06110">
        <w:rPr>
          <w:rFonts w:eastAsia="Times New Roman"/>
        </w:rPr>
        <w:t xml:space="preserve">; 8:1148. </w:t>
      </w:r>
      <w:r w:rsidRPr="00B06110">
        <w:rPr>
          <w:color w:val="212121"/>
          <w:shd w:val="clear" w:color="auto" w:fill="FFFFFF"/>
        </w:rPr>
        <w:t>doi: 10.3390/microorganisms8081148.</w:t>
      </w:r>
    </w:p>
    <w:p w14:paraId="7C3FB8CB" w14:textId="77777777"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shd w:val="clear" w:color="auto" w:fill="FFFFFF"/>
        </w:rPr>
      </w:pPr>
      <w:r w:rsidRPr="00B06110">
        <w:rPr>
          <w:rFonts w:eastAsia="Times New Roman"/>
          <w:color w:val="202020"/>
          <w:shd w:val="clear" w:color="auto" w:fill="FFFFFF"/>
        </w:rPr>
        <w:t>A healthy lifestyle–WHO recommendations [Internet]. [cited 14 September 2022]. Available sur.</w:t>
      </w:r>
      <w:hyperlink r:id="rId26" w:history="1">
        <w:r w:rsidRPr="00B06110">
          <w:rPr>
            <w:rStyle w:val="Hyperlink"/>
            <w:shd w:val="clear" w:color="auto" w:fill="FFFFFF"/>
          </w:rPr>
          <w:t>https://www.who.int/europe/news-room/</w:t>
        </w:r>
      </w:hyperlink>
      <w:r w:rsidRPr="00B06110">
        <w:rPr>
          <w:rFonts w:eastAsia="Times New Roman"/>
          <w:color w:val="202020"/>
          <w:shd w:val="clear" w:color="auto" w:fill="FFFFFF"/>
        </w:rPr>
        <w:t>fact-sheets/item/a-healthy-lifestyle---who-recommendations.</w:t>
      </w:r>
    </w:p>
    <w:p w14:paraId="33A14D8A" w14:textId="7D1EC611"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485A79">
        <w:rPr>
          <w:rFonts w:eastAsia="Times New Roman"/>
          <w:color w:val="202020"/>
        </w:rPr>
        <w:t>Martinez</w:t>
      </w:r>
      <w:r w:rsidR="00485A79" w:rsidRPr="00485A79">
        <w:rPr>
          <w:rFonts w:eastAsia="Times New Roman"/>
          <w:color w:val="202020"/>
        </w:rPr>
        <w:t>,</w:t>
      </w:r>
      <w:r w:rsidRPr="00485A79">
        <w:rPr>
          <w:rFonts w:eastAsia="Times New Roman"/>
          <w:color w:val="202020"/>
        </w:rPr>
        <w:t xml:space="preserve"> A</w:t>
      </w:r>
      <w:r w:rsidR="00485A79" w:rsidRPr="00485A79">
        <w:rPr>
          <w:rFonts w:eastAsia="Times New Roman"/>
          <w:color w:val="202020"/>
        </w:rPr>
        <w:t>.</w:t>
      </w:r>
      <w:r w:rsidRPr="00485A79">
        <w:rPr>
          <w:rFonts w:eastAsia="Times New Roman"/>
          <w:color w:val="202020"/>
        </w:rPr>
        <w:t>P</w:t>
      </w:r>
      <w:r w:rsidR="00485A79" w:rsidRPr="00485A79">
        <w:rPr>
          <w:rFonts w:eastAsia="Times New Roman"/>
          <w:color w:val="202020"/>
        </w:rPr>
        <w:t>.;</w:t>
      </w:r>
      <w:r w:rsidRPr="00485A79">
        <w:rPr>
          <w:rFonts w:eastAsia="Times New Roman"/>
          <w:color w:val="202020"/>
        </w:rPr>
        <w:t xml:space="preserve"> Azevedo</w:t>
      </w:r>
      <w:r w:rsidR="00485A79" w:rsidRPr="00485A79">
        <w:rPr>
          <w:rFonts w:eastAsia="Times New Roman"/>
          <w:color w:val="202020"/>
        </w:rPr>
        <w:t>,</w:t>
      </w:r>
      <w:r w:rsidRPr="00485A79">
        <w:rPr>
          <w:rFonts w:eastAsia="Times New Roman"/>
          <w:color w:val="202020"/>
        </w:rPr>
        <w:t xml:space="preserve"> G</w:t>
      </w:r>
      <w:r w:rsidR="00485A79" w:rsidRPr="00485A79">
        <w:rPr>
          <w:rFonts w:eastAsia="Times New Roman"/>
          <w:color w:val="202020"/>
        </w:rPr>
        <w:t>.</w:t>
      </w:r>
      <w:r w:rsidRPr="00485A79">
        <w:rPr>
          <w:rFonts w:eastAsia="Times New Roman"/>
          <w:color w:val="202020"/>
        </w:rPr>
        <w:t xml:space="preserve">R. </w:t>
      </w:r>
      <w:r w:rsidRPr="00B06110">
        <w:rPr>
          <w:rFonts w:eastAsia="Times New Roman"/>
          <w:color w:val="202020"/>
        </w:rPr>
        <w:t xml:space="preserve">The Bristol Stool Form Scale: its translation to Portuguese, cultural adaptation and validation. </w:t>
      </w:r>
      <w:r w:rsidRPr="00485A79">
        <w:rPr>
          <w:rFonts w:eastAsia="Times New Roman"/>
          <w:i/>
          <w:iCs/>
          <w:color w:val="202020"/>
        </w:rPr>
        <w:t>Rev Latino</w:t>
      </w:r>
      <w:r w:rsidR="00485A79">
        <w:rPr>
          <w:rFonts w:eastAsia="Times New Roman"/>
          <w:i/>
          <w:iCs/>
          <w:color w:val="202020"/>
        </w:rPr>
        <w:t xml:space="preserve"> </w:t>
      </w:r>
      <w:r w:rsidRPr="00485A79">
        <w:rPr>
          <w:rFonts w:eastAsia="Times New Roman"/>
          <w:i/>
          <w:iCs/>
          <w:color w:val="202020"/>
        </w:rPr>
        <w:t>Am Enfermagem</w:t>
      </w:r>
      <w:r w:rsidRPr="00B06110">
        <w:rPr>
          <w:rFonts w:eastAsia="Times New Roman"/>
          <w:color w:val="202020"/>
        </w:rPr>
        <w:t xml:space="preserve">. </w:t>
      </w:r>
      <w:r w:rsidRPr="00485A79">
        <w:rPr>
          <w:rFonts w:eastAsia="Times New Roman"/>
          <w:b/>
          <w:bCs/>
          <w:color w:val="202020"/>
        </w:rPr>
        <w:t>2012</w:t>
      </w:r>
      <w:r w:rsidRPr="00B06110">
        <w:rPr>
          <w:rFonts w:eastAsia="Times New Roman"/>
          <w:color w:val="202020"/>
        </w:rPr>
        <w:t xml:space="preserve">; 20:583–9. </w:t>
      </w:r>
      <w:r w:rsidRPr="00B06110">
        <w:rPr>
          <w:color w:val="212121"/>
          <w:shd w:val="clear" w:color="auto" w:fill="FFFFFF"/>
        </w:rPr>
        <w:t>doi: 10.1590/s0104-11692012000300021</w:t>
      </w:r>
      <w:r w:rsidRPr="00B06110">
        <w:rPr>
          <w:rFonts w:eastAsia="Times New Roman"/>
          <w:color w:val="202020"/>
        </w:rPr>
        <w:t>.</w:t>
      </w:r>
    </w:p>
    <w:p w14:paraId="4E288278" w14:textId="259E6905"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lang w:val="pt-BR"/>
        </w:rPr>
        <w:t>Molina</w:t>
      </w:r>
      <w:r w:rsidR="00485A79">
        <w:rPr>
          <w:rFonts w:eastAsia="Times New Roman"/>
          <w:color w:val="202020"/>
          <w:lang w:val="pt-BR"/>
        </w:rPr>
        <w:t>,</w:t>
      </w:r>
      <w:r w:rsidRPr="00B06110">
        <w:rPr>
          <w:rFonts w:eastAsia="Times New Roman"/>
          <w:color w:val="202020"/>
          <w:lang w:val="pt-BR"/>
        </w:rPr>
        <w:t xml:space="preserve"> M</w:t>
      </w:r>
      <w:r w:rsidR="00485A79">
        <w:rPr>
          <w:rFonts w:eastAsia="Times New Roman"/>
          <w:color w:val="202020"/>
          <w:lang w:val="pt-BR"/>
        </w:rPr>
        <w:t>.</w:t>
      </w:r>
      <w:r w:rsidRPr="00B06110">
        <w:rPr>
          <w:rFonts w:eastAsia="Times New Roman"/>
          <w:color w:val="202020"/>
          <w:lang w:val="pt-BR"/>
        </w:rPr>
        <w:t>D</w:t>
      </w:r>
      <w:r w:rsidR="00485A79">
        <w:rPr>
          <w:rFonts w:eastAsia="Times New Roman"/>
          <w:color w:val="202020"/>
          <w:lang w:val="pt-BR"/>
        </w:rPr>
        <w:t>.</w:t>
      </w:r>
      <w:r w:rsidRPr="00B06110">
        <w:rPr>
          <w:rFonts w:eastAsia="Times New Roman"/>
          <w:color w:val="202020"/>
          <w:lang w:val="pt-BR"/>
        </w:rPr>
        <w:t>C</w:t>
      </w:r>
      <w:r w:rsidR="00485A79">
        <w:rPr>
          <w:rFonts w:eastAsia="Times New Roman"/>
          <w:color w:val="202020"/>
          <w:lang w:val="pt-BR"/>
        </w:rPr>
        <w:t>.</w:t>
      </w:r>
      <w:r w:rsidRPr="00B06110">
        <w:rPr>
          <w:rFonts w:eastAsia="Times New Roman"/>
          <w:color w:val="202020"/>
          <w:lang w:val="pt-BR"/>
        </w:rPr>
        <w:t>B</w:t>
      </w:r>
      <w:r w:rsidR="00485A79">
        <w:rPr>
          <w:rFonts w:eastAsia="Times New Roman"/>
          <w:color w:val="202020"/>
          <w:lang w:val="pt-BR"/>
        </w:rPr>
        <w:t>.;</w:t>
      </w:r>
      <w:r w:rsidRPr="00B06110">
        <w:rPr>
          <w:rFonts w:eastAsia="Times New Roman"/>
          <w:color w:val="202020"/>
          <w:lang w:val="pt-BR"/>
        </w:rPr>
        <w:t xml:space="preserve"> Benseñor</w:t>
      </w:r>
      <w:r w:rsidR="00485A79">
        <w:rPr>
          <w:rFonts w:eastAsia="Times New Roman"/>
          <w:color w:val="202020"/>
          <w:lang w:val="pt-BR"/>
        </w:rPr>
        <w:t>,</w:t>
      </w:r>
      <w:r w:rsidRPr="00B06110">
        <w:rPr>
          <w:rFonts w:eastAsia="Times New Roman"/>
          <w:color w:val="202020"/>
          <w:lang w:val="pt-BR"/>
        </w:rPr>
        <w:t xml:space="preserve"> I</w:t>
      </w:r>
      <w:r w:rsidR="00485A79">
        <w:rPr>
          <w:rFonts w:eastAsia="Times New Roman"/>
          <w:color w:val="202020"/>
          <w:lang w:val="pt-BR"/>
        </w:rPr>
        <w:t>.</w:t>
      </w:r>
      <w:r w:rsidRPr="00B06110">
        <w:rPr>
          <w:rFonts w:eastAsia="Times New Roman"/>
          <w:color w:val="202020"/>
          <w:lang w:val="pt-BR"/>
        </w:rPr>
        <w:t>M</w:t>
      </w:r>
      <w:r w:rsidR="00485A79">
        <w:rPr>
          <w:rFonts w:eastAsia="Times New Roman"/>
          <w:color w:val="202020"/>
          <w:lang w:val="pt-BR"/>
        </w:rPr>
        <w:t>.;</w:t>
      </w:r>
      <w:r w:rsidRPr="00B06110">
        <w:rPr>
          <w:rFonts w:eastAsia="Times New Roman"/>
          <w:color w:val="202020"/>
          <w:lang w:val="pt-BR"/>
        </w:rPr>
        <w:t xml:space="preserve"> Cardoso</w:t>
      </w:r>
      <w:r w:rsidR="00485A79">
        <w:rPr>
          <w:rFonts w:eastAsia="Times New Roman"/>
          <w:color w:val="202020"/>
          <w:lang w:val="pt-BR"/>
        </w:rPr>
        <w:t>,</w:t>
      </w:r>
      <w:r w:rsidRPr="00B06110">
        <w:rPr>
          <w:rFonts w:eastAsia="Times New Roman"/>
          <w:color w:val="202020"/>
          <w:lang w:val="pt-BR"/>
        </w:rPr>
        <w:t xml:space="preserve"> L</w:t>
      </w:r>
      <w:r w:rsidR="00485A79">
        <w:rPr>
          <w:rFonts w:eastAsia="Times New Roman"/>
          <w:color w:val="202020"/>
          <w:lang w:val="pt-BR"/>
        </w:rPr>
        <w:t>.</w:t>
      </w:r>
      <w:r w:rsidRPr="00B06110">
        <w:rPr>
          <w:rFonts w:eastAsia="Times New Roman"/>
          <w:color w:val="202020"/>
          <w:lang w:val="pt-BR"/>
        </w:rPr>
        <w:t>D</w:t>
      </w:r>
      <w:r w:rsidR="00485A79">
        <w:rPr>
          <w:rFonts w:eastAsia="Times New Roman"/>
          <w:color w:val="202020"/>
          <w:lang w:val="pt-BR"/>
        </w:rPr>
        <w:t>.</w:t>
      </w:r>
      <w:r w:rsidRPr="00B06110">
        <w:rPr>
          <w:rFonts w:eastAsia="Times New Roman"/>
          <w:color w:val="202020"/>
          <w:lang w:val="pt-BR"/>
        </w:rPr>
        <w:t>O</w:t>
      </w:r>
      <w:r w:rsidR="00485A79">
        <w:rPr>
          <w:rFonts w:eastAsia="Times New Roman"/>
          <w:color w:val="202020"/>
          <w:lang w:val="pt-BR"/>
        </w:rPr>
        <w:t>.;</w:t>
      </w:r>
      <w:r w:rsidRPr="00B06110">
        <w:rPr>
          <w:rFonts w:eastAsia="Times New Roman"/>
          <w:color w:val="202020"/>
          <w:lang w:val="pt-BR"/>
        </w:rPr>
        <w:t xml:space="preserve"> Velasquez-Melendez</w:t>
      </w:r>
      <w:r w:rsidR="00485A79">
        <w:rPr>
          <w:rFonts w:eastAsia="Times New Roman"/>
          <w:color w:val="202020"/>
          <w:lang w:val="pt-BR"/>
        </w:rPr>
        <w:t>,</w:t>
      </w:r>
      <w:r w:rsidRPr="00B06110">
        <w:rPr>
          <w:rFonts w:eastAsia="Times New Roman"/>
          <w:color w:val="202020"/>
          <w:lang w:val="pt-BR"/>
        </w:rPr>
        <w:t xml:space="preserve"> G</w:t>
      </w:r>
      <w:r w:rsidR="00485A79">
        <w:rPr>
          <w:rFonts w:eastAsia="Times New Roman"/>
          <w:color w:val="202020"/>
          <w:lang w:val="pt-BR"/>
        </w:rPr>
        <w:t>.;</w:t>
      </w:r>
      <w:r w:rsidRPr="00B06110">
        <w:rPr>
          <w:rFonts w:eastAsia="Times New Roman"/>
          <w:color w:val="202020"/>
          <w:lang w:val="pt-BR"/>
        </w:rPr>
        <w:t xml:space="preserve"> Drehmer</w:t>
      </w:r>
      <w:r w:rsidR="00485A79">
        <w:rPr>
          <w:rFonts w:eastAsia="Times New Roman"/>
          <w:color w:val="202020"/>
          <w:lang w:val="pt-BR"/>
        </w:rPr>
        <w:t>,</w:t>
      </w:r>
      <w:r w:rsidRPr="00B06110">
        <w:rPr>
          <w:rFonts w:eastAsia="Times New Roman"/>
          <w:color w:val="202020"/>
          <w:lang w:val="pt-BR"/>
        </w:rPr>
        <w:t xml:space="preserve"> M</w:t>
      </w:r>
      <w:r w:rsidR="00485A79">
        <w:rPr>
          <w:rFonts w:eastAsia="Times New Roman"/>
          <w:color w:val="202020"/>
          <w:lang w:val="pt-BR"/>
        </w:rPr>
        <w:t>.;</w:t>
      </w:r>
      <w:r w:rsidRPr="00B06110">
        <w:rPr>
          <w:rFonts w:eastAsia="Times New Roman"/>
          <w:color w:val="202020"/>
          <w:lang w:val="pt-BR"/>
        </w:rPr>
        <w:t xml:space="preserve"> Pereira</w:t>
      </w:r>
      <w:r w:rsidR="00485A79">
        <w:rPr>
          <w:rFonts w:eastAsia="Times New Roman"/>
          <w:color w:val="202020"/>
          <w:lang w:val="pt-BR"/>
        </w:rPr>
        <w:t>,</w:t>
      </w:r>
      <w:r w:rsidRPr="00B06110">
        <w:rPr>
          <w:rFonts w:eastAsia="Times New Roman"/>
          <w:color w:val="202020"/>
          <w:lang w:val="pt-BR"/>
        </w:rPr>
        <w:t xml:space="preserve"> T</w:t>
      </w:r>
      <w:r w:rsidR="00485A79">
        <w:rPr>
          <w:rFonts w:eastAsia="Times New Roman"/>
          <w:color w:val="202020"/>
          <w:lang w:val="pt-BR"/>
        </w:rPr>
        <w:t>.</w:t>
      </w:r>
      <w:r w:rsidRPr="00B06110">
        <w:rPr>
          <w:rFonts w:eastAsia="Times New Roman"/>
          <w:color w:val="202020"/>
          <w:lang w:val="pt-BR"/>
        </w:rPr>
        <w:t>S</w:t>
      </w:r>
      <w:r w:rsidR="00485A79">
        <w:rPr>
          <w:rFonts w:eastAsia="Times New Roman"/>
          <w:color w:val="202020"/>
          <w:lang w:val="pt-BR"/>
        </w:rPr>
        <w:t>.</w:t>
      </w:r>
      <w:r w:rsidRPr="00B06110">
        <w:rPr>
          <w:rFonts w:eastAsia="Times New Roman"/>
          <w:color w:val="202020"/>
          <w:lang w:val="pt-BR"/>
        </w:rPr>
        <w:t>S</w:t>
      </w:r>
      <w:r w:rsidR="00A63109">
        <w:rPr>
          <w:rFonts w:eastAsia="Times New Roman"/>
          <w:color w:val="202020"/>
          <w:lang w:val="pt-BR"/>
        </w:rPr>
        <w:t xml:space="preserve">,. </w:t>
      </w:r>
      <w:r w:rsidR="00A63109" w:rsidRPr="005835A9">
        <w:rPr>
          <w:rFonts w:eastAsia="Times New Roman"/>
          <w:color w:val="202020"/>
        </w:rPr>
        <w:t xml:space="preserve">Faria C.P.; Melere, C.; Manato, L.; </w:t>
      </w:r>
      <w:r w:rsidR="00BC4F9E" w:rsidRPr="005835A9">
        <w:rPr>
          <w:rFonts w:eastAsia="Times New Roman"/>
          <w:color w:val="202020"/>
        </w:rPr>
        <w:t>Gomes, A.L.C.; Fonseca, M.J.M.; Sichie</w:t>
      </w:r>
      <w:r w:rsidR="005835A9" w:rsidRPr="005835A9">
        <w:rPr>
          <w:rFonts w:eastAsia="Times New Roman"/>
          <w:color w:val="202020"/>
        </w:rPr>
        <w:t>ri, R</w:t>
      </w:r>
      <w:r w:rsidRPr="005835A9">
        <w:rPr>
          <w:rFonts w:eastAsia="Times New Roman"/>
          <w:color w:val="202020"/>
        </w:rPr>
        <w:t xml:space="preserve">. </w:t>
      </w:r>
      <w:r w:rsidRPr="00B06110">
        <w:rPr>
          <w:rFonts w:eastAsia="Times New Roman"/>
          <w:color w:val="202020"/>
        </w:rPr>
        <w:t xml:space="preserve">Reproducibility and relative validity of the Food Frequency Questionnaire used in the ELSA-Brasil. </w:t>
      </w:r>
      <w:r w:rsidRPr="002B2263">
        <w:rPr>
          <w:rFonts w:eastAsia="Times New Roman"/>
          <w:i/>
          <w:iCs/>
          <w:color w:val="202020"/>
        </w:rPr>
        <w:t>Cad de Sa</w:t>
      </w:r>
      <w:r w:rsidR="002B2263" w:rsidRPr="002B2263">
        <w:rPr>
          <w:rFonts w:eastAsia="Times New Roman"/>
          <w:i/>
          <w:iCs/>
          <w:color w:val="202020"/>
        </w:rPr>
        <w:t>u</w:t>
      </w:r>
      <w:r w:rsidRPr="002B2263">
        <w:rPr>
          <w:rFonts w:eastAsia="Times New Roman"/>
          <w:i/>
          <w:iCs/>
          <w:color w:val="202020"/>
        </w:rPr>
        <w:t>de P</w:t>
      </w:r>
      <w:r w:rsidR="002B2263" w:rsidRPr="002B2263">
        <w:rPr>
          <w:rFonts w:eastAsia="Times New Roman"/>
          <w:i/>
          <w:iCs/>
          <w:color w:val="202020"/>
        </w:rPr>
        <w:t>u</w:t>
      </w:r>
      <w:r w:rsidRPr="002B2263">
        <w:rPr>
          <w:rFonts w:eastAsia="Times New Roman"/>
          <w:i/>
          <w:iCs/>
          <w:color w:val="202020"/>
        </w:rPr>
        <w:t>blica</w:t>
      </w:r>
      <w:r w:rsidRPr="00B06110">
        <w:rPr>
          <w:rFonts w:eastAsia="Times New Roman"/>
          <w:color w:val="202020"/>
        </w:rPr>
        <w:t xml:space="preserve">. </w:t>
      </w:r>
      <w:r w:rsidRPr="005835A9">
        <w:rPr>
          <w:rFonts w:eastAsia="Times New Roman"/>
          <w:b/>
          <w:bCs/>
          <w:color w:val="202020"/>
        </w:rPr>
        <w:t>2013</w:t>
      </w:r>
      <w:r w:rsidRPr="00B06110">
        <w:rPr>
          <w:rFonts w:eastAsia="Times New Roman"/>
          <w:color w:val="202020"/>
        </w:rPr>
        <w:t>; 379-389. doi.org/10.1590/S0102-311X2013000200024.</w:t>
      </w:r>
    </w:p>
    <w:p w14:paraId="03221F8C" w14:textId="25B5BA6B"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Thompson</w:t>
      </w:r>
      <w:r w:rsidR="005835A9">
        <w:rPr>
          <w:rFonts w:eastAsia="Times New Roman"/>
          <w:color w:val="202020"/>
        </w:rPr>
        <w:t>,</w:t>
      </w:r>
      <w:r w:rsidRPr="00B06110">
        <w:rPr>
          <w:rFonts w:eastAsia="Times New Roman"/>
          <w:color w:val="202020"/>
        </w:rPr>
        <w:t xml:space="preserve"> E. Hamilton Rating Scale for Anxiety (HAM-A). </w:t>
      </w:r>
      <w:r w:rsidRPr="00BE25F0">
        <w:rPr>
          <w:rFonts w:eastAsia="Times New Roman"/>
          <w:i/>
          <w:iCs/>
          <w:color w:val="202020"/>
        </w:rPr>
        <w:t>Occup Med</w:t>
      </w:r>
      <w:r w:rsidRPr="00B06110">
        <w:rPr>
          <w:rFonts w:eastAsia="Times New Roman"/>
          <w:color w:val="202020"/>
        </w:rPr>
        <w:t xml:space="preserve">. </w:t>
      </w:r>
      <w:r w:rsidRPr="00BE25F0">
        <w:rPr>
          <w:rFonts w:eastAsia="Times New Roman"/>
          <w:b/>
          <w:bCs/>
          <w:color w:val="202020"/>
        </w:rPr>
        <w:t>2015</w:t>
      </w:r>
      <w:r w:rsidRPr="00B06110">
        <w:rPr>
          <w:rFonts w:eastAsia="Times New Roman"/>
          <w:color w:val="202020"/>
        </w:rPr>
        <w:t xml:space="preserve">; 65:601. doi: 10.1093/occmed/kqv054. </w:t>
      </w:r>
    </w:p>
    <w:p w14:paraId="4F20EB31" w14:textId="0E05FBB9"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Mollayeva</w:t>
      </w:r>
      <w:r w:rsidR="00BE25F0">
        <w:rPr>
          <w:rFonts w:eastAsia="Times New Roman"/>
          <w:color w:val="202020"/>
        </w:rPr>
        <w:t>,</w:t>
      </w:r>
      <w:r w:rsidRPr="00B06110">
        <w:rPr>
          <w:rFonts w:eastAsia="Times New Roman"/>
          <w:color w:val="202020"/>
        </w:rPr>
        <w:t xml:space="preserve"> T</w:t>
      </w:r>
      <w:r w:rsidR="00BE25F0">
        <w:rPr>
          <w:rFonts w:eastAsia="Times New Roman"/>
          <w:color w:val="202020"/>
        </w:rPr>
        <w:t>.;</w:t>
      </w:r>
      <w:r w:rsidRPr="00B06110">
        <w:rPr>
          <w:rFonts w:eastAsia="Times New Roman"/>
          <w:color w:val="202020"/>
        </w:rPr>
        <w:t xml:space="preserve"> Thurairajah</w:t>
      </w:r>
      <w:r w:rsidR="00BE25F0">
        <w:rPr>
          <w:rFonts w:eastAsia="Times New Roman"/>
          <w:color w:val="202020"/>
        </w:rPr>
        <w:t>,</w:t>
      </w:r>
      <w:r w:rsidRPr="00B06110">
        <w:rPr>
          <w:rFonts w:eastAsia="Times New Roman"/>
          <w:color w:val="202020"/>
        </w:rPr>
        <w:t xml:space="preserve"> P</w:t>
      </w:r>
      <w:r w:rsidR="00BE25F0">
        <w:rPr>
          <w:rFonts w:eastAsia="Times New Roman"/>
          <w:color w:val="202020"/>
        </w:rPr>
        <w:t>.;</w:t>
      </w:r>
      <w:r w:rsidRPr="00B06110">
        <w:rPr>
          <w:rFonts w:eastAsia="Times New Roman"/>
          <w:color w:val="202020"/>
        </w:rPr>
        <w:t xml:space="preserve"> Burton</w:t>
      </w:r>
      <w:r w:rsidR="00BE25F0">
        <w:rPr>
          <w:rFonts w:eastAsia="Times New Roman"/>
          <w:color w:val="202020"/>
        </w:rPr>
        <w:t>,</w:t>
      </w:r>
      <w:r w:rsidRPr="00B06110">
        <w:rPr>
          <w:rFonts w:eastAsia="Times New Roman"/>
          <w:color w:val="202020"/>
        </w:rPr>
        <w:t xml:space="preserve"> K</w:t>
      </w:r>
      <w:r w:rsidR="00BE25F0">
        <w:rPr>
          <w:rFonts w:eastAsia="Times New Roman"/>
          <w:color w:val="202020"/>
        </w:rPr>
        <w:t>.;</w:t>
      </w:r>
      <w:r w:rsidRPr="00B06110">
        <w:rPr>
          <w:rFonts w:eastAsia="Times New Roman"/>
          <w:color w:val="202020"/>
        </w:rPr>
        <w:t xml:space="preserve"> Mollayeva</w:t>
      </w:r>
      <w:r w:rsidR="00BE25F0">
        <w:rPr>
          <w:rFonts w:eastAsia="Times New Roman"/>
          <w:color w:val="202020"/>
        </w:rPr>
        <w:t>,</w:t>
      </w:r>
      <w:r w:rsidRPr="00B06110">
        <w:rPr>
          <w:rFonts w:eastAsia="Times New Roman"/>
          <w:color w:val="202020"/>
        </w:rPr>
        <w:t xml:space="preserve"> S</w:t>
      </w:r>
      <w:r w:rsidR="00BE25F0">
        <w:rPr>
          <w:rFonts w:eastAsia="Times New Roman"/>
          <w:color w:val="202020"/>
        </w:rPr>
        <w:t>.;</w:t>
      </w:r>
      <w:r w:rsidRPr="00B06110">
        <w:rPr>
          <w:rFonts w:eastAsia="Times New Roman"/>
          <w:color w:val="202020"/>
        </w:rPr>
        <w:t xml:space="preserve"> Shapiro</w:t>
      </w:r>
      <w:r w:rsidR="00BE25F0">
        <w:rPr>
          <w:rFonts w:eastAsia="Times New Roman"/>
          <w:color w:val="202020"/>
        </w:rPr>
        <w:t>,</w:t>
      </w:r>
      <w:r w:rsidRPr="00B06110">
        <w:rPr>
          <w:rFonts w:eastAsia="Times New Roman"/>
          <w:color w:val="202020"/>
        </w:rPr>
        <w:t xml:space="preserve"> C</w:t>
      </w:r>
      <w:r w:rsidR="00BE25F0">
        <w:rPr>
          <w:rFonts w:eastAsia="Times New Roman"/>
          <w:color w:val="202020"/>
        </w:rPr>
        <w:t>.</w:t>
      </w:r>
      <w:r w:rsidRPr="00B06110">
        <w:rPr>
          <w:rFonts w:eastAsia="Times New Roman"/>
          <w:color w:val="202020"/>
        </w:rPr>
        <w:t>M</w:t>
      </w:r>
      <w:r w:rsidR="00BE25F0">
        <w:rPr>
          <w:rFonts w:eastAsia="Times New Roman"/>
          <w:color w:val="202020"/>
        </w:rPr>
        <w:t>.;</w:t>
      </w:r>
      <w:r w:rsidRPr="00B06110">
        <w:rPr>
          <w:rFonts w:eastAsia="Times New Roman"/>
          <w:color w:val="202020"/>
        </w:rPr>
        <w:t xml:space="preserve"> Colantonio</w:t>
      </w:r>
      <w:r w:rsidR="00BE25F0">
        <w:rPr>
          <w:rFonts w:eastAsia="Times New Roman"/>
          <w:color w:val="202020"/>
        </w:rPr>
        <w:t>,</w:t>
      </w:r>
      <w:r w:rsidRPr="00B06110">
        <w:rPr>
          <w:rFonts w:eastAsia="Times New Roman"/>
          <w:color w:val="202020"/>
        </w:rPr>
        <w:t xml:space="preserve"> A. The Pittsburgh sleep quality index as a screening tool for sleep dysfunction in clinical and non-clinical samples: A systematic review and meta-analysis. </w:t>
      </w:r>
      <w:r w:rsidRPr="00663329">
        <w:rPr>
          <w:rFonts w:eastAsia="Times New Roman"/>
          <w:i/>
          <w:iCs/>
          <w:color w:val="202020"/>
        </w:rPr>
        <w:t>Sleep Med Rev</w:t>
      </w:r>
      <w:r w:rsidRPr="00B06110">
        <w:rPr>
          <w:rFonts w:eastAsia="Times New Roman"/>
          <w:color w:val="202020"/>
        </w:rPr>
        <w:t xml:space="preserve">. </w:t>
      </w:r>
      <w:r w:rsidRPr="00663329">
        <w:rPr>
          <w:rFonts w:eastAsia="Times New Roman"/>
          <w:b/>
          <w:bCs/>
          <w:color w:val="202020"/>
        </w:rPr>
        <w:t>2016</w:t>
      </w:r>
      <w:r w:rsidRPr="00B06110">
        <w:rPr>
          <w:rFonts w:eastAsia="Times New Roman"/>
          <w:color w:val="202020"/>
        </w:rPr>
        <w:t xml:space="preserve">; 25:52-73. doi: 10.1016/j.smrv.2015.01.009. </w:t>
      </w:r>
    </w:p>
    <w:p w14:paraId="3CEB8C86" w14:textId="7EBCAC90"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111B59">
        <w:rPr>
          <w:rFonts w:eastAsia="Times New Roman"/>
          <w:color w:val="202020"/>
        </w:rPr>
        <w:t>Matsudo</w:t>
      </w:r>
      <w:r w:rsidR="00383CD2" w:rsidRPr="00111B59">
        <w:rPr>
          <w:rFonts w:eastAsia="Times New Roman"/>
          <w:color w:val="202020"/>
        </w:rPr>
        <w:t>,</w:t>
      </w:r>
      <w:r w:rsidRPr="00111B59">
        <w:rPr>
          <w:rFonts w:eastAsia="Times New Roman"/>
          <w:color w:val="202020"/>
        </w:rPr>
        <w:t xml:space="preserve"> S</w:t>
      </w:r>
      <w:r w:rsidR="00383CD2" w:rsidRPr="00111B59">
        <w:rPr>
          <w:rFonts w:eastAsia="Times New Roman"/>
          <w:color w:val="202020"/>
        </w:rPr>
        <w:t>.;</w:t>
      </w:r>
      <w:r w:rsidRPr="00111B59">
        <w:rPr>
          <w:rFonts w:eastAsia="Times New Roman"/>
          <w:color w:val="202020"/>
        </w:rPr>
        <w:t xml:space="preserve"> Araújo</w:t>
      </w:r>
      <w:r w:rsidR="00383CD2" w:rsidRPr="00111B59">
        <w:rPr>
          <w:rFonts w:eastAsia="Times New Roman"/>
          <w:color w:val="202020"/>
        </w:rPr>
        <w:t>,</w:t>
      </w:r>
      <w:r w:rsidRPr="00111B59">
        <w:rPr>
          <w:rFonts w:eastAsia="Times New Roman"/>
          <w:color w:val="202020"/>
        </w:rPr>
        <w:t xml:space="preserve"> T</w:t>
      </w:r>
      <w:r w:rsidR="00383CD2" w:rsidRPr="00111B59">
        <w:rPr>
          <w:rFonts w:eastAsia="Times New Roman"/>
          <w:color w:val="202020"/>
        </w:rPr>
        <w:t>.;</w:t>
      </w:r>
      <w:r w:rsidRPr="00111B59">
        <w:rPr>
          <w:rFonts w:eastAsia="Times New Roman"/>
          <w:color w:val="202020"/>
        </w:rPr>
        <w:t xml:space="preserve"> Matsudo</w:t>
      </w:r>
      <w:r w:rsidR="00383CD2" w:rsidRPr="00111B59">
        <w:rPr>
          <w:rFonts w:eastAsia="Times New Roman"/>
          <w:color w:val="202020"/>
        </w:rPr>
        <w:t>,</w:t>
      </w:r>
      <w:r w:rsidRPr="00111B59">
        <w:rPr>
          <w:rFonts w:eastAsia="Times New Roman"/>
          <w:color w:val="202020"/>
        </w:rPr>
        <w:t xml:space="preserve"> V</w:t>
      </w:r>
      <w:r w:rsidR="00383CD2" w:rsidRPr="00111B59">
        <w:rPr>
          <w:rFonts w:eastAsia="Times New Roman"/>
          <w:color w:val="202020"/>
        </w:rPr>
        <w:t>.;</w:t>
      </w:r>
      <w:r w:rsidRPr="00111B59">
        <w:rPr>
          <w:rFonts w:eastAsia="Times New Roman"/>
          <w:color w:val="202020"/>
        </w:rPr>
        <w:t xml:space="preserve"> Andrade</w:t>
      </w:r>
      <w:r w:rsidR="00383CD2" w:rsidRPr="00111B59">
        <w:rPr>
          <w:rFonts w:eastAsia="Times New Roman"/>
          <w:color w:val="202020"/>
        </w:rPr>
        <w:t>,</w:t>
      </w:r>
      <w:r w:rsidRPr="00111B59">
        <w:rPr>
          <w:rFonts w:eastAsia="Times New Roman"/>
          <w:color w:val="202020"/>
        </w:rPr>
        <w:t xml:space="preserve"> D</w:t>
      </w:r>
      <w:r w:rsidR="00383CD2" w:rsidRPr="00111B59">
        <w:rPr>
          <w:rFonts w:eastAsia="Times New Roman"/>
          <w:color w:val="202020"/>
        </w:rPr>
        <w:t>.;</w:t>
      </w:r>
      <w:r w:rsidRPr="00111B59">
        <w:rPr>
          <w:rFonts w:eastAsia="Times New Roman"/>
          <w:color w:val="202020"/>
        </w:rPr>
        <w:t xml:space="preserve"> Andrade</w:t>
      </w:r>
      <w:r w:rsidR="00383CD2" w:rsidRPr="00111B59">
        <w:rPr>
          <w:rFonts w:eastAsia="Times New Roman"/>
          <w:color w:val="202020"/>
        </w:rPr>
        <w:t>,</w:t>
      </w:r>
      <w:r w:rsidRPr="00111B59">
        <w:rPr>
          <w:rFonts w:eastAsia="Times New Roman"/>
          <w:color w:val="202020"/>
        </w:rPr>
        <w:t xml:space="preserve"> E</w:t>
      </w:r>
      <w:r w:rsidR="00383CD2" w:rsidRPr="00111B59">
        <w:rPr>
          <w:rFonts w:eastAsia="Times New Roman"/>
          <w:color w:val="202020"/>
        </w:rPr>
        <w:t>.;</w:t>
      </w:r>
      <w:r w:rsidRPr="00111B59">
        <w:rPr>
          <w:rFonts w:eastAsia="Times New Roman"/>
          <w:color w:val="202020"/>
        </w:rPr>
        <w:t xml:space="preserve"> Oliveira</w:t>
      </w:r>
      <w:r w:rsidR="00383CD2" w:rsidRPr="00111B59">
        <w:rPr>
          <w:rFonts w:eastAsia="Times New Roman"/>
          <w:color w:val="202020"/>
        </w:rPr>
        <w:t>,</w:t>
      </w:r>
      <w:r w:rsidRPr="00111B59">
        <w:rPr>
          <w:rFonts w:eastAsia="Times New Roman"/>
          <w:color w:val="202020"/>
        </w:rPr>
        <w:t xml:space="preserve"> L</w:t>
      </w:r>
      <w:r w:rsidR="00383CD2" w:rsidRPr="00111B59">
        <w:rPr>
          <w:rFonts w:eastAsia="Times New Roman"/>
          <w:color w:val="202020"/>
        </w:rPr>
        <w:t>.</w:t>
      </w:r>
      <w:r w:rsidRPr="00111B59">
        <w:rPr>
          <w:rFonts w:eastAsia="Times New Roman"/>
          <w:color w:val="202020"/>
        </w:rPr>
        <w:t>C</w:t>
      </w:r>
      <w:r w:rsidR="00383CD2" w:rsidRPr="00111B59">
        <w:rPr>
          <w:rFonts w:eastAsia="Times New Roman"/>
          <w:color w:val="202020"/>
        </w:rPr>
        <w:t>.;</w:t>
      </w:r>
      <w:r w:rsidRPr="00111B59">
        <w:rPr>
          <w:rFonts w:eastAsia="Times New Roman"/>
          <w:color w:val="202020"/>
        </w:rPr>
        <w:t xml:space="preserve"> </w:t>
      </w:r>
      <w:r w:rsidR="009A6E03" w:rsidRPr="00111B59">
        <w:rPr>
          <w:rFonts w:eastAsia="Times New Roman"/>
          <w:color w:val="202020"/>
        </w:rPr>
        <w:t>Braggion, G</w:t>
      </w:r>
      <w:r w:rsidRPr="00111B59">
        <w:rPr>
          <w:rFonts w:eastAsia="Times New Roman"/>
          <w:color w:val="202020"/>
        </w:rPr>
        <w:t xml:space="preserve">. </w:t>
      </w:r>
      <w:r w:rsidRPr="00B06110">
        <w:rPr>
          <w:rFonts w:eastAsia="Times New Roman"/>
          <w:color w:val="202020"/>
        </w:rPr>
        <w:t xml:space="preserve">International physical activity questionnaire (IPAQ): validity and reproducibility study in Brazil. </w:t>
      </w:r>
      <w:r w:rsidRPr="00663329">
        <w:rPr>
          <w:rFonts w:eastAsia="Times New Roman"/>
          <w:i/>
          <w:iCs/>
          <w:color w:val="202020"/>
        </w:rPr>
        <w:t>Rev. Bras. Activation. Phys. Health</w:t>
      </w:r>
      <w:r w:rsidRPr="00B06110">
        <w:rPr>
          <w:rFonts w:eastAsia="Times New Roman"/>
          <w:color w:val="202020"/>
        </w:rPr>
        <w:t xml:space="preserve">. </w:t>
      </w:r>
      <w:r w:rsidRPr="00663329">
        <w:rPr>
          <w:rFonts w:eastAsia="Times New Roman"/>
          <w:b/>
          <w:bCs/>
          <w:color w:val="202020"/>
        </w:rPr>
        <w:t>2012</w:t>
      </w:r>
      <w:r w:rsidRPr="00B06110">
        <w:rPr>
          <w:rFonts w:eastAsia="Times New Roman"/>
          <w:color w:val="202020"/>
        </w:rPr>
        <w:t>; 6:5-18.</w:t>
      </w:r>
    </w:p>
    <w:p w14:paraId="337AB35E" w14:textId="0B000BDC"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Heinsen</w:t>
      </w:r>
      <w:r w:rsidR="00846D2C">
        <w:rPr>
          <w:rFonts w:eastAsia="Times New Roman"/>
          <w:color w:val="202020"/>
        </w:rPr>
        <w:t>,</w:t>
      </w:r>
      <w:r w:rsidRPr="00B06110">
        <w:rPr>
          <w:rFonts w:eastAsia="Times New Roman"/>
          <w:color w:val="202020"/>
        </w:rPr>
        <w:t xml:space="preserve"> F</w:t>
      </w:r>
      <w:r w:rsidR="00846D2C">
        <w:rPr>
          <w:rFonts w:eastAsia="Times New Roman"/>
          <w:color w:val="202020"/>
        </w:rPr>
        <w:t>.</w:t>
      </w:r>
      <w:r w:rsidRPr="00B06110">
        <w:rPr>
          <w:rFonts w:eastAsia="Times New Roman"/>
          <w:color w:val="202020"/>
        </w:rPr>
        <w:t>A</w:t>
      </w:r>
      <w:r w:rsidR="00846D2C">
        <w:rPr>
          <w:rFonts w:eastAsia="Times New Roman"/>
          <w:color w:val="202020"/>
        </w:rPr>
        <w:t>.;</w:t>
      </w:r>
      <w:r w:rsidRPr="00B06110">
        <w:rPr>
          <w:rFonts w:eastAsia="Times New Roman"/>
          <w:color w:val="202020"/>
        </w:rPr>
        <w:t xml:space="preserve"> Fangmann</w:t>
      </w:r>
      <w:r w:rsidR="00F14F65">
        <w:rPr>
          <w:rFonts w:eastAsia="Times New Roman"/>
          <w:color w:val="202020"/>
        </w:rPr>
        <w:t>,</w:t>
      </w:r>
      <w:r w:rsidRPr="00B06110">
        <w:rPr>
          <w:rFonts w:eastAsia="Times New Roman"/>
          <w:color w:val="202020"/>
        </w:rPr>
        <w:t xml:space="preserve"> D</w:t>
      </w:r>
      <w:r w:rsidR="00F14F65">
        <w:rPr>
          <w:rFonts w:eastAsia="Times New Roman"/>
          <w:color w:val="202020"/>
        </w:rPr>
        <w:t>.;</w:t>
      </w:r>
      <w:r w:rsidRPr="00B06110">
        <w:rPr>
          <w:rFonts w:eastAsia="Times New Roman"/>
          <w:color w:val="202020"/>
        </w:rPr>
        <w:t xml:space="preserve"> Müller</w:t>
      </w:r>
      <w:r w:rsidR="00F14F65">
        <w:rPr>
          <w:rFonts w:eastAsia="Times New Roman"/>
          <w:color w:val="202020"/>
        </w:rPr>
        <w:t>,</w:t>
      </w:r>
      <w:r w:rsidRPr="00B06110">
        <w:rPr>
          <w:rFonts w:eastAsia="Times New Roman"/>
          <w:color w:val="202020"/>
        </w:rPr>
        <w:t xml:space="preserve"> N</w:t>
      </w:r>
      <w:r w:rsidR="00F14F65">
        <w:rPr>
          <w:rFonts w:eastAsia="Times New Roman"/>
          <w:color w:val="202020"/>
        </w:rPr>
        <w:t>.;</w:t>
      </w:r>
      <w:r w:rsidRPr="00B06110">
        <w:rPr>
          <w:rFonts w:eastAsia="Times New Roman"/>
          <w:color w:val="202020"/>
        </w:rPr>
        <w:t xml:space="preserve"> Schulte</w:t>
      </w:r>
      <w:r w:rsidR="006A4BA9">
        <w:rPr>
          <w:rFonts w:eastAsia="Times New Roman"/>
          <w:color w:val="202020"/>
        </w:rPr>
        <w:t>,</w:t>
      </w:r>
      <w:r w:rsidRPr="00B06110">
        <w:rPr>
          <w:rFonts w:eastAsia="Times New Roman"/>
          <w:color w:val="202020"/>
        </w:rPr>
        <w:t xml:space="preserve"> D</w:t>
      </w:r>
      <w:r w:rsidR="006A4BA9">
        <w:rPr>
          <w:rFonts w:eastAsia="Times New Roman"/>
          <w:color w:val="202020"/>
        </w:rPr>
        <w:t>.</w:t>
      </w:r>
      <w:r w:rsidRPr="00B06110">
        <w:rPr>
          <w:rFonts w:eastAsia="Times New Roman"/>
          <w:color w:val="202020"/>
        </w:rPr>
        <w:t>M</w:t>
      </w:r>
      <w:r w:rsidR="006A4BA9">
        <w:rPr>
          <w:rFonts w:eastAsia="Times New Roman"/>
          <w:color w:val="202020"/>
        </w:rPr>
        <w:t>.;</w:t>
      </w:r>
      <w:r w:rsidRPr="00B06110">
        <w:rPr>
          <w:rFonts w:eastAsia="Times New Roman"/>
          <w:color w:val="202020"/>
        </w:rPr>
        <w:t xml:space="preserve"> Rühlemann</w:t>
      </w:r>
      <w:r w:rsidR="006A4BA9">
        <w:rPr>
          <w:rFonts w:eastAsia="Times New Roman"/>
          <w:color w:val="202020"/>
        </w:rPr>
        <w:t>,</w:t>
      </w:r>
      <w:r w:rsidRPr="00B06110">
        <w:rPr>
          <w:rFonts w:eastAsia="Times New Roman"/>
          <w:color w:val="202020"/>
        </w:rPr>
        <w:t xml:space="preserve"> M</w:t>
      </w:r>
      <w:r w:rsidR="006A4BA9">
        <w:rPr>
          <w:rFonts w:eastAsia="Times New Roman"/>
          <w:color w:val="202020"/>
        </w:rPr>
        <w:t>.</w:t>
      </w:r>
      <w:r w:rsidRPr="00B06110">
        <w:rPr>
          <w:rFonts w:eastAsia="Times New Roman"/>
          <w:color w:val="202020"/>
        </w:rPr>
        <w:t>C</w:t>
      </w:r>
      <w:r w:rsidR="006A4BA9">
        <w:rPr>
          <w:rFonts w:eastAsia="Times New Roman"/>
          <w:color w:val="202020"/>
        </w:rPr>
        <w:t>.;</w:t>
      </w:r>
      <w:r w:rsidRPr="00B06110">
        <w:rPr>
          <w:rFonts w:eastAsia="Times New Roman"/>
          <w:color w:val="202020"/>
        </w:rPr>
        <w:t xml:space="preserve"> Türk</w:t>
      </w:r>
      <w:r w:rsidR="009202CD">
        <w:rPr>
          <w:rFonts w:eastAsia="Times New Roman"/>
          <w:color w:val="202020"/>
        </w:rPr>
        <w:t>,</w:t>
      </w:r>
      <w:r w:rsidRPr="00B06110">
        <w:rPr>
          <w:rFonts w:eastAsia="Times New Roman"/>
          <w:color w:val="202020"/>
        </w:rPr>
        <w:t xml:space="preserve"> K</w:t>
      </w:r>
      <w:r w:rsidR="00D37B29">
        <w:rPr>
          <w:rFonts w:eastAsia="Times New Roman"/>
          <w:color w:val="202020"/>
        </w:rPr>
        <w:t>.; Settgast, U.; Lieb, W.; Baines</w:t>
      </w:r>
      <w:r w:rsidR="00251BD3">
        <w:rPr>
          <w:rFonts w:eastAsia="Times New Roman"/>
          <w:color w:val="202020"/>
        </w:rPr>
        <w:t xml:space="preserve">, J.F.; Schreiber, S.; Franke, A.; Laudes, </w:t>
      </w:r>
      <w:r w:rsidR="00FD526B">
        <w:rPr>
          <w:rFonts w:eastAsia="Times New Roman"/>
          <w:color w:val="202020"/>
        </w:rPr>
        <w:t>M</w:t>
      </w:r>
      <w:r w:rsidRPr="00B06110">
        <w:rPr>
          <w:rFonts w:eastAsia="Times New Roman"/>
          <w:color w:val="202020"/>
        </w:rPr>
        <w:t xml:space="preserve">. Beneficial Effects of a Dietary Weight Loss Intervention on </w:t>
      </w:r>
      <w:r w:rsidRPr="00B06110">
        <w:rPr>
          <w:rFonts w:eastAsia="Times New Roman"/>
          <w:color w:val="202020"/>
        </w:rPr>
        <w:lastRenderedPageBreak/>
        <w:t xml:space="preserve">Human Gut Microbiome Diversity and Metabolism Are Not Sustained During Weight Maintenance. </w:t>
      </w:r>
      <w:r w:rsidRPr="00111B59">
        <w:rPr>
          <w:rFonts w:eastAsia="Times New Roman"/>
          <w:i/>
          <w:iCs/>
          <w:color w:val="202020"/>
        </w:rPr>
        <w:t>Obes Facts</w:t>
      </w:r>
      <w:r w:rsidRPr="00B06110">
        <w:rPr>
          <w:rFonts w:eastAsia="Times New Roman"/>
          <w:color w:val="202020"/>
        </w:rPr>
        <w:t xml:space="preserve">. </w:t>
      </w:r>
      <w:r w:rsidRPr="00111B59">
        <w:rPr>
          <w:rFonts w:eastAsia="Times New Roman"/>
          <w:b/>
          <w:bCs/>
          <w:color w:val="202020"/>
        </w:rPr>
        <w:t>2016</w:t>
      </w:r>
      <w:r w:rsidRPr="00B06110">
        <w:rPr>
          <w:rFonts w:eastAsia="Times New Roman"/>
          <w:color w:val="202020"/>
        </w:rPr>
        <w:t xml:space="preserve">;9:379-391. doi: 10.1159/000449506. </w:t>
      </w:r>
    </w:p>
    <w:p w14:paraId="053FE9F4" w14:textId="1269FDC2"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Szulińska</w:t>
      </w:r>
      <w:r w:rsidR="00ED270E">
        <w:rPr>
          <w:rFonts w:eastAsia="Times New Roman"/>
          <w:color w:val="202020"/>
        </w:rPr>
        <w:t>,</w:t>
      </w:r>
      <w:r w:rsidRPr="00B06110">
        <w:rPr>
          <w:rFonts w:eastAsia="Times New Roman"/>
          <w:color w:val="202020"/>
        </w:rPr>
        <w:t xml:space="preserve"> M</w:t>
      </w:r>
      <w:r w:rsidR="00ED270E">
        <w:rPr>
          <w:rFonts w:eastAsia="Times New Roman"/>
          <w:color w:val="202020"/>
        </w:rPr>
        <w:t>.;</w:t>
      </w:r>
      <w:r w:rsidRPr="00B06110">
        <w:rPr>
          <w:rFonts w:eastAsia="Times New Roman"/>
          <w:color w:val="202020"/>
        </w:rPr>
        <w:t xml:space="preserve"> Łoniewski</w:t>
      </w:r>
      <w:r w:rsidR="00ED270E">
        <w:rPr>
          <w:rFonts w:eastAsia="Times New Roman"/>
          <w:color w:val="202020"/>
        </w:rPr>
        <w:t>,</w:t>
      </w:r>
      <w:r w:rsidRPr="00B06110">
        <w:rPr>
          <w:rFonts w:eastAsia="Times New Roman"/>
          <w:color w:val="202020"/>
        </w:rPr>
        <w:t xml:space="preserve"> I</w:t>
      </w:r>
      <w:r w:rsidR="00ED270E">
        <w:rPr>
          <w:rFonts w:eastAsia="Times New Roman"/>
          <w:color w:val="202020"/>
        </w:rPr>
        <w:t>.;</w:t>
      </w:r>
      <w:r w:rsidRPr="00B06110">
        <w:rPr>
          <w:rFonts w:eastAsia="Times New Roman"/>
          <w:color w:val="202020"/>
        </w:rPr>
        <w:t xml:space="preserve"> van Hemert</w:t>
      </w:r>
      <w:r w:rsidR="007B4542">
        <w:rPr>
          <w:rFonts w:eastAsia="Times New Roman"/>
          <w:color w:val="202020"/>
        </w:rPr>
        <w:t>,</w:t>
      </w:r>
      <w:r w:rsidRPr="00B06110">
        <w:rPr>
          <w:rFonts w:eastAsia="Times New Roman"/>
          <w:color w:val="202020"/>
        </w:rPr>
        <w:t xml:space="preserve"> S</w:t>
      </w:r>
      <w:r w:rsidR="007B4542">
        <w:rPr>
          <w:rFonts w:eastAsia="Times New Roman"/>
          <w:color w:val="202020"/>
        </w:rPr>
        <w:t>.;</w:t>
      </w:r>
      <w:r w:rsidRPr="00B06110">
        <w:rPr>
          <w:rFonts w:eastAsia="Times New Roman"/>
          <w:color w:val="202020"/>
        </w:rPr>
        <w:t xml:space="preserve"> Sobieska</w:t>
      </w:r>
      <w:r w:rsidR="007B4542">
        <w:rPr>
          <w:rFonts w:eastAsia="Times New Roman"/>
          <w:color w:val="202020"/>
        </w:rPr>
        <w:t>,</w:t>
      </w:r>
      <w:r w:rsidRPr="00B06110">
        <w:rPr>
          <w:rFonts w:eastAsia="Times New Roman"/>
          <w:color w:val="202020"/>
        </w:rPr>
        <w:t xml:space="preserve"> M</w:t>
      </w:r>
      <w:r w:rsidR="007B4542">
        <w:rPr>
          <w:rFonts w:eastAsia="Times New Roman"/>
          <w:color w:val="202020"/>
        </w:rPr>
        <w:t>.;</w:t>
      </w:r>
      <w:r w:rsidRPr="00B06110">
        <w:rPr>
          <w:rFonts w:eastAsia="Times New Roman"/>
          <w:color w:val="202020"/>
        </w:rPr>
        <w:t xml:space="preserve"> Bogdański</w:t>
      </w:r>
      <w:r w:rsidR="007B4542">
        <w:rPr>
          <w:rFonts w:eastAsia="Times New Roman"/>
          <w:color w:val="202020"/>
        </w:rPr>
        <w:t>,</w:t>
      </w:r>
      <w:r w:rsidRPr="00B06110">
        <w:rPr>
          <w:rFonts w:eastAsia="Times New Roman"/>
          <w:color w:val="202020"/>
        </w:rPr>
        <w:t xml:space="preserve"> P. Dose-Dependent Effects of Multispecies Probiotic Supplementation on the Lipopolysaccharide (LPS) Level and Cardiometabolic Profile in Obese Postmenopausal Women: A 12-Week Randomized Clinical Trial. </w:t>
      </w:r>
      <w:r w:rsidRPr="007B4542">
        <w:rPr>
          <w:rFonts w:eastAsia="Times New Roman"/>
          <w:i/>
          <w:iCs/>
          <w:color w:val="202020"/>
        </w:rPr>
        <w:t>Nutrients</w:t>
      </w:r>
      <w:r w:rsidRPr="00B06110">
        <w:rPr>
          <w:rFonts w:eastAsia="Times New Roman"/>
          <w:color w:val="202020"/>
        </w:rPr>
        <w:t xml:space="preserve">. </w:t>
      </w:r>
      <w:r w:rsidRPr="007B4542">
        <w:rPr>
          <w:rFonts w:eastAsia="Times New Roman"/>
          <w:b/>
          <w:bCs/>
          <w:color w:val="202020"/>
        </w:rPr>
        <w:t>2018</w:t>
      </w:r>
      <w:r w:rsidRPr="00B06110">
        <w:rPr>
          <w:rFonts w:eastAsia="Times New Roman"/>
          <w:color w:val="202020"/>
        </w:rPr>
        <w:t xml:space="preserve">;10:773. </w:t>
      </w:r>
      <w:r w:rsidRPr="00B06110">
        <w:rPr>
          <w:color w:val="212121"/>
          <w:shd w:val="clear" w:color="auto" w:fill="FFFFFF"/>
        </w:rPr>
        <w:t>doi: 10.3390/nu10060773.</w:t>
      </w:r>
    </w:p>
    <w:p w14:paraId="7FFEF015" w14:textId="6174B25C"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Song, E</w:t>
      </w:r>
      <w:r w:rsidR="001D1AB1">
        <w:rPr>
          <w:rFonts w:eastAsia="Times New Roman"/>
          <w:color w:val="202020"/>
        </w:rPr>
        <w:t>.</w:t>
      </w:r>
      <w:r w:rsidRPr="00B06110">
        <w:rPr>
          <w:rFonts w:eastAsia="Times New Roman"/>
          <w:color w:val="202020"/>
        </w:rPr>
        <w:t>J</w:t>
      </w:r>
      <w:r w:rsidR="001D1AB1">
        <w:rPr>
          <w:rFonts w:eastAsia="Times New Roman"/>
          <w:color w:val="202020"/>
        </w:rPr>
        <w:t>.;</w:t>
      </w:r>
      <w:r w:rsidRPr="00B06110">
        <w:rPr>
          <w:rFonts w:eastAsia="Times New Roman"/>
          <w:color w:val="202020"/>
        </w:rPr>
        <w:t xml:space="preserve"> Han, K</w:t>
      </w:r>
      <w:r w:rsidR="001D1AB1">
        <w:rPr>
          <w:rFonts w:eastAsia="Times New Roman"/>
          <w:color w:val="202020"/>
        </w:rPr>
        <w:t>.;</w:t>
      </w:r>
      <w:r w:rsidRPr="00B06110">
        <w:rPr>
          <w:rFonts w:eastAsia="Times New Roman"/>
          <w:color w:val="202020"/>
        </w:rPr>
        <w:t xml:space="preserve"> Lim, T</w:t>
      </w:r>
      <w:r w:rsidR="001D1AB1">
        <w:rPr>
          <w:rFonts w:eastAsia="Times New Roman"/>
          <w:color w:val="202020"/>
        </w:rPr>
        <w:t>.</w:t>
      </w:r>
      <w:r w:rsidRPr="00B06110">
        <w:rPr>
          <w:rFonts w:eastAsia="Times New Roman"/>
          <w:color w:val="202020"/>
        </w:rPr>
        <w:t>J</w:t>
      </w:r>
      <w:r w:rsidR="001D1AB1">
        <w:rPr>
          <w:rFonts w:eastAsia="Times New Roman"/>
          <w:color w:val="202020"/>
        </w:rPr>
        <w:t>.;</w:t>
      </w:r>
      <w:r w:rsidR="00B84B79">
        <w:rPr>
          <w:rFonts w:eastAsia="Times New Roman"/>
          <w:color w:val="202020"/>
        </w:rPr>
        <w:t xml:space="preserve"> Lim, S.; Chung, M.J.; </w:t>
      </w:r>
      <w:r w:rsidR="00BF3A34">
        <w:rPr>
          <w:rFonts w:eastAsia="Times New Roman"/>
          <w:color w:val="202020"/>
        </w:rPr>
        <w:t>Nam, M.H.; Kim, H.; Nam, Y.D</w:t>
      </w:r>
      <w:r w:rsidRPr="00B06110">
        <w:rPr>
          <w:rFonts w:eastAsia="Times New Roman"/>
          <w:color w:val="202020"/>
        </w:rPr>
        <w:t xml:space="preserve">. Effect of probiotics on obesity-related markers per enterotype: a double-blind, placebo-controlled, randomized clinical trial. </w:t>
      </w:r>
      <w:r w:rsidRPr="007E41E9">
        <w:rPr>
          <w:rFonts w:eastAsia="Times New Roman"/>
          <w:i/>
          <w:iCs/>
          <w:color w:val="202020"/>
        </w:rPr>
        <w:t>EPMA J</w:t>
      </w:r>
      <w:r w:rsidRPr="00B06110">
        <w:rPr>
          <w:rFonts w:eastAsia="Times New Roman"/>
          <w:color w:val="202020"/>
        </w:rPr>
        <w:t xml:space="preserve">. </w:t>
      </w:r>
      <w:r w:rsidRPr="00B24EEE">
        <w:rPr>
          <w:rFonts w:eastAsia="Times New Roman"/>
          <w:b/>
          <w:bCs/>
          <w:color w:val="202020"/>
        </w:rPr>
        <w:t>2020</w:t>
      </w:r>
      <w:r w:rsidRPr="00B06110">
        <w:rPr>
          <w:rFonts w:eastAsia="Times New Roman"/>
          <w:color w:val="202020"/>
        </w:rPr>
        <w:t xml:space="preserve">; 11:31–51. </w:t>
      </w:r>
      <w:r w:rsidRPr="00B06110">
        <w:rPr>
          <w:color w:val="212121"/>
          <w:shd w:val="clear" w:color="auto" w:fill="FFFFFF"/>
        </w:rPr>
        <w:t>doi: 10.1007/s13167-020-00198-y.</w:t>
      </w:r>
    </w:p>
    <w:p w14:paraId="724D498A" w14:textId="1BE0EA3D"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Rouxinol-Dias</w:t>
      </w:r>
      <w:r w:rsidR="00B24EEE">
        <w:rPr>
          <w:rFonts w:eastAsia="Times New Roman"/>
          <w:color w:val="202020"/>
        </w:rPr>
        <w:t>,</w:t>
      </w:r>
      <w:r w:rsidRPr="00B06110">
        <w:rPr>
          <w:rFonts w:eastAsia="Times New Roman"/>
          <w:color w:val="202020"/>
        </w:rPr>
        <w:t xml:space="preserve"> A</w:t>
      </w:r>
      <w:r w:rsidR="00B24EEE">
        <w:rPr>
          <w:rFonts w:eastAsia="Times New Roman"/>
          <w:color w:val="202020"/>
        </w:rPr>
        <w:t>.</w:t>
      </w:r>
      <w:r w:rsidRPr="00B06110">
        <w:rPr>
          <w:rFonts w:eastAsia="Times New Roman"/>
          <w:color w:val="202020"/>
        </w:rPr>
        <w:t>L</w:t>
      </w:r>
      <w:r w:rsidR="00B24EEE">
        <w:rPr>
          <w:rFonts w:eastAsia="Times New Roman"/>
          <w:color w:val="202020"/>
        </w:rPr>
        <w:t>.;</w:t>
      </w:r>
      <w:r w:rsidRPr="00B06110">
        <w:rPr>
          <w:rFonts w:eastAsia="Times New Roman"/>
          <w:color w:val="202020"/>
        </w:rPr>
        <w:t xml:space="preserve"> Pinto</w:t>
      </w:r>
      <w:r w:rsidR="00B24EEE">
        <w:rPr>
          <w:rFonts w:eastAsia="Times New Roman"/>
          <w:color w:val="202020"/>
        </w:rPr>
        <w:t>,</w:t>
      </w:r>
      <w:r w:rsidRPr="00B06110">
        <w:rPr>
          <w:rFonts w:eastAsia="Times New Roman"/>
          <w:color w:val="202020"/>
        </w:rPr>
        <w:t xml:space="preserve"> A</w:t>
      </w:r>
      <w:r w:rsidR="00B24EEE">
        <w:rPr>
          <w:rFonts w:eastAsia="Times New Roman"/>
          <w:color w:val="202020"/>
        </w:rPr>
        <w:t>.</w:t>
      </w:r>
      <w:r w:rsidRPr="00B06110">
        <w:rPr>
          <w:rFonts w:eastAsia="Times New Roman"/>
          <w:color w:val="202020"/>
        </w:rPr>
        <w:t>R</w:t>
      </w:r>
      <w:r w:rsidR="00B24EEE">
        <w:rPr>
          <w:rFonts w:eastAsia="Times New Roman"/>
          <w:color w:val="202020"/>
        </w:rPr>
        <w:t>.;</w:t>
      </w:r>
      <w:r w:rsidRPr="00B06110">
        <w:rPr>
          <w:rFonts w:eastAsia="Times New Roman"/>
          <w:color w:val="202020"/>
        </w:rPr>
        <w:t xml:space="preserve"> Janeiro</w:t>
      </w:r>
      <w:r w:rsidR="00B24EEE">
        <w:rPr>
          <w:rFonts w:eastAsia="Times New Roman"/>
          <w:color w:val="202020"/>
        </w:rPr>
        <w:t>,</w:t>
      </w:r>
      <w:r w:rsidRPr="00B06110">
        <w:rPr>
          <w:rFonts w:eastAsia="Times New Roman"/>
          <w:color w:val="202020"/>
        </w:rPr>
        <w:t xml:space="preserve"> C</w:t>
      </w:r>
      <w:r w:rsidR="00B24EEE">
        <w:rPr>
          <w:rFonts w:eastAsia="Times New Roman"/>
          <w:color w:val="202020"/>
        </w:rPr>
        <w:t>.;</w:t>
      </w:r>
      <w:r w:rsidRPr="00B06110">
        <w:rPr>
          <w:rFonts w:eastAsia="Times New Roman"/>
          <w:color w:val="202020"/>
        </w:rPr>
        <w:t xml:space="preserve"> Rodrigues</w:t>
      </w:r>
      <w:r w:rsidR="00B24EEE">
        <w:rPr>
          <w:rFonts w:eastAsia="Times New Roman"/>
          <w:color w:val="202020"/>
        </w:rPr>
        <w:t>,</w:t>
      </w:r>
      <w:r w:rsidRPr="00B06110">
        <w:rPr>
          <w:rFonts w:eastAsia="Times New Roman"/>
          <w:color w:val="202020"/>
        </w:rPr>
        <w:t xml:space="preserve"> D</w:t>
      </w:r>
      <w:r w:rsidR="00B24EEE">
        <w:rPr>
          <w:rFonts w:eastAsia="Times New Roman"/>
          <w:color w:val="202020"/>
        </w:rPr>
        <w:t>.;</w:t>
      </w:r>
      <w:r w:rsidRPr="00B06110">
        <w:rPr>
          <w:rFonts w:eastAsia="Times New Roman"/>
          <w:color w:val="202020"/>
        </w:rPr>
        <w:t xml:space="preserve"> Moreira</w:t>
      </w:r>
      <w:r w:rsidR="00B24EEE">
        <w:rPr>
          <w:rFonts w:eastAsia="Times New Roman"/>
          <w:color w:val="202020"/>
        </w:rPr>
        <w:t>,</w:t>
      </w:r>
      <w:r w:rsidRPr="00B06110">
        <w:rPr>
          <w:rFonts w:eastAsia="Times New Roman"/>
          <w:color w:val="202020"/>
        </w:rPr>
        <w:t xml:space="preserve"> M</w:t>
      </w:r>
      <w:r w:rsidR="00B24EEE">
        <w:rPr>
          <w:rFonts w:eastAsia="Times New Roman"/>
          <w:color w:val="202020"/>
        </w:rPr>
        <w:t>.;</w:t>
      </w:r>
      <w:r w:rsidRPr="00B06110">
        <w:rPr>
          <w:rFonts w:eastAsia="Times New Roman"/>
          <w:color w:val="202020"/>
        </w:rPr>
        <w:t xml:space="preserve"> Dias</w:t>
      </w:r>
      <w:r w:rsidR="00B24EEE">
        <w:rPr>
          <w:rFonts w:eastAsia="Times New Roman"/>
          <w:color w:val="202020"/>
        </w:rPr>
        <w:t>,</w:t>
      </w:r>
      <w:r w:rsidRPr="00B06110">
        <w:rPr>
          <w:rFonts w:eastAsia="Times New Roman"/>
          <w:color w:val="202020"/>
        </w:rPr>
        <w:t xml:space="preserve"> J</w:t>
      </w:r>
      <w:r w:rsidR="00B24EEE">
        <w:rPr>
          <w:rFonts w:eastAsia="Times New Roman"/>
          <w:color w:val="202020"/>
        </w:rPr>
        <w:t>.;</w:t>
      </w:r>
      <w:r w:rsidRPr="00B06110">
        <w:rPr>
          <w:rFonts w:eastAsia="Times New Roman"/>
          <w:color w:val="202020"/>
        </w:rPr>
        <w:t xml:space="preserve"> Pereira</w:t>
      </w:r>
      <w:r w:rsidR="00B24EEE">
        <w:rPr>
          <w:rFonts w:eastAsia="Times New Roman"/>
          <w:color w:val="202020"/>
        </w:rPr>
        <w:t>,</w:t>
      </w:r>
      <w:r w:rsidRPr="00B06110">
        <w:rPr>
          <w:rFonts w:eastAsia="Times New Roman"/>
          <w:color w:val="202020"/>
        </w:rPr>
        <w:t xml:space="preserve"> P. Probiotics for the control of obesity – Its effect on weight change. </w:t>
      </w:r>
      <w:r w:rsidRPr="005445D8">
        <w:rPr>
          <w:rFonts w:eastAsia="Times New Roman"/>
          <w:i/>
          <w:iCs/>
          <w:color w:val="202020"/>
        </w:rPr>
        <w:t>Porto Biom J</w:t>
      </w:r>
      <w:r w:rsidRPr="00B06110">
        <w:rPr>
          <w:rFonts w:eastAsia="Times New Roman"/>
          <w:color w:val="202020"/>
        </w:rPr>
        <w:t xml:space="preserve">. </w:t>
      </w:r>
      <w:r w:rsidRPr="005445D8">
        <w:rPr>
          <w:rFonts w:eastAsia="Times New Roman"/>
          <w:b/>
          <w:bCs/>
          <w:color w:val="202020"/>
        </w:rPr>
        <w:t>2016</w:t>
      </w:r>
      <w:r w:rsidRPr="00B06110">
        <w:rPr>
          <w:rFonts w:eastAsia="Times New Roman"/>
          <w:color w:val="202020"/>
        </w:rPr>
        <w:t>. doi: 10.1016/j.pbj.2016.03.005.</w:t>
      </w:r>
    </w:p>
    <w:p w14:paraId="1A0B3356" w14:textId="32D9415F"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Aoun</w:t>
      </w:r>
      <w:r w:rsidR="00FD22C5">
        <w:rPr>
          <w:rFonts w:eastAsia="Times New Roman"/>
          <w:color w:val="202020"/>
        </w:rPr>
        <w:t>,</w:t>
      </w:r>
      <w:r w:rsidRPr="00B06110">
        <w:rPr>
          <w:rFonts w:eastAsia="Times New Roman"/>
          <w:color w:val="202020"/>
        </w:rPr>
        <w:t xml:space="preserve"> A</w:t>
      </w:r>
      <w:r w:rsidR="00FD22C5">
        <w:rPr>
          <w:rFonts w:eastAsia="Times New Roman"/>
          <w:color w:val="202020"/>
        </w:rPr>
        <w:t>.;</w:t>
      </w:r>
      <w:r w:rsidRPr="00B06110">
        <w:rPr>
          <w:rFonts w:eastAsia="Times New Roman"/>
          <w:color w:val="202020"/>
        </w:rPr>
        <w:t xml:space="preserve"> Darwish</w:t>
      </w:r>
      <w:r w:rsidR="004409BD">
        <w:rPr>
          <w:rFonts w:eastAsia="Times New Roman"/>
          <w:color w:val="202020"/>
        </w:rPr>
        <w:t>,</w:t>
      </w:r>
      <w:r w:rsidRPr="00B06110">
        <w:rPr>
          <w:rFonts w:eastAsia="Times New Roman"/>
          <w:color w:val="202020"/>
        </w:rPr>
        <w:t xml:space="preserve"> F</w:t>
      </w:r>
      <w:r w:rsidR="004409BD">
        <w:rPr>
          <w:rFonts w:eastAsia="Times New Roman"/>
          <w:color w:val="202020"/>
        </w:rPr>
        <w:t>.;</w:t>
      </w:r>
      <w:r w:rsidRPr="00B06110">
        <w:rPr>
          <w:rFonts w:eastAsia="Times New Roman"/>
          <w:color w:val="202020"/>
        </w:rPr>
        <w:t xml:space="preserve"> Hamod</w:t>
      </w:r>
      <w:r w:rsidR="004409BD">
        <w:rPr>
          <w:rFonts w:eastAsia="Times New Roman"/>
          <w:color w:val="202020"/>
        </w:rPr>
        <w:t>,</w:t>
      </w:r>
      <w:r w:rsidRPr="00B06110">
        <w:rPr>
          <w:rFonts w:eastAsia="Times New Roman"/>
          <w:color w:val="202020"/>
        </w:rPr>
        <w:t xml:space="preserve"> N. The Influence of the Gut Microbiome on Obesity in Adults and the Role of Probiotics, Prebiotics, and Synbiotics for Weight Loss. </w:t>
      </w:r>
      <w:r w:rsidRPr="00B5495E">
        <w:rPr>
          <w:rFonts w:eastAsia="Times New Roman"/>
          <w:i/>
          <w:iCs/>
          <w:color w:val="202020"/>
        </w:rPr>
        <w:t>Prev Nutr</w:t>
      </w:r>
      <w:r w:rsidR="00C47D5D" w:rsidRPr="00B5495E">
        <w:rPr>
          <w:rFonts w:eastAsia="Times New Roman"/>
          <w:i/>
          <w:iCs/>
          <w:color w:val="202020"/>
        </w:rPr>
        <w:t xml:space="preserve"> </w:t>
      </w:r>
      <w:r w:rsidRPr="00B5495E">
        <w:rPr>
          <w:rFonts w:eastAsia="Times New Roman"/>
          <w:i/>
          <w:iCs/>
          <w:color w:val="202020"/>
        </w:rPr>
        <w:t>Food Sci</w:t>
      </w:r>
      <w:r w:rsidRPr="00B06110">
        <w:rPr>
          <w:rFonts w:eastAsia="Times New Roman"/>
          <w:color w:val="202020"/>
        </w:rPr>
        <w:t xml:space="preserve">. </w:t>
      </w:r>
      <w:r w:rsidRPr="00B5495E">
        <w:rPr>
          <w:rFonts w:eastAsia="Times New Roman"/>
          <w:b/>
          <w:bCs/>
          <w:color w:val="202020"/>
        </w:rPr>
        <w:t>2020</w:t>
      </w:r>
      <w:r w:rsidRPr="00B06110">
        <w:rPr>
          <w:rFonts w:eastAsia="Times New Roman"/>
          <w:color w:val="202020"/>
        </w:rPr>
        <w:t>, 25:113-123. doi: 10.3746/pnf.2020.25.2.113.</w:t>
      </w:r>
    </w:p>
    <w:p w14:paraId="3ABD3BFD" w14:textId="1FA45E46"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412E27">
        <w:rPr>
          <w:rFonts w:eastAsia="Times New Roman"/>
          <w:color w:val="202020"/>
        </w:rPr>
        <w:t>Narmaki</w:t>
      </w:r>
      <w:r w:rsidR="00412E27" w:rsidRPr="00412E27">
        <w:rPr>
          <w:rFonts w:eastAsia="Times New Roman"/>
          <w:color w:val="202020"/>
        </w:rPr>
        <w:t>,</w:t>
      </w:r>
      <w:r w:rsidRPr="00412E27">
        <w:rPr>
          <w:rFonts w:eastAsia="Times New Roman"/>
          <w:color w:val="202020"/>
        </w:rPr>
        <w:t xml:space="preserve"> E</w:t>
      </w:r>
      <w:r w:rsidR="00412E27" w:rsidRPr="00412E27">
        <w:rPr>
          <w:rFonts w:eastAsia="Times New Roman"/>
          <w:color w:val="202020"/>
        </w:rPr>
        <w:t>.;</w:t>
      </w:r>
      <w:r w:rsidRPr="00412E27">
        <w:rPr>
          <w:rFonts w:eastAsia="Times New Roman"/>
          <w:color w:val="202020"/>
        </w:rPr>
        <w:t xml:space="preserve"> Borazjani</w:t>
      </w:r>
      <w:r w:rsidR="00412E27" w:rsidRPr="00412E27">
        <w:rPr>
          <w:rFonts w:eastAsia="Times New Roman"/>
          <w:color w:val="202020"/>
        </w:rPr>
        <w:t>,</w:t>
      </w:r>
      <w:r w:rsidRPr="00412E27">
        <w:rPr>
          <w:rFonts w:eastAsia="Times New Roman"/>
          <w:color w:val="202020"/>
        </w:rPr>
        <w:t xml:space="preserve"> M</w:t>
      </w:r>
      <w:r w:rsidR="00412E27" w:rsidRPr="00412E27">
        <w:rPr>
          <w:rFonts w:eastAsia="Times New Roman"/>
          <w:color w:val="202020"/>
        </w:rPr>
        <w:t>.;</w:t>
      </w:r>
      <w:r w:rsidRPr="00412E27">
        <w:rPr>
          <w:rFonts w:eastAsia="Times New Roman"/>
          <w:color w:val="202020"/>
        </w:rPr>
        <w:t xml:space="preserve"> Ataie-Jafari</w:t>
      </w:r>
      <w:r w:rsidR="00412E27" w:rsidRPr="00412E27">
        <w:rPr>
          <w:rFonts w:eastAsia="Times New Roman"/>
          <w:color w:val="202020"/>
        </w:rPr>
        <w:t>,</w:t>
      </w:r>
      <w:r w:rsidRPr="00412E27">
        <w:rPr>
          <w:rFonts w:eastAsia="Times New Roman"/>
          <w:color w:val="202020"/>
        </w:rPr>
        <w:t xml:space="preserve"> A</w:t>
      </w:r>
      <w:r w:rsidR="00412E27" w:rsidRPr="00412E27">
        <w:rPr>
          <w:rFonts w:eastAsia="Times New Roman"/>
          <w:color w:val="202020"/>
        </w:rPr>
        <w:t>.</w:t>
      </w:r>
      <w:r w:rsidR="00412E27">
        <w:rPr>
          <w:rFonts w:eastAsia="Times New Roman"/>
          <w:color w:val="202020"/>
        </w:rPr>
        <w:t>;</w:t>
      </w:r>
      <w:r w:rsidRPr="00412E27">
        <w:rPr>
          <w:rFonts w:eastAsia="Times New Roman"/>
          <w:color w:val="202020"/>
        </w:rPr>
        <w:t xml:space="preserve"> Hariri</w:t>
      </w:r>
      <w:r w:rsidR="00412E27">
        <w:rPr>
          <w:rFonts w:eastAsia="Times New Roman"/>
          <w:color w:val="202020"/>
        </w:rPr>
        <w:t>,</w:t>
      </w:r>
      <w:r w:rsidRPr="00412E27">
        <w:rPr>
          <w:rFonts w:eastAsia="Times New Roman"/>
          <w:color w:val="202020"/>
        </w:rPr>
        <w:t xml:space="preserve"> N</w:t>
      </w:r>
      <w:r w:rsidR="00412E27">
        <w:rPr>
          <w:rFonts w:eastAsia="Times New Roman"/>
          <w:color w:val="202020"/>
        </w:rPr>
        <w:t>.;</w:t>
      </w:r>
      <w:r w:rsidRPr="00412E27">
        <w:rPr>
          <w:rFonts w:eastAsia="Times New Roman"/>
          <w:color w:val="202020"/>
        </w:rPr>
        <w:t xml:space="preserve"> Doost</w:t>
      </w:r>
      <w:r w:rsidR="00412E27">
        <w:rPr>
          <w:rFonts w:eastAsia="Times New Roman"/>
          <w:color w:val="202020"/>
        </w:rPr>
        <w:t>,</w:t>
      </w:r>
      <w:r w:rsidRPr="00412E27">
        <w:rPr>
          <w:rFonts w:eastAsia="Times New Roman"/>
          <w:color w:val="202020"/>
        </w:rPr>
        <w:t xml:space="preserve"> A</w:t>
      </w:r>
      <w:r w:rsidR="00412E27">
        <w:rPr>
          <w:rFonts w:eastAsia="Times New Roman"/>
          <w:color w:val="202020"/>
        </w:rPr>
        <w:t>.</w:t>
      </w:r>
      <w:r w:rsidRPr="00412E27">
        <w:rPr>
          <w:rFonts w:eastAsia="Times New Roman"/>
          <w:color w:val="202020"/>
        </w:rPr>
        <w:t>H</w:t>
      </w:r>
      <w:r w:rsidR="00412E27">
        <w:rPr>
          <w:rFonts w:eastAsia="Times New Roman"/>
          <w:color w:val="202020"/>
        </w:rPr>
        <w:t>.;</w:t>
      </w:r>
      <w:r w:rsidRPr="00412E27">
        <w:rPr>
          <w:rFonts w:eastAsia="Times New Roman"/>
          <w:color w:val="202020"/>
        </w:rPr>
        <w:t xml:space="preserve"> Qorbani</w:t>
      </w:r>
      <w:r w:rsidR="00412E27">
        <w:rPr>
          <w:rFonts w:eastAsia="Times New Roman"/>
          <w:color w:val="202020"/>
        </w:rPr>
        <w:t>,</w:t>
      </w:r>
      <w:r w:rsidRPr="00412E27">
        <w:rPr>
          <w:rFonts w:eastAsia="Times New Roman"/>
          <w:color w:val="202020"/>
        </w:rPr>
        <w:t xml:space="preserve"> M</w:t>
      </w:r>
      <w:r w:rsidR="00412E27">
        <w:rPr>
          <w:rFonts w:eastAsia="Times New Roman"/>
          <w:color w:val="202020"/>
        </w:rPr>
        <w:t>.;</w:t>
      </w:r>
      <w:r w:rsidR="002952C9">
        <w:rPr>
          <w:rFonts w:eastAsia="Times New Roman"/>
          <w:color w:val="202020"/>
        </w:rPr>
        <w:t xml:space="preserve"> Saidpour, A</w:t>
      </w:r>
      <w:r w:rsidR="00412E27">
        <w:rPr>
          <w:rFonts w:eastAsia="Times New Roman"/>
          <w:color w:val="202020"/>
        </w:rPr>
        <w:t xml:space="preserve"> </w:t>
      </w:r>
      <w:r w:rsidRPr="00412E27">
        <w:rPr>
          <w:rFonts w:eastAsia="Times New Roman"/>
          <w:color w:val="202020"/>
        </w:rPr>
        <w:t xml:space="preserve">. </w:t>
      </w:r>
      <w:r w:rsidRPr="00B06110">
        <w:rPr>
          <w:rFonts w:eastAsia="Times New Roman"/>
          <w:color w:val="202020"/>
        </w:rPr>
        <w:t xml:space="preserve">The combined effects of probiotics and restricted calorie diet on the anthropometric indices, eating behavior, and hormone levels of obese women with food addiction: a randomized clinical trial. </w:t>
      </w:r>
      <w:r w:rsidRPr="00374C1F">
        <w:rPr>
          <w:rFonts w:eastAsia="Times New Roman"/>
          <w:i/>
          <w:iCs/>
          <w:color w:val="202020"/>
        </w:rPr>
        <w:t>Nutr Neurosci</w:t>
      </w:r>
      <w:r w:rsidRPr="00B06110">
        <w:rPr>
          <w:rFonts w:eastAsia="Times New Roman"/>
          <w:color w:val="202020"/>
        </w:rPr>
        <w:t xml:space="preserve">. </w:t>
      </w:r>
      <w:r w:rsidRPr="00374C1F">
        <w:rPr>
          <w:rFonts w:eastAsia="Times New Roman"/>
          <w:b/>
          <w:bCs/>
          <w:color w:val="202020"/>
        </w:rPr>
        <w:t>2022</w:t>
      </w:r>
      <w:r w:rsidRPr="00B06110">
        <w:rPr>
          <w:rFonts w:eastAsia="Times New Roman"/>
          <w:color w:val="202020"/>
        </w:rPr>
        <w:t xml:space="preserve">; 25:963-975. doi: 10.1080/1028415X.2020.1826763. </w:t>
      </w:r>
    </w:p>
    <w:p w14:paraId="08B33946" w14:textId="08CA7F3A"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Ataey</w:t>
      </w:r>
      <w:r w:rsidR="00DE77D8">
        <w:rPr>
          <w:rFonts w:eastAsia="Times New Roman"/>
          <w:color w:val="202020"/>
        </w:rPr>
        <w:t>,</w:t>
      </w:r>
      <w:r w:rsidRPr="00B06110">
        <w:rPr>
          <w:rFonts w:eastAsia="Times New Roman"/>
          <w:color w:val="202020"/>
        </w:rPr>
        <w:t xml:space="preserve"> A</w:t>
      </w:r>
      <w:r w:rsidR="00DE77D8">
        <w:rPr>
          <w:rFonts w:eastAsia="Times New Roman"/>
          <w:color w:val="202020"/>
        </w:rPr>
        <w:t>.;</w:t>
      </w:r>
      <w:r w:rsidRPr="00B06110">
        <w:rPr>
          <w:rFonts w:eastAsia="Times New Roman"/>
          <w:color w:val="202020"/>
        </w:rPr>
        <w:t xml:space="preserve"> Jafarvand</w:t>
      </w:r>
      <w:r w:rsidR="00DE77D8">
        <w:rPr>
          <w:rFonts w:eastAsia="Times New Roman"/>
          <w:color w:val="202020"/>
        </w:rPr>
        <w:t>,</w:t>
      </w:r>
      <w:r w:rsidRPr="00B06110">
        <w:rPr>
          <w:rFonts w:eastAsia="Times New Roman"/>
          <w:color w:val="202020"/>
        </w:rPr>
        <w:t xml:space="preserve"> E</w:t>
      </w:r>
      <w:r w:rsidR="00DE77D8">
        <w:rPr>
          <w:rFonts w:eastAsia="Times New Roman"/>
          <w:color w:val="202020"/>
        </w:rPr>
        <w:t>.;</w:t>
      </w:r>
      <w:r w:rsidRPr="00B06110">
        <w:rPr>
          <w:rFonts w:eastAsia="Times New Roman"/>
          <w:color w:val="202020"/>
        </w:rPr>
        <w:t xml:space="preserve"> Adham</w:t>
      </w:r>
      <w:r w:rsidR="00DE77D8">
        <w:rPr>
          <w:rFonts w:eastAsia="Times New Roman"/>
          <w:color w:val="202020"/>
        </w:rPr>
        <w:t>,</w:t>
      </w:r>
      <w:r w:rsidRPr="00B06110">
        <w:rPr>
          <w:rFonts w:eastAsia="Times New Roman"/>
          <w:color w:val="202020"/>
        </w:rPr>
        <w:t xml:space="preserve"> D</w:t>
      </w:r>
      <w:r w:rsidR="00DE77D8">
        <w:rPr>
          <w:rFonts w:eastAsia="Times New Roman"/>
          <w:color w:val="202020"/>
        </w:rPr>
        <w:t>.;</w:t>
      </w:r>
      <w:r w:rsidRPr="00B06110">
        <w:rPr>
          <w:rFonts w:eastAsia="Times New Roman"/>
          <w:color w:val="202020"/>
        </w:rPr>
        <w:t xml:space="preserve"> Moradi-Asl</w:t>
      </w:r>
      <w:r w:rsidR="00DE77D8">
        <w:rPr>
          <w:rFonts w:eastAsia="Times New Roman"/>
          <w:color w:val="202020"/>
        </w:rPr>
        <w:t>,</w:t>
      </w:r>
      <w:r w:rsidRPr="00B06110">
        <w:rPr>
          <w:rFonts w:eastAsia="Times New Roman"/>
          <w:color w:val="202020"/>
        </w:rPr>
        <w:t xml:space="preserve"> E. The Relationship Between Obesity, Overweight, and the Human Development Index in World Health Organization Eastern Mediterranean Region Countries. </w:t>
      </w:r>
      <w:r w:rsidRPr="00DE77D8">
        <w:rPr>
          <w:rFonts w:eastAsia="Times New Roman"/>
          <w:i/>
          <w:iCs/>
          <w:color w:val="202020"/>
        </w:rPr>
        <w:t>J Prev Med Public Health</w:t>
      </w:r>
      <w:r w:rsidRPr="00B06110">
        <w:rPr>
          <w:rFonts w:eastAsia="Times New Roman"/>
          <w:color w:val="202020"/>
        </w:rPr>
        <w:t xml:space="preserve">. </w:t>
      </w:r>
      <w:r w:rsidRPr="00DE77D8">
        <w:rPr>
          <w:rFonts w:eastAsia="Times New Roman"/>
          <w:b/>
          <w:bCs/>
          <w:color w:val="202020"/>
        </w:rPr>
        <w:t>2020</w:t>
      </w:r>
      <w:r w:rsidRPr="00B06110">
        <w:rPr>
          <w:rFonts w:eastAsia="Times New Roman"/>
          <w:color w:val="202020"/>
        </w:rPr>
        <w:t xml:space="preserve">; 53:98-105. doi: 10.3961/jpmph.19.100. </w:t>
      </w:r>
    </w:p>
    <w:p w14:paraId="5EA8D62B" w14:textId="78B7DA41"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Mazloom</w:t>
      </w:r>
      <w:r w:rsidR="00327E38">
        <w:rPr>
          <w:rFonts w:eastAsia="Times New Roman"/>
          <w:color w:val="202020"/>
        </w:rPr>
        <w:t>.</w:t>
      </w:r>
      <w:r w:rsidRPr="00B06110">
        <w:rPr>
          <w:rFonts w:eastAsia="Times New Roman"/>
          <w:color w:val="202020"/>
        </w:rPr>
        <w:t xml:space="preserve"> K</w:t>
      </w:r>
      <w:r w:rsidR="00327E38">
        <w:rPr>
          <w:rFonts w:eastAsia="Times New Roman"/>
          <w:color w:val="202020"/>
        </w:rPr>
        <w:t>.;</w:t>
      </w:r>
      <w:r w:rsidRPr="00B06110">
        <w:rPr>
          <w:rFonts w:eastAsia="Times New Roman"/>
          <w:color w:val="202020"/>
        </w:rPr>
        <w:t xml:space="preserve"> Siddiqi</w:t>
      </w:r>
      <w:r w:rsidR="00327E38">
        <w:rPr>
          <w:rFonts w:eastAsia="Times New Roman"/>
          <w:color w:val="202020"/>
        </w:rPr>
        <w:t>,</w:t>
      </w:r>
      <w:r w:rsidRPr="00B06110">
        <w:rPr>
          <w:rFonts w:eastAsia="Times New Roman"/>
          <w:color w:val="202020"/>
        </w:rPr>
        <w:t xml:space="preserve"> I</w:t>
      </w:r>
      <w:r w:rsidR="00327E38">
        <w:rPr>
          <w:rFonts w:eastAsia="Times New Roman"/>
          <w:color w:val="202020"/>
        </w:rPr>
        <w:t>.;</w:t>
      </w:r>
      <w:r w:rsidRPr="00B06110">
        <w:rPr>
          <w:rFonts w:eastAsia="Times New Roman"/>
          <w:color w:val="202020"/>
        </w:rPr>
        <w:t xml:space="preserve"> Covasa</w:t>
      </w:r>
      <w:r w:rsidR="00327E38">
        <w:rPr>
          <w:rFonts w:eastAsia="Times New Roman"/>
          <w:color w:val="202020"/>
        </w:rPr>
        <w:t>,</w:t>
      </w:r>
      <w:r w:rsidRPr="00B06110">
        <w:rPr>
          <w:rFonts w:eastAsia="Times New Roman"/>
          <w:color w:val="202020"/>
        </w:rPr>
        <w:t xml:space="preserve"> M. Probiotics: How Effective Are They in the Fight against Obesity? </w:t>
      </w:r>
      <w:r w:rsidRPr="00327E38">
        <w:rPr>
          <w:rFonts w:eastAsia="Times New Roman"/>
          <w:i/>
          <w:iCs/>
          <w:color w:val="202020"/>
        </w:rPr>
        <w:t>Nutrients</w:t>
      </w:r>
      <w:r w:rsidRPr="00B06110">
        <w:rPr>
          <w:rFonts w:eastAsia="Times New Roman"/>
          <w:color w:val="202020"/>
        </w:rPr>
        <w:t xml:space="preserve">. </w:t>
      </w:r>
      <w:r w:rsidRPr="00327E38">
        <w:rPr>
          <w:rFonts w:eastAsia="Times New Roman"/>
          <w:b/>
          <w:bCs/>
          <w:color w:val="202020"/>
        </w:rPr>
        <w:t>2019</w:t>
      </w:r>
      <w:r w:rsidRPr="00B06110">
        <w:rPr>
          <w:rFonts w:eastAsia="Times New Roman"/>
          <w:color w:val="202020"/>
        </w:rPr>
        <w:t xml:space="preserve">; 11:258. </w:t>
      </w:r>
      <w:r w:rsidRPr="00B06110">
        <w:rPr>
          <w:color w:val="212121"/>
          <w:shd w:val="clear" w:color="auto" w:fill="FFFFFF"/>
        </w:rPr>
        <w:t>doi: 10.3390/nu11020258. </w:t>
      </w:r>
    </w:p>
    <w:p w14:paraId="0E2D221D" w14:textId="73EC5090"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Kobyliak</w:t>
      </w:r>
      <w:r w:rsidR="00327E38">
        <w:rPr>
          <w:rFonts w:eastAsia="Times New Roman"/>
          <w:color w:val="202020"/>
        </w:rPr>
        <w:t>,</w:t>
      </w:r>
      <w:r w:rsidRPr="00B06110">
        <w:rPr>
          <w:rFonts w:eastAsia="Times New Roman"/>
          <w:color w:val="202020"/>
        </w:rPr>
        <w:t xml:space="preserve"> N</w:t>
      </w:r>
      <w:r w:rsidR="00327E38">
        <w:rPr>
          <w:rFonts w:eastAsia="Times New Roman"/>
          <w:color w:val="202020"/>
        </w:rPr>
        <w:t>.;</w:t>
      </w:r>
      <w:r w:rsidRPr="00B06110">
        <w:rPr>
          <w:rFonts w:eastAsia="Times New Roman"/>
          <w:color w:val="202020"/>
        </w:rPr>
        <w:t xml:space="preserve"> Conte</w:t>
      </w:r>
      <w:r w:rsidR="00327E38">
        <w:rPr>
          <w:rFonts w:eastAsia="Times New Roman"/>
          <w:color w:val="202020"/>
        </w:rPr>
        <w:t>,</w:t>
      </w:r>
      <w:r w:rsidRPr="00B06110">
        <w:rPr>
          <w:rFonts w:eastAsia="Times New Roman"/>
          <w:color w:val="202020"/>
        </w:rPr>
        <w:t xml:space="preserve"> C</w:t>
      </w:r>
      <w:r w:rsidR="00327E38">
        <w:rPr>
          <w:rFonts w:eastAsia="Times New Roman"/>
          <w:color w:val="202020"/>
        </w:rPr>
        <w:t>.;</w:t>
      </w:r>
      <w:r w:rsidRPr="00B06110">
        <w:rPr>
          <w:rFonts w:eastAsia="Times New Roman"/>
          <w:color w:val="202020"/>
        </w:rPr>
        <w:t xml:space="preserve"> Cammarota</w:t>
      </w:r>
      <w:r w:rsidR="00327E38">
        <w:rPr>
          <w:rFonts w:eastAsia="Times New Roman"/>
          <w:color w:val="202020"/>
        </w:rPr>
        <w:t>,</w:t>
      </w:r>
      <w:r w:rsidRPr="00B06110">
        <w:rPr>
          <w:rFonts w:eastAsia="Times New Roman"/>
          <w:color w:val="202020"/>
        </w:rPr>
        <w:t xml:space="preserve"> G</w:t>
      </w:r>
      <w:r w:rsidR="00327E38">
        <w:rPr>
          <w:rFonts w:eastAsia="Times New Roman"/>
          <w:color w:val="202020"/>
        </w:rPr>
        <w:t>.;</w:t>
      </w:r>
      <w:r w:rsidRPr="00B06110">
        <w:rPr>
          <w:rFonts w:eastAsia="Times New Roman"/>
          <w:color w:val="202020"/>
        </w:rPr>
        <w:t xml:space="preserve"> Haley</w:t>
      </w:r>
      <w:r w:rsidR="00327E38">
        <w:rPr>
          <w:rFonts w:eastAsia="Times New Roman"/>
          <w:color w:val="202020"/>
        </w:rPr>
        <w:t>,</w:t>
      </w:r>
      <w:r w:rsidRPr="00B06110">
        <w:rPr>
          <w:rFonts w:eastAsia="Times New Roman"/>
          <w:color w:val="202020"/>
        </w:rPr>
        <w:t xml:space="preserve"> A</w:t>
      </w:r>
      <w:r w:rsidR="00327E38">
        <w:rPr>
          <w:rFonts w:eastAsia="Times New Roman"/>
          <w:color w:val="202020"/>
        </w:rPr>
        <w:t>.</w:t>
      </w:r>
      <w:r w:rsidRPr="00B06110">
        <w:rPr>
          <w:rFonts w:eastAsia="Times New Roman"/>
          <w:color w:val="202020"/>
        </w:rPr>
        <w:t>P</w:t>
      </w:r>
      <w:r w:rsidR="00327E38">
        <w:rPr>
          <w:rFonts w:eastAsia="Times New Roman"/>
          <w:color w:val="202020"/>
        </w:rPr>
        <w:t>.;</w:t>
      </w:r>
      <w:r w:rsidRPr="00B06110">
        <w:rPr>
          <w:rFonts w:eastAsia="Times New Roman"/>
          <w:color w:val="202020"/>
        </w:rPr>
        <w:t xml:space="preserve"> Styriak</w:t>
      </w:r>
      <w:r w:rsidR="00327E38">
        <w:rPr>
          <w:rFonts w:eastAsia="Times New Roman"/>
          <w:color w:val="202020"/>
        </w:rPr>
        <w:t>,</w:t>
      </w:r>
      <w:r w:rsidRPr="00B06110">
        <w:rPr>
          <w:rFonts w:eastAsia="Times New Roman"/>
          <w:color w:val="202020"/>
        </w:rPr>
        <w:t xml:space="preserve"> I</w:t>
      </w:r>
      <w:r w:rsidR="00327E38">
        <w:rPr>
          <w:rFonts w:eastAsia="Times New Roman"/>
          <w:color w:val="202020"/>
        </w:rPr>
        <w:t>.;</w:t>
      </w:r>
      <w:r w:rsidRPr="00B06110">
        <w:rPr>
          <w:rFonts w:eastAsia="Times New Roman"/>
          <w:color w:val="202020"/>
        </w:rPr>
        <w:t xml:space="preserve"> Gaspar</w:t>
      </w:r>
      <w:r w:rsidR="00327E38">
        <w:rPr>
          <w:rFonts w:eastAsia="Times New Roman"/>
          <w:color w:val="202020"/>
        </w:rPr>
        <w:t>,</w:t>
      </w:r>
      <w:r w:rsidRPr="00B06110">
        <w:rPr>
          <w:rFonts w:eastAsia="Times New Roman"/>
          <w:color w:val="202020"/>
        </w:rPr>
        <w:t xml:space="preserve"> L</w:t>
      </w:r>
      <w:r w:rsidR="00327E38">
        <w:rPr>
          <w:rFonts w:eastAsia="Times New Roman"/>
          <w:color w:val="202020"/>
        </w:rPr>
        <w:t>.;</w:t>
      </w:r>
      <w:r w:rsidR="00DD21EE">
        <w:rPr>
          <w:rFonts w:eastAsia="Times New Roman"/>
          <w:color w:val="202020"/>
        </w:rPr>
        <w:t xml:space="preserve"> Fusek, J.; Rodrigo, L.; Kruzliak, P</w:t>
      </w:r>
      <w:r w:rsidRPr="00B06110">
        <w:rPr>
          <w:rFonts w:eastAsia="Times New Roman"/>
          <w:color w:val="202020"/>
        </w:rPr>
        <w:t xml:space="preserve">. Probiotics in prevention and treatment of obesity: a critical view. </w:t>
      </w:r>
      <w:r w:rsidRPr="00D41511">
        <w:rPr>
          <w:rFonts w:eastAsia="Times New Roman"/>
          <w:i/>
          <w:iCs/>
          <w:color w:val="202020"/>
        </w:rPr>
        <w:t>Nutr Metab</w:t>
      </w:r>
      <w:r w:rsidRPr="00B06110">
        <w:rPr>
          <w:rFonts w:eastAsia="Times New Roman"/>
          <w:color w:val="202020"/>
        </w:rPr>
        <w:t xml:space="preserve">. </w:t>
      </w:r>
      <w:r w:rsidRPr="00D41511">
        <w:rPr>
          <w:rFonts w:eastAsia="Times New Roman"/>
          <w:b/>
          <w:bCs/>
          <w:color w:val="202020"/>
        </w:rPr>
        <w:t>2016</w:t>
      </w:r>
      <w:r w:rsidRPr="00B06110">
        <w:rPr>
          <w:rFonts w:eastAsia="Times New Roman"/>
          <w:color w:val="202020"/>
        </w:rPr>
        <w:t>; 13:14. doi: 10.1186/s12986-016-0067-0.</w:t>
      </w:r>
    </w:p>
    <w:p w14:paraId="74827AFD" w14:textId="57A1B70A"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F56B9C">
        <w:rPr>
          <w:rFonts w:eastAsia="Times New Roman"/>
          <w:color w:val="202020"/>
        </w:rPr>
        <w:t>Quiroga</w:t>
      </w:r>
      <w:r w:rsidR="00D41511" w:rsidRPr="00F56B9C">
        <w:rPr>
          <w:rFonts w:eastAsia="Times New Roman"/>
          <w:color w:val="202020"/>
        </w:rPr>
        <w:t>,</w:t>
      </w:r>
      <w:r w:rsidRPr="00F56B9C">
        <w:rPr>
          <w:rFonts w:eastAsia="Times New Roman"/>
          <w:color w:val="202020"/>
        </w:rPr>
        <w:t xml:space="preserve"> R</w:t>
      </w:r>
      <w:r w:rsidR="00D41511" w:rsidRPr="00F56B9C">
        <w:rPr>
          <w:rFonts w:eastAsia="Times New Roman"/>
          <w:color w:val="202020"/>
        </w:rPr>
        <w:t>.;</w:t>
      </w:r>
      <w:r w:rsidRPr="00F56B9C">
        <w:rPr>
          <w:rFonts w:eastAsia="Times New Roman"/>
          <w:color w:val="202020"/>
        </w:rPr>
        <w:t xml:space="preserve"> Nistal</w:t>
      </w:r>
      <w:r w:rsidR="00D41511" w:rsidRPr="00F56B9C">
        <w:rPr>
          <w:rFonts w:eastAsia="Times New Roman"/>
          <w:color w:val="202020"/>
        </w:rPr>
        <w:t>,</w:t>
      </w:r>
      <w:r w:rsidRPr="00F56B9C">
        <w:rPr>
          <w:rFonts w:eastAsia="Times New Roman"/>
          <w:color w:val="202020"/>
        </w:rPr>
        <w:t xml:space="preserve"> E</w:t>
      </w:r>
      <w:r w:rsidR="00D41511" w:rsidRPr="00F56B9C">
        <w:rPr>
          <w:rFonts w:eastAsia="Times New Roman"/>
          <w:color w:val="202020"/>
        </w:rPr>
        <w:t>.;</w:t>
      </w:r>
      <w:r w:rsidRPr="00F56B9C">
        <w:rPr>
          <w:rFonts w:eastAsia="Times New Roman"/>
          <w:color w:val="202020"/>
        </w:rPr>
        <w:t xml:space="preserve"> Estébanez</w:t>
      </w:r>
      <w:r w:rsidR="00AB317C" w:rsidRPr="00F56B9C">
        <w:rPr>
          <w:rFonts w:eastAsia="Times New Roman"/>
          <w:color w:val="202020"/>
        </w:rPr>
        <w:t>,</w:t>
      </w:r>
      <w:r w:rsidRPr="00F56B9C">
        <w:rPr>
          <w:rFonts w:eastAsia="Times New Roman"/>
          <w:color w:val="202020"/>
        </w:rPr>
        <w:t xml:space="preserve"> B</w:t>
      </w:r>
      <w:r w:rsidR="00AB317C" w:rsidRPr="00F56B9C">
        <w:rPr>
          <w:rFonts w:eastAsia="Times New Roman"/>
          <w:color w:val="202020"/>
        </w:rPr>
        <w:t>.;</w:t>
      </w:r>
      <w:r w:rsidRPr="00F56B9C">
        <w:rPr>
          <w:rFonts w:eastAsia="Times New Roman"/>
        </w:rPr>
        <w:t xml:space="preserve"> </w:t>
      </w:r>
      <w:hyperlink r:id="rId27" w:anchor="auth-David-Porras">
        <w:r w:rsidRPr="00F56B9C">
          <w:rPr>
            <w:rStyle w:val="Hyperlink"/>
            <w:color w:val="auto"/>
            <w:u w:val="none"/>
          </w:rPr>
          <w:t>Damn</w:t>
        </w:r>
      </w:hyperlink>
      <w:r w:rsidR="00AB317C" w:rsidRPr="00F56B9C">
        <w:rPr>
          <w:rStyle w:val="Hyperlink"/>
          <w:color w:val="auto"/>
          <w:u w:val="none"/>
        </w:rPr>
        <w:t>,</w:t>
      </w:r>
      <w:r w:rsidRPr="00F56B9C">
        <w:rPr>
          <w:rFonts w:eastAsia="Segoe UI"/>
        </w:rPr>
        <w:t xml:space="preserve"> </w:t>
      </w:r>
      <w:r w:rsidRPr="00F56B9C">
        <w:rPr>
          <w:rFonts w:eastAsia="Segoe UI"/>
          <w:color w:val="222222"/>
        </w:rPr>
        <w:t>D</w:t>
      </w:r>
      <w:r w:rsidR="00AB317C" w:rsidRPr="00F56B9C">
        <w:rPr>
          <w:rFonts w:eastAsia="Segoe UI"/>
          <w:color w:val="222222"/>
        </w:rPr>
        <w:t>.;</w:t>
      </w:r>
      <w:r w:rsidRPr="00F56B9C">
        <w:rPr>
          <w:rFonts w:eastAsia="Segoe UI"/>
          <w:color w:val="222222"/>
        </w:rPr>
        <w:t xml:space="preserve"> </w:t>
      </w:r>
      <w:hyperlink r:id="rId28" w:anchor="auth-Mar_a-Ju_rez_Fern_ndez">
        <w:r w:rsidRPr="00F56B9C">
          <w:rPr>
            <w:rStyle w:val="Hyperlink"/>
            <w:color w:val="auto"/>
            <w:u w:val="none"/>
          </w:rPr>
          <w:t>Juárez-Fernández</w:t>
        </w:r>
      </w:hyperlink>
      <w:r w:rsidR="00F56B9C" w:rsidRPr="00F56B9C">
        <w:rPr>
          <w:rStyle w:val="Hyperlink"/>
          <w:color w:val="auto"/>
          <w:u w:val="none"/>
        </w:rPr>
        <w:t>,</w:t>
      </w:r>
      <w:r w:rsidRPr="00F56B9C">
        <w:rPr>
          <w:rFonts w:eastAsia="Times New Roman"/>
        </w:rPr>
        <w:t xml:space="preserve"> </w:t>
      </w:r>
      <w:r w:rsidRPr="00F56B9C">
        <w:rPr>
          <w:rFonts w:eastAsia="Times New Roman"/>
          <w:color w:val="222222"/>
        </w:rPr>
        <w:t>M</w:t>
      </w:r>
      <w:r w:rsidR="00AB317C" w:rsidRPr="00F56B9C">
        <w:rPr>
          <w:rFonts w:eastAsia="Times New Roman"/>
          <w:color w:val="222222"/>
        </w:rPr>
        <w:t>.;</w:t>
      </w:r>
      <w:r w:rsidRPr="00F56B9C">
        <w:rPr>
          <w:rFonts w:eastAsia="Times New Roman"/>
          <w:color w:val="222222"/>
        </w:rPr>
        <w:t xml:space="preserve"> </w:t>
      </w:r>
      <w:hyperlink r:id="rId29" w:anchor="auth-Susana-Mart_nez_Fl_rez">
        <w:r w:rsidRPr="00F56B9C">
          <w:rPr>
            <w:rStyle w:val="Hyperlink"/>
            <w:color w:val="auto"/>
            <w:u w:val="none"/>
          </w:rPr>
          <w:t>Martínez-Flórez</w:t>
        </w:r>
      </w:hyperlink>
      <w:r w:rsidR="00F56B9C" w:rsidRPr="00F56B9C">
        <w:rPr>
          <w:rStyle w:val="Hyperlink"/>
          <w:color w:val="auto"/>
          <w:u w:val="none"/>
        </w:rPr>
        <w:t>,</w:t>
      </w:r>
      <w:r w:rsidRPr="00F56B9C">
        <w:rPr>
          <w:rStyle w:val="Hyperlink"/>
          <w:color w:val="auto"/>
          <w:u w:val="none"/>
        </w:rPr>
        <w:t xml:space="preserve"> </w:t>
      </w:r>
      <w:r w:rsidRPr="00F56B9C">
        <w:rPr>
          <w:rFonts w:eastAsia="Times New Roman"/>
        </w:rPr>
        <w:t>S</w:t>
      </w:r>
      <w:r w:rsidR="004C34F1" w:rsidRPr="00F56B9C">
        <w:rPr>
          <w:rFonts w:eastAsia="Times New Roman"/>
        </w:rPr>
        <w:t xml:space="preserve">.; </w:t>
      </w:r>
      <w:r w:rsidR="00740B0B" w:rsidRPr="00F56B9C">
        <w:rPr>
          <w:rFonts w:eastAsia="Times New Roman"/>
        </w:rPr>
        <w:t xml:space="preserve">García-Mediavilla, M.V.; Paz, J.A.; </w:t>
      </w:r>
      <w:r w:rsidR="00906C25" w:rsidRPr="00F56B9C">
        <w:rPr>
          <w:rFonts w:eastAsia="Times New Roman"/>
        </w:rPr>
        <w:t>González-Gallego, J.; Sánchez-Campos, S.; Cuevas, M.J</w:t>
      </w:r>
      <w:r w:rsidRPr="00F56B9C">
        <w:rPr>
          <w:rFonts w:eastAsia="Times New Roman"/>
          <w:color w:val="202020"/>
        </w:rPr>
        <w:t xml:space="preserve">. </w:t>
      </w:r>
      <w:r w:rsidRPr="00B06110">
        <w:rPr>
          <w:rFonts w:eastAsia="Times New Roman"/>
          <w:color w:val="202020"/>
        </w:rPr>
        <w:t xml:space="preserve">Exercise training modulates the gut microbiota profile and impairs inflammatory signaling pathways in obese children. </w:t>
      </w:r>
      <w:r w:rsidRPr="00F56B9C">
        <w:rPr>
          <w:rFonts w:eastAsia="Times New Roman"/>
          <w:i/>
          <w:iCs/>
          <w:color w:val="202020"/>
        </w:rPr>
        <w:t>Exp Mol Med</w:t>
      </w:r>
      <w:r w:rsidRPr="00B06110">
        <w:rPr>
          <w:rFonts w:eastAsia="Times New Roman"/>
          <w:color w:val="202020"/>
        </w:rPr>
        <w:t xml:space="preserve">. </w:t>
      </w:r>
      <w:r w:rsidRPr="00F56B9C">
        <w:rPr>
          <w:rFonts w:eastAsia="Times New Roman"/>
          <w:b/>
          <w:bCs/>
          <w:color w:val="202020"/>
        </w:rPr>
        <w:t>2020</w:t>
      </w:r>
      <w:r w:rsidRPr="00B06110">
        <w:rPr>
          <w:rFonts w:eastAsia="Times New Roman"/>
          <w:color w:val="202020"/>
        </w:rPr>
        <w:t xml:space="preserve">; 52: 1048–1061. </w:t>
      </w:r>
      <w:r w:rsidRPr="00B06110">
        <w:rPr>
          <w:color w:val="212121"/>
          <w:shd w:val="clear" w:color="auto" w:fill="FFFFFF"/>
        </w:rPr>
        <w:t>doi: 10.1038/s12276-020-0459-0.</w:t>
      </w:r>
    </w:p>
    <w:p w14:paraId="4CB52E8D" w14:textId="71BB8E28"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Sohail</w:t>
      </w:r>
      <w:r w:rsidR="003C6761">
        <w:rPr>
          <w:rFonts w:eastAsia="Times New Roman"/>
          <w:color w:val="202020"/>
        </w:rPr>
        <w:t>,</w:t>
      </w:r>
      <w:r w:rsidRPr="00B06110">
        <w:rPr>
          <w:rFonts w:eastAsia="Times New Roman"/>
          <w:color w:val="202020"/>
        </w:rPr>
        <w:t xml:space="preserve"> M</w:t>
      </w:r>
      <w:r w:rsidR="003C6761">
        <w:rPr>
          <w:rFonts w:eastAsia="Times New Roman"/>
          <w:color w:val="202020"/>
        </w:rPr>
        <w:t>.</w:t>
      </w:r>
      <w:r w:rsidRPr="00B06110">
        <w:rPr>
          <w:rFonts w:eastAsia="Times New Roman"/>
          <w:color w:val="202020"/>
        </w:rPr>
        <w:t>U</w:t>
      </w:r>
      <w:r w:rsidR="003C6761">
        <w:rPr>
          <w:rFonts w:eastAsia="Times New Roman"/>
          <w:color w:val="202020"/>
        </w:rPr>
        <w:t>.;</w:t>
      </w:r>
      <w:r w:rsidRPr="00B06110">
        <w:rPr>
          <w:rFonts w:eastAsia="Times New Roman"/>
          <w:color w:val="202020"/>
        </w:rPr>
        <w:t xml:space="preserve"> Yassine</w:t>
      </w:r>
      <w:r w:rsidR="003C6761">
        <w:rPr>
          <w:rFonts w:eastAsia="Times New Roman"/>
          <w:color w:val="202020"/>
        </w:rPr>
        <w:t>,</w:t>
      </w:r>
      <w:r w:rsidRPr="00B06110">
        <w:rPr>
          <w:rFonts w:eastAsia="Times New Roman"/>
          <w:color w:val="202020"/>
        </w:rPr>
        <w:t xml:space="preserve"> H</w:t>
      </w:r>
      <w:r w:rsidR="003C6761">
        <w:rPr>
          <w:rFonts w:eastAsia="Times New Roman"/>
          <w:color w:val="202020"/>
        </w:rPr>
        <w:t>.</w:t>
      </w:r>
      <w:r w:rsidRPr="00B06110">
        <w:rPr>
          <w:rFonts w:eastAsia="Times New Roman"/>
          <w:color w:val="202020"/>
        </w:rPr>
        <w:t>M</w:t>
      </w:r>
      <w:r w:rsidR="003C6761">
        <w:rPr>
          <w:rFonts w:eastAsia="Times New Roman"/>
          <w:color w:val="202020"/>
        </w:rPr>
        <w:t>.;</w:t>
      </w:r>
      <w:r w:rsidRPr="00B06110">
        <w:rPr>
          <w:rFonts w:eastAsia="Times New Roman"/>
          <w:color w:val="202020"/>
        </w:rPr>
        <w:t xml:space="preserve"> Sohail</w:t>
      </w:r>
      <w:r w:rsidR="00AD20F6">
        <w:rPr>
          <w:rFonts w:eastAsia="Times New Roman"/>
          <w:color w:val="202020"/>
        </w:rPr>
        <w:t>,</w:t>
      </w:r>
      <w:r w:rsidRPr="00B06110">
        <w:rPr>
          <w:rFonts w:eastAsia="Times New Roman"/>
          <w:color w:val="202020"/>
        </w:rPr>
        <w:t xml:space="preserve"> A</w:t>
      </w:r>
      <w:r w:rsidR="00AD20F6">
        <w:rPr>
          <w:rFonts w:eastAsia="Times New Roman"/>
          <w:color w:val="202020"/>
        </w:rPr>
        <w:t>.;</w:t>
      </w:r>
      <w:r w:rsidRPr="00B06110">
        <w:rPr>
          <w:rFonts w:eastAsia="Times New Roman"/>
          <w:color w:val="202020"/>
        </w:rPr>
        <w:t xml:space="preserve"> Thani</w:t>
      </w:r>
      <w:r w:rsidR="00AD20F6">
        <w:rPr>
          <w:rFonts w:eastAsia="Times New Roman"/>
          <w:color w:val="202020"/>
        </w:rPr>
        <w:t>,</w:t>
      </w:r>
      <w:r w:rsidRPr="00B06110">
        <w:rPr>
          <w:rFonts w:eastAsia="Times New Roman"/>
          <w:color w:val="202020"/>
        </w:rPr>
        <w:t xml:space="preserve"> A</w:t>
      </w:r>
      <w:r w:rsidR="00AD20F6">
        <w:rPr>
          <w:rFonts w:eastAsia="Times New Roman"/>
          <w:color w:val="202020"/>
        </w:rPr>
        <w:t>.</w:t>
      </w:r>
      <w:r w:rsidRPr="00B06110">
        <w:rPr>
          <w:rFonts w:eastAsia="Times New Roman"/>
          <w:color w:val="202020"/>
        </w:rPr>
        <w:t>A</w:t>
      </w:r>
      <w:r w:rsidR="00AD20F6">
        <w:rPr>
          <w:rFonts w:eastAsia="Times New Roman"/>
          <w:color w:val="202020"/>
        </w:rPr>
        <w:t>.</w:t>
      </w:r>
      <w:r w:rsidRPr="00B06110">
        <w:rPr>
          <w:rFonts w:eastAsia="Times New Roman"/>
          <w:color w:val="202020"/>
        </w:rPr>
        <w:t xml:space="preserve">A. Impact of Physical Exercise on Gut Microbiome, Inflammation, and the Pathobiology of Metabolic Disorders. </w:t>
      </w:r>
      <w:r w:rsidRPr="003C6761">
        <w:rPr>
          <w:rFonts w:eastAsia="Times New Roman"/>
          <w:i/>
          <w:iCs/>
          <w:color w:val="202020"/>
        </w:rPr>
        <w:t>Rev Diabet Stud</w:t>
      </w:r>
      <w:r w:rsidRPr="00B06110">
        <w:rPr>
          <w:rFonts w:eastAsia="Times New Roman"/>
          <w:color w:val="202020"/>
        </w:rPr>
        <w:t xml:space="preserve">. </w:t>
      </w:r>
      <w:r w:rsidRPr="003C6761">
        <w:rPr>
          <w:rFonts w:eastAsia="Times New Roman"/>
          <w:b/>
          <w:bCs/>
          <w:color w:val="202020"/>
        </w:rPr>
        <w:t>2019</w:t>
      </w:r>
      <w:r w:rsidRPr="00B06110">
        <w:rPr>
          <w:rFonts w:eastAsia="Times New Roman"/>
          <w:color w:val="202020"/>
        </w:rPr>
        <w:t>; 15:35-48. doi:10.1900/RDS.2019.15.35.</w:t>
      </w:r>
    </w:p>
    <w:p w14:paraId="5DC7ADC3" w14:textId="326F1794"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Kern</w:t>
      </w:r>
      <w:r w:rsidR="00AD20F6">
        <w:rPr>
          <w:rFonts w:eastAsia="Times New Roman"/>
          <w:color w:val="202020"/>
        </w:rPr>
        <w:t>,</w:t>
      </w:r>
      <w:r w:rsidRPr="00B06110">
        <w:rPr>
          <w:rFonts w:eastAsia="Times New Roman"/>
          <w:color w:val="202020"/>
        </w:rPr>
        <w:t xml:space="preserve"> T</w:t>
      </w:r>
      <w:r w:rsidR="00AD20F6">
        <w:rPr>
          <w:rFonts w:eastAsia="Times New Roman"/>
          <w:color w:val="202020"/>
        </w:rPr>
        <w:t>.;</w:t>
      </w:r>
      <w:r w:rsidRPr="00B06110">
        <w:rPr>
          <w:rFonts w:eastAsia="Times New Roman"/>
          <w:color w:val="202020"/>
        </w:rPr>
        <w:t xml:space="preserve"> Blond</w:t>
      </w:r>
      <w:r w:rsidR="00AD20F6">
        <w:rPr>
          <w:rFonts w:eastAsia="Times New Roman"/>
          <w:color w:val="202020"/>
        </w:rPr>
        <w:t>,</w:t>
      </w:r>
      <w:r w:rsidRPr="00B06110">
        <w:rPr>
          <w:rFonts w:eastAsia="Times New Roman"/>
          <w:color w:val="202020"/>
        </w:rPr>
        <w:t xml:space="preserve"> M</w:t>
      </w:r>
      <w:r w:rsidR="00AD20F6">
        <w:rPr>
          <w:rFonts w:eastAsia="Times New Roman"/>
          <w:color w:val="202020"/>
        </w:rPr>
        <w:t>.</w:t>
      </w:r>
      <w:r w:rsidRPr="00B06110">
        <w:rPr>
          <w:rFonts w:eastAsia="Times New Roman"/>
          <w:color w:val="202020"/>
        </w:rPr>
        <w:t>B</w:t>
      </w:r>
      <w:r w:rsidR="00AD20F6">
        <w:rPr>
          <w:rFonts w:eastAsia="Times New Roman"/>
          <w:color w:val="202020"/>
        </w:rPr>
        <w:t>.;</w:t>
      </w:r>
      <w:r w:rsidRPr="00B06110">
        <w:rPr>
          <w:rFonts w:eastAsia="Times New Roman"/>
          <w:color w:val="202020"/>
        </w:rPr>
        <w:t xml:space="preserve"> Hansen</w:t>
      </w:r>
      <w:r w:rsidR="00AD20F6">
        <w:rPr>
          <w:rFonts w:eastAsia="Times New Roman"/>
          <w:color w:val="202020"/>
        </w:rPr>
        <w:t>,</w:t>
      </w:r>
      <w:r w:rsidRPr="00B06110">
        <w:rPr>
          <w:rFonts w:eastAsia="Times New Roman"/>
          <w:color w:val="202020"/>
        </w:rPr>
        <w:t xml:space="preserve"> T</w:t>
      </w:r>
      <w:r w:rsidR="00AD20F6">
        <w:rPr>
          <w:rFonts w:eastAsia="Times New Roman"/>
          <w:color w:val="202020"/>
        </w:rPr>
        <w:t>.</w:t>
      </w:r>
      <w:r w:rsidRPr="00B06110">
        <w:rPr>
          <w:rFonts w:eastAsia="Times New Roman"/>
          <w:color w:val="202020"/>
        </w:rPr>
        <w:t>H</w:t>
      </w:r>
      <w:r w:rsidR="00AD20F6">
        <w:rPr>
          <w:rFonts w:eastAsia="Times New Roman"/>
          <w:color w:val="202020"/>
        </w:rPr>
        <w:t>.;</w:t>
      </w:r>
      <w:r w:rsidRPr="00B06110">
        <w:rPr>
          <w:rFonts w:eastAsia="Times New Roman"/>
          <w:color w:val="202020"/>
        </w:rPr>
        <w:t xml:space="preserve"> Rosenkilde</w:t>
      </w:r>
      <w:r w:rsidR="00AD20F6">
        <w:rPr>
          <w:rFonts w:eastAsia="Times New Roman"/>
          <w:color w:val="202020"/>
        </w:rPr>
        <w:t>,</w:t>
      </w:r>
      <w:r w:rsidRPr="00B06110">
        <w:rPr>
          <w:rFonts w:eastAsia="Times New Roman"/>
          <w:color w:val="202020"/>
        </w:rPr>
        <w:t xml:space="preserve"> M</w:t>
      </w:r>
      <w:r w:rsidR="00AD20F6">
        <w:rPr>
          <w:rFonts w:eastAsia="Times New Roman"/>
          <w:color w:val="202020"/>
        </w:rPr>
        <w:t>.;</w:t>
      </w:r>
      <w:r w:rsidRPr="00B06110">
        <w:rPr>
          <w:rFonts w:eastAsia="Times New Roman"/>
          <w:color w:val="202020"/>
        </w:rPr>
        <w:t xml:space="preserve"> Quist</w:t>
      </w:r>
      <w:r w:rsidR="00AD20F6">
        <w:rPr>
          <w:rFonts w:eastAsia="Times New Roman"/>
          <w:color w:val="202020"/>
        </w:rPr>
        <w:t>,</w:t>
      </w:r>
      <w:r w:rsidRPr="00B06110">
        <w:rPr>
          <w:rFonts w:eastAsia="Times New Roman"/>
          <w:color w:val="202020"/>
        </w:rPr>
        <w:t xml:space="preserve"> J</w:t>
      </w:r>
      <w:r w:rsidR="00AD20F6">
        <w:rPr>
          <w:rFonts w:eastAsia="Times New Roman"/>
          <w:color w:val="202020"/>
        </w:rPr>
        <w:t>.</w:t>
      </w:r>
      <w:r w:rsidRPr="00B06110">
        <w:rPr>
          <w:rFonts w:eastAsia="Times New Roman"/>
          <w:color w:val="202020"/>
        </w:rPr>
        <w:t>S</w:t>
      </w:r>
      <w:r w:rsidR="00AD20F6">
        <w:rPr>
          <w:rFonts w:eastAsia="Times New Roman"/>
          <w:color w:val="202020"/>
        </w:rPr>
        <w:t>.;</w:t>
      </w:r>
      <w:r w:rsidRPr="00B06110">
        <w:rPr>
          <w:rFonts w:eastAsia="Times New Roman"/>
          <w:color w:val="202020"/>
        </w:rPr>
        <w:t xml:space="preserve"> Gram</w:t>
      </w:r>
      <w:r w:rsidR="00AD20F6">
        <w:rPr>
          <w:rFonts w:eastAsia="Times New Roman"/>
          <w:color w:val="202020"/>
        </w:rPr>
        <w:t>,</w:t>
      </w:r>
      <w:r w:rsidRPr="00B06110">
        <w:rPr>
          <w:rFonts w:eastAsia="Times New Roman"/>
          <w:color w:val="202020"/>
        </w:rPr>
        <w:t xml:space="preserve"> A</w:t>
      </w:r>
      <w:r w:rsidR="00AD20F6">
        <w:rPr>
          <w:rFonts w:eastAsia="Times New Roman"/>
          <w:color w:val="202020"/>
        </w:rPr>
        <w:t>.</w:t>
      </w:r>
      <w:r w:rsidRPr="00B06110">
        <w:rPr>
          <w:rFonts w:eastAsia="Times New Roman"/>
          <w:color w:val="202020"/>
        </w:rPr>
        <w:t>S</w:t>
      </w:r>
      <w:r w:rsidR="00AD20F6">
        <w:rPr>
          <w:rFonts w:eastAsia="Times New Roman"/>
          <w:color w:val="202020"/>
        </w:rPr>
        <w:t>.;</w:t>
      </w:r>
      <w:r w:rsidRPr="00B06110">
        <w:rPr>
          <w:rFonts w:eastAsia="Times New Roman"/>
          <w:color w:val="202020"/>
        </w:rPr>
        <w:t xml:space="preserve"> </w:t>
      </w:r>
      <w:r w:rsidR="00E071EC" w:rsidRPr="00E071EC">
        <w:rPr>
          <w:rFonts w:cs="Segoe UI"/>
          <w:color w:val="212121"/>
          <w:shd w:val="clear" w:color="auto" w:fill="FFFFFF"/>
        </w:rPr>
        <w:t>Ekstrøm CT, Hansen T, Stallknecht B</w:t>
      </w:r>
      <w:r w:rsidRPr="00B06110">
        <w:rPr>
          <w:rFonts w:eastAsia="Times New Roman"/>
          <w:color w:val="202020"/>
        </w:rPr>
        <w:t xml:space="preserve">. Structured exercise alters the gut microbiota in humans with overweight and obesity—A randomized controlled trial. </w:t>
      </w:r>
      <w:r w:rsidRPr="00F41532">
        <w:rPr>
          <w:rFonts w:eastAsia="Times New Roman"/>
          <w:i/>
          <w:iCs/>
          <w:color w:val="202020"/>
        </w:rPr>
        <w:t>Int J Obes</w:t>
      </w:r>
      <w:r w:rsidRPr="00B06110">
        <w:rPr>
          <w:rFonts w:eastAsia="Times New Roman"/>
          <w:color w:val="202020"/>
        </w:rPr>
        <w:t xml:space="preserve">. </w:t>
      </w:r>
      <w:r w:rsidRPr="00F41532">
        <w:rPr>
          <w:rFonts w:eastAsia="Times New Roman"/>
          <w:b/>
          <w:bCs/>
          <w:color w:val="202020"/>
        </w:rPr>
        <w:t>2020</w:t>
      </w:r>
      <w:r w:rsidRPr="00B06110">
        <w:rPr>
          <w:rFonts w:eastAsia="Times New Roman"/>
          <w:color w:val="202020"/>
        </w:rPr>
        <w:t xml:space="preserve">; 44:125–135. </w:t>
      </w:r>
      <w:r w:rsidRPr="00B06110">
        <w:rPr>
          <w:color w:val="212121"/>
          <w:shd w:val="clear" w:color="auto" w:fill="FFFFFF"/>
        </w:rPr>
        <w:t>doi: 10.1038/s41366-019-0440-y.</w:t>
      </w:r>
    </w:p>
    <w:p w14:paraId="50620A2D" w14:textId="0DD0CCB5" w:rsidR="003C345F" w:rsidRPr="00B06110" w:rsidRDefault="00F16A25" w:rsidP="00B06110">
      <w:pPr>
        <w:pStyle w:val="PargrafodaLista"/>
        <w:numPr>
          <w:ilvl w:val="0"/>
          <w:numId w:val="26"/>
        </w:numPr>
        <w:spacing w:after="160" w:line="240" w:lineRule="auto"/>
        <w:ind w:firstLineChars="0"/>
        <w:contextualSpacing/>
        <w:rPr>
          <w:rFonts w:eastAsia="Times New Roman"/>
          <w:color w:val="202020"/>
        </w:rPr>
      </w:pPr>
      <w:r w:rsidRPr="00F16A25">
        <w:rPr>
          <w:rFonts w:eastAsia="Times New Roman"/>
          <w:color w:val="202020"/>
        </w:rPr>
        <w:t>Wang</w:t>
      </w:r>
      <w:r w:rsidR="00057201">
        <w:rPr>
          <w:rFonts w:eastAsia="Times New Roman"/>
          <w:color w:val="202020"/>
        </w:rPr>
        <w:t>,</w:t>
      </w:r>
      <w:r w:rsidRPr="00F16A25">
        <w:rPr>
          <w:rFonts w:eastAsia="Times New Roman"/>
          <w:color w:val="202020"/>
        </w:rPr>
        <w:t xml:space="preserve"> K</w:t>
      </w:r>
      <w:r w:rsidR="00057201">
        <w:rPr>
          <w:rFonts w:eastAsia="Times New Roman"/>
          <w:color w:val="202020"/>
        </w:rPr>
        <w:t>.;</w:t>
      </w:r>
      <w:r w:rsidRPr="00F16A25">
        <w:rPr>
          <w:rFonts w:eastAsia="Times New Roman"/>
          <w:color w:val="202020"/>
        </w:rPr>
        <w:t xml:space="preserve"> Mehta</w:t>
      </w:r>
      <w:r w:rsidR="00057201">
        <w:rPr>
          <w:rFonts w:eastAsia="Times New Roman"/>
          <w:color w:val="202020"/>
        </w:rPr>
        <w:t>,</w:t>
      </w:r>
      <w:r w:rsidRPr="00F16A25">
        <w:rPr>
          <w:rFonts w:eastAsia="Times New Roman"/>
          <w:color w:val="202020"/>
        </w:rPr>
        <w:t xml:space="preserve"> R</w:t>
      </w:r>
      <w:r w:rsidR="00057201">
        <w:rPr>
          <w:rFonts w:eastAsia="Times New Roman"/>
          <w:color w:val="202020"/>
        </w:rPr>
        <w:t>.</w:t>
      </w:r>
      <w:r w:rsidRPr="00F16A25">
        <w:rPr>
          <w:rFonts w:eastAsia="Times New Roman"/>
          <w:color w:val="202020"/>
        </w:rPr>
        <w:t>S</w:t>
      </w:r>
      <w:r w:rsidR="00057201">
        <w:rPr>
          <w:rFonts w:eastAsia="Times New Roman"/>
          <w:color w:val="202020"/>
        </w:rPr>
        <w:t>.;</w:t>
      </w:r>
      <w:r w:rsidRPr="00F16A25">
        <w:rPr>
          <w:rFonts w:eastAsia="Times New Roman"/>
          <w:color w:val="202020"/>
        </w:rPr>
        <w:t xml:space="preserve"> Ma</w:t>
      </w:r>
      <w:r w:rsidR="00057201">
        <w:rPr>
          <w:rFonts w:eastAsia="Times New Roman"/>
          <w:color w:val="202020"/>
        </w:rPr>
        <w:t>,</w:t>
      </w:r>
      <w:r w:rsidRPr="00F16A25">
        <w:rPr>
          <w:rFonts w:eastAsia="Times New Roman"/>
          <w:color w:val="202020"/>
        </w:rPr>
        <w:t xml:space="preserve"> W</w:t>
      </w:r>
      <w:r w:rsidR="00057201">
        <w:rPr>
          <w:rFonts w:eastAsia="Times New Roman"/>
          <w:color w:val="202020"/>
        </w:rPr>
        <w:t>.;</w:t>
      </w:r>
      <w:r w:rsidRPr="00F16A25">
        <w:rPr>
          <w:rFonts w:eastAsia="Times New Roman"/>
          <w:color w:val="202020"/>
        </w:rPr>
        <w:t xml:space="preserve"> Nguyen</w:t>
      </w:r>
      <w:r w:rsidR="00057201">
        <w:rPr>
          <w:rFonts w:eastAsia="Times New Roman"/>
          <w:color w:val="202020"/>
        </w:rPr>
        <w:t>,</w:t>
      </w:r>
      <w:r w:rsidRPr="00F16A25">
        <w:rPr>
          <w:rFonts w:eastAsia="Times New Roman"/>
          <w:color w:val="202020"/>
        </w:rPr>
        <w:t xml:space="preserve"> L</w:t>
      </w:r>
      <w:r w:rsidR="00057201">
        <w:rPr>
          <w:rFonts w:eastAsia="Times New Roman"/>
          <w:color w:val="202020"/>
        </w:rPr>
        <w:t>.</w:t>
      </w:r>
      <w:r w:rsidRPr="00F16A25">
        <w:rPr>
          <w:rFonts w:eastAsia="Times New Roman"/>
          <w:color w:val="202020"/>
        </w:rPr>
        <w:t>H</w:t>
      </w:r>
      <w:r w:rsidR="00057201">
        <w:rPr>
          <w:rFonts w:eastAsia="Times New Roman"/>
          <w:color w:val="202020"/>
        </w:rPr>
        <w:t>.;</w:t>
      </w:r>
      <w:r w:rsidRPr="00F16A25">
        <w:rPr>
          <w:rFonts w:eastAsia="Times New Roman"/>
          <w:color w:val="202020"/>
        </w:rPr>
        <w:t xml:space="preserve"> Wang</w:t>
      </w:r>
      <w:r w:rsidR="00057201">
        <w:rPr>
          <w:rFonts w:eastAsia="Times New Roman"/>
          <w:color w:val="202020"/>
        </w:rPr>
        <w:t>,</w:t>
      </w:r>
      <w:r w:rsidRPr="00F16A25">
        <w:rPr>
          <w:rFonts w:eastAsia="Times New Roman"/>
          <w:color w:val="202020"/>
        </w:rPr>
        <w:t xml:space="preserve"> D</w:t>
      </w:r>
      <w:r w:rsidR="00057201">
        <w:rPr>
          <w:rFonts w:eastAsia="Times New Roman"/>
          <w:color w:val="202020"/>
        </w:rPr>
        <w:t>.</w:t>
      </w:r>
      <w:r w:rsidRPr="00F16A25">
        <w:rPr>
          <w:rFonts w:eastAsia="Times New Roman"/>
          <w:color w:val="202020"/>
        </w:rPr>
        <w:t>D</w:t>
      </w:r>
      <w:r w:rsidR="00057201">
        <w:rPr>
          <w:rFonts w:eastAsia="Times New Roman"/>
          <w:color w:val="202020"/>
        </w:rPr>
        <w:t>.;</w:t>
      </w:r>
      <w:r w:rsidRPr="00F16A25">
        <w:rPr>
          <w:rFonts w:eastAsia="Times New Roman"/>
          <w:color w:val="202020"/>
        </w:rPr>
        <w:t xml:space="preserve"> Ghazi</w:t>
      </w:r>
      <w:r w:rsidR="00057201">
        <w:rPr>
          <w:rFonts w:eastAsia="Times New Roman"/>
          <w:color w:val="202020"/>
        </w:rPr>
        <w:t>,</w:t>
      </w:r>
      <w:r w:rsidRPr="00F16A25">
        <w:rPr>
          <w:rFonts w:eastAsia="Times New Roman"/>
          <w:color w:val="202020"/>
        </w:rPr>
        <w:t xml:space="preserve"> A</w:t>
      </w:r>
      <w:r w:rsidR="00057201">
        <w:rPr>
          <w:rFonts w:eastAsia="Times New Roman"/>
          <w:color w:val="202020"/>
        </w:rPr>
        <w:t>.</w:t>
      </w:r>
      <w:r w:rsidRPr="00F16A25">
        <w:rPr>
          <w:rFonts w:eastAsia="Times New Roman"/>
          <w:color w:val="202020"/>
        </w:rPr>
        <w:t>R</w:t>
      </w:r>
      <w:r w:rsidR="00057201">
        <w:rPr>
          <w:rFonts w:eastAsia="Times New Roman"/>
          <w:color w:val="202020"/>
        </w:rPr>
        <w:t>.;</w:t>
      </w:r>
      <w:r w:rsidRPr="00F16A25">
        <w:rPr>
          <w:rFonts w:eastAsia="Times New Roman"/>
          <w:color w:val="202020"/>
        </w:rPr>
        <w:t xml:space="preserve"> Yan</w:t>
      </w:r>
      <w:r w:rsidR="00057201">
        <w:rPr>
          <w:rFonts w:eastAsia="Times New Roman"/>
          <w:color w:val="202020"/>
        </w:rPr>
        <w:t>,</w:t>
      </w:r>
      <w:r w:rsidRPr="00F16A25">
        <w:rPr>
          <w:rFonts w:eastAsia="Times New Roman"/>
          <w:color w:val="202020"/>
        </w:rPr>
        <w:t xml:space="preserve"> Y</w:t>
      </w:r>
      <w:r w:rsidR="00057201">
        <w:rPr>
          <w:rFonts w:eastAsia="Times New Roman"/>
          <w:color w:val="202020"/>
        </w:rPr>
        <w:t>.;</w:t>
      </w:r>
      <w:r w:rsidRPr="00F16A25">
        <w:rPr>
          <w:rFonts w:eastAsia="Times New Roman"/>
          <w:color w:val="202020"/>
        </w:rPr>
        <w:t xml:space="preserve"> Al-Shaar</w:t>
      </w:r>
      <w:r w:rsidR="00057201">
        <w:rPr>
          <w:rFonts w:eastAsia="Times New Roman"/>
          <w:color w:val="202020"/>
        </w:rPr>
        <w:t>,</w:t>
      </w:r>
      <w:r w:rsidRPr="00F16A25">
        <w:rPr>
          <w:rFonts w:eastAsia="Times New Roman"/>
          <w:color w:val="202020"/>
        </w:rPr>
        <w:t xml:space="preserve"> L</w:t>
      </w:r>
      <w:r w:rsidR="00057201">
        <w:rPr>
          <w:rFonts w:eastAsia="Times New Roman"/>
          <w:color w:val="202020"/>
        </w:rPr>
        <w:t>.;</w:t>
      </w:r>
      <w:r w:rsidRPr="00F16A25">
        <w:rPr>
          <w:rFonts w:eastAsia="Times New Roman"/>
          <w:color w:val="202020"/>
        </w:rPr>
        <w:t xml:space="preserve"> Wang</w:t>
      </w:r>
      <w:r w:rsidR="00057201">
        <w:rPr>
          <w:rFonts w:eastAsia="Times New Roman"/>
          <w:color w:val="202020"/>
        </w:rPr>
        <w:t>,</w:t>
      </w:r>
      <w:r w:rsidRPr="00F16A25">
        <w:rPr>
          <w:rFonts w:eastAsia="Times New Roman"/>
          <w:color w:val="202020"/>
        </w:rPr>
        <w:t xml:space="preserve"> Y</w:t>
      </w:r>
      <w:r w:rsidR="00057201">
        <w:rPr>
          <w:rFonts w:eastAsia="Times New Roman"/>
          <w:color w:val="202020"/>
        </w:rPr>
        <w:t>.;</w:t>
      </w:r>
      <w:r w:rsidRPr="00F16A25">
        <w:rPr>
          <w:rFonts w:eastAsia="Times New Roman"/>
          <w:color w:val="202020"/>
        </w:rPr>
        <w:t xml:space="preserve"> Hang</w:t>
      </w:r>
      <w:r w:rsidR="00057201">
        <w:rPr>
          <w:rFonts w:eastAsia="Times New Roman"/>
          <w:color w:val="202020"/>
        </w:rPr>
        <w:t>,</w:t>
      </w:r>
      <w:r w:rsidRPr="00F16A25">
        <w:rPr>
          <w:rFonts w:eastAsia="Times New Roman"/>
          <w:color w:val="202020"/>
        </w:rPr>
        <w:t xml:space="preserve"> D</w:t>
      </w:r>
      <w:r w:rsidR="00057201">
        <w:rPr>
          <w:rFonts w:eastAsia="Times New Roman"/>
          <w:color w:val="202020"/>
        </w:rPr>
        <w:t>.;</w:t>
      </w:r>
      <w:r w:rsidRPr="00F16A25">
        <w:rPr>
          <w:rFonts w:eastAsia="Times New Roman"/>
          <w:color w:val="202020"/>
        </w:rPr>
        <w:t xml:space="preserve"> Fu</w:t>
      </w:r>
      <w:r w:rsidR="00057201">
        <w:rPr>
          <w:rFonts w:eastAsia="Times New Roman"/>
          <w:color w:val="202020"/>
        </w:rPr>
        <w:t>,</w:t>
      </w:r>
      <w:r w:rsidRPr="00F16A25">
        <w:rPr>
          <w:rFonts w:eastAsia="Times New Roman"/>
          <w:color w:val="202020"/>
        </w:rPr>
        <w:t xml:space="preserve"> B</w:t>
      </w:r>
      <w:r w:rsidR="00057201">
        <w:rPr>
          <w:rFonts w:eastAsia="Times New Roman"/>
          <w:color w:val="202020"/>
        </w:rPr>
        <w:t>.</w:t>
      </w:r>
      <w:r w:rsidRPr="00F16A25">
        <w:rPr>
          <w:rFonts w:eastAsia="Times New Roman"/>
          <w:color w:val="202020"/>
        </w:rPr>
        <w:t>C</w:t>
      </w:r>
      <w:r w:rsidR="00057201">
        <w:rPr>
          <w:rFonts w:eastAsia="Times New Roman"/>
          <w:color w:val="202020"/>
        </w:rPr>
        <w:t>.;</w:t>
      </w:r>
      <w:r w:rsidRPr="00F16A25">
        <w:rPr>
          <w:rFonts w:eastAsia="Times New Roman"/>
          <w:color w:val="202020"/>
        </w:rPr>
        <w:t xml:space="preserve"> Ogino</w:t>
      </w:r>
      <w:r w:rsidR="00057201">
        <w:rPr>
          <w:rFonts w:eastAsia="Times New Roman"/>
          <w:color w:val="202020"/>
        </w:rPr>
        <w:t>,</w:t>
      </w:r>
      <w:r w:rsidRPr="00F16A25">
        <w:rPr>
          <w:rFonts w:eastAsia="Times New Roman"/>
          <w:color w:val="202020"/>
        </w:rPr>
        <w:t xml:space="preserve"> S</w:t>
      </w:r>
      <w:r w:rsidR="00057201">
        <w:rPr>
          <w:rFonts w:eastAsia="Times New Roman"/>
          <w:color w:val="202020"/>
        </w:rPr>
        <w:t>.;</w:t>
      </w:r>
      <w:r w:rsidRPr="00F16A25">
        <w:rPr>
          <w:rFonts w:eastAsia="Times New Roman"/>
          <w:color w:val="202020"/>
        </w:rPr>
        <w:t xml:space="preserve"> Rimm</w:t>
      </w:r>
      <w:r w:rsidR="00057201">
        <w:rPr>
          <w:rFonts w:eastAsia="Times New Roman"/>
          <w:color w:val="202020"/>
        </w:rPr>
        <w:t>,</w:t>
      </w:r>
      <w:r w:rsidRPr="00F16A25">
        <w:rPr>
          <w:rFonts w:eastAsia="Times New Roman"/>
          <w:color w:val="202020"/>
        </w:rPr>
        <w:t xml:space="preserve"> E</w:t>
      </w:r>
      <w:r w:rsidR="00057201">
        <w:rPr>
          <w:rFonts w:eastAsia="Times New Roman"/>
          <w:color w:val="202020"/>
        </w:rPr>
        <w:t>.</w:t>
      </w:r>
      <w:r w:rsidRPr="00F16A25">
        <w:rPr>
          <w:rFonts w:eastAsia="Times New Roman"/>
          <w:color w:val="202020"/>
        </w:rPr>
        <w:t>B</w:t>
      </w:r>
      <w:r w:rsidR="00057201">
        <w:rPr>
          <w:rFonts w:eastAsia="Times New Roman"/>
          <w:color w:val="202020"/>
        </w:rPr>
        <w:t>.;</w:t>
      </w:r>
      <w:r w:rsidRPr="00F16A25">
        <w:rPr>
          <w:rFonts w:eastAsia="Times New Roman"/>
          <w:color w:val="202020"/>
        </w:rPr>
        <w:t xml:space="preserve"> Hu</w:t>
      </w:r>
      <w:r w:rsidR="00057201">
        <w:rPr>
          <w:rFonts w:eastAsia="Times New Roman"/>
          <w:color w:val="202020"/>
        </w:rPr>
        <w:t>,</w:t>
      </w:r>
      <w:r w:rsidRPr="00F16A25">
        <w:rPr>
          <w:rFonts w:eastAsia="Times New Roman"/>
          <w:color w:val="202020"/>
        </w:rPr>
        <w:t xml:space="preserve"> F</w:t>
      </w:r>
      <w:r w:rsidR="00057201">
        <w:rPr>
          <w:rFonts w:eastAsia="Times New Roman"/>
          <w:color w:val="202020"/>
        </w:rPr>
        <w:t>.</w:t>
      </w:r>
      <w:r w:rsidRPr="00F16A25">
        <w:rPr>
          <w:rFonts w:eastAsia="Times New Roman"/>
          <w:color w:val="202020"/>
        </w:rPr>
        <w:t>B</w:t>
      </w:r>
      <w:r w:rsidR="00057201">
        <w:rPr>
          <w:rFonts w:eastAsia="Times New Roman"/>
          <w:color w:val="202020"/>
        </w:rPr>
        <w:t>.;</w:t>
      </w:r>
      <w:r w:rsidRPr="00F16A25">
        <w:rPr>
          <w:rFonts w:eastAsia="Times New Roman"/>
          <w:color w:val="202020"/>
        </w:rPr>
        <w:t xml:space="preserve"> Carmody</w:t>
      </w:r>
      <w:r w:rsidR="00057201">
        <w:rPr>
          <w:rFonts w:eastAsia="Times New Roman"/>
          <w:color w:val="202020"/>
        </w:rPr>
        <w:t>,</w:t>
      </w:r>
      <w:r w:rsidRPr="00F16A25">
        <w:rPr>
          <w:rFonts w:eastAsia="Times New Roman"/>
          <w:color w:val="202020"/>
        </w:rPr>
        <w:t xml:space="preserve"> R</w:t>
      </w:r>
      <w:r w:rsidR="00057201">
        <w:rPr>
          <w:rFonts w:eastAsia="Times New Roman"/>
          <w:color w:val="202020"/>
        </w:rPr>
        <w:t>.</w:t>
      </w:r>
      <w:r w:rsidRPr="00F16A25">
        <w:rPr>
          <w:rFonts w:eastAsia="Times New Roman"/>
          <w:color w:val="202020"/>
        </w:rPr>
        <w:t>N</w:t>
      </w:r>
      <w:r w:rsidR="00057201">
        <w:rPr>
          <w:rFonts w:eastAsia="Times New Roman"/>
          <w:color w:val="202020"/>
        </w:rPr>
        <w:t>.;</w:t>
      </w:r>
      <w:r w:rsidRPr="00F16A25">
        <w:rPr>
          <w:rFonts w:eastAsia="Times New Roman"/>
          <w:color w:val="202020"/>
        </w:rPr>
        <w:t xml:space="preserve"> Garrett</w:t>
      </w:r>
      <w:r w:rsidR="00DF23B3">
        <w:rPr>
          <w:rFonts w:eastAsia="Times New Roman"/>
          <w:color w:val="202020"/>
        </w:rPr>
        <w:t>,</w:t>
      </w:r>
      <w:r w:rsidRPr="00F16A25">
        <w:rPr>
          <w:rFonts w:eastAsia="Times New Roman"/>
          <w:color w:val="202020"/>
        </w:rPr>
        <w:t xml:space="preserve"> W</w:t>
      </w:r>
      <w:r w:rsidR="00DF23B3">
        <w:rPr>
          <w:rFonts w:eastAsia="Times New Roman"/>
          <w:color w:val="202020"/>
        </w:rPr>
        <w:t>.</w:t>
      </w:r>
      <w:r w:rsidRPr="00F16A25">
        <w:rPr>
          <w:rFonts w:eastAsia="Times New Roman"/>
          <w:color w:val="202020"/>
        </w:rPr>
        <w:t>S</w:t>
      </w:r>
      <w:r w:rsidR="00DF23B3">
        <w:rPr>
          <w:rFonts w:eastAsia="Times New Roman"/>
          <w:color w:val="202020"/>
        </w:rPr>
        <w:t>.;</w:t>
      </w:r>
      <w:r w:rsidRPr="00F16A25">
        <w:rPr>
          <w:rFonts w:eastAsia="Times New Roman"/>
          <w:color w:val="202020"/>
        </w:rPr>
        <w:t xml:space="preserve"> Sun</w:t>
      </w:r>
      <w:r w:rsidR="00DF23B3">
        <w:rPr>
          <w:rFonts w:eastAsia="Times New Roman"/>
          <w:color w:val="202020"/>
        </w:rPr>
        <w:t>,</w:t>
      </w:r>
      <w:r w:rsidRPr="00F16A25">
        <w:rPr>
          <w:rFonts w:eastAsia="Times New Roman"/>
          <w:color w:val="202020"/>
        </w:rPr>
        <w:t xml:space="preserve"> Q</w:t>
      </w:r>
      <w:r w:rsidR="00DF23B3">
        <w:rPr>
          <w:rFonts w:eastAsia="Times New Roman"/>
          <w:color w:val="202020"/>
        </w:rPr>
        <w:t>.;</w:t>
      </w:r>
      <w:r w:rsidRPr="00F16A25">
        <w:rPr>
          <w:rFonts w:eastAsia="Times New Roman"/>
          <w:color w:val="202020"/>
        </w:rPr>
        <w:t xml:space="preserve"> Chan</w:t>
      </w:r>
      <w:r w:rsidR="00DF23B3">
        <w:rPr>
          <w:rFonts w:eastAsia="Times New Roman"/>
          <w:color w:val="202020"/>
        </w:rPr>
        <w:t>,</w:t>
      </w:r>
      <w:r w:rsidRPr="00F16A25">
        <w:rPr>
          <w:rFonts w:eastAsia="Times New Roman"/>
          <w:color w:val="202020"/>
        </w:rPr>
        <w:t xml:space="preserve"> A</w:t>
      </w:r>
      <w:r w:rsidR="00DF23B3">
        <w:rPr>
          <w:rFonts w:eastAsia="Times New Roman"/>
          <w:color w:val="202020"/>
        </w:rPr>
        <w:t>.</w:t>
      </w:r>
      <w:r w:rsidRPr="00F16A25">
        <w:rPr>
          <w:rFonts w:eastAsia="Times New Roman"/>
          <w:color w:val="202020"/>
        </w:rPr>
        <w:t>T</w:t>
      </w:r>
      <w:r w:rsidR="00DF23B3">
        <w:rPr>
          <w:rFonts w:eastAsia="Times New Roman"/>
          <w:color w:val="202020"/>
        </w:rPr>
        <w:t>.;</w:t>
      </w:r>
      <w:r w:rsidRPr="00F16A25">
        <w:rPr>
          <w:rFonts w:eastAsia="Times New Roman"/>
          <w:color w:val="202020"/>
        </w:rPr>
        <w:t xml:space="preserve"> Huttenhower</w:t>
      </w:r>
      <w:r w:rsidR="00DF23B3">
        <w:rPr>
          <w:rFonts w:eastAsia="Times New Roman"/>
          <w:color w:val="202020"/>
        </w:rPr>
        <w:t>,</w:t>
      </w:r>
      <w:r w:rsidRPr="00F16A25">
        <w:rPr>
          <w:rFonts w:eastAsia="Times New Roman"/>
          <w:color w:val="202020"/>
        </w:rPr>
        <w:t xml:space="preserve"> C</w:t>
      </w:r>
      <w:r w:rsidR="00DF23B3">
        <w:rPr>
          <w:rFonts w:eastAsia="Times New Roman"/>
          <w:color w:val="202020"/>
        </w:rPr>
        <w:t>.;</w:t>
      </w:r>
      <w:r w:rsidRPr="00F16A25">
        <w:rPr>
          <w:rFonts w:eastAsia="Times New Roman"/>
          <w:color w:val="202020"/>
        </w:rPr>
        <w:t xml:space="preserve"> Song</w:t>
      </w:r>
      <w:r w:rsidR="00DF23B3">
        <w:rPr>
          <w:rFonts w:eastAsia="Times New Roman"/>
          <w:color w:val="202020"/>
        </w:rPr>
        <w:t>,</w:t>
      </w:r>
      <w:r w:rsidRPr="00F16A25">
        <w:rPr>
          <w:rFonts w:eastAsia="Times New Roman"/>
          <w:color w:val="202020"/>
        </w:rPr>
        <w:t xml:space="preserve"> M</w:t>
      </w:r>
      <w:r w:rsidR="003C345F" w:rsidRPr="00B06110">
        <w:rPr>
          <w:rFonts w:eastAsia="Times New Roman"/>
          <w:color w:val="202020"/>
        </w:rPr>
        <w:t xml:space="preserve">. The gut microbiome modifies the associations of short- and long-term physical activity with body weight changes. </w:t>
      </w:r>
      <w:r w:rsidR="003C345F" w:rsidRPr="00057201">
        <w:rPr>
          <w:rFonts w:eastAsia="Times New Roman"/>
          <w:i/>
          <w:iCs/>
          <w:color w:val="202020"/>
        </w:rPr>
        <w:t>Microbiome</w:t>
      </w:r>
      <w:r w:rsidR="003C345F" w:rsidRPr="00B06110">
        <w:rPr>
          <w:rFonts w:eastAsia="Times New Roman"/>
          <w:color w:val="202020"/>
        </w:rPr>
        <w:t xml:space="preserve">. </w:t>
      </w:r>
      <w:r w:rsidR="003C345F" w:rsidRPr="00057201">
        <w:rPr>
          <w:rFonts w:eastAsia="Times New Roman"/>
          <w:b/>
          <w:bCs/>
          <w:color w:val="202020"/>
        </w:rPr>
        <w:t>2023</w:t>
      </w:r>
      <w:r w:rsidR="003C345F" w:rsidRPr="00B06110">
        <w:rPr>
          <w:rFonts w:eastAsia="Times New Roman"/>
          <w:color w:val="202020"/>
        </w:rPr>
        <w:t xml:space="preserve">; 11:121. </w:t>
      </w:r>
      <w:r w:rsidR="003C345F" w:rsidRPr="00B06110">
        <w:rPr>
          <w:color w:val="212121"/>
          <w:shd w:val="clear" w:color="auto" w:fill="FFFFFF"/>
        </w:rPr>
        <w:t>doi: 10.1186/s40168-023-01542-w. </w:t>
      </w:r>
      <w:r w:rsidR="003C345F" w:rsidRPr="00B06110">
        <w:rPr>
          <w:rFonts w:eastAsia="Times New Roman"/>
          <w:color w:val="202020"/>
        </w:rPr>
        <w:t xml:space="preserve"> </w:t>
      </w:r>
    </w:p>
    <w:p w14:paraId="5C2D2F3F" w14:textId="7647F654"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lastRenderedPageBreak/>
        <w:t>Hughes</w:t>
      </w:r>
      <w:r w:rsidR="004556A7">
        <w:rPr>
          <w:rFonts w:eastAsia="Times New Roman"/>
          <w:color w:val="202020"/>
        </w:rPr>
        <w:t>,</w:t>
      </w:r>
      <w:r w:rsidRPr="00B06110">
        <w:rPr>
          <w:rFonts w:eastAsia="Times New Roman"/>
          <w:color w:val="202020"/>
        </w:rPr>
        <w:t xml:space="preserve"> R</w:t>
      </w:r>
      <w:r w:rsidR="004556A7">
        <w:rPr>
          <w:rFonts w:eastAsia="Times New Roman"/>
          <w:color w:val="202020"/>
        </w:rPr>
        <w:t>.</w:t>
      </w:r>
      <w:r w:rsidRPr="00B06110">
        <w:rPr>
          <w:rFonts w:eastAsia="Times New Roman"/>
          <w:color w:val="202020"/>
        </w:rPr>
        <w:t>L</w:t>
      </w:r>
      <w:r w:rsidR="004556A7">
        <w:rPr>
          <w:rFonts w:eastAsia="Times New Roman"/>
          <w:color w:val="202020"/>
        </w:rPr>
        <w:t>.;</w:t>
      </w:r>
      <w:r w:rsidRPr="00B06110">
        <w:rPr>
          <w:rFonts w:eastAsia="Times New Roman"/>
          <w:color w:val="202020"/>
        </w:rPr>
        <w:t xml:space="preserve"> Pindus</w:t>
      </w:r>
      <w:r w:rsidR="004556A7">
        <w:rPr>
          <w:rFonts w:eastAsia="Times New Roman"/>
          <w:color w:val="202020"/>
        </w:rPr>
        <w:t>,</w:t>
      </w:r>
      <w:r w:rsidRPr="00B06110">
        <w:rPr>
          <w:rFonts w:eastAsia="Times New Roman"/>
          <w:color w:val="202020"/>
        </w:rPr>
        <w:t xml:space="preserve"> D</w:t>
      </w:r>
      <w:r w:rsidR="004556A7">
        <w:rPr>
          <w:rFonts w:eastAsia="Times New Roman"/>
          <w:color w:val="202020"/>
        </w:rPr>
        <w:t>.</w:t>
      </w:r>
      <w:r w:rsidRPr="00B06110">
        <w:rPr>
          <w:rFonts w:eastAsia="Times New Roman"/>
          <w:color w:val="202020"/>
        </w:rPr>
        <w:t>M</w:t>
      </w:r>
      <w:r w:rsidR="004556A7">
        <w:rPr>
          <w:rFonts w:eastAsia="Times New Roman"/>
          <w:color w:val="202020"/>
        </w:rPr>
        <w:t>.;</w:t>
      </w:r>
      <w:r w:rsidRPr="00B06110">
        <w:rPr>
          <w:rFonts w:eastAsia="Times New Roman"/>
          <w:color w:val="202020"/>
        </w:rPr>
        <w:t xml:space="preserve"> Khan</w:t>
      </w:r>
      <w:r w:rsidR="004556A7">
        <w:rPr>
          <w:rFonts w:eastAsia="Times New Roman"/>
          <w:color w:val="202020"/>
        </w:rPr>
        <w:t>,</w:t>
      </w:r>
      <w:r w:rsidRPr="00B06110">
        <w:rPr>
          <w:rFonts w:eastAsia="Times New Roman"/>
          <w:color w:val="202020"/>
        </w:rPr>
        <w:t xml:space="preserve"> N</w:t>
      </w:r>
      <w:r w:rsidR="004556A7">
        <w:rPr>
          <w:rFonts w:eastAsia="Times New Roman"/>
          <w:color w:val="202020"/>
        </w:rPr>
        <w:t>.</w:t>
      </w:r>
      <w:r w:rsidRPr="00B06110">
        <w:rPr>
          <w:rFonts w:eastAsia="Times New Roman"/>
          <w:color w:val="202020"/>
        </w:rPr>
        <w:t>A</w:t>
      </w:r>
      <w:r w:rsidR="004556A7">
        <w:rPr>
          <w:rFonts w:eastAsia="Times New Roman"/>
          <w:color w:val="202020"/>
        </w:rPr>
        <w:t>.;</w:t>
      </w:r>
      <w:r w:rsidRPr="00B06110">
        <w:rPr>
          <w:rFonts w:eastAsia="Times New Roman"/>
          <w:color w:val="202020"/>
        </w:rPr>
        <w:t xml:space="preserve"> Burd</w:t>
      </w:r>
      <w:r w:rsidR="004556A7">
        <w:rPr>
          <w:rFonts w:eastAsia="Times New Roman"/>
          <w:color w:val="202020"/>
        </w:rPr>
        <w:t>,</w:t>
      </w:r>
      <w:r w:rsidR="001E0482">
        <w:rPr>
          <w:rFonts w:eastAsia="Times New Roman"/>
          <w:color w:val="202020"/>
        </w:rPr>
        <w:t xml:space="preserve"> </w:t>
      </w:r>
      <w:r w:rsidRPr="00B06110">
        <w:rPr>
          <w:rFonts w:eastAsia="Times New Roman"/>
          <w:color w:val="202020"/>
        </w:rPr>
        <w:t>N</w:t>
      </w:r>
      <w:r w:rsidR="001E0482">
        <w:rPr>
          <w:rFonts w:eastAsia="Times New Roman"/>
          <w:color w:val="202020"/>
        </w:rPr>
        <w:t>.</w:t>
      </w:r>
      <w:r w:rsidRPr="00B06110">
        <w:rPr>
          <w:rFonts w:eastAsia="Times New Roman"/>
          <w:color w:val="202020"/>
        </w:rPr>
        <w:t>A</w:t>
      </w:r>
      <w:r w:rsidR="001E0482">
        <w:rPr>
          <w:rFonts w:eastAsia="Times New Roman"/>
          <w:color w:val="202020"/>
        </w:rPr>
        <w:t>.;</w:t>
      </w:r>
      <w:r w:rsidRPr="00B06110">
        <w:rPr>
          <w:rFonts w:eastAsia="Times New Roman"/>
          <w:color w:val="202020"/>
        </w:rPr>
        <w:t xml:space="preserve"> Holscher</w:t>
      </w:r>
      <w:r w:rsidR="001E0482">
        <w:rPr>
          <w:rFonts w:eastAsia="Times New Roman"/>
          <w:color w:val="202020"/>
        </w:rPr>
        <w:t>,</w:t>
      </w:r>
      <w:r w:rsidRPr="00B06110">
        <w:rPr>
          <w:rFonts w:eastAsia="Times New Roman"/>
          <w:color w:val="202020"/>
        </w:rPr>
        <w:t xml:space="preserve"> H</w:t>
      </w:r>
      <w:r w:rsidR="001E0482">
        <w:rPr>
          <w:rFonts w:eastAsia="Times New Roman"/>
          <w:color w:val="202020"/>
        </w:rPr>
        <w:t>.</w:t>
      </w:r>
      <w:r w:rsidRPr="00B06110">
        <w:rPr>
          <w:rFonts w:eastAsia="Times New Roman"/>
          <w:color w:val="202020"/>
        </w:rPr>
        <w:t xml:space="preserve">D. Associations between Accelerometer-Measured Physical Activity and Fecal Microbiota in Adults with Overweight and Obesity. </w:t>
      </w:r>
      <w:r w:rsidRPr="001E0482">
        <w:rPr>
          <w:rFonts w:eastAsia="Times New Roman"/>
          <w:i/>
          <w:iCs/>
          <w:color w:val="202020"/>
        </w:rPr>
        <w:t>Med Sci Sports Exercise</w:t>
      </w:r>
      <w:r w:rsidRPr="00B06110">
        <w:rPr>
          <w:rFonts w:eastAsia="Times New Roman"/>
          <w:color w:val="202020"/>
        </w:rPr>
        <w:t xml:space="preserve">. </w:t>
      </w:r>
      <w:r w:rsidRPr="001E0482">
        <w:rPr>
          <w:rFonts w:eastAsia="Times New Roman"/>
          <w:b/>
          <w:bCs/>
          <w:color w:val="202020"/>
        </w:rPr>
        <w:t>2023</w:t>
      </w:r>
      <w:r w:rsidRPr="00B06110">
        <w:rPr>
          <w:rFonts w:eastAsia="Times New Roman"/>
          <w:color w:val="202020"/>
        </w:rPr>
        <w:t>; 55:680-689. doi: 10.1249/MSS.0000000000003096.</w:t>
      </w:r>
    </w:p>
    <w:p w14:paraId="4C7A67FE" w14:textId="62B8BBC2"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Kang</w:t>
      </w:r>
      <w:r w:rsidR="00F472D8">
        <w:rPr>
          <w:rFonts w:eastAsia="Times New Roman"/>
          <w:color w:val="202020"/>
        </w:rPr>
        <w:t>,</w:t>
      </w:r>
      <w:r w:rsidRPr="00B06110">
        <w:rPr>
          <w:rFonts w:eastAsia="Times New Roman"/>
          <w:color w:val="202020"/>
        </w:rPr>
        <w:t xml:space="preserve"> S</w:t>
      </w:r>
      <w:r w:rsidR="00F472D8">
        <w:rPr>
          <w:rFonts w:eastAsia="Times New Roman"/>
          <w:color w:val="202020"/>
        </w:rPr>
        <w:t>.</w:t>
      </w:r>
      <w:r w:rsidRPr="00B06110">
        <w:rPr>
          <w:rFonts w:eastAsia="Times New Roman"/>
          <w:color w:val="202020"/>
        </w:rPr>
        <w:t>S</w:t>
      </w:r>
      <w:r w:rsidR="00F472D8">
        <w:rPr>
          <w:rFonts w:eastAsia="Times New Roman"/>
          <w:color w:val="202020"/>
        </w:rPr>
        <w:t>.;</w:t>
      </w:r>
      <w:r w:rsidRPr="00B06110">
        <w:rPr>
          <w:rFonts w:eastAsia="Times New Roman"/>
          <w:color w:val="202020"/>
        </w:rPr>
        <w:t xml:space="preserve"> Jeraldo</w:t>
      </w:r>
      <w:r w:rsidR="00F472D8">
        <w:rPr>
          <w:rFonts w:eastAsia="Times New Roman"/>
          <w:color w:val="202020"/>
        </w:rPr>
        <w:t>,</w:t>
      </w:r>
      <w:r w:rsidRPr="00B06110">
        <w:rPr>
          <w:rFonts w:eastAsia="Times New Roman"/>
          <w:color w:val="202020"/>
        </w:rPr>
        <w:t xml:space="preserve"> P</w:t>
      </w:r>
      <w:r w:rsidR="00F472D8">
        <w:rPr>
          <w:rFonts w:eastAsia="Times New Roman"/>
          <w:color w:val="202020"/>
        </w:rPr>
        <w:t>.</w:t>
      </w:r>
      <w:r w:rsidRPr="00B06110">
        <w:rPr>
          <w:rFonts w:eastAsia="Times New Roman"/>
          <w:color w:val="202020"/>
        </w:rPr>
        <w:t>R</w:t>
      </w:r>
      <w:r w:rsidR="00F472D8">
        <w:rPr>
          <w:rFonts w:eastAsia="Times New Roman"/>
          <w:color w:val="202020"/>
        </w:rPr>
        <w:t>.;</w:t>
      </w:r>
      <w:r w:rsidRPr="00B06110">
        <w:rPr>
          <w:rFonts w:eastAsia="Times New Roman"/>
          <w:color w:val="202020"/>
        </w:rPr>
        <w:t xml:space="preserve"> Kurti</w:t>
      </w:r>
      <w:r w:rsidR="00F472D8">
        <w:rPr>
          <w:rFonts w:eastAsia="Times New Roman"/>
          <w:color w:val="202020"/>
        </w:rPr>
        <w:t>,</w:t>
      </w:r>
      <w:r w:rsidRPr="00B06110">
        <w:rPr>
          <w:rFonts w:eastAsia="Times New Roman"/>
          <w:color w:val="202020"/>
        </w:rPr>
        <w:t xml:space="preserve"> A</w:t>
      </w:r>
      <w:r w:rsidR="00F472D8">
        <w:rPr>
          <w:rFonts w:eastAsia="Times New Roman"/>
          <w:color w:val="202020"/>
        </w:rPr>
        <w:t>.;</w:t>
      </w:r>
      <w:r w:rsidRPr="00B06110">
        <w:rPr>
          <w:rFonts w:eastAsia="Times New Roman"/>
          <w:color w:val="202020"/>
        </w:rPr>
        <w:t xml:space="preserve"> Miller</w:t>
      </w:r>
      <w:r w:rsidR="00F472D8">
        <w:rPr>
          <w:rFonts w:eastAsia="Times New Roman"/>
          <w:color w:val="202020"/>
        </w:rPr>
        <w:t>,</w:t>
      </w:r>
      <w:r w:rsidRPr="00B06110">
        <w:rPr>
          <w:rFonts w:eastAsia="Times New Roman"/>
          <w:color w:val="202020"/>
        </w:rPr>
        <w:t xml:space="preserve"> M</w:t>
      </w:r>
      <w:r w:rsidR="00F472D8">
        <w:rPr>
          <w:rFonts w:eastAsia="Times New Roman"/>
          <w:color w:val="202020"/>
        </w:rPr>
        <w:t>.</w:t>
      </w:r>
      <w:r w:rsidRPr="00B06110">
        <w:rPr>
          <w:rFonts w:eastAsia="Times New Roman"/>
          <w:color w:val="202020"/>
        </w:rPr>
        <w:t>E</w:t>
      </w:r>
      <w:r w:rsidR="00F472D8">
        <w:rPr>
          <w:rFonts w:eastAsia="Times New Roman"/>
          <w:color w:val="202020"/>
        </w:rPr>
        <w:t>.</w:t>
      </w:r>
      <w:r w:rsidRPr="00B06110">
        <w:rPr>
          <w:rFonts w:eastAsia="Times New Roman"/>
          <w:color w:val="202020"/>
        </w:rPr>
        <w:t>B</w:t>
      </w:r>
      <w:r w:rsidR="00F472D8">
        <w:rPr>
          <w:rFonts w:eastAsia="Times New Roman"/>
          <w:color w:val="202020"/>
        </w:rPr>
        <w:t>.;</w:t>
      </w:r>
      <w:r w:rsidRPr="00B06110">
        <w:rPr>
          <w:rFonts w:eastAsia="Times New Roman"/>
          <w:color w:val="202020"/>
        </w:rPr>
        <w:t xml:space="preserve"> Cook</w:t>
      </w:r>
      <w:r w:rsidR="00F472D8">
        <w:rPr>
          <w:rFonts w:eastAsia="Times New Roman"/>
          <w:color w:val="202020"/>
        </w:rPr>
        <w:t>,</w:t>
      </w:r>
      <w:r w:rsidRPr="00B06110">
        <w:rPr>
          <w:rFonts w:eastAsia="Times New Roman"/>
          <w:color w:val="202020"/>
        </w:rPr>
        <w:t xml:space="preserve"> M</w:t>
      </w:r>
      <w:r w:rsidR="00F472D8">
        <w:rPr>
          <w:rFonts w:eastAsia="Times New Roman"/>
          <w:color w:val="202020"/>
        </w:rPr>
        <w:t>.</w:t>
      </w:r>
      <w:r w:rsidRPr="00B06110">
        <w:rPr>
          <w:rFonts w:eastAsia="Times New Roman"/>
          <w:color w:val="202020"/>
        </w:rPr>
        <w:t>D</w:t>
      </w:r>
      <w:r w:rsidR="00F472D8">
        <w:rPr>
          <w:rFonts w:eastAsia="Times New Roman"/>
          <w:color w:val="202020"/>
        </w:rPr>
        <w:t>.;</w:t>
      </w:r>
      <w:r w:rsidRPr="00B06110">
        <w:rPr>
          <w:rFonts w:eastAsia="Times New Roman"/>
          <w:color w:val="202020"/>
        </w:rPr>
        <w:t xml:space="preserve"> Whitlock</w:t>
      </w:r>
      <w:r w:rsidR="00F472D8">
        <w:rPr>
          <w:rFonts w:eastAsia="Times New Roman"/>
          <w:color w:val="202020"/>
        </w:rPr>
        <w:t>,</w:t>
      </w:r>
      <w:r w:rsidRPr="00B06110">
        <w:rPr>
          <w:rFonts w:eastAsia="Times New Roman"/>
          <w:color w:val="202020"/>
        </w:rPr>
        <w:t xml:space="preserve"> K</w:t>
      </w:r>
      <w:r w:rsidR="00F472D8">
        <w:rPr>
          <w:rFonts w:eastAsia="Times New Roman"/>
          <w:color w:val="202020"/>
        </w:rPr>
        <w:t xml:space="preserve">.; </w:t>
      </w:r>
      <w:r w:rsidR="0063541B" w:rsidRPr="0063541B">
        <w:rPr>
          <w:rFonts w:eastAsia="Times New Roman"/>
          <w:color w:val="202020"/>
        </w:rPr>
        <w:t>Goldenfeld</w:t>
      </w:r>
      <w:r w:rsidR="0063541B">
        <w:rPr>
          <w:rFonts w:eastAsia="Times New Roman"/>
          <w:color w:val="202020"/>
        </w:rPr>
        <w:t>,</w:t>
      </w:r>
      <w:r w:rsidR="0063541B" w:rsidRPr="0063541B">
        <w:rPr>
          <w:rFonts w:eastAsia="Times New Roman"/>
          <w:color w:val="202020"/>
        </w:rPr>
        <w:t xml:space="preserve"> N</w:t>
      </w:r>
      <w:r w:rsidR="0063541B">
        <w:rPr>
          <w:rFonts w:eastAsia="Times New Roman"/>
          <w:color w:val="202020"/>
        </w:rPr>
        <w:t>.;</w:t>
      </w:r>
      <w:r w:rsidR="0063541B" w:rsidRPr="0063541B">
        <w:rPr>
          <w:rFonts w:eastAsia="Times New Roman"/>
          <w:color w:val="202020"/>
        </w:rPr>
        <w:t xml:space="preserve"> Woods</w:t>
      </w:r>
      <w:r w:rsidR="0063541B">
        <w:rPr>
          <w:rFonts w:eastAsia="Times New Roman"/>
          <w:color w:val="202020"/>
        </w:rPr>
        <w:t>,</w:t>
      </w:r>
      <w:r w:rsidR="0063541B" w:rsidRPr="0063541B">
        <w:rPr>
          <w:rFonts w:eastAsia="Times New Roman"/>
          <w:color w:val="202020"/>
        </w:rPr>
        <w:t xml:space="preserve"> J</w:t>
      </w:r>
      <w:r w:rsidR="0063541B">
        <w:rPr>
          <w:rFonts w:eastAsia="Times New Roman"/>
          <w:color w:val="202020"/>
        </w:rPr>
        <w:t>.</w:t>
      </w:r>
      <w:r w:rsidR="0063541B" w:rsidRPr="0063541B">
        <w:rPr>
          <w:rFonts w:eastAsia="Times New Roman"/>
          <w:color w:val="202020"/>
        </w:rPr>
        <w:t>A</w:t>
      </w:r>
      <w:r w:rsidR="0063541B">
        <w:rPr>
          <w:rFonts w:eastAsia="Times New Roman"/>
          <w:color w:val="202020"/>
        </w:rPr>
        <w:t>.;</w:t>
      </w:r>
      <w:r w:rsidR="0063541B" w:rsidRPr="0063541B">
        <w:rPr>
          <w:rFonts w:eastAsia="Times New Roman"/>
          <w:color w:val="202020"/>
        </w:rPr>
        <w:t xml:space="preserve"> White</w:t>
      </w:r>
      <w:r w:rsidR="0063541B">
        <w:rPr>
          <w:rFonts w:eastAsia="Times New Roman"/>
          <w:color w:val="202020"/>
        </w:rPr>
        <w:t>,</w:t>
      </w:r>
      <w:r w:rsidR="0063541B" w:rsidRPr="0063541B">
        <w:rPr>
          <w:rFonts w:eastAsia="Times New Roman"/>
          <w:color w:val="202020"/>
        </w:rPr>
        <w:t xml:space="preserve"> B</w:t>
      </w:r>
      <w:r w:rsidR="0063541B">
        <w:rPr>
          <w:rFonts w:eastAsia="Times New Roman"/>
          <w:color w:val="202020"/>
        </w:rPr>
        <w:t>.</w:t>
      </w:r>
      <w:r w:rsidR="0063541B" w:rsidRPr="0063541B">
        <w:rPr>
          <w:rFonts w:eastAsia="Times New Roman"/>
          <w:color w:val="202020"/>
        </w:rPr>
        <w:t>A</w:t>
      </w:r>
      <w:r w:rsidR="0063541B">
        <w:rPr>
          <w:rFonts w:eastAsia="Times New Roman"/>
          <w:color w:val="202020"/>
        </w:rPr>
        <w:t>.;</w:t>
      </w:r>
      <w:r w:rsidR="0063541B" w:rsidRPr="0063541B">
        <w:rPr>
          <w:rFonts w:eastAsia="Times New Roman"/>
          <w:color w:val="202020"/>
        </w:rPr>
        <w:t xml:space="preserve"> Chia</w:t>
      </w:r>
      <w:r w:rsidR="0063541B">
        <w:rPr>
          <w:rFonts w:eastAsia="Times New Roman"/>
          <w:color w:val="202020"/>
        </w:rPr>
        <w:t>,</w:t>
      </w:r>
      <w:r w:rsidR="0063541B" w:rsidRPr="0063541B">
        <w:rPr>
          <w:rFonts w:eastAsia="Times New Roman"/>
          <w:color w:val="202020"/>
        </w:rPr>
        <w:t xml:space="preserve"> N</w:t>
      </w:r>
      <w:r w:rsidR="0063541B">
        <w:rPr>
          <w:rFonts w:eastAsia="Times New Roman"/>
          <w:color w:val="202020"/>
        </w:rPr>
        <w:t>.;</w:t>
      </w:r>
      <w:r w:rsidR="0063541B" w:rsidRPr="0063541B">
        <w:rPr>
          <w:rFonts w:eastAsia="Times New Roman"/>
          <w:color w:val="202020"/>
        </w:rPr>
        <w:t xml:space="preserve"> Fryer</w:t>
      </w:r>
      <w:r w:rsidR="0063541B">
        <w:rPr>
          <w:rFonts w:eastAsia="Times New Roman"/>
          <w:color w:val="202020"/>
        </w:rPr>
        <w:t>,</w:t>
      </w:r>
      <w:r w:rsidR="0063541B" w:rsidRPr="0063541B">
        <w:rPr>
          <w:rFonts w:eastAsia="Times New Roman"/>
          <w:color w:val="202020"/>
        </w:rPr>
        <w:t xml:space="preserve"> J</w:t>
      </w:r>
      <w:r w:rsidR="0063541B">
        <w:rPr>
          <w:rFonts w:eastAsia="Times New Roman"/>
          <w:color w:val="202020"/>
        </w:rPr>
        <w:t>.</w:t>
      </w:r>
      <w:r w:rsidR="0063541B" w:rsidRPr="0063541B">
        <w:rPr>
          <w:rFonts w:eastAsia="Times New Roman"/>
          <w:color w:val="202020"/>
        </w:rPr>
        <w:t>D</w:t>
      </w:r>
      <w:r w:rsidRPr="00B06110">
        <w:rPr>
          <w:rFonts w:eastAsia="Times New Roman"/>
          <w:color w:val="202020"/>
        </w:rPr>
        <w:t xml:space="preserve">. Diet and exercise orthogonally alter the gut microbiome and reveal independent associations with anxiety and cognition. </w:t>
      </w:r>
      <w:r w:rsidRPr="0063541B">
        <w:rPr>
          <w:rFonts w:eastAsia="Times New Roman"/>
          <w:i/>
          <w:iCs/>
          <w:color w:val="202020"/>
        </w:rPr>
        <w:t>Mol Neurodegener</w:t>
      </w:r>
      <w:r w:rsidRPr="00B06110">
        <w:rPr>
          <w:rFonts w:eastAsia="Times New Roman"/>
          <w:color w:val="202020"/>
        </w:rPr>
        <w:t xml:space="preserve">. </w:t>
      </w:r>
      <w:r w:rsidRPr="0063541B">
        <w:rPr>
          <w:rFonts w:eastAsia="Times New Roman"/>
          <w:b/>
          <w:bCs/>
          <w:color w:val="202020"/>
        </w:rPr>
        <w:t>2014</w:t>
      </w:r>
      <w:r w:rsidRPr="00B06110">
        <w:rPr>
          <w:rFonts w:eastAsia="Times New Roman"/>
          <w:color w:val="202020"/>
        </w:rPr>
        <w:t xml:space="preserve">; 9:36. </w:t>
      </w:r>
      <w:r w:rsidRPr="00B06110">
        <w:rPr>
          <w:color w:val="212121"/>
          <w:shd w:val="clear" w:color="auto" w:fill="FFFFFF"/>
        </w:rPr>
        <w:t>doi: 10.1186/1750-1326-9-36.</w:t>
      </w:r>
      <w:r w:rsidRPr="00B06110">
        <w:rPr>
          <w:rFonts w:eastAsia="Times New Roman"/>
          <w:color w:val="202020"/>
        </w:rPr>
        <w:t xml:space="preserve"> </w:t>
      </w:r>
    </w:p>
    <w:p w14:paraId="0EF44887" w14:textId="0C4B3FD2" w:rsidR="003C345F" w:rsidRPr="00B06110" w:rsidRDefault="006C3C3C" w:rsidP="00B06110">
      <w:pPr>
        <w:pStyle w:val="PargrafodaLista"/>
        <w:numPr>
          <w:ilvl w:val="0"/>
          <w:numId w:val="26"/>
        </w:numPr>
        <w:spacing w:after="160" w:line="240" w:lineRule="auto"/>
        <w:ind w:firstLineChars="0"/>
        <w:contextualSpacing/>
        <w:rPr>
          <w:rFonts w:eastAsia="Times New Roman"/>
          <w:color w:val="202020"/>
        </w:rPr>
      </w:pPr>
      <w:r w:rsidRPr="006C3C3C">
        <w:rPr>
          <w:rFonts w:eastAsia="Times New Roman"/>
          <w:color w:val="202020"/>
        </w:rPr>
        <w:t>Acharya</w:t>
      </w:r>
      <w:r w:rsidR="00AB18E3">
        <w:rPr>
          <w:rFonts w:eastAsia="Times New Roman"/>
          <w:color w:val="202020"/>
        </w:rPr>
        <w:t>,</w:t>
      </w:r>
      <w:r w:rsidRPr="006C3C3C">
        <w:rPr>
          <w:rFonts w:eastAsia="Times New Roman"/>
          <w:color w:val="202020"/>
        </w:rPr>
        <w:t xml:space="preserve"> K</w:t>
      </w:r>
      <w:r w:rsidR="00AB18E3">
        <w:rPr>
          <w:rFonts w:eastAsia="Times New Roman"/>
          <w:color w:val="202020"/>
        </w:rPr>
        <w:t>.</w:t>
      </w:r>
      <w:r w:rsidRPr="006C3C3C">
        <w:rPr>
          <w:rFonts w:eastAsia="Times New Roman"/>
          <w:color w:val="202020"/>
        </w:rPr>
        <w:t>D</w:t>
      </w:r>
      <w:r w:rsidR="00AB18E3">
        <w:rPr>
          <w:rFonts w:eastAsia="Times New Roman"/>
          <w:color w:val="202020"/>
        </w:rPr>
        <w:t>.;</w:t>
      </w:r>
      <w:r w:rsidRPr="006C3C3C">
        <w:rPr>
          <w:rFonts w:eastAsia="Times New Roman"/>
          <w:color w:val="202020"/>
        </w:rPr>
        <w:t xml:space="preserve"> Graham</w:t>
      </w:r>
      <w:r w:rsidR="00AB18E3">
        <w:rPr>
          <w:rFonts w:eastAsia="Times New Roman"/>
          <w:color w:val="202020"/>
        </w:rPr>
        <w:t>,</w:t>
      </w:r>
      <w:r w:rsidRPr="006C3C3C">
        <w:rPr>
          <w:rFonts w:eastAsia="Times New Roman"/>
          <w:color w:val="202020"/>
        </w:rPr>
        <w:t xml:space="preserve"> M</w:t>
      </w:r>
      <w:r w:rsidR="00AB18E3">
        <w:rPr>
          <w:rFonts w:eastAsia="Times New Roman"/>
          <w:color w:val="202020"/>
        </w:rPr>
        <w:t>.;</w:t>
      </w:r>
      <w:r w:rsidRPr="006C3C3C">
        <w:rPr>
          <w:rFonts w:eastAsia="Times New Roman"/>
          <w:color w:val="202020"/>
        </w:rPr>
        <w:t xml:space="preserve"> Raman</w:t>
      </w:r>
      <w:r w:rsidR="00AB18E3">
        <w:rPr>
          <w:rFonts w:eastAsia="Times New Roman"/>
          <w:color w:val="202020"/>
        </w:rPr>
        <w:t>,</w:t>
      </w:r>
      <w:r w:rsidRPr="006C3C3C">
        <w:rPr>
          <w:rFonts w:eastAsia="Times New Roman"/>
          <w:color w:val="202020"/>
        </w:rPr>
        <w:t xml:space="preserve"> H</w:t>
      </w:r>
      <w:r w:rsidR="00AB18E3">
        <w:rPr>
          <w:rFonts w:eastAsia="Times New Roman"/>
          <w:color w:val="202020"/>
        </w:rPr>
        <w:t>.;</w:t>
      </w:r>
      <w:r w:rsidRPr="006C3C3C">
        <w:rPr>
          <w:rFonts w:eastAsia="Times New Roman"/>
          <w:color w:val="202020"/>
        </w:rPr>
        <w:t xml:space="preserve"> Parakoyi</w:t>
      </w:r>
      <w:r w:rsidR="00AB18E3">
        <w:rPr>
          <w:rFonts w:eastAsia="Times New Roman"/>
          <w:color w:val="202020"/>
        </w:rPr>
        <w:t>,</w:t>
      </w:r>
      <w:r w:rsidRPr="006C3C3C">
        <w:rPr>
          <w:rFonts w:eastAsia="Times New Roman"/>
          <w:color w:val="202020"/>
        </w:rPr>
        <w:t xml:space="preserve"> A</w:t>
      </w:r>
      <w:r w:rsidR="008B74C1">
        <w:rPr>
          <w:rFonts w:eastAsia="Times New Roman"/>
          <w:color w:val="202020"/>
        </w:rPr>
        <w:t>.</w:t>
      </w:r>
      <w:r w:rsidRPr="006C3C3C">
        <w:rPr>
          <w:rFonts w:eastAsia="Times New Roman"/>
          <w:color w:val="202020"/>
        </w:rPr>
        <w:t>E</w:t>
      </w:r>
      <w:r w:rsidR="008B74C1">
        <w:rPr>
          <w:rFonts w:eastAsia="Times New Roman"/>
          <w:color w:val="202020"/>
        </w:rPr>
        <w:t>.</w:t>
      </w:r>
      <w:r w:rsidRPr="006C3C3C">
        <w:rPr>
          <w:rFonts w:eastAsia="Times New Roman"/>
          <w:color w:val="202020"/>
        </w:rPr>
        <w:t>R</w:t>
      </w:r>
      <w:r w:rsidR="008B74C1">
        <w:rPr>
          <w:rFonts w:eastAsia="Times New Roman"/>
          <w:color w:val="202020"/>
        </w:rPr>
        <w:t>.;</w:t>
      </w:r>
      <w:r w:rsidRPr="006C3C3C">
        <w:rPr>
          <w:rFonts w:eastAsia="Times New Roman"/>
          <w:color w:val="202020"/>
        </w:rPr>
        <w:t xml:space="preserve"> Corcoran</w:t>
      </w:r>
      <w:r w:rsidR="008B74C1">
        <w:rPr>
          <w:rFonts w:eastAsia="Times New Roman"/>
          <w:color w:val="202020"/>
        </w:rPr>
        <w:t>,</w:t>
      </w:r>
      <w:r w:rsidRPr="006C3C3C">
        <w:rPr>
          <w:rFonts w:eastAsia="Times New Roman"/>
          <w:color w:val="202020"/>
        </w:rPr>
        <w:t xml:space="preserve"> A</w:t>
      </w:r>
      <w:r w:rsidR="008B74C1">
        <w:rPr>
          <w:rFonts w:eastAsia="Times New Roman"/>
          <w:color w:val="202020"/>
        </w:rPr>
        <w:t>.;</w:t>
      </w:r>
      <w:r w:rsidRPr="006C3C3C">
        <w:rPr>
          <w:rFonts w:eastAsia="Times New Roman"/>
          <w:color w:val="202020"/>
        </w:rPr>
        <w:t xml:space="preserve"> Belete</w:t>
      </w:r>
      <w:r w:rsidR="008B74C1">
        <w:rPr>
          <w:rFonts w:eastAsia="Times New Roman"/>
          <w:color w:val="202020"/>
        </w:rPr>
        <w:t>,</w:t>
      </w:r>
      <w:r w:rsidRPr="006C3C3C">
        <w:rPr>
          <w:rFonts w:eastAsia="Times New Roman"/>
          <w:color w:val="202020"/>
        </w:rPr>
        <w:t xml:space="preserve"> M</w:t>
      </w:r>
      <w:r w:rsidR="008B74C1">
        <w:rPr>
          <w:rFonts w:eastAsia="Times New Roman"/>
          <w:color w:val="202020"/>
        </w:rPr>
        <w:t>.;</w:t>
      </w:r>
      <w:r w:rsidRPr="006C3C3C">
        <w:rPr>
          <w:rFonts w:eastAsia="Times New Roman"/>
          <w:color w:val="202020"/>
        </w:rPr>
        <w:t xml:space="preserve"> Ramaswamy</w:t>
      </w:r>
      <w:r w:rsidR="008B74C1">
        <w:rPr>
          <w:rFonts w:eastAsia="Times New Roman"/>
          <w:color w:val="202020"/>
        </w:rPr>
        <w:t>,</w:t>
      </w:r>
      <w:r w:rsidRPr="006C3C3C">
        <w:rPr>
          <w:rFonts w:eastAsia="Times New Roman"/>
          <w:color w:val="202020"/>
        </w:rPr>
        <w:t xml:space="preserve"> B</w:t>
      </w:r>
      <w:r w:rsidR="008B74C1">
        <w:rPr>
          <w:rFonts w:eastAsia="Times New Roman"/>
          <w:color w:val="202020"/>
        </w:rPr>
        <w:t>.;</w:t>
      </w:r>
      <w:r w:rsidRPr="006C3C3C">
        <w:rPr>
          <w:rFonts w:eastAsia="Times New Roman"/>
          <w:color w:val="202020"/>
        </w:rPr>
        <w:t xml:space="preserve"> Koul</w:t>
      </w:r>
      <w:r w:rsidR="00D21664">
        <w:rPr>
          <w:rFonts w:eastAsia="Times New Roman"/>
          <w:color w:val="202020"/>
        </w:rPr>
        <w:t>,</w:t>
      </w:r>
      <w:r w:rsidRPr="006C3C3C">
        <w:rPr>
          <w:rFonts w:eastAsia="Times New Roman"/>
          <w:color w:val="202020"/>
        </w:rPr>
        <w:t xml:space="preserve"> S</w:t>
      </w:r>
      <w:r w:rsidR="00D21664">
        <w:rPr>
          <w:rFonts w:eastAsia="Times New Roman"/>
          <w:color w:val="202020"/>
        </w:rPr>
        <w:t>.;</w:t>
      </w:r>
      <w:r w:rsidRPr="006C3C3C">
        <w:rPr>
          <w:rFonts w:eastAsia="Times New Roman"/>
          <w:color w:val="202020"/>
        </w:rPr>
        <w:t xml:space="preserve"> Sachar</w:t>
      </w:r>
      <w:r w:rsidR="00D21664">
        <w:rPr>
          <w:rFonts w:eastAsia="Times New Roman"/>
          <w:color w:val="202020"/>
        </w:rPr>
        <w:t>,</w:t>
      </w:r>
      <w:r w:rsidRPr="006C3C3C">
        <w:rPr>
          <w:rFonts w:eastAsia="Times New Roman"/>
          <w:color w:val="202020"/>
        </w:rPr>
        <w:t xml:space="preserve"> I</w:t>
      </w:r>
      <w:r w:rsidR="00D21664">
        <w:rPr>
          <w:rFonts w:eastAsia="Times New Roman"/>
          <w:color w:val="202020"/>
        </w:rPr>
        <w:t>.;</w:t>
      </w:r>
      <w:r w:rsidRPr="006C3C3C">
        <w:rPr>
          <w:rFonts w:eastAsia="Times New Roman"/>
          <w:color w:val="202020"/>
        </w:rPr>
        <w:t xml:space="preserve"> Derendorf</w:t>
      </w:r>
      <w:r w:rsidR="00D21664">
        <w:rPr>
          <w:rFonts w:eastAsia="Times New Roman"/>
          <w:color w:val="202020"/>
        </w:rPr>
        <w:t>,</w:t>
      </w:r>
      <w:r w:rsidRPr="006C3C3C">
        <w:rPr>
          <w:rFonts w:eastAsia="Times New Roman"/>
          <w:color w:val="202020"/>
        </w:rPr>
        <w:t xml:space="preserve"> K</w:t>
      </w:r>
      <w:r w:rsidR="00D21664">
        <w:rPr>
          <w:rFonts w:eastAsia="Times New Roman"/>
          <w:color w:val="202020"/>
        </w:rPr>
        <w:t>.;</w:t>
      </w:r>
      <w:r w:rsidRPr="006C3C3C">
        <w:rPr>
          <w:rFonts w:eastAsia="Times New Roman"/>
          <w:color w:val="202020"/>
        </w:rPr>
        <w:t xml:space="preserve"> Wilmer</w:t>
      </w:r>
      <w:r w:rsidR="00D21664">
        <w:rPr>
          <w:rFonts w:eastAsia="Times New Roman"/>
          <w:color w:val="202020"/>
        </w:rPr>
        <w:t>,</w:t>
      </w:r>
      <w:r w:rsidRPr="006C3C3C">
        <w:rPr>
          <w:rFonts w:eastAsia="Times New Roman"/>
          <w:color w:val="202020"/>
        </w:rPr>
        <w:t xml:space="preserve"> J</w:t>
      </w:r>
      <w:r w:rsidR="00D21664">
        <w:rPr>
          <w:rFonts w:eastAsia="Times New Roman"/>
          <w:color w:val="202020"/>
        </w:rPr>
        <w:t>.</w:t>
      </w:r>
      <w:r w:rsidRPr="006C3C3C">
        <w:rPr>
          <w:rFonts w:eastAsia="Times New Roman"/>
          <w:color w:val="202020"/>
        </w:rPr>
        <w:t>B</w:t>
      </w:r>
      <w:r w:rsidR="00D21664">
        <w:rPr>
          <w:rFonts w:eastAsia="Times New Roman"/>
          <w:color w:val="202020"/>
        </w:rPr>
        <w:t>.;</w:t>
      </w:r>
      <w:r w:rsidRPr="006C3C3C">
        <w:rPr>
          <w:rFonts w:eastAsia="Times New Roman"/>
          <w:color w:val="202020"/>
        </w:rPr>
        <w:t xml:space="preserve"> Gottipati</w:t>
      </w:r>
      <w:r w:rsidR="00D21664">
        <w:rPr>
          <w:rFonts w:eastAsia="Times New Roman"/>
          <w:color w:val="202020"/>
        </w:rPr>
        <w:t>,</w:t>
      </w:r>
      <w:r w:rsidRPr="006C3C3C">
        <w:rPr>
          <w:rFonts w:eastAsia="Times New Roman"/>
          <w:color w:val="202020"/>
        </w:rPr>
        <w:t xml:space="preserve"> S</w:t>
      </w:r>
      <w:r w:rsidR="00D21664">
        <w:rPr>
          <w:rFonts w:eastAsia="Times New Roman"/>
          <w:color w:val="202020"/>
        </w:rPr>
        <w:t>.;</w:t>
      </w:r>
      <w:r w:rsidRPr="006C3C3C">
        <w:rPr>
          <w:rFonts w:eastAsia="Times New Roman"/>
          <w:color w:val="202020"/>
        </w:rPr>
        <w:t xml:space="preserve"> Tetel</w:t>
      </w:r>
      <w:r w:rsidR="00D21664">
        <w:rPr>
          <w:rFonts w:eastAsia="Times New Roman"/>
          <w:color w:val="202020"/>
        </w:rPr>
        <w:t>,</w:t>
      </w:r>
      <w:r w:rsidRPr="006C3C3C">
        <w:rPr>
          <w:rFonts w:eastAsia="Times New Roman"/>
          <w:color w:val="202020"/>
        </w:rPr>
        <w:t xml:space="preserve"> M</w:t>
      </w:r>
      <w:r w:rsidR="00D21664">
        <w:rPr>
          <w:rFonts w:eastAsia="Times New Roman"/>
          <w:color w:val="202020"/>
        </w:rPr>
        <w:t>.</w:t>
      </w:r>
      <w:r w:rsidRPr="006C3C3C">
        <w:rPr>
          <w:rFonts w:eastAsia="Times New Roman"/>
          <w:color w:val="202020"/>
        </w:rPr>
        <w:t>J.</w:t>
      </w:r>
      <w:r w:rsidR="003C345F" w:rsidRPr="006C3C3C">
        <w:rPr>
          <w:rFonts w:eastAsia="Times New Roman"/>
          <w:color w:val="202020"/>
        </w:rPr>
        <w:t xml:space="preserve"> </w:t>
      </w:r>
      <w:r w:rsidR="003C345F" w:rsidRPr="00B06110">
        <w:rPr>
          <w:rFonts w:eastAsia="Times New Roman"/>
          <w:color w:val="202020"/>
        </w:rPr>
        <w:t xml:space="preserve">Estradiol-mediated protection against high-fat diet induced anxiety and obesity is associated with changes in the gut microbiota in female mice. </w:t>
      </w:r>
      <w:r w:rsidR="003C345F" w:rsidRPr="00AB18E3">
        <w:rPr>
          <w:rFonts w:eastAsia="Times New Roman"/>
          <w:i/>
          <w:iCs/>
          <w:color w:val="202020"/>
        </w:rPr>
        <w:t>Sci Rep</w:t>
      </w:r>
      <w:r w:rsidR="003C345F" w:rsidRPr="00B06110">
        <w:rPr>
          <w:rFonts w:eastAsia="Times New Roman"/>
          <w:color w:val="202020"/>
        </w:rPr>
        <w:t xml:space="preserve">. </w:t>
      </w:r>
      <w:r w:rsidR="003C345F" w:rsidRPr="00AB18E3">
        <w:rPr>
          <w:rFonts w:eastAsia="Times New Roman"/>
          <w:b/>
          <w:bCs/>
          <w:color w:val="202020"/>
        </w:rPr>
        <w:t>2023</w:t>
      </w:r>
      <w:r w:rsidR="003C345F" w:rsidRPr="00B06110">
        <w:rPr>
          <w:rFonts w:eastAsia="Times New Roman"/>
          <w:color w:val="202020"/>
        </w:rPr>
        <w:t xml:space="preserve">; 13: 4776. </w:t>
      </w:r>
      <w:r w:rsidR="003C345F" w:rsidRPr="00B06110">
        <w:rPr>
          <w:color w:val="212121"/>
          <w:shd w:val="clear" w:color="auto" w:fill="FFFFFF"/>
        </w:rPr>
        <w:t>doi: 10.1038/s41598-023-31783-6.</w:t>
      </w:r>
    </w:p>
    <w:p w14:paraId="4C8F20EF" w14:textId="4DDA7AD9"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color w:val="000000" w:themeColor="text1"/>
        </w:rPr>
        <w:t>Quicho</w:t>
      </w:r>
      <w:r w:rsidR="00E46106">
        <w:rPr>
          <w:rFonts w:eastAsia="Times New Roman"/>
          <w:color w:val="000000" w:themeColor="text1"/>
        </w:rPr>
        <w:t>,</w:t>
      </w:r>
      <w:r w:rsidRPr="00B06110">
        <w:rPr>
          <w:rFonts w:eastAsia="Times New Roman"/>
          <w:color w:val="000000" w:themeColor="text1"/>
        </w:rPr>
        <w:t xml:space="preserve"> M</w:t>
      </w:r>
      <w:r w:rsidR="00E46106">
        <w:rPr>
          <w:rFonts w:eastAsia="Times New Roman"/>
          <w:color w:val="000000" w:themeColor="text1"/>
        </w:rPr>
        <w:t>.</w:t>
      </w:r>
      <w:r w:rsidRPr="00B06110">
        <w:rPr>
          <w:rFonts w:eastAsia="Times New Roman"/>
          <w:color w:val="000000" w:themeColor="text1"/>
        </w:rPr>
        <w:t>N</w:t>
      </w:r>
      <w:r w:rsidR="00E46106">
        <w:rPr>
          <w:rFonts w:eastAsia="Times New Roman"/>
          <w:color w:val="000000" w:themeColor="text1"/>
        </w:rPr>
        <w:t>.</w:t>
      </w:r>
      <w:r w:rsidRPr="00B06110">
        <w:rPr>
          <w:rFonts w:eastAsia="Times New Roman"/>
          <w:color w:val="000000" w:themeColor="text1"/>
        </w:rPr>
        <w:t xml:space="preserve">B. Microbiota-Derived Metabolites and Their Effects on Anxiety-Related Behavior. Los Angeles: University of California; </w:t>
      </w:r>
      <w:r w:rsidRPr="00E46106">
        <w:rPr>
          <w:rFonts w:eastAsia="Times New Roman"/>
          <w:b/>
          <w:bCs/>
          <w:color w:val="000000" w:themeColor="text1"/>
        </w:rPr>
        <w:t>2023</w:t>
      </w:r>
      <w:r w:rsidRPr="00B06110">
        <w:rPr>
          <w:rFonts w:eastAsia="Times New Roman"/>
          <w:color w:val="000000" w:themeColor="text1"/>
        </w:rPr>
        <w:t>.</w:t>
      </w:r>
    </w:p>
    <w:p w14:paraId="29EF4C03" w14:textId="2F9A7004" w:rsidR="003C345F" w:rsidRPr="00B06110" w:rsidRDefault="003C345F" w:rsidP="00B06110">
      <w:pPr>
        <w:pStyle w:val="PargrafodaLista"/>
        <w:numPr>
          <w:ilvl w:val="0"/>
          <w:numId w:val="26"/>
        </w:numPr>
        <w:spacing w:after="160" w:line="240" w:lineRule="auto"/>
        <w:ind w:firstLineChars="0"/>
        <w:contextualSpacing/>
      </w:pPr>
      <w:r w:rsidRPr="00B06110">
        <w:rPr>
          <w:rFonts w:eastAsia="Times New Roman"/>
        </w:rPr>
        <w:t>Cai</w:t>
      </w:r>
      <w:r w:rsidR="007271A1">
        <w:rPr>
          <w:rFonts w:eastAsia="Times New Roman"/>
        </w:rPr>
        <w:t>,</w:t>
      </w:r>
      <w:r w:rsidRPr="00B06110">
        <w:rPr>
          <w:rFonts w:eastAsia="Times New Roman"/>
        </w:rPr>
        <w:t xml:space="preserve"> Y</w:t>
      </w:r>
      <w:r w:rsidR="007271A1">
        <w:rPr>
          <w:rFonts w:eastAsia="Times New Roman"/>
        </w:rPr>
        <w:t>.;</w:t>
      </w:r>
      <w:r w:rsidRPr="00B06110">
        <w:rPr>
          <w:rFonts w:eastAsia="Times New Roman"/>
        </w:rPr>
        <w:t xml:space="preserve"> Liu</w:t>
      </w:r>
      <w:r w:rsidR="007271A1">
        <w:rPr>
          <w:rFonts w:eastAsia="Times New Roman"/>
        </w:rPr>
        <w:t>,</w:t>
      </w:r>
      <w:r w:rsidRPr="00B06110">
        <w:rPr>
          <w:rFonts w:eastAsia="Times New Roman"/>
        </w:rPr>
        <w:t xml:space="preserve"> P</w:t>
      </w:r>
      <w:r w:rsidR="007271A1">
        <w:rPr>
          <w:rFonts w:eastAsia="Times New Roman"/>
        </w:rPr>
        <w:t>.;</w:t>
      </w:r>
      <w:r w:rsidRPr="00B06110">
        <w:rPr>
          <w:rFonts w:eastAsia="Times New Roman"/>
        </w:rPr>
        <w:t xml:space="preserve"> Zhou</w:t>
      </w:r>
      <w:r w:rsidR="007271A1">
        <w:rPr>
          <w:rFonts w:eastAsia="Times New Roman"/>
        </w:rPr>
        <w:t>,</w:t>
      </w:r>
      <w:r w:rsidRPr="00B06110">
        <w:rPr>
          <w:rFonts w:eastAsia="Times New Roman"/>
        </w:rPr>
        <w:t xml:space="preserve"> X</w:t>
      </w:r>
      <w:r w:rsidR="007271A1">
        <w:rPr>
          <w:rFonts w:eastAsia="Times New Roman"/>
        </w:rPr>
        <w:t>.;</w:t>
      </w:r>
      <w:r w:rsidRPr="00B06110">
        <w:rPr>
          <w:rFonts w:eastAsia="Times New Roman"/>
        </w:rPr>
        <w:t xml:space="preserve"> Yuan</w:t>
      </w:r>
      <w:r w:rsidR="007271A1">
        <w:rPr>
          <w:rFonts w:eastAsia="Times New Roman"/>
        </w:rPr>
        <w:t>,</w:t>
      </w:r>
      <w:r w:rsidRPr="00B06110">
        <w:rPr>
          <w:rFonts w:eastAsia="Times New Roman"/>
        </w:rPr>
        <w:t xml:space="preserve"> J</w:t>
      </w:r>
      <w:r w:rsidR="007271A1">
        <w:rPr>
          <w:rFonts w:eastAsia="Times New Roman"/>
        </w:rPr>
        <w:t>.;</w:t>
      </w:r>
      <w:r w:rsidRPr="00B06110">
        <w:rPr>
          <w:rFonts w:eastAsia="Times New Roman"/>
        </w:rPr>
        <w:t xml:space="preserve"> Chen</w:t>
      </w:r>
      <w:r w:rsidR="007271A1">
        <w:rPr>
          <w:rFonts w:eastAsia="Times New Roman"/>
        </w:rPr>
        <w:t>,</w:t>
      </w:r>
      <w:r w:rsidRPr="00B06110">
        <w:rPr>
          <w:rFonts w:eastAsia="Times New Roman"/>
        </w:rPr>
        <w:t xml:space="preserve"> Q. Probiotics therapy show significant improvement in obesity and neurobehavioral disorders symptoms. </w:t>
      </w:r>
      <w:r w:rsidRPr="007271A1">
        <w:rPr>
          <w:rFonts w:eastAsia="Times New Roman"/>
          <w:i/>
          <w:iCs/>
        </w:rPr>
        <w:t>Front Cell Infect Microbiol</w:t>
      </w:r>
      <w:r w:rsidRPr="00B06110">
        <w:rPr>
          <w:rFonts w:eastAsia="Times New Roman"/>
        </w:rPr>
        <w:t xml:space="preserve">. </w:t>
      </w:r>
      <w:r w:rsidRPr="007271A1">
        <w:rPr>
          <w:rFonts w:eastAsia="Times New Roman"/>
          <w:b/>
          <w:bCs/>
        </w:rPr>
        <w:t>2023</w:t>
      </w:r>
      <w:r w:rsidRPr="00B06110">
        <w:rPr>
          <w:rFonts w:eastAsia="Times New Roman"/>
        </w:rPr>
        <w:t>; 13:1178399. doi:10.3389/fcimb.2023.1178399.</w:t>
      </w:r>
    </w:p>
    <w:p w14:paraId="5C43EB1A" w14:textId="1964602F"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Kaunang</w:t>
      </w:r>
      <w:r w:rsidR="007271A1">
        <w:rPr>
          <w:rFonts w:eastAsia="Times New Roman"/>
        </w:rPr>
        <w:t>,</w:t>
      </w:r>
      <w:r w:rsidRPr="00B06110">
        <w:rPr>
          <w:rFonts w:eastAsia="Times New Roman"/>
        </w:rPr>
        <w:t xml:space="preserve"> T</w:t>
      </w:r>
      <w:r w:rsidR="007271A1">
        <w:rPr>
          <w:rFonts w:eastAsia="Times New Roman"/>
        </w:rPr>
        <w:t>.</w:t>
      </w:r>
      <w:r w:rsidRPr="00B06110">
        <w:rPr>
          <w:rFonts w:eastAsia="Times New Roman"/>
        </w:rPr>
        <w:t>M</w:t>
      </w:r>
      <w:r w:rsidR="007271A1">
        <w:rPr>
          <w:rFonts w:eastAsia="Times New Roman"/>
        </w:rPr>
        <w:t>.</w:t>
      </w:r>
      <w:r w:rsidRPr="00B06110">
        <w:rPr>
          <w:rFonts w:eastAsia="Times New Roman"/>
        </w:rPr>
        <w:t>D</w:t>
      </w:r>
      <w:r w:rsidR="007271A1">
        <w:rPr>
          <w:rFonts w:eastAsia="Times New Roman"/>
        </w:rPr>
        <w:t>.;</w:t>
      </w:r>
      <w:r w:rsidRPr="00B06110">
        <w:rPr>
          <w:rFonts w:eastAsia="Times New Roman"/>
        </w:rPr>
        <w:t xml:space="preserve"> Setiawan</w:t>
      </w:r>
      <w:r w:rsidR="007271A1">
        <w:rPr>
          <w:rFonts w:eastAsia="Times New Roman"/>
        </w:rPr>
        <w:t>,</w:t>
      </w:r>
      <w:r w:rsidRPr="00B06110">
        <w:rPr>
          <w:rFonts w:eastAsia="Times New Roman"/>
        </w:rPr>
        <w:t xml:space="preserve"> A</w:t>
      </w:r>
      <w:r w:rsidR="00154DD9">
        <w:rPr>
          <w:rFonts w:eastAsia="Times New Roman"/>
        </w:rPr>
        <w:t>.</w:t>
      </w:r>
      <w:r w:rsidRPr="00B06110">
        <w:rPr>
          <w:rFonts w:eastAsia="Times New Roman"/>
        </w:rPr>
        <w:t>A</w:t>
      </w:r>
      <w:r w:rsidR="00154DD9">
        <w:rPr>
          <w:rFonts w:eastAsia="Times New Roman"/>
        </w:rPr>
        <w:t>.;</w:t>
      </w:r>
      <w:r w:rsidRPr="00B06110">
        <w:rPr>
          <w:rFonts w:eastAsia="Times New Roman"/>
        </w:rPr>
        <w:t xml:space="preserve"> Mayulu</w:t>
      </w:r>
      <w:r w:rsidR="00154DD9">
        <w:rPr>
          <w:rFonts w:eastAsia="Times New Roman"/>
        </w:rPr>
        <w:t>,</w:t>
      </w:r>
      <w:r w:rsidRPr="00B06110">
        <w:rPr>
          <w:rFonts w:eastAsia="Times New Roman"/>
        </w:rPr>
        <w:t xml:space="preserve"> N</w:t>
      </w:r>
      <w:r w:rsidR="00154DD9">
        <w:rPr>
          <w:rFonts w:eastAsia="Times New Roman"/>
        </w:rPr>
        <w:t>.;</w:t>
      </w:r>
      <w:r w:rsidRPr="00B06110">
        <w:rPr>
          <w:rFonts w:eastAsia="Times New Roman"/>
        </w:rPr>
        <w:t xml:space="preserve"> Leonita</w:t>
      </w:r>
      <w:r w:rsidR="00154DD9">
        <w:rPr>
          <w:rFonts w:eastAsia="Times New Roman"/>
        </w:rPr>
        <w:t>,</w:t>
      </w:r>
      <w:r w:rsidRPr="00B06110">
        <w:rPr>
          <w:rFonts w:eastAsia="Times New Roman"/>
        </w:rPr>
        <w:t xml:space="preserve"> I</w:t>
      </w:r>
      <w:r w:rsidR="00154DD9">
        <w:rPr>
          <w:rFonts w:eastAsia="Times New Roman"/>
        </w:rPr>
        <w:t>.;</w:t>
      </w:r>
      <w:r w:rsidRPr="00B06110">
        <w:rPr>
          <w:rFonts w:eastAsia="Times New Roman"/>
        </w:rPr>
        <w:t xml:space="preserve"> Wijaya</w:t>
      </w:r>
      <w:r w:rsidR="00154DD9">
        <w:rPr>
          <w:rFonts w:eastAsia="Times New Roman"/>
        </w:rPr>
        <w:t>,</w:t>
      </w:r>
      <w:r w:rsidRPr="00B06110">
        <w:rPr>
          <w:rFonts w:eastAsia="Times New Roman"/>
        </w:rPr>
        <w:t xml:space="preserve"> A</w:t>
      </w:r>
      <w:r w:rsidR="00154DD9">
        <w:rPr>
          <w:rFonts w:eastAsia="Times New Roman"/>
        </w:rPr>
        <w:t>.;</w:t>
      </w:r>
      <w:r w:rsidRPr="00B06110">
        <w:rPr>
          <w:rFonts w:eastAsia="Times New Roman"/>
        </w:rPr>
        <w:t xml:space="preserve"> Yusuf</w:t>
      </w:r>
      <w:r w:rsidR="00154DD9">
        <w:rPr>
          <w:rFonts w:eastAsia="Times New Roman"/>
        </w:rPr>
        <w:t>,</w:t>
      </w:r>
      <w:r w:rsidRPr="00B06110">
        <w:rPr>
          <w:rFonts w:eastAsia="Times New Roman"/>
        </w:rPr>
        <w:t xml:space="preserve"> V</w:t>
      </w:r>
      <w:r w:rsidR="00154DD9">
        <w:rPr>
          <w:rFonts w:eastAsia="Times New Roman"/>
        </w:rPr>
        <w:t>.</w:t>
      </w:r>
      <w:r w:rsidRPr="00B06110">
        <w:rPr>
          <w:rFonts w:eastAsia="Times New Roman"/>
        </w:rPr>
        <w:t>M</w:t>
      </w:r>
      <w:r w:rsidR="00154DD9">
        <w:rPr>
          <w:rFonts w:eastAsia="Times New Roman"/>
        </w:rPr>
        <w:t>.;</w:t>
      </w:r>
      <w:r w:rsidRPr="00B06110">
        <w:rPr>
          <w:rFonts w:eastAsia="Times New Roman"/>
        </w:rPr>
        <w:t xml:space="preserve"> </w:t>
      </w:r>
      <w:r w:rsidR="004F5348" w:rsidRPr="004F5348">
        <w:rPr>
          <w:rFonts w:eastAsia="Times New Roman"/>
        </w:rPr>
        <w:t>Mahira</w:t>
      </w:r>
      <w:r w:rsidR="004F5348">
        <w:rPr>
          <w:rFonts w:eastAsia="Times New Roman"/>
        </w:rPr>
        <w:t>,</w:t>
      </w:r>
      <w:r w:rsidR="004F5348" w:rsidRPr="004F5348">
        <w:rPr>
          <w:rFonts w:eastAsia="Times New Roman"/>
        </w:rPr>
        <w:t xml:space="preserve"> M</w:t>
      </w:r>
      <w:r w:rsidR="004F5348">
        <w:rPr>
          <w:rFonts w:eastAsia="Times New Roman"/>
        </w:rPr>
        <w:t>.</w:t>
      </w:r>
      <w:r w:rsidR="004F5348" w:rsidRPr="004F5348">
        <w:rPr>
          <w:rFonts w:eastAsia="Times New Roman"/>
        </w:rPr>
        <w:t>F</w:t>
      </w:r>
      <w:r w:rsidR="004F5348">
        <w:rPr>
          <w:rFonts w:eastAsia="Times New Roman"/>
        </w:rPr>
        <w:t>.</w:t>
      </w:r>
      <w:r w:rsidR="004F5348" w:rsidRPr="004F5348">
        <w:rPr>
          <w:rFonts w:eastAsia="Times New Roman"/>
        </w:rPr>
        <w:t>N</w:t>
      </w:r>
      <w:r w:rsidR="004F5348">
        <w:rPr>
          <w:rFonts w:eastAsia="Times New Roman"/>
        </w:rPr>
        <w:t>.</w:t>
      </w:r>
      <w:r w:rsidR="004F5348" w:rsidRPr="004F5348">
        <w:rPr>
          <w:rFonts w:eastAsia="Times New Roman"/>
        </w:rPr>
        <w:t>A</w:t>
      </w:r>
      <w:r w:rsidR="004F5348">
        <w:rPr>
          <w:rFonts w:eastAsia="Times New Roman"/>
        </w:rPr>
        <w:t>.;</w:t>
      </w:r>
      <w:r w:rsidR="004F5348" w:rsidRPr="004F5348">
        <w:rPr>
          <w:rFonts w:eastAsia="Times New Roman"/>
        </w:rPr>
        <w:t xml:space="preserve"> Yudisthira</w:t>
      </w:r>
      <w:r w:rsidR="004F5348">
        <w:rPr>
          <w:rFonts w:eastAsia="Times New Roman"/>
        </w:rPr>
        <w:t>,</w:t>
      </w:r>
      <w:r w:rsidR="004F5348" w:rsidRPr="004F5348">
        <w:rPr>
          <w:rFonts w:eastAsia="Times New Roman"/>
        </w:rPr>
        <w:t xml:space="preserve"> D</w:t>
      </w:r>
      <w:r w:rsidR="004F5348">
        <w:rPr>
          <w:rFonts w:eastAsia="Times New Roman"/>
        </w:rPr>
        <w:t>.;</w:t>
      </w:r>
      <w:r w:rsidR="004F5348" w:rsidRPr="004F5348">
        <w:rPr>
          <w:rFonts w:eastAsia="Times New Roman"/>
        </w:rPr>
        <w:t xml:space="preserve"> Gunawan</w:t>
      </w:r>
      <w:r w:rsidR="004F5348">
        <w:rPr>
          <w:rFonts w:eastAsia="Times New Roman"/>
        </w:rPr>
        <w:t>,</w:t>
      </w:r>
      <w:r w:rsidR="004F5348" w:rsidRPr="004F5348">
        <w:rPr>
          <w:rFonts w:eastAsia="Times New Roman"/>
        </w:rPr>
        <w:t xml:space="preserve"> W</w:t>
      </w:r>
      <w:r w:rsidR="004F5348">
        <w:rPr>
          <w:rFonts w:eastAsia="Times New Roman"/>
        </w:rPr>
        <w:t>.</w:t>
      </w:r>
      <w:r w:rsidR="004F5348" w:rsidRPr="004F5348">
        <w:rPr>
          <w:rFonts w:eastAsia="Times New Roman"/>
        </w:rPr>
        <w:t>B</w:t>
      </w:r>
      <w:r w:rsidR="004F5348">
        <w:rPr>
          <w:rFonts w:eastAsia="Times New Roman"/>
        </w:rPr>
        <w:t>.;</w:t>
      </w:r>
      <w:r w:rsidR="004F5348" w:rsidRPr="004F5348">
        <w:rPr>
          <w:rFonts w:eastAsia="Times New Roman"/>
        </w:rPr>
        <w:t xml:space="preserve"> Taslim</w:t>
      </w:r>
      <w:r w:rsidR="004F5348">
        <w:rPr>
          <w:rFonts w:eastAsia="Times New Roman"/>
        </w:rPr>
        <w:t>,</w:t>
      </w:r>
      <w:r w:rsidR="004F5348" w:rsidRPr="004F5348">
        <w:rPr>
          <w:rFonts w:eastAsia="Times New Roman"/>
        </w:rPr>
        <w:t xml:space="preserve"> N</w:t>
      </w:r>
      <w:r w:rsidR="004F5348">
        <w:rPr>
          <w:rFonts w:eastAsia="Times New Roman"/>
        </w:rPr>
        <w:t>.</w:t>
      </w:r>
      <w:r w:rsidR="004F5348" w:rsidRPr="004F5348">
        <w:rPr>
          <w:rFonts w:eastAsia="Times New Roman"/>
        </w:rPr>
        <w:t>A</w:t>
      </w:r>
      <w:r w:rsidR="004F5348">
        <w:rPr>
          <w:rFonts w:eastAsia="Times New Roman"/>
        </w:rPr>
        <w:t>.;</w:t>
      </w:r>
      <w:r w:rsidR="004F5348" w:rsidRPr="004F5348">
        <w:rPr>
          <w:rFonts w:eastAsia="Times New Roman"/>
        </w:rPr>
        <w:t xml:space="preserve"> Purnomo</w:t>
      </w:r>
      <w:r w:rsidR="004F5348">
        <w:rPr>
          <w:rFonts w:eastAsia="Times New Roman"/>
        </w:rPr>
        <w:t>,</w:t>
      </w:r>
      <w:r w:rsidR="004F5348" w:rsidRPr="004F5348">
        <w:rPr>
          <w:rFonts w:eastAsia="Times New Roman"/>
        </w:rPr>
        <w:t xml:space="preserve"> A</w:t>
      </w:r>
      <w:r w:rsidR="004F5348">
        <w:rPr>
          <w:rFonts w:eastAsia="Times New Roman"/>
        </w:rPr>
        <w:t>.</w:t>
      </w:r>
      <w:r w:rsidR="004F5348" w:rsidRPr="004F5348">
        <w:rPr>
          <w:rFonts w:eastAsia="Times New Roman"/>
        </w:rPr>
        <w:t>F</w:t>
      </w:r>
      <w:r w:rsidR="004F5348">
        <w:rPr>
          <w:rFonts w:eastAsia="Times New Roman"/>
        </w:rPr>
        <w:t>.;</w:t>
      </w:r>
      <w:r w:rsidR="004F5348" w:rsidRPr="004F5348">
        <w:rPr>
          <w:rFonts w:eastAsia="Times New Roman"/>
        </w:rPr>
        <w:t xml:space="preserve"> Sabrina</w:t>
      </w:r>
      <w:r w:rsidR="004F5348">
        <w:rPr>
          <w:rFonts w:eastAsia="Times New Roman"/>
        </w:rPr>
        <w:t>,</w:t>
      </w:r>
      <w:r w:rsidR="004F5348" w:rsidRPr="004F5348">
        <w:rPr>
          <w:rFonts w:eastAsia="Times New Roman"/>
        </w:rPr>
        <w:t xml:space="preserve"> N</w:t>
      </w:r>
      <w:r w:rsidR="004F5348">
        <w:rPr>
          <w:rFonts w:eastAsia="Times New Roman"/>
        </w:rPr>
        <w:t>.;</w:t>
      </w:r>
      <w:r w:rsidR="004F5348" w:rsidRPr="004F5348">
        <w:rPr>
          <w:rFonts w:eastAsia="Times New Roman"/>
        </w:rPr>
        <w:t xml:space="preserve"> Amalia</w:t>
      </w:r>
      <w:r w:rsidR="004F5348">
        <w:rPr>
          <w:rFonts w:eastAsia="Times New Roman"/>
        </w:rPr>
        <w:t>,</w:t>
      </w:r>
      <w:r w:rsidR="004F5348" w:rsidRPr="004F5348">
        <w:rPr>
          <w:rFonts w:eastAsia="Times New Roman"/>
        </w:rPr>
        <w:t xml:space="preserve"> N</w:t>
      </w:r>
      <w:r w:rsidR="004F5348">
        <w:rPr>
          <w:rFonts w:eastAsia="Times New Roman"/>
        </w:rPr>
        <w:t>.;</w:t>
      </w:r>
      <w:r w:rsidR="004F5348" w:rsidRPr="004F5348">
        <w:rPr>
          <w:rFonts w:eastAsia="Times New Roman"/>
        </w:rPr>
        <w:t xml:space="preserve"> Permatasari</w:t>
      </w:r>
      <w:r w:rsidR="004F5348">
        <w:rPr>
          <w:rFonts w:eastAsia="Times New Roman"/>
        </w:rPr>
        <w:t>,</w:t>
      </w:r>
      <w:r w:rsidR="004F5348" w:rsidRPr="004F5348">
        <w:rPr>
          <w:rFonts w:eastAsia="Times New Roman"/>
        </w:rPr>
        <w:t xml:space="preserve"> H</w:t>
      </w:r>
      <w:r w:rsidR="004F5348">
        <w:rPr>
          <w:rFonts w:eastAsia="Times New Roman"/>
        </w:rPr>
        <w:t>.</w:t>
      </w:r>
      <w:r w:rsidR="004F5348" w:rsidRPr="004F5348">
        <w:rPr>
          <w:rFonts w:eastAsia="Times New Roman"/>
        </w:rPr>
        <w:t>K</w:t>
      </w:r>
      <w:r w:rsidR="004F5348">
        <w:rPr>
          <w:rFonts w:eastAsia="Times New Roman"/>
        </w:rPr>
        <w:t>.;</w:t>
      </w:r>
      <w:r w:rsidR="004F5348" w:rsidRPr="004F5348">
        <w:rPr>
          <w:rFonts w:eastAsia="Times New Roman"/>
        </w:rPr>
        <w:t xml:space="preserve"> Nurkolis</w:t>
      </w:r>
      <w:r w:rsidR="004F5348">
        <w:rPr>
          <w:rFonts w:eastAsia="Times New Roman"/>
        </w:rPr>
        <w:t>,</w:t>
      </w:r>
      <w:r w:rsidR="004F5348" w:rsidRPr="004F5348">
        <w:rPr>
          <w:rFonts w:eastAsia="Times New Roman"/>
        </w:rPr>
        <w:t xml:space="preserve"> F</w:t>
      </w:r>
      <w:r w:rsidRPr="00B06110">
        <w:rPr>
          <w:rFonts w:eastAsia="Times New Roman"/>
        </w:rPr>
        <w:t xml:space="preserve">. Are probiotics beneficial for obese patients with major depressive disorder? Opinion for future implications and strategies. </w:t>
      </w:r>
      <w:r w:rsidRPr="00F33FFD">
        <w:rPr>
          <w:rFonts w:eastAsia="Times New Roman"/>
          <w:i/>
          <w:iCs/>
        </w:rPr>
        <w:t>Front. Nutr</w:t>
      </w:r>
      <w:r w:rsidRPr="00B06110">
        <w:rPr>
          <w:rFonts w:eastAsia="Times New Roman"/>
        </w:rPr>
        <w:t xml:space="preserve">. </w:t>
      </w:r>
      <w:r w:rsidRPr="00F33FFD">
        <w:rPr>
          <w:rFonts w:eastAsia="Times New Roman"/>
          <w:b/>
          <w:bCs/>
        </w:rPr>
        <w:t>2023</w:t>
      </w:r>
      <w:r w:rsidRPr="00B06110">
        <w:rPr>
          <w:rFonts w:eastAsia="Times New Roman"/>
        </w:rPr>
        <w:t>; 10:1205434. doi: 10.3389/fnut.2023.1205434.</w:t>
      </w:r>
    </w:p>
    <w:p w14:paraId="349F2062" w14:textId="2A21C820" w:rsidR="003C345F" w:rsidRPr="00B06110" w:rsidRDefault="001E13E2" w:rsidP="00B06110">
      <w:pPr>
        <w:pStyle w:val="PargrafodaLista"/>
        <w:numPr>
          <w:ilvl w:val="0"/>
          <w:numId w:val="26"/>
        </w:numPr>
        <w:spacing w:after="160" w:line="240" w:lineRule="auto"/>
        <w:ind w:firstLineChars="0"/>
        <w:contextualSpacing/>
        <w:rPr>
          <w:rFonts w:eastAsia="Times New Roman"/>
        </w:rPr>
      </w:pPr>
      <w:r w:rsidRPr="001E13E2">
        <w:rPr>
          <w:rFonts w:eastAsia="Times New Roman"/>
        </w:rPr>
        <w:t>Ko</w:t>
      </w:r>
      <w:r>
        <w:rPr>
          <w:rFonts w:eastAsia="Times New Roman"/>
        </w:rPr>
        <w:t>,</w:t>
      </w:r>
      <w:r w:rsidRPr="001E13E2">
        <w:rPr>
          <w:rFonts w:eastAsia="Times New Roman"/>
        </w:rPr>
        <w:t xml:space="preserve"> C</w:t>
      </w:r>
      <w:r>
        <w:rPr>
          <w:rFonts w:eastAsia="Times New Roman"/>
        </w:rPr>
        <w:t>.</w:t>
      </w:r>
      <w:r w:rsidRPr="001E13E2">
        <w:rPr>
          <w:rFonts w:eastAsia="Times New Roman"/>
        </w:rPr>
        <w:t>Y</w:t>
      </w:r>
      <w:r>
        <w:rPr>
          <w:rFonts w:eastAsia="Times New Roman"/>
        </w:rPr>
        <w:t>.;</w:t>
      </w:r>
      <w:r w:rsidRPr="001E13E2">
        <w:rPr>
          <w:rFonts w:eastAsia="Times New Roman"/>
        </w:rPr>
        <w:t xml:space="preserve"> Liu</w:t>
      </w:r>
      <w:r>
        <w:rPr>
          <w:rFonts w:eastAsia="Times New Roman"/>
        </w:rPr>
        <w:t>,</w:t>
      </w:r>
      <w:r w:rsidRPr="001E13E2">
        <w:rPr>
          <w:rFonts w:eastAsia="Times New Roman"/>
        </w:rPr>
        <w:t xml:space="preserve"> Q</w:t>
      </w:r>
      <w:r>
        <w:rPr>
          <w:rFonts w:eastAsia="Times New Roman"/>
        </w:rPr>
        <w:t>.</w:t>
      </w:r>
      <w:r w:rsidRPr="001E13E2">
        <w:rPr>
          <w:rFonts w:eastAsia="Times New Roman"/>
        </w:rPr>
        <w:t>Q</w:t>
      </w:r>
      <w:r>
        <w:rPr>
          <w:rFonts w:eastAsia="Times New Roman"/>
        </w:rPr>
        <w:t>.;</w:t>
      </w:r>
      <w:r w:rsidRPr="001E13E2">
        <w:rPr>
          <w:rFonts w:eastAsia="Times New Roman"/>
        </w:rPr>
        <w:t xml:space="preserve"> Su</w:t>
      </w:r>
      <w:r>
        <w:rPr>
          <w:rFonts w:eastAsia="Times New Roman"/>
        </w:rPr>
        <w:t>,</w:t>
      </w:r>
      <w:r w:rsidRPr="001E13E2">
        <w:rPr>
          <w:rFonts w:eastAsia="Times New Roman"/>
        </w:rPr>
        <w:t xml:space="preserve"> H</w:t>
      </w:r>
      <w:r>
        <w:rPr>
          <w:rFonts w:eastAsia="Times New Roman"/>
        </w:rPr>
        <w:t>.</w:t>
      </w:r>
      <w:r w:rsidRPr="001E13E2">
        <w:rPr>
          <w:rFonts w:eastAsia="Times New Roman"/>
        </w:rPr>
        <w:t>Z</w:t>
      </w:r>
      <w:r>
        <w:rPr>
          <w:rFonts w:eastAsia="Times New Roman"/>
        </w:rPr>
        <w:t>.;</w:t>
      </w:r>
      <w:r w:rsidRPr="001E13E2">
        <w:rPr>
          <w:rFonts w:eastAsia="Times New Roman"/>
        </w:rPr>
        <w:t xml:space="preserve"> Zhang</w:t>
      </w:r>
      <w:r>
        <w:rPr>
          <w:rFonts w:eastAsia="Times New Roman"/>
        </w:rPr>
        <w:t>,</w:t>
      </w:r>
      <w:r w:rsidRPr="001E13E2">
        <w:rPr>
          <w:rFonts w:eastAsia="Times New Roman"/>
        </w:rPr>
        <w:t xml:space="preserve"> H</w:t>
      </w:r>
      <w:r>
        <w:rPr>
          <w:rFonts w:eastAsia="Times New Roman"/>
        </w:rPr>
        <w:t>.</w:t>
      </w:r>
      <w:r w:rsidRPr="001E13E2">
        <w:rPr>
          <w:rFonts w:eastAsia="Times New Roman"/>
        </w:rPr>
        <w:t>P</w:t>
      </w:r>
      <w:r>
        <w:rPr>
          <w:rFonts w:eastAsia="Times New Roman"/>
        </w:rPr>
        <w:t>.;</w:t>
      </w:r>
      <w:r w:rsidRPr="001E13E2">
        <w:rPr>
          <w:rFonts w:eastAsia="Times New Roman"/>
        </w:rPr>
        <w:t xml:space="preserve"> Fan</w:t>
      </w:r>
      <w:r>
        <w:rPr>
          <w:rFonts w:eastAsia="Times New Roman"/>
        </w:rPr>
        <w:t>,</w:t>
      </w:r>
      <w:r w:rsidRPr="001E13E2">
        <w:rPr>
          <w:rFonts w:eastAsia="Times New Roman"/>
        </w:rPr>
        <w:t xml:space="preserve"> J</w:t>
      </w:r>
      <w:r>
        <w:rPr>
          <w:rFonts w:eastAsia="Times New Roman"/>
        </w:rPr>
        <w:t>.</w:t>
      </w:r>
      <w:r w:rsidRPr="001E13E2">
        <w:rPr>
          <w:rFonts w:eastAsia="Times New Roman"/>
        </w:rPr>
        <w:t>M</w:t>
      </w:r>
      <w:r>
        <w:rPr>
          <w:rFonts w:eastAsia="Times New Roman"/>
        </w:rPr>
        <w:t>.;</w:t>
      </w:r>
      <w:r w:rsidRPr="001E13E2">
        <w:rPr>
          <w:rFonts w:eastAsia="Times New Roman"/>
        </w:rPr>
        <w:t xml:space="preserve"> Yang</w:t>
      </w:r>
      <w:r w:rsidR="003D1F46">
        <w:rPr>
          <w:rFonts w:eastAsia="Times New Roman"/>
        </w:rPr>
        <w:t>,</w:t>
      </w:r>
      <w:r w:rsidRPr="001E13E2">
        <w:rPr>
          <w:rFonts w:eastAsia="Times New Roman"/>
        </w:rPr>
        <w:t xml:space="preserve"> J</w:t>
      </w:r>
      <w:r w:rsidR="003D1F46">
        <w:rPr>
          <w:rFonts w:eastAsia="Times New Roman"/>
        </w:rPr>
        <w:t>.</w:t>
      </w:r>
      <w:r w:rsidRPr="001E13E2">
        <w:rPr>
          <w:rFonts w:eastAsia="Times New Roman"/>
        </w:rPr>
        <w:t>H</w:t>
      </w:r>
      <w:r w:rsidR="003D1F46">
        <w:rPr>
          <w:rFonts w:eastAsia="Times New Roman"/>
        </w:rPr>
        <w:t>.;</w:t>
      </w:r>
      <w:r w:rsidRPr="001E13E2">
        <w:rPr>
          <w:rFonts w:eastAsia="Times New Roman"/>
        </w:rPr>
        <w:t xml:space="preserve"> Hu</w:t>
      </w:r>
      <w:r w:rsidR="003D1F46">
        <w:rPr>
          <w:rFonts w:eastAsia="Times New Roman"/>
        </w:rPr>
        <w:t>,</w:t>
      </w:r>
      <w:r w:rsidRPr="001E13E2">
        <w:rPr>
          <w:rFonts w:eastAsia="Times New Roman"/>
        </w:rPr>
        <w:t xml:space="preserve"> A</w:t>
      </w:r>
      <w:r w:rsidR="003D1F46">
        <w:rPr>
          <w:rFonts w:eastAsia="Times New Roman"/>
        </w:rPr>
        <w:t>.</w:t>
      </w:r>
      <w:r w:rsidRPr="001E13E2">
        <w:rPr>
          <w:rFonts w:eastAsia="Times New Roman"/>
        </w:rPr>
        <w:t>K</w:t>
      </w:r>
      <w:r w:rsidR="003D1F46">
        <w:rPr>
          <w:rFonts w:eastAsia="Times New Roman"/>
        </w:rPr>
        <w:t>.;</w:t>
      </w:r>
      <w:r w:rsidRPr="001E13E2">
        <w:rPr>
          <w:rFonts w:eastAsia="Times New Roman"/>
        </w:rPr>
        <w:t xml:space="preserve"> Liu</w:t>
      </w:r>
      <w:r w:rsidR="003D1F46">
        <w:rPr>
          <w:rFonts w:eastAsia="Times New Roman"/>
        </w:rPr>
        <w:t>,</w:t>
      </w:r>
      <w:r w:rsidRPr="001E13E2">
        <w:rPr>
          <w:rFonts w:eastAsia="Times New Roman"/>
        </w:rPr>
        <w:t xml:space="preserve"> Y</w:t>
      </w:r>
      <w:r w:rsidR="003D1F46">
        <w:rPr>
          <w:rFonts w:eastAsia="Times New Roman"/>
        </w:rPr>
        <w:t>.</w:t>
      </w:r>
      <w:r w:rsidRPr="001E13E2">
        <w:rPr>
          <w:rFonts w:eastAsia="Times New Roman"/>
        </w:rPr>
        <w:t>Q</w:t>
      </w:r>
      <w:r w:rsidR="003D1F46">
        <w:rPr>
          <w:rFonts w:eastAsia="Times New Roman"/>
        </w:rPr>
        <w:t>.;</w:t>
      </w:r>
      <w:r w:rsidRPr="001E13E2">
        <w:rPr>
          <w:rFonts w:eastAsia="Times New Roman"/>
        </w:rPr>
        <w:t xml:space="preserve"> Chou</w:t>
      </w:r>
      <w:r w:rsidR="003D1F46">
        <w:rPr>
          <w:rFonts w:eastAsia="Times New Roman"/>
        </w:rPr>
        <w:t>,</w:t>
      </w:r>
      <w:r w:rsidRPr="001E13E2">
        <w:rPr>
          <w:rFonts w:eastAsia="Times New Roman"/>
        </w:rPr>
        <w:t xml:space="preserve"> D</w:t>
      </w:r>
      <w:r w:rsidR="003D1F46">
        <w:rPr>
          <w:rFonts w:eastAsia="Times New Roman"/>
        </w:rPr>
        <w:t>.;</w:t>
      </w:r>
      <w:r w:rsidRPr="001E13E2">
        <w:rPr>
          <w:rFonts w:eastAsia="Times New Roman"/>
        </w:rPr>
        <w:t xml:space="preserve"> Zeng</w:t>
      </w:r>
      <w:r w:rsidR="003D1F46">
        <w:rPr>
          <w:rFonts w:eastAsia="Times New Roman"/>
        </w:rPr>
        <w:t>,</w:t>
      </w:r>
      <w:r w:rsidRPr="001E13E2">
        <w:rPr>
          <w:rFonts w:eastAsia="Times New Roman"/>
        </w:rPr>
        <w:t xml:space="preserve"> Y</w:t>
      </w:r>
      <w:r w:rsidR="003D1F46">
        <w:rPr>
          <w:rFonts w:eastAsia="Times New Roman"/>
        </w:rPr>
        <w:t>.</w:t>
      </w:r>
      <w:r w:rsidRPr="001E13E2">
        <w:rPr>
          <w:rFonts w:eastAsia="Times New Roman"/>
        </w:rPr>
        <w:t>M</w:t>
      </w:r>
      <w:r w:rsidR="003C345F" w:rsidRPr="00B06110">
        <w:rPr>
          <w:rFonts w:eastAsia="Times New Roman"/>
        </w:rPr>
        <w:t xml:space="preserve">. Gut microbiota in obstructive sleep apnea–hypopnea syndrome: disease-related dysbiosis and metabolic comorbidities. </w:t>
      </w:r>
      <w:r w:rsidR="003C345F" w:rsidRPr="00BC52E0">
        <w:rPr>
          <w:rFonts w:eastAsia="Times New Roman"/>
          <w:i/>
          <w:iCs/>
        </w:rPr>
        <w:t>Clin Sci</w:t>
      </w:r>
      <w:r w:rsidR="003C345F" w:rsidRPr="00B06110">
        <w:rPr>
          <w:rFonts w:eastAsia="Times New Roman"/>
        </w:rPr>
        <w:t xml:space="preserve">. </w:t>
      </w:r>
      <w:r w:rsidR="003C345F" w:rsidRPr="00BC52E0">
        <w:rPr>
          <w:rFonts w:eastAsia="Times New Roman"/>
          <w:b/>
          <w:bCs/>
        </w:rPr>
        <w:t>2019</w:t>
      </w:r>
      <w:r w:rsidR="003C345F" w:rsidRPr="00B06110">
        <w:rPr>
          <w:rFonts w:eastAsia="Times New Roman"/>
          <w:color w:val="202020"/>
        </w:rPr>
        <w:t xml:space="preserve">; </w:t>
      </w:r>
      <w:r w:rsidR="003C345F" w:rsidRPr="00B06110">
        <w:rPr>
          <w:rFonts w:eastAsia="Times New Roman"/>
        </w:rPr>
        <w:t xml:space="preserve">133:905–917. </w:t>
      </w:r>
      <w:r w:rsidR="003C345F" w:rsidRPr="00B06110">
        <w:rPr>
          <w:color w:val="212121"/>
          <w:shd w:val="clear" w:color="auto" w:fill="FFFFFF"/>
        </w:rPr>
        <w:t>doi: 10.1042/CS20180891.</w:t>
      </w:r>
      <w:r w:rsidR="003C345F" w:rsidRPr="00B06110">
        <w:rPr>
          <w:rFonts w:eastAsia="Times New Roman"/>
        </w:rPr>
        <w:t xml:space="preserve"> </w:t>
      </w:r>
    </w:p>
    <w:p w14:paraId="57AA2492" w14:textId="71459827"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Kuvat</w:t>
      </w:r>
      <w:r w:rsidR="002C2E2D">
        <w:rPr>
          <w:rFonts w:eastAsia="Times New Roman"/>
        </w:rPr>
        <w:t>,</w:t>
      </w:r>
      <w:r w:rsidRPr="00B06110">
        <w:rPr>
          <w:rFonts w:eastAsia="Times New Roman"/>
        </w:rPr>
        <w:t xml:space="preserve"> N</w:t>
      </w:r>
      <w:r w:rsidR="002C2E2D">
        <w:rPr>
          <w:rFonts w:eastAsia="Times New Roman"/>
        </w:rPr>
        <w:t>.;</w:t>
      </w:r>
      <w:r w:rsidRPr="00B06110">
        <w:rPr>
          <w:rFonts w:eastAsia="Times New Roman"/>
        </w:rPr>
        <w:t xml:space="preserve"> Tanriverdi</w:t>
      </w:r>
      <w:r w:rsidR="002C2E2D">
        <w:rPr>
          <w:rFonts w:eastAsia="Times New Roman"/>
        </w:rPr>
        <w:t>,</w:t>
      </w:r>
      <w:r w:rsidRPr="00B06110">
        <w:rPr>
          <w:rFonts w:eastAsia="Times New Roman"/>
        </w:rPr>
        <w:t xml:space="preserve"> H</w:t>
      </w:r>
      <w:r w:rsidR="002C2E2D">
        <w:rPr>
          <w:rFonts w:eastAsia="Times New Roman"/>
        </w:rPr>
        <w:t>.;</w:t>
      </w:r>
      <w:r w:rsidRPr="00B06110">
        <w:rPr>
          <w:rFonts w:eastAsia="Times New Roman"/>
        </w:rPr>
        <w:t xml:space="preserve"> Armutcu</w:t>
      </w:r>
      <w:r w:rsidR="002C2E2D">
        <w:rPr>
          <w:rFonts w:eastAsia="Times New Roman"/>
        </w:rPr>
        <w:t>,</w:t>
      </w:r>
      <w:r w:rsidRPr="00B06110">
        <w:rPr>
          <w:rFonts w:eastAsia="Times New Roman"/>
        </w:rPr>
        <w:t xml:space="preserve"> F. The relationship between obstructive sleep apnea syndrome and obesity: A new perspective on the pathogenesis in terms of organ crosstalk. </w:t>
      </w:r>
      <w:r w:rsidRPr="002C2E2D">
        <w:rPr>
          <w:rFonts w:eastAsia="Times New Roman"/>
          <w:i/>
          <w:iCs/>
        </w:rPr>
        <w:t>Clin Respir J</w:t>
      </w:r>
      <w:r w:rsidRPr="00B06110">
        <w:rPr>
          <w:rFonts w:eastAsia="Times New Roman"/>
        </w:rPr>
        <w:t xml:space="preserve">. </w:t>
      </w:r>
      <w:r w:rsidRPr="002C2E2D">
        <w:rPr>
          <w:rFonts w:eastAsia="Times New Roman"/>
          <w:b/>
          <w:bCs/>
        </w:rPr>
        <w:t>2020</w:t>
      </w:r>
      <w:r w:rsidRPr="00B06110">
        <w:rPr>
          <w:rFonts w:eastAsia="Times New Roman"/>
        </w:rPr>
        <w:t>; 14:595–604. doi: 10.1111/crj.13175.</w:t>
      </w:r>
    </w:p>
    <w:p w14:paraId="3549CE21" w14:textId="22B3840C"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Wang</w:t>
      </w:r>
      <w:r w:rsidR="008D3983">
        <w:rPr>
          <w:rFonts w:eastAsia="Times New Roman"/>
        </w:rPr>
        <w:t>,</w:t>
      </w:r>
      <w:r w:rsidRPr="00B06110">
        <w:rPr>
          <w:rFonts w:eastAsia="Times New Roman"/>
        </w:rPr>
        <w:t xml:space="preserve"> Y</w:t>
      </w:r>
      <w:r w:rsidR="008D3983">
        <w:rPr>
          <w:rFonts w:eastAsia="Times New Roman"/>
        </w:rPr>
        <w:t>.;</w:t>
      </w:r>
      <w:r w:rsidRPr="00B06110">
        <w:rPr>
          <w:rFonts w:eastAsia="Times New Roman"/>
        </w:rPr>
        <w:t xml:space="preserve"> Wouw</w:t>
      </w:r>
      <w:r w:rsidR="008D3983">
        <w:rPr>
          <w:rFonts w:eastAsia="Times New Roman"/>
        </w:rPr>
        <w:t>,</w:t>
      </w:r>
      <w:r w:rsidRPr="00B06110">
        <w:rPr>
          <w:rFonts w:eastAsia="Times New Roman"/>
        </w:rPr>
        <w:t xml:space="preserve"> M</w:t>
      </w:r>
      <w:r w:rsidR="008D3983">
        <w:rPr>
          <w:rFonts w:eastAsia="Times New Roman"/>
        </w:rPr>
        <w:t>.</w:t>
      </w:r>
      <w:r w:rsidRPr="00B06110">
        <w:rPr>
          <w:rFonts w:eastAsia="Times New Roman"/>
        </w:rPr>
        <w:t>V</w:t>
      </w:r>
      <w:r w:rsidR="008D3983">
        <w:rPr>
          <w:rFonts w:eastAsia="Times New Roman"/>
        </w:rPr>
        <w:t>.</w:t>
      </w:r>
      <w:r w:rsidRPr="00B06110">
        <w:rPr>
          <w:rFonts w:eastAsia="Times New Roman"/>
        </w:rPr>
        <w:t>D</w:t>
      </w:r>
      <w:r w:rsidR="008D3983">
        <w:rPr>
          <w:rFonts w:eastAsia="Times New Roman"/>
        </w:rPr>
        <w:t>.;</w:t>
      </w:r>
      <w:r w:rsidRPr="00B06110">
        <w:rPr>
          <w:rFonts w:eastAsia="Times New Roman"/>
        </w:rPr>
        <w:t xml:space="preserve"> Drogos</w:t>
      </w:r>
      <w:r w:rsidR="008D3983">
        <w:rPr>
          <w:rFonts w:eastAsia="Times New Roman"/>
        </w:rPr>
        <w:t>,</w:t>
      </w:r>
      <w:r w:rsidRPr="00B06110">
        <w:rPr>
          <w:rFonts w:eastAsia="Times New Roman"/>
        </w:rPr>
        <w:t xml:space="preserve"> L</w:t>
      </w:r>
      <w:r w:rsidR="008D3983">
        <w:rPr>
          <w:rFonts w:eastAsia="Times New Roman"/>
        </w:rPr>
        <w:t>.;</w:t>
      </w:r>
      <w:r w:rsidRPr="00B06110">
        <w:rPr>
          <w:rFonts w:eastAsia="Times New Roman"/>
        </w:rPr>
        <w:t xml:space="preserve"> Mehrabani</w:t>
      </w:r>
      <w:r w:rsidR="008D3983">
        <w:rPr>
          <w:rFonts w:eastAsia="Times New Roman"/>
        </w:rPr>
        <w:t>,</w:t>
      </w:r>
      <w:r w:rsidRPr="00B06110">
        <w:rPr>
          <w:rFonts w:eastAsia="Times New Roman"/>
        </w:rPr>
        <w:t xml:space="preserve"> E</w:t>
      </w:r>
      <w:r w:rsidR="008D3983">
        <w:rPr>
          <w:rFonts w:eastAsia="Times New Roman"/>
        </w:rPr>
        <w:t>.</w:t>
      </w:r>
      <w:r w:rsidRPr="00B06110">
        <w:rPr>
          <w:rFonts w:eastAsia="Times New Roman"/>
        </w:rPr>
        <w:t>V</w:t>
      </w:r>
      <w:r w:rsidR="008D3983">
        <w:rPr>
          <w:rFonts w:eastAsia="Times New Roman"/>
        </w:rPr>
        <w:t>.;</w:t>
      </w:r>
      <w:r w:rsidRPr="00B06110">
        <w:rPr>
          <w:rFonts w:eastAsia="Times New Roman"/>
        </w:rPr>
        <w:t xml:space="preserve"> Reimer</w:t>
      </w:r>
      <w:r w:rsidR="008D3983">
        <w:rPr>
          <w:rFonts w:eastAsia="Times New Roman"/>
        </w:rPr>
        <w:t>,</w:t>
      </w:r>
      <w:r w:rsidRPr="00B06110">
        <w:rPr>
          <w:rFonts w:eastAsia="Times New Roman"/>
        </w:rPr>
        <w:t xml:space="preserve"> R</w:t>
      </w:r>
      <w:r w:rsidR="008D3983">
        <w:rPr>
          <w:rFonts w:eastAsia="Times New Roman"/>
        </w:rPr>
        <w:t>.</w:t>
      </w:r>
      <w:r w:rsidRPr="00B06110">
        <w:rPr>
          <w:rFonts w:eastAsia="Times New Roman"/>
        </w:rPr>
        <w:t>A</w:t>
      </w:r>
      <w:r w:rsidR="008D3983">
        <w:rPr>
          <w:rFonts w:eastAsia="Times New Roman"/>
        </w:rPr>
        <w:t>.;</w:t>
      </w:r>
      <w:r w:rsidRPr="00B06110">
        <w:rPr>
          <w:rFonts w:eastAsia="Times New Roman"/>
        </w:rPr>
        <w:t xml:space="preserve"> Madsen</w:t>
      </w:r>
      <w:r w:rsidR="008D3983">
        <w:rPr>
          <w:rFonts w:eastAsia="Times New Roman"/>
        </w:rPr>
        <w:t>,</w:t>
      </w:r>
      <w:r w:rsidRPr="00B06110">
        <w:rPr>
          <w:rFonts w:eastAsia="Times New Roman"/>
        </w:rPr>
        <w:t xml:space="preserve"> L</w:t>
      </w:r>
      <w:r w:rsidR="008D3983">
        <w:rPr>
          <w:rFonts w:eastAsia="Times New Roman"/>
        </w:rPr>
        <w:t>.</w:t>
      </w:r>
      <w:r w:rsidRPr="00B06110">
        <w:rPr>
          <w:rFonts w:eastAsia="Times New Roman"/>
        </w:rPr>
        <w:t>T</w:t>
      </w:r>
      <w:r w:rsidR="008D3983">
        <w:rPr>
          <w:rFonts w:eastAsia="Times New Roman"/>
        </w:rPr>
        <w:t>.;</w:t>
      </w:r>
      <w:r w:rsidRPr="00B06110">
        <w:rPr>
          <w:rFonts w:eastAsia="Times New Roman"/>
        </w:rPr>
        <w:t xml:space="preserve"> </w:t>
      </w:r>
      <w:r w:rsidR="00B450D4" w:rsidRPr="00B450D4">
        <w:rPr>
          <w:rFonts w:eastAsia="Times New Roman"/>
        </w:rPr>
        <w:t>Giesbrecht</w:t>
      </w:r>
      <w:r w:rsidR="00B450D4">
        <w:rPr>
          <w:rFonts w:eastAsia="Times New Roman"/>
        </w:rPr>
        <w:t>,</w:t>
      </w:r>
      <w:r w:rsidR="00B450D4" w:rsidRPr="00B450D4">
        <w:rPr>
          <w:rFonts w:eastAsia="Times New Roman"/>
        </w:rPr>
        <w:t xml:space="preserve"> G</w:t>
      </w:r>
      <w:r w:rsidR="00B450D4">
        <w:rPr>
          <w:rFonts w:eastAsia="Times New Roman"/>
        </w:rPr>
        <w:t>.</w:t>
      </w:r>
      <w:r w:rsidR="00B450D4" w:rsidRPr="00B450D4">
        <w:rPr>
          <w:rFonts w:eastAsia="Times New Roman"/>
        </w:rPr>
        <w:t>F</w:t>
      </w:r>
      <w:r w:rsidRPr="00B06110">
        <w:rPr>
          <w:rFonts w:eastAsia="Times New Roman"/>
        </w:rPr>
        <w:t xml:space="preserve">. Sleep and the gut microbiota in preschool-aged children. </w:t>
      </w:r>
      <w:r w:rsidRPr="005D2955">
        <w:rPr>
          <w:rFonts w:eastAsia="Times New Roman"/>
          <w:i/>
          <w:iCs/>
        </w:rPr>
        <w:t>S</w:t>
      </w:r>
      <w:r w:rsidR="005D2955" w:rsidRPr="005D2955">
        <w:rPr>
          <w:rFonts w:eastAsia="Times New Roman"/>
          <w:i/>
          <w:iCs/>
        </w:rPr>
        <w:t>leep</w:t>
      </w:r>
      <w:r w:rsidRPr="00B06110">
        <w:rPr>
          <w:rFonts w:eastAsia="Times New Roman"/>
        </w:rPr>
        <w:t xml:space="preserve">. </w:t>
      </w:r>
      <w:r w:rsidRPr="005D2955">
        <w:rPr>
          <w:rFonts w:eastAsia="Times New Roman"/>
          <w:b/>
          <w:bCs/>
        </w:rPr>
        <w:t>2022</w:t>
      </w:r>
      <w:r w:rsidRPr="00B06110">
        <w:rPr>
          <w:rFonts w:eastAsia="Times New Roman"/>
        </w:rPr>
        <w:t xml:space="preserve">; </w:t>
      </w:r>
      <w:r w:rsidRPr="00B06110">
        <w:rPr>
          <w:color w:val="212121"/>
          <w:shd w:val="clear" w:color="auto" w:fill="FFFFFF"/>
        </w:rPr>
        <w:t>45:zsac020.</w:t>
      </w:r>
      <w:r w:rsidRPr="00B06110">
        <w:rPr>
          <w:rFonts w:eastAsia="Times New Roman"/>
        </w:rPr>
        <w:t xml:space="preserve"> </w:t>
      </w:r>
      <w:r w:rsidRPr="00B06110">
        <w:rPr>
          <w:color w:val="212121"/>
          <w:shd w:val="clear" w:color="auto" w:fill="FFFFFF"/>
        </w:rPr>
        <w:t>doi: 10.1093/sleep/zsac020.</w:t>
      </w:r>
    </w:p>
    <w:p w14:paraId="6B75A0B3" w14:textId="06149448"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56327E">
        <w:rPr>
          <w:rFonts w:eastAsia="Times New Roman"/>
        </w:rPr>
        <w:t>Valentini</w:t>
      </w:r>
      <w:r w:rsidR="0056327E">
        <w:rPr>
          <w:rFonts w:eastAsia="Times New Roman"/>
        </w:rPr>
        <w:t>,</w:t>
      </w:r>
      <w:r w:rsidRPr="0056327E">
        <w:rPr>
          <w:rFonts w:eastAsia="Times New Roman"/>
        </w:rPr>
        <w:t xml:space="preserve"> F</w:t>
      </w:r>
      <w:r w:rsidR="0056327E">
        <w:rPr>
          <w:rFonts w:eastAsia="Times New Roman"/>
        </w:rPr>
        <w:t>.;</w:t>
      </w:r>
      <w:r w:rsidRPr="0056327E">
        <w:rPr>
          <w:rFonts w:eastAsia="Times New Roman"/>
        </w:rPr>
        <w:t xml:space="preserve"> Evangelisti, </w:t>
      </w:r>
      <w:r w:rsidR="00C83760">
        <w:rPr>
          <w:rFonts w:eastAsia="Times New Roman"/>
        </w:rPr>
        <w:t xml:space="preserve">M.; </w:t>
      </w:r>
      <w:r w:rsidRPr="0056327E">
        <w:rPr>
          <w:rFonts w:eastAsia="Times New Roman"/>
        </w:rPr>
        <w:t>Arpinelli</w:t>
      </w:r>
      <w:r w:rsidR="00C83760">
        <w:rPr>
          <w:rFonts w:eastAsia="Times New Roman"/>
        </w:rPr>
        <w:t>,</w:t>
      </w:r>
      <w:r w:rsidRPr="0056327E">
        <w:rPr>
          <w:rFonts w:eastAsia="Times New Roman"/>
        </w:rPr>
        <w:t xml:space="preserve"> M</w:t>
      </w:r>
      <w:r w:rsidR="00C83760">
        <w:rPr>
          <w:rFonts w:eastAsia="Times New Roman"/>
        </w:rPr>
        <w:t>.;</w:t>
      </w:r>
      <w:r w:rsidRPr="0056327E">
        <w:rPr>
          <w:rFonts w:eastAsia="Times New Roman"/>
        </w:rPr>
        <w:t xml:space="preserve"> Nardo</w:t>
      </w:r>
      <w:r w:rsidR="00C83760">
        <w:rPr>
          <w:rFonts w:eastAsia="Times New Roman"/>
        </w:rPr>
        <w:t>,</w:t>
      </w:r>
      <w:r w:rsidRPr="0056327E">
        <w:rPr>
          <w:rFonts w:eastAsia="Times New Roman"/>
        </w:rPr>
        <w:t xml:space="preserve"> G</w:t>
      </w:r>
      <w:r w:rsidR="00C83760">
        <w:rPr>
          <w:rFonts w:eastAsia="Times New Roman"/>
        </w:rPr>
        <w:t>.</w:t>
      </w:r>
      <w:r w:rsidRPr="0056327E">
        <w:rPr>
          <w:rFonts w:eastAsia="Times New Roman"/>
        </w:rPr>
        <w:t>D</w:t>
      </w:r>
      <w:r w:rsidR="00C83760">
        <w:rPr>
          <w:rFonts w:eastAsia="Times New Roman"/>
        </w:rPr>
        <w:t>.;</w:t>
      </w:r>
      <w:r w:rsidRPr="0056327E">
        <w:rPr>
          <w:rFonts w:eastAsia="Times New Roman"/>
        </w:rPr>
        <w:t xml:space="preserve"> Borro</w:t>
      </w:r>
      <w:r w:rsidR="00C83760">
        <w:rPr>
          <w:rFonts w:eastAsia="Times New Roman"/>
        </w:rPr>
        <w:t>,</w:t>
      </w:r>
      <w:r w:rsidRPr="0056327E">
        <w:rPr>
          <w:rFonts w:eastAsia="Times New Roman"/>
        </w:rPr>
        <w:t xml:space="preserve"> M</w:t>
      </w:r>
      <w:r w:rsidR="00C83760">
        <w:rPr>
          <w:rFonts w:eastAsia="Times New Roman"/>
        </w:rPr>
        <w:t>.;</w:t>
      </w:r>
      <w:r w:rsidRPr="0056327E">
        <w:rPr>
          <w:rFonts w:eastAsia="Times New Roman"/>
        </w:rPr>
        <w:t xml:space="preserve"> Simmaco</w:t>
      </w:r>
      <w:r w:rsidR="00C83760">
        <w:rPr>
          <w:rFonts w:eastAsia="Times New Roman"/>
        </w:rPr>
        <w:t>,</w:t>
      </w:r>
      <w:r w:rsidRPr="0056327E">
        <w:rPr>
          <w:rFonts w:eastAsia="Times New Roman"/>
        </w:rPr>
        <w:t xml:space="preserve"> M</w:t>
      </w:r>
      <w:r w:rsidR="00C83760">
        <w:rPr>
          <w:rFonts w:eastAsia="Times New Roman"/>
        </w:rPr>
        <w:t>.;</w:t>
      </w:r>
      <w:r w:rsidR="005C10C8" w:rsidRPr="0056327E">
        <w:rPr>
          <w:rFonts w:eastAsia="Times New Roman"/>
        </w:rPr>
        <w:t xml:space="preserve"> Villa</w:t>
      </w:r>
      <w:r w:rsidR="0056327E" w:rsidRPr="0056327E">
        <w:rPr>
          <w:rFonts w:eastAsia="Times New Roman"/>
        </w:rPr>
        <w:t>, M</w:t>
      </w:r>
      <w:r w:rsidR="0056327E">
        <w:rPr>
          <w:rFonts w:eastAsia="Times New Roman"/>
        </w:rPr>
        <w:t>.P</w:t>
      </w:r>
      <w:r w:rsidRPr="0056327E">
        <w:rPr>
          <w:rFonts w:eastAsia="Times New Roman"/>
        </w:rPr>
        <w:t xml:space="preserve">. </w:t>
      </w:r>
      <w:r w:rsidRPr="00B06110">
        <w:rPr>
          <w:rFonts w:eastAsia="Times New Roman"/>
        </w:rPr>
        <w:t xml:space="preserve">Gut microbiota composition in children with obstructive sleep apnoea syndrome: a pilot study. </w:t>
      </w:r>
      <w:r w:rsidRPr="0056327E">
        <w:rPr>
          <w:rFonts w:eastAsia="Times New Roman"/>
          <w:i/>
          <w:iCs/>
        </w:rPr>
        <w:t>Sleep Med</w:t>
      </w:r>
      <w:r w:rsidRPr="00B06110">
        <w:rPr>
          <w:rFonts w:eastAsia="Times New Roman"/>
        </w:rPr>
        <w:t xml:space="preserve">. </w:t>
      </w:r>
      <w:r w:rsidRPr="0056327E">
        <w:rPr>
          <w:rFonts w:eastAsia="Times New Roman"/>
          <w:b/>
          <w:bCs/>
        </w:rPr>
        <w:t>2020</w:t>
      </w:r>
      <w:r w:rsidRPr="00B06110">
        <w:rPr>
          <w:rFonts w:eastAsia="Times New Roman"/>
          <w:color w:val="202020"/>
        </w:rPr>
        <w:t xml:space="preserve">; </w:t>
      </w:r>
      <w:r w:rsidRPr="00B06110">
        <w:rPr>
          <w:rFonts w:eastAsia="Times New Roman"/>
        </w:rPr>
        <w:t xml:space="preserve">76:140-147. </w:t>
      </w:r>
      <w:r w:rsidRPr="00B06110">
        <w:rPr>
          <w:color w:val="212121"/>
          <w:shd w:val="clear" w:color="auto" w:fill="FFFFFF"/>
        </w:rPr>
        <w:t>doi: 10.1016/j.sleep.2020.10.017.</w:t>
      </w:r>
    </w:p>
    <w:p w14:paraId="1AA2F5A1" w14:textId="48C575FB"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rPr>
        <w:t>Benedict</w:t>
      </w:r>
      <w:r w:rsidR="00284B18">
        <w:rPr>
          <w:rFonts w:eastAsia="Times New Roman"/>
        </w:rPr>
        <w:t>,</w:t>
      </w:r>
      <w:r w:rsidRPr="00B06110">
        <w:rPr>
          <w:rFonts w:eastAsia="Times New Roman"/>
        </w:rPr>
        <w:t xml:space="preserve"> C</w:t>
      </w:r>
      <w:r w:rsidR="00284B18">
        <w:rPr>
          <w:rFonts w:eastAsia="Times New Roman"/>
        </w:rPr>
        <w:t>.;</w:t>
      </w:r>
      <w:r w:rsidRPr="00B06110">
        <w:rPr>
          <w:rFonts w:eastAsia="Times New Roman"/>
        </w:rPr>
        <w:t xml:space="preserve"> Vogel</w:t>
      </w:r>
      <w:r w:rsidR="00284B18">
        <w:rPr>
          <w:rFonts w:eastAsia="Times New Roman"/>
        </w:rPr>
        <w:t>,</w:t>
      </w:r>
      <w:r w:rsidRPr="00B06110">
        <w:rPr>
          <w:rFonts w:eastAsia="Times New Roman"/>
        </w:rPr>
        <w:t xml:space="preserve"> H</w:t>
      </w:r>
      <w:r w:rsidR="00284B18">
        <w:rPr>
          <w:rFonts w:eastAsia="Times New Roman"/>
        </w:rPr>
        <w:t>.;</w:t>
      </w:r>
      <w:r w:rsidRPr="00B06110">
        <w:rPr>
          <w:rFonts w:eastAsia="Times New Roman"/>
        </w:rPr>
        <w:t xml:space="preserve"> Jonas</w:t>
      </w:r>
      <w:r w:rsidR="00284B18">
        <w:rPr>
          <w:rFonts w:eastAsia="Times New Roman"/>
        </w:rPr>
        <w:t>,</w:t>
      </w:r>
      <w:r w:rsidRPr="00B06110">
        <w:rPr>
          <w:rFonts w:eastAsia="Times New Roman"/>
        </w:rPr>
        <w:t xml:space="preserve"> W</w:t>
      </w:r>
      <w:r w:rsidR="00284B18">
        <w:rPr>
          <w:rFonts w:eastAsia="Times New Roman"/>
        </w:rPr>
        <w:t>.;</w:t>
      </w:r>
      <w:r w:rsidRPr="00B06110">
        <w:rPr>
          <w:rFonts w:eastAsia="Times New Roman"/>
        </w:rPr>
        <w:t xml:space="preserve"> Woting</w:t>
      </w:r>
      <w:r w:rsidR="00284B18">
        <w:rPr>
          <w:rFonts w:eastAsia="Times New Roman"/>
        </w:rPr>
        <w:t>,</w:t>
      </w:r>
      <w:r w:rsidRPr="00B06110">
        <w:rPr>
          <w:rFonts w:eastAsia="Times New Roman"/>
        </w:rPr>
        <w:t xml:space="preserve"> A</w:t>
      </w:r>
      <w:r w:rsidR="00284B18">
        <w:rPr>
          <w:rFonts w:eastAsia="Times New Roman"/>
        </w:rPr>
        <w:t>.;</w:t>
      </w:r>
      <w:r w:rsidRPr="00B06110">
        <w:rPr>
          <w:rFonts w:eastAsia="Times New Roman"/>
        </w:rPr>
        <w:t xml:space="preserve"> Blaut</w:t>
      </w:r>
      <w:r w:rsidR="00284B18">
        <w:rPr>
          <w:rFonts w:eastAsia="Times New Roman"/>
        </w:rPr>
        <w:t>,</w:t>
      </w:r>
      <w:r w:rsidRPr="00B06110">
        <w:rPr>
          <w:rFonts w:eastAsia="Times New Roman"/>
        </w:rPr>
        <w:t xml:space="preserve"> M</w:t>
      </w:r>
      <w:r w:rsidR="00284B18">
        <w:rPr>
          <w:rFonts w:eastAsia="Times New Roman"/>
        </w:rPr>
        <w:t>.;</w:t>
      </w:r>
      <w:r w:rsidRPr="00B06110">
        <w:rPr>
          <w:rFonts w:eastAsia="Times New Roman"/>
        </w:rPr>
        <w:t xml:space="preserve"> Schürmann</w:t>
      </w:r>
      <w:r w:rsidR="00284B18">
        <w:rPr>
          <w:rFonts w:eastAsia="Times New Roman"/>
        </w:rPr>
        <w:t>,</w:t>
      </w:r>
      <w:r w:rsidRPr="00B06110">
        <w:rPr>
          <w:rFonts w:eastAsia="Times New Roman"/>
        </w:rPr>
        <w:t xml:space="preserve"> A</w:t>
      </w:r>
      <w:r w:rsidR="00284B18">
        <w:rPr>
          <w:rFonts w:eastAsia="Times New Roman"/>
        </w:rPr>
        <w:t>.;</w:t>
      </w:r>
      <w:r w:rsidR="00E41576">
        <w:rPr>
          <w:rFonts w:eastAsia="Times New Roman"/>
        </w:rPr>
        <w:t xml:space="preserve"> </w:t>
      </w:r>
      <w:r w:rsidR="00E41576" w:rsidRPr="00E41576">
        <w:rPr>
          <w:rFonts w:eastAsia="Times New Roman"/>
        </w:rPr>
        <w:t>Cedernaes</w:t>
      </w:r>
      <w:r w:rsidR="00E41576">
        <w:rPr>
          <w:rFonts w:eastAsia="Times New Roman"/>
        </w:rPr>
        <w:t>,</w:t>
      </w:r>
      <w:r w:rsidR="00E41576" w:rsidRPr="00E41576">
        <w:rPr>
          <w:rFonts w:eastAsia="Times New Roman"/>
        </w:rPr>
        <w:t xml:space="preserve"> J</w:t>
      </w:r>
      <w:r w:rsidRPr="00B06110">
        <w:rPr>
          <w:rFonts w:eastAsia="Times New Roman"/>
        </w:rPr>
        <w:t xml:space="preserve">. Gut microbiota and glucometabolic alterations in response to recurrent partial sleep deprivation in normal-weight young individuals. Molecular </w:t>
      </w:r>
      <w:r w:rsidRPr="00A55024">
        <w:rPr>
          <w:rFonts w:eastAsia="Times New Roman"/>
          <w:i/>
          <w:iCs/>
        </w:rPr>
        <w:t>Metabolism</w:t>
      </w:r>
      <w:r w:rsidRPr="00B06110">
        <w:rPr>
          <w:rFonts w:eastAsia="Times New Roman"/>
        </w:rPr>
        <w:t xml:space="preserve">. </w:t>
      </w:r>
      <w:r w:rsidRPr="00A55024">
        <w:rPr>
          <w:rFonts w:eastAsia="Times New Roman"/>
          <w:b/>
          <w:bCs/>
        </w:rPr>
        <w:t>2016</w:t>
      </w:r>
      <w:r w:rsidRPr="00B06110">
        <w:rPr>
          <w:rFonts w:eastAsia="Times New Roman"/>
          <w:color w:val="202020"/>
        </w:rPr>
        <w:t xml:space="preserve">; 5:1175-1186. </w:t>
      </w:r>
      <w:r w:rsidRPr="00B06110">
        <w:rPr>
          <w:color w:val="212121"/>
          <w:shd w:val="clear" w:color="auto" w:fill="FFFFFF"/>
        </w:rPr>
        <w:t>doi: 10.1016/j.molmet.2016.10.003.</w:t>
      </w:r>
    </w:p>
    <w:p w14:paraId="78B5EC0A" w14:textId="6AF15056" w:rsidR="003C345F" w:rsidRPr="00B06110" w:rsidRDefault="00250B8C" w:rsidP="00B06110">
      <w:pPr>
        <w:pStyle w:val="PargrafodaLista"/>
        <w:numPr>
          <w:ilvl w:val="0"/>
          <w:numId w:val="26"/>
        </w:numPr>
        <w:spacing w:after="160" w:line="240" w:lineRule="auto"/>
        <w:ind w:firstLineChars="0"/>
        <w:contextualSpacing/>
        <w:rPr>
          <w:rFonts w:eastAsia="Times New Roman"/>
          <w:color w:val="202020"/>
        </w:rPr>
      </w:pPr>
      <w:r w:rsidRPr="00250B8C">
        <w:rPr>
          <w:rFonts w:eastAsia="Times New Roman"/>
          <w:color w:val="202020"/>
        </w:rPr>
        <w:t>Anderson</w:t>
      </w:r>
      <w:r w:rsidR="003F6AEE">
        <w:rPr>
          <w:rFonts w:eastAsia="Times New Roman"/>
          <w:color w:val="202020"/>
        </w:rPr>
        <w:t>,</w:t>
      </w:r>
      <w:r w:rsidRPr="00250B8C">
        <w:rPr>
          <w:rFonts w:eastAsia="Times New Roman"/>
          <w:color w:val="202020"/>
        </w:rPr>
        <w:t xml:space="preserve"> J</w:t>
      </w:r>
      <w:r w:rsidR="003F6AEE">
        <w:rPr>
          <w:rFonts w:eastAsia="Times New Roman"/>
          <w:color w:val="202020"/>
        </w:rPr>
        <w:t>.</w:t>
      </w:r>
      <w:r w:rsidRPr="00250B8C">
        <w:rPr>
          <w:rFonts w:eastAsia="Times New Roman"/>
          <w:color w:val="202020"/>
        </w:rPr>
        <w:t>R</w:t>
      </w:r>
      <w:r w:rsidR="003F6AEE">
        <w:rPr>
          <w:rFonts w:eastAsia="Times New Roman"/>
          <w:color w:val="202020"/>
        </w:rPr>
        <w:t>.;</w:t>
      </w:r>
      <w:r w:rsidRPr="00250B8C">
        <w:rPr>
          <w:rFonts w:eastAsia="Times New Roman"/>
          <w:color w:val="202020"/>
        </w:rPr>
        <w:t xml:space="preserve"> Carroll</w:t>
      </w:r>
      <w:r w:rsidR="003F6AEE">
        <w:rPr>
          <w:rFonts w:eastAsia="Times New Roman"/>
          <w:color w:val="202020"/>
        </w:rPr>
        <w:t>,</w:t>
      </w:r>
      <w:r w:rsidRPr="00250B8C">
        <w:rPr>
          <w:rFonts w:eastAsia="Times New Roman"/>
          <w:color w:val="202020"/>
        </w:rPr>
        <w:t xml:space="preserve"> I</w:t>
      </w:r>
      <w:r w:rsidR="003F6AEE">
        <w:rPr>
          <w:rFonts w:eastAsia="Times New Roman"/>
          <w:color w:val="202020"/>
        </w:rPr>
        <w:t>.;</w:t>
      </w:r>
      <w:r w:rsidRPr="00250B8C">
        <w:rPr>
          <w:rFonts w:eastAsia="Times New Roman"/>
          <w:color w:val="202020"/>
        </w:rPr>
        <w:t xml:space="preserve"> Azcarate-Peril</w:t>
      </w:r>
      <w:r w:rsidR="003F6AEE">
        <w:rPr>
          <w:rFonts w:eastAsia="Times New Roman"/>
          <w:color w:val="202020"/>
        </w:rPr>
        <w:t>,</w:t>
      </w:r>
      <w:r w:rsidRPr="00250B8C">
        <w:rPr>
          <w:rFonts w:eastAsia="Times New Roman"/>
          <w:color w:val="202020"/>
        </w:rPr>
        <w:t xml:space="preserve"> M</w:t>
      </w:r>
      <w:r w:rsidR="003F6AEE">
        <w:rPr>
          <w:rFonts w:eastAsia="Times New Roman"/>
          <w:color w:val="202020"/>
        </w:rPr>
        <w:t>.</w:t>
      </w:r>
      <w:r w:rsidRPr="00250B8C">
        <w:rPr>
          <w:rFonts w:eastAsia="Times New Roman"/>
          <w:color w:val="202020"/>
        </w:rPr>
        <w:t>A</w:t>
      </w:r>
      <w:r w:rsidR="003F6AEE">
        <w:rPr>
          <w:rFonts w:eastAsia="Times New Roman"/>
          <w:color w:val="202020"/>
        </w:rPr>
        <w:t>.;</w:t>
      </w:r>
      <w:r w:rsidRPr="00250B8C">
        <w:rPr>
          <w:rFonts w:eastAsia="Times New Roman"/>
          <w:color w:val="202020"/>
        </w:rPr>
        <w:t xml:space="preserve"> Rochette</w:t>
      </w:r>
      <w:r w:rsidR="003F6AEE">
        <w:rPr>
          <w:rFonts w:eastAsia="Times New Roman"/>
          <w:color w:val="202020"/>
        </w:rPr>
        <w:t>,</w:t>
      </w:r>
      <w:r w:rsidRPr="00250B8C">
        <w:rPr>
          <w:rFonts w:eastAsia="Times New Roman"/>
          <w:color w:val="202020"/>
        </w:rPr>
        <w:t xml:space="preserve"> A</w:t>
      </w:r>
      <w:r w:rsidR="003F6AEE">
        <w:rPr>
          <w:rFonts w:eastAsia="Times New Roman"/>
          <w:color w:val="202020"/>
        </w:rPr>
        <w:t>.</w:t>
      </w:r>
      <w:r w:rsidRPr="00250B8C">
        <w:rPr>
          <w:rFonts w:eastAsia="Times New Roman"/>
          <w:color w:val="202020"/>
        </w:rPr>
        <w:t>D</w:t>
      </w:r>
      <w:r w:rsidR="003F6AEE">
        <w:rPr>
          <w:rFonts w:eastAsia="Times New Roman"/>
          <w:color w:val="202020"/>
        </w:rPr>
        <w:t>.;</w:t>
      </w:r>
      <w:r w:rsidRPr="00250B8C">
        <w:rPr>
          <w:rFonts w:eastAsia="Times New Roman"/>
          <w:color w:val="202020"/>
        </w:rPr>
        <w:t xml:space="preserve"> Heinberg</w:t>
      </w:r>
      <w:r w:rsidR="003F6AEE">
        <w:rPr>
          <w:rFonts w:eastAsia="Times New Roman"/>
          <w:color w:val="202020"/>
        </w:rPr>
        <w:t>,</w:t>
      </w:r>
      <w:r w:rsidRPr="00250B8C">
        <w:rPr>
          <w:rFonts w:eastAsia="Times New Roman"/>
          <w:color w:val="202020"/>
        </w:rPr>
        <w:t xml:space="preserve"> L</w:t>
      </w:r>
      <w:r w:rsidR="003F6AEE">
        <w:rPr>
          <w:rFonts w:eastAsia="Times New Roman"/>
          <w:color w:val="202020"/>
        </w:rPr>
        <w:t>.</w:t>
      </w:r>
      <w:r w:rsidRPr="00250B8C">
        <w:rPr>
          <w:rFonts w:eastAsia="Times New Roman"/>
          <w:color w:val="202020"/>
        </w:rPr>
        <w:t>J</w:t>
      </w:r>
      <w:r w:rsidR="003F6AEE">
        <w:rPr>
          <w:rFonts w:eastAsia="Times New Roman"/>
          <w:color w:val="202020"/>
        </w:rPr>
        <w:t>.;</w:t>
      </w:r>
      <w:r w:rsidRPr="00250B8C">
        <w:rPr>
          <w:rFonts w:eastAsia="Times New Roman"/>
          <w:color w:val="202020"/>
        </w:rPr>
        <w:t xml:space="preserve"> Peat</w:t>
      </w:r>
      <w:r w:rsidR="00830DDF">
        <w:rPr>
          <w:rFonts w:eastAsia="Times New Roman"/>
          <w:color w:val="202020"/>
        </w:rPr>
        <w:t>,</w:t>
      </w:r>
      <w:r w:rsidRPr="00250B8C">
        <w:rPr>
          <w:rFonts w:eastAsia="Times New Roman"/>
          <w:color w:val="202020"/>
        </w:rPr>
        <w:t xml:space="preserve"> C</w:t>
      </w:r>
      <w:r w:rsidR="00830DDF">
        <w:rPr>
          <w:rFonts w:eastAsia="Times New Roman"/>
          <w:color w:val="202020"/>
        </w:rPr>
        <w:t>.;</w:t>
      </w:r>
      <w:r w:rsidRPr="00250B8C">
        <w:rPr>
          <w:rFonts w:eastAsia="Times New Roman"/>
          <w:color w:val="202020"/>
        </w:rPr>
        <w:t xml:space="preserve"> Steffen</w:t>
      </w:r>
      <w:r w:rsidR="00830DDF">
        <w:rPr>
          <w:rFonts w:eastAsia="Times New Roman"/>
          <w:color w:val="202020"/>
        </w:rPr>
        <w:t>,</w:t>
      </w:r>
      <w:r w:rsidRPr="00250B8C">
        <w:rPr>
          <w:rFonts w:eastAsia="Times New Roman"/>
          <w:color w:val="202020"/>
        </w:rPr>
        <w:t xml:space="preserve"> K</w:t>
      </w:r>
      <w:r w:rsidR="00830DDF">
        <w:rPr>
          <w:rFonts w:eastAsia="Times New Roman"/>
          <w:color w:val="202020"/>
        </w:rPr>
        <w:t>.;</w:t>
      </w:r>
      <w:r w:rsidRPr="00250B8C">
        <w:rPr>
          <w:rFonts w:eastAsia="Times New Roman"/>
          <w:color w:val="202020"/>
        </w:rPr>
        <w:t xml:space="preserve"> Manderino</w:t>
      </w:r>
      <w:r w:rsidR="00830DDF">
        <w:rPr>
          <w:rFonts w:eastAsia="Times New Roman"/>
          <w:color w:val="202020"/>
        </w:rPr>
        <w:t>,</w:t>
      </w:r>
      <w:r w:rsidRPr="00250B8C">
        <w:rPr>
          <w:rFonts w:eastAsia="Times New Roman"/>
          <w:color w:val="202020"/>
        </w:rPr>
        <w:t xml:space="preserve"> L</w:t>
      </w:r>
      <w:r w:rsidR="00830DDF">
        <w:rPr>
          <w:rFonts w:eastAsia="Times New Roman"/>
          <w:color w:val="202020"/>
        </w:rPr>
        <w:t>.</w:t>
      </w:r>
      <w:r w:rsidRPr="00250B8C">
        <w:rPr>
          <w:rFonts w:eastAsia="Times New Roman"/>
          <w:color w:val="202020"/>
        </w:rPr>
        <w:t>M</w:t>
      </w:r>
      <w:r w:rsidR="00830DDF">
        <w:rPr>
          <w:rFonts w:eastAsia="Times New Roman"/>
          <w:color w:val="202020"/>
        </w:rPr>
        <w:t>.;</w:t>
      </w:r>
      <w:r w:rsidRPr="00250B8C">
        <w:rPr>
          <w:rFonts w:eastAsia="Times New Roman"/>
          <w:color w:val="202020"/>
        </w:rPr>
        <w:t xml:space="preserve"> Mitchell</w:t>
      </w:r>
      <w:r w:rsidR="00830DDF">
        <w:rPr>
          <w:rFonts w:eastAsia="Times New Roman"/>
          <w:color w:val="202020"/>
        </w:rPr>
        <w:t>,</w:t>
      </w:r>
      <w:r w:rsidRPr="00250B8C">
        <w:rPr>
          <w:rFonts w:eastAsia="Times New Roman"/>
          <w:color w:val="202020"/>
        </w:rPr>
        <w:t xml:space="preserve"> J</w:t>
      </w:r>
      <w:r w:rsidR="00830DDF">
        <w:rPr>
          <w:rFonts w:eastAsia="Times New Roman"/>
          <w:color w:val="202020"/>
        </w:rPr>
        <w:t>.;</w:t>
      </w:r>
      <w:r w:rsidRPr="00250B8C">
        <w:rPr>
          <w:rFonts w:eastAsia="Times New Roman"/>
          <w:color w:val="202020"/>
        </w:rPr>
        <w:t xml:space="preserve"> Gunstad</w:t>
      </w:r>
      <w:r w:rsidR="00830DDF">
        <w:rPr>
          <w:rFonts w:eastAsia="Times New Roman"/>
          <w:color w:val="202020"/>
        </w:rPr>
        <w:t>,</w:t>
      </w:r>
      <w:r w:rsidRPr="00250B8C">
        <w:rPr>
          <w:rFonts w:eastAsia="Times New Roman"/>
          <w:color w:val="202020"/>
        </w:rPr>
        <w:t xml:space="preserve"> J</w:t>
      </w:r>
      <w:r w:rsidR="003C345F" w:rsidRPr="00B06110">
        <w:rPr>
          <w:rFonts w:eastAsia="Times New Roman"/>
          <w:color w:val="202020"/>
        </w:rPr>
        <w:t xml:space="preserve">. A preliminary examination of gut microbiota, sleep, and cognitive flexibility in healthy older adults. </w:t>
      </w:r>
      <w:r w:rsidR="003C345F" w:rsidRPr="00830DDF">
        <w:rPr>
          <w:rFonts w:eastAsia="Times New Roman"/>
          <w:i/>
          <w:iCs/>
          <w:color w:val="202020"/>
        </w:rPr>
        <w:t>Sleep Med</w:t>
      </w:r>
      <w:r w:rsidR="003C345F" w:rsidRPr="00B06110">
        <w:rPr>
          <w:rFonts w:eastAsia="Times New Roman"/>
          <w:color w:val="202020"/>
        </w:rPr>
        <w:t xml:space="preserve">. </w:t>
      </w:r>
      <w:r w:rsidR="003C345F" w:rsidRPr="00830DDF">
        <w:rPr>
          <w:rFonts w:eastAsia="Times New Roman"/>
          <w:b/>
          <w:bCs/>
          <w:color w:val="202020"/>
        </w:rPr>
        <w:t>2017</w:t>
      </w:r>
      <w:r w:rsidR="003C345F" w:rsidRPr="00B06110">
        <w:rPr>
          <w:rFonts w:eastAsia="Times New Roman"/>
          <w:color w:val="202020"/>
        </w:rPr>
        <w:t>; 38:104-107. doi: 10.1016/j.sleep.2017.07.018.</w:t>
      </w:r>
    </w:p>
    <w:p w14:paraId="762D3191" w14:textId="21E4B42A" w:rsidR="003C345F" w:rsidRPr="00B06110" w:rsidRDefault="003C345F" w:rsidP="00B06110">
      <w:pPr>
        <w:pStyle w:val="PargrafodaLista"/>
        <w:numPr>
          <w:ilvl w:val="0"/>
          <w:numId w:val="26"/>
        </w:numPr>
        <w:spacing w:after="160" w:line="240" w:lineRule="auto"/>
        <w:ind w:firstLineChars="0"/>
        <w:contextualSpacing/>
        <w:rPr>
          <w:rFonts w:eastAsia="Times New Roman"/>
          <w:color w:val="202020"/>
        </w:rPr>
      </w:pPr>
      <w:r w:rsidRPr="00B06110">
        <w:rPr>
          <w:rFonts w:eastAsia="Times New Roman"/>
          <w:color w:val="202020"/>
        </w:rPr>
        <w:t>Sen</w:t>
      </w:r>
      <w:r w:rsidR="00830DDF">
        <w:rPr>
          <w:rFonts w:eastAsia="Times New Roman"/>
          <w:color w:val="202020"/>
        </w:rPr>
        <w:t>,</w:t>
      </w:r>
      <w:r w:rsidRPr="00B06110">
        <w:rPr>
          <w:rFonts w:eastAsia="Times New Roman"/>
          <w:color w:val="202020"/>
        </w:rPr>
        <w:t xml:space="preserve"> P</w:t>
      </w:r>
      <w:r w:rsidR="00830DDF">
        <w:rPr>
          <w:rFonts w:eastAsia="Times New Roman"/>
          <w:color w:val="202020"/>
        </w:rPr>
        <w:t>.;</w:t>
      </w:r>
      <w:r w:rsidRPr="00B06110">
        <w:rPr>
          <w:rFonts w:eastAsia="Times New Roman"/>
          <w:color w:val="202020"/>
        </w:rPr>
        <w:t xml:space="preserve"> Molinero-Perez</w:t>
      </w:r>
      <w:r w:rsidR="00830DDF">
        <w:rPr>
          <w:rFonts w:eastAsia="Times New Roman"/>
          <w:color w:val="202020"/>
        </w:rPr>
        <w:t>,</w:t>
      </w:r>
      <w:r w:rsidRPr="00B06110">
        <w:rPr>
          <w:rFonts w:eastAsia="Times New Roman"/>
          <w:color w:val="202020"/>
        </w:rPr>
        <w:t xml:space="preserve"> A</w:t>
      </w:r>
      <w:r w:rsidR="00830DDF">
        <w:rPr>
          <w:rFonts w:eastAsia="Times New Roman"/>
          <w:color w:val="202020"/>
        </w:rPr>
        <w:t>.;</w:t>
      </w:r>
      <w:r w:rsidRPr="00B06110">
        <w:rPr>
          <w:rFonts w:eastAsia="Times New Roman"/>
          <w:color w:val="202020"/>
        </w:rPr>
        <w:t xml:space="preserve"> O'Riordan</w:t>
      </w:r>
      <w:r w:rsidR="00830DDF">
        <w:rPr>
          <w:rFonts w:eastAsia="Times New Roman"/>
          <w:color w:val="202020"/>
        </w:rPr>
        <w:t>,</w:t>
      </w:r>
      <w:r w:rsidRPr="00B06110">
        <w:rPr>
          <w:rFonts w:eastAsia="Times New Roman"/>
          <w:color w:val="202020"/>
        </w:rPr>
        <w:t xml:space="preserve"> K</w:t>
      </w:r>
      <w:r w:rsidR="00830DDF">
        <w:rPr>
          <w:rFonts w:eastAsia="Times New Roman"/>
          <w:color w:val="202020"/>
        </w:rPr>
        <w:t>.</w:t>
      </w:r>
      <w:r w:rsidRPr="00B06110">
        <w:rPr>
          <w:rFonts w:eastAsia="Times New Roman"/>
          <w:color w:val="202020"/>
        </w:rPr>
        <w:t>J</w:t>
      </w:r>
      <w:r w:rsidR="00830DDF">
        <w:rPr>
          <w:rFonts w:eastAsia="Times New Roman"/>
          <w:color w:val="202020"/>
        </w:rPr>
        <w:t>.;</w:t>
      </w:r>
      <w:r w:rsidRPr="00B06110">
        <w:rPr>
          <w:rFonts w:eastAsia="Times New Roman"/>
          <w:color w:val="202020"/>
        </w:rPr>
        <w:t xml:space="preserve"> McCafferty</w:t>
      </w:r>
      <w:r w:rsidR="00830DDF">
        <w:rPr>
          <w:rFonts w:eastAsia="Times New Roman"/>
          <w:color w:val="202020"/>
        </w:rPr>
        <w:t>,</w:t>
      </w:r>
      <w:r w:rsidRPr="00B06110">
        <w:rPr>
          <w:rFonts w:eastAsia="Times New Roman"/>
          <w:color w:val="202020"/>
        </w:rPr>
        <w:t xml:space="preserve"> C</w:t>
      </w:r>
      <w:r w:rsidR="00830DDF">
        <w:rPr>
          <w:rFonts w:eastAsia="Times New Roman"/>
          <w:color w:val="202020"/>
        </w:rPr>
        <w:t>.</w:t>
      </w:r>
      <w:r w:rsidRPr="00B06110">
        <w:rPr>
          <w:rFonts w:eastAsia="Times New Roman"/>
          <w:color w:val="202020"/>
        </w:rPr>
        <w:t>P</w:t>
      </w:r>
      <w:r w:rsidR="00830DDF">
        <w:rPr>
          <w:rFonts w:eastAsia="Times New Roman"/>
          <w:color w:val="202020"/>
        </w:rPr>
        <w:t>.;</w:t>
      </w:r>
      <w:r w:rsidRPr="00B06110">
        <w:rPr>
          <w:rFonts w:eastAsia="Times New Roman"/>
          <w:color w:val="202020"/>
        </w:rPr>
        <w:t xml:space="preserve"> O'Halloran</w:t>
      </w:r>
      <w:r w:rsidR="00830DDF">
        <w:rPr>
          <w:rFonts w:eastAsia="Times New Roman"/>
          <w:color w:val="202020"/>
        </w:rPr>
        <w:t>,</w:t>
      </w:r>
      <w:r w:rsidRPr="00B06110">
        <w:rPr>
          <w:rFonts w:eastAsia="Times New Roman"/>
          <w:color w:val="202020"/>
        </w:rPr>
        <w:t xml:space="preserve"> K</w:t>
      </w:r>
      <w:r w:rsidR="00830DDF">
        <w:rPr>
          <w:rFonts w:eastAsia="Times New Roman"/>
          <w:color w:val="202020"/>
        </w:rPr>
        <w:t>.</w:t>
      </w:r>
      <w:r w:rsidRPr="00B06110">
        <w:rPr>
          <w:rFonts w:eastAsia="Times New Roman"/>
          <w:color w:val="202020"/>
        </w:rPr>
        <w:t>D</w:t>
      </w:r>
      <w:r w:rsidR="00830DDF">
        <w:rPr>
          <w:rFonts w:eastAsia="Times New Roman"/>
          <w:color w:val="202020"/>
        </w:rPr>
        <w:t>.;</w:t>
      </w:r>
      <w:r w:rsidRPr="00B06110">
        <w:rPr>
          <w:rFonts w:eastAsia="Times New Roman"/>
          <w:color w:val="202020"/>
        </w:rPr>
        <w:t xml:space="preserve"> Cryan</w:t>
      </w:r>
      <w:r w:rsidR="00830DDF">
        <w:rPr>
          <w:rFonts w:eastAsia="Times New Roman"/>
          <w:color w:val="202020"/>
        </w:rPr>
        <w:t>,</w:t>
      </w:r>
      <w:r w:rsidRPr="00B06110">
        <w:rPr>
          <w:rFonts w:eastAsia="Times New Roman"/>
          <w:color w:val="202020"/>
        </w:rPr>
        <w:t xml:space="preserve"> J</w:t>
      </w:r>
      <w:r w:rsidR="00830DDF">
        <w:rPr>
          <w:rFonts w:eastAsia="Times New Roman"/>
          <w:color w:val="202020"/>
        </w:rPr>
        <w:t>.</w:t>
      </w:r>
      <w:r w:rsidRPr="00B06110">
        <w:rPr>
          <w:rFonts w:eastAsia="Times New Roman"/>
          <w:color w:val="202020"/>
        </w:rPr>
        <w:t xml:space="preserve">F. Microbiota and sleep: awakening the gut feeling. </w:t>
      </w:r>
      <w:r w:rsidRPr="00830DDF">
        <w:rPr>
          <w:rFonts w:eastAsia="Times New Roman"/>
          <w:i/>
          <w:iCs/>
          <w:color w:val="202020"/>
        </w:rPr>
        <w:t>Trends Mol Med</w:t>
      </w:r>
      <w:r w:rsidRPr="00B06110">
        <w:rPr>
          <w:rFonts w:eastAsia="Times New Roman"/>
          <w:color w:val="202020"/>
        </w:rPr>
        <w:t xml:space="preserve">. </w:t>
      </w:r>
      <w:r w:rsidRPr="00830DDF">
        <w:rPr>
          <w:rFonts w:eastAsia="Times New Roman"/>
          <w:b/>
          <w:bCs/>
          <w:color w:val="202020"/>
        </w:rPr>
        <w:t>2021</w:t>
      </w:r>
      <w:r w:rsidRPr="00B06110">
        <w:rPr>
          <w:rFonts w:eastAsia="Times New Roman"/>
          <w:color w:val="202020"/>
        </w:rPr>
        <w:t>; 27:935-945. doi: 10.1016/j.molmed.2021.07.004.</w:t>
      </w:r>
    </w:p>
    <w:p w14:paraId="3ED38448" w14:textId="2BB0D938" w:rsidR="003C345F" w:rsidRPr="00B06110" w:rsidRDefault="00496A6C" w:rsidP="00B06110">
      <w:pPr>
        <w:pStyle w:val="PargrafodaLista"/>
        <w:numPr>
          <w:ilvl w:val="0"/>
          <w:numId w:val="26"/>
        </w:numPr>
        <w:spacing w:after="160" w:line="240" w:lineRule="auto"/>
        <w:ind w:firstLineChars="0"/>
        <w:contextualSpacing/>
        <w:rPr>
          <w:rFonts w:eastAsia="Times New Roman"/>
          <w:color w:val="202020"/>
        </w:rPr>
      </w:pPr>
      <w:r w:rsidRPr="00496A6C">
        <w:rPr>
          <w:rFonts w:eastAsia="Times New Roman"/>
          <w:color w:val="202020"/>
        </w:rPr>
        <w:t>Smith</w:t>
      </w:r>
      <w:r w:rsidR="00E20755">
        <w:rPr>
          <w:rFonts w:eastAsia="Times New Roman"/>
          <w:color w:val="202020"/>
        </w:rPr>
        <w:t>,</w:t>
      </w:r>
      <w:r w:rsidRPr="00496A6C">
        <w:rPr>
          <w:rFonts w:eastAsia="Times New Roman"/>
          <w:color w:val="202020"/>
        </w:rPr>
        <w:t xml:space="preserve"> R</w:t>
      </w:r>
      <w:r w:rsidR="00E20755">
        <w:rPr>
          <w:rFonts w:eastAsia="Times New Roman"/>
          <w:color w:val="202020"/>
        </w:rPr>
        <w:t>.</w:t>
      </w:r>
      <w:r w:rsidRPr="00496A6C">
        <w:rPr>
          <w:rFonts w:eastAsia="Times New Roman"/>
          <w:color w:val="202020"/>
        </w:rPr>
        <w:t>P</w:t>
      </w:r>
      <w:r w:rsidR="00E20755">
        <w:rPr>
          <w:rFonts w:eastAsia="Times New Roman"/>
          <w:color w:val="202020"/>
        </w:rPr>
        <w:t>.;</w:t>
      </w:r>
      <w:r w:rsidRPr="00496A6C">
        <w:rPr>
          <w:rFonts w:eastAsia="Times New Roman"/>
          <w:color w:val="202020"/>
        </w:rPr>
        <w:t xml:space="preserve"> Easson</w:t>
      </w:r>
      <w:r w:rsidR="00E20755">
        <w:rPr>
          <w:rFonts w:eastAsia="Times New Roman"/>
          <w:color w:val="202020"/>
        </w:rPr>
        <w:t>,</w:t>
      </w:r>
      <w:r w:rsidRPr="00496A6C">
        <w:rPr>
          <w:rFonts w:eastAsia="Times New Roman"/>
          <w:color w:val="202020"/>
        </w:rPr>
        <w:t xml:space="preserve"> C</w:t>
      </w:r>
      <w:r w:rsidR="00E20755">
        <w:rPr>
          <w:rFonts w:eastAsia="Times New Roman"/>
          <w:color w:val="202020"/>
        </w:rPr>
        <w:t>.;</w:t>
      </w:r>
      <w:r w:rsidRPr="00496A6C">
        <w:rPr>
          <w:rFonts w:eastAsia="Times New Roman"/>
          <w:color w:val="202020"/>
        </w:rPr>
        <w:t xml:space="preserve"> Lyle</w:t>
      </w:r>
      <w:r w:rsidR="00E20755">
        <w:rPr>
          <w:rFonts w:eastAsia="Times New Roman"/>
          <w:color w:val="202020"/>
        </w:rPr>
        <w:t>,</w:t>
      </w:r>
      <w:r w:rsidRPr="00496A6C">
        <w:rPr>
          <w:rFonts w:eastAsia="Times New Roman"/>
          <w:color w:val="202020"/>
        </w:rPr>
        <w:t xml:space="preserve"> S</w:t>
      </w:r>
      <w:r w:rsidR="00E20755">
        <w:rPr>
          <w:rFonts w:eastAsia="Times New Roman"/>
          <w:color w:val="202020"/>
        </w:rPr>
        <w:t>.</w:t>
      </w:r>
      <w:r w:rsidRPr="00496A6C">
        <w:rPr>
          <w:rFonts w:eastAsia="Times New Roman"/>
          <w:color w:val="202020"/>
        </w:rPr>
        <w:t>M</w:t>
      </w:r>
      <w:r w:rsidR="00E20755">
        <w:rPr>
          <w:rFonts w:eastAsia="Times New Roman"/>
          <w:color w:val="202020"/>
        </w:rPr>
        <w:t>.;</w:t>
      </w:r>
      <w:r w:rsidRPr="00496A6C">
        <w:rPr>
          <w:rFonts w:eastAsia="Times New Roman"/>
          <w:color w:val="202020"/>
        </w:rPr>
        <w:t xml:space="preserve"> Kapoor</w:t>
      </w:r>
      <w:r w:rsidR="00E20755">
        <w:rPr>
          <w:rFonts w:eastAsia="Times New Roman"/>
          <w:color w:val="202020"/>
        </w:rPr>
        <w:t>,</w:t>
      </w:r>
      <w:r w:rsidRPr="00496A6C">
        <w:rPr>
          <w:rFonts w:eastAsia="Times New Roman"/>
          <w:color w:val="202020"/>
        </w:rPr>
        <w:t xml:space="preserve"> R</w:t>
      </w:r>
      <w:r w:rsidR="00E20755">
        <w:rPr>
          <w:rFonts w:eastAsia="Times New Roman"/>
          <w:color w:val="202020"/>
        </w:rPr>
        <w:t>.;</w:t>
      </w:r>
      <w:r w:rsidRPr="00496A6C">
        <w:rPr>
          <w:rFonts w:eastAsia="Times New Roman"/>
          <w:color w:val="202020"/>
        </w:rPr>
        <w:t xml:space="preserve"> Donnelly</w:t>
      </w:r>
      <w:r w:rsidR="00E20755">
        <w:rPr>
          <w:rFonts w:eastAsia="Times New Roman"/>
          <w:color w:val="202020"/>
        </w:rPr>
        <w:t>,</w:t>
      </w:r>
      <w:r w:rsidRPr="00496A6C">
        <w:rPr>
          <w:rFonts w:eastAsia="Times New Roman"/>
          <w:color w:val="202020"/>
        </w:rPr>
        <w:t xml:space="preserve"> C</w:t>
      </w:r>
      <w:r w:rsidR="00E20755">
        <w:rPr>
          <w:rFonts w:eastAsia="Times New Roman"/>
          <w:color w:val="202020"/>
        </w:rPr>
        <w:t>.</w:t>
      </w:r>
      <w:r w:rsidRPr="00496A6C">
        <w:rPr>
          <w:rFonts w:eastAsia="Times New Roman"/>
          <w:color w:val="202020"/>
        </w:rPr>
        <w:t>P</w:t>
      </w:r>
      <w:r w:rsidR="00E20755">
        <w:rPr>
          <w:rFonts w:eastAsia="Times New Roman"/>
          <w:color w:val="202020"/>
        </w:rPr>
        <w:t>.;</w:t>
      </w:r>
      <w:r w:rsidRPr="00496A6C">
        <w:rPr>
          <w:rFonts w:eastAsia="Times New Roman"/>
          <w:color w:val="202020"/>
        </w:rPr>
        <w:t xml:space="preserve"> Davidson</w:t>
      </w:r>
      <w:r w:rsidR="00E20755">
        <w:rPr>
          <w:rFonts w:eastAsia="Times New Roman"/>
          <w:color w:val="202020"/>
        </w:rPr>
        <w:t>,</w:t>
      </w:r>
      <w:r w:rsidRPr="00496A6C">
        <w:rPr>
          <w:rFonts w:eastAsia="Times New Roman"/>
          <w:color w:val="202020"/>
        </w:rPr>
        <w:t xml:space="preserve"> E</w:t>
      </w:r>
      <w:r w:rsidR="00E20755">
        <w:rPr>
          <w:rFonts w:eastAsia="Times New Roman"/>
          <w:color w:val="202020"/>
        </w:rPr>
        <w:t>.</w:t>
      </w:r>
      <w:r w:rsidRPr="00496A6C">
        <w:rPr>
          <w:rFonts w:eastAsia="Times New Roman"/>
          <w:color w:val="202020"/>
        </w:rPr>
        <w:t>J</w:t>
      </w:r>
      <w:r w:rsidR="00E20755">
        <w:rPr>
          <w:rFonts w:eastAsia="Times New Roman"/>
          <w:color w:val="202020"/>
        </w:rPr>
        <w:t>.;</w:t>
      </w:r>
      <w:r w:rsidRPr="00496A6C">
        <w:rPr>
          <w:rFonts w:eastAsia="Times New Roman"/>
          <w:color w:val="202020"/>
        </w:rPr>
        <w:t xml:space="preserve"> Parikh</w:t>
      </w:r>
      <w:r w:rsidR="00E20755">
        <w:rPr>
          <w:rFonts w:eastAsia="Times New Roman"/>
          <w:color w:val="202020"/>
        </w:rPr>
        <w:t>,</w:t>
      </w:r>
      <w:r w:rsidRPr="00496A6C">
        <w:rPr>
          <w:rFonts w:eastAsia="Times New Roman"/>
          <w:color w:val="202020"/>
        </w:rPr>
        <w:t xml:space="preserve"> E</w:t>
      </w:r>
      <w:r w:rsidR="00E20755">
        <w:rPr>
          <w:rFonts w:eastAsia="Times New Roman"/>
          <w:color w:val="202020"/>
        </w:rPr>
        <w:t>.;</w:t>
      </w:r>
      <w:r w:rsidRPr="00496A6C">
        <w:rPr>
          <w:rFonts w:eastAsia="Times New Roman"/>
          <w:color w:val="202020"/>
        </w:rPr>
        <w:t xml:space="preserve"> Lopez</w:t>
      </w:r>
      <w:r w:rsidR="00E20755">
        <w:rPr>
          <w:rFonts w:eastAsia="Times New Roman"/>
          <w:color w:val="202020"/>
        </w:rPr>
        <w:t>,</w:t>
      </w:r>
      <w:r w:rsidRPr="00496A6C">
        <w:rPr>
          <w:rFonts w:eastAsia="Times New Roman"/>
          <w:color w:val="202020"/>
        </w:rPr>
        <w:t xml:space="preserve"> J</w:t>
      </w:r>
      <w:r w:rsidR="00E20755">
        <w:rPr>
          <w:rFonts w:eastAsia="Times New Roman"/>
          <w:color w:val="202020"/>
        </w:rPr>
        <w:t>.</w:t>
      </w:r>
      <w:r w:rsidRPr="00496A6C">
        <w:rPr>
          <w:rFonts w:eastAsia="Times New Roman"/>
          <w:color w:val="202020"/>
        </w:rPr>
        <w:t>V</w:t>
      </w:r>
      <w:r w:rsidR="00E20755">
        <w:rPr>
          <w:rFonts w:eastAsia="Times New Roman"/>
          <w:color w:val="202020"/>
        </w:rPr>
        <w:t>.;</w:t>
      </w:r>
      <w:r w:rsidRPr="00496A6C">
        <w:rPr>
          <w:rFonts w:eastAsia="Times New Roman"/>
          <w:color w:val="202020"/>
        </w:rPr>
        <w:t xml:space="preserve"> Tartar</w:t>
      </w:r>
      <w:r w:rsidR="00E20755">
        <w:rPr>
          <w:rFonts w:eastAsia="Times New Roman"/>
          <w:color w:val="202020"/>
        </w:rPr>
        <w:t>,</w:t>
      </w:r>
      <w:r w:rsidRPr="00496A6C">
        <w:rPr>
          <w:rFonts w:eastAsia="Times New Roman"/>
          <w:color w:val="202020"/>
        </w:rPr>
        <w:t xml:space="preserve"> J</w:t>
      </w:r>
      <w:r w:rsidR="00E20755">
        <w:rPr>
          <w:rFonts w:eastAsia="Times New Roman"/>
          <w:color w:val="202020"/>
        </w:rPr>
        <w:t>.</w:t>
      </w:r>
      <w:r w:rsidRPr="00496A6C">
        <w:rPr>
          <w:rFonts w:eastAsia="Times New Roman"/>
          <w:color w:val="202020"/>
        </w:rPr>
        <w:t>L</w:t>
      </w:r>
      <w:r w:rsidR="003C345F" w:rsidRPr="00B06110">
        <w:rPr>
          <w:rFonts w:eastAsia="Times New Roman"/>
          <w:color w:val="202020"/>
        </w:rPr>
        <w:t xml:space="preserve">. Gut microbiome diversity is associated with sleep physiology in humans. </w:t>
      </w:r>
      <w:r w:rsidR="003C345F" w:rsidRPr="00830DDF">
        <w:rPr>
          <w:rFonts w:eastAsia="Times New Roman"/>
          <w:i/>
          <w:iCs/>
          <w:color w:val="202020"/>
        </w:rPr>
        <w:t>PLoS ONE</w:t>
      </w:r>
      <w:r w:rsidR="003C345F" w:rsidRPr="00B06110">
        <w:rPr>
          <w:rFonts w:eastAsia="Times New Roman"/>
          <w:color w:val="202020"/>
        </w:rPr>
        <w:t xml:space="preserve">. </w:t>
      </w:r>
      <w:r w:rsidR="003C345F" w:rsidRPr="00765FC8">
        <w:rPr>
          <w:rFonts w:eastAsia="Times New Roman"/>
          <w:b/>
          <w:bCs/>
          <w:color w:val="202020"/>
        </w:rPr>
        <w:t>2019</w:t>
      </w:r>
      <w:r w:rsidR="003C345F" w:rsidRPr="00B06110">
        <w:rPr>
          <w:rFonts w:eastAsia="Times New Roman"/>
          <w:color w:val="202020"/>
        </w:rPr>
        <w:t xml:space="preserve">;14:e0222394. </w:t>
      </w:r>
      <w:r w:rsidR="003C345F" w:rsidRPr="00B06110">
        <w:rPr>
          <w:color w:val="212121"/>
          <w:shd w:val="clear" w:color="auto" w:fill="FFFFFF"/>
        </w:rPr>
        <w:t>doi: 10.1371/journal.pone.0222394.</w:t>
      </w:r>
    </w:p>
    <w:p w14:paraId="2F44F052" w14:textId="11E2E57A" w:rsidR="000F25FC" w:rsidRPr="000F25FC" w:rsidRDefault="00DE585F" w:rsidP="00B06110">
      <w:pPr>
        <w:pStyle w:val="PargrafodaLista"/>
        <w:numPr>
          <w:ilvl w:val="0"/>
          <w:numId w:val="26"/>
        </w:numPr>
        <w:spacing w:after="160" w:line="240" w:lineRule="auto"/>
        <w:ind w:firstLineChars="0"/>
        <w:contextualSpacing/>
        <w:rPr>
          <w:rFonts w:eastAsia="Times New Roman"/>
        </w:rPr>
      </w:pPr>
      <w:r w:rsidRPr="00DE585F">
        <w:rPr>
          <w:rFonts w:eastAsia="Times New Roman"/>
          <w:color w:val="202020"/>
        </w:rPr>
        <w:lastRenderedPageBreak/>
        <w:t>Aziz</w:t>
      </w:r>
      <w:r w:rsidR="00CE680E">
        <w:rPr>
          <w:rFonts w:eastAsia="Times New Roman"/>
          <w:color w:val="202020"/>
        </w:rPr>
        <w:t>,</w:t>
      </w:r>
      <w:r w:rsidRPr="00DE585F">
        <w:rPr>
          <w:rFonts w:eastAsia="Times New Roman"/>
          <w:color w:val="202020"/>
        </w:rPr>
        <w:t xml:space="preserve"> T</w:t>
      </w:r>
      <w:r w:rsidR="00CE680E">
        <w:rPr>
          <w:rFonts w:eastAsia="Times New Roman"/>
          <w:color w:val="202020"/>
        </w:rPr>
        <w:t>.;</w:t>
      </w:r>
      <w:r w:rsidRPr="00DE585F">
        <w:rPr>
          <w:rFonts w:eastAsia="Times New Roman"/>
          <w:color w:val="202020"/>
        </w:rPr>
        <w:t xml:space="preserve"> Hussain</w:t>
      </w:r>
      <w:r w:rsidR="00CE680E">
        <w:rPr>
          <w:rFonts w:eastAsia="Times New Roman"/>
          <w:color w:val="202020"/>
        </w:rPr>
        <w:t>,</w:t>
      </w:r>
      <w:r w:rsidRPr="00DE585F">
        <w:rPr>
          <w:rFonts w:eastAsia="Times New Roman"/>
          <w:color w:val="202020"/>
        </w:rPr>
        <w:t xml:space="preserve"> N</w:t>
      </w:r>
      <w:r w:rsidR="00CE680E">
        <w:rPr>
          <w:rFonts w:eastAsia="Times New Roman"/>
          <w:color w:val="202020"/>
        </w:rPr>
        <w:t>.;</w:t>
      </w:r>
      <w:r w:rsidRPr="00DE585F">
        <w:rPr>
          <w:rFonts w:eastAsia="Times New Roman"/>
          <w:color w:val="202020"/>
        </w:rPr>
        <w:t xml:space="preserve"> Hameed</w:t>
      </w:r>
      <w:r w:rsidR="00CE680E">
        <w:rPr>
          <w:rFonts w:eastAsia="Times New Roman"/>
          <w:color w:val="202020"/>
        </w:rPr>
        <w:t>,</w:t>
      </w:r>
      <w:r w:rsidRPr="00DE585F">
        <w:rPr>
          <w:rFonts w:eastAsia="Times New Roman"/>
          <w:color w:val="202020"/>
        </w:rPr>
        <w:t xml:space="preserve"> Z</w:t>
      </w:r>
      <w:r w:rsidR="00CE680E">
        <w:rPr>
          <w:rFonts w:eastAsia="Times New Roman"/>
          <w:color w:val="202020"/>
        </w:rPr>
        <w:t>.;</w:t>
      </w:r>
      <w:r w:rsidRPr="00DE585F">
        <w:rPr>
          <w:rFonts w:eastAsia="Times New Roman"/>
          <w:color w:val="202020"/>
        </w:rPr>
        <w:t xml:space="preserve"> Lin</w:t>
      </w:r>
      <w:r w:rsidR="00CE680E">
        <w:rPr>
          <w:rFonts w:eastAsia="Times New Roman"/>
          <w:color w:val="202020"/>
        </w:rPr>
        <w:t>,</w:t>
      </w:r>
      <w:r w:rsidRPr="00DE585F">
        <w:rPr>
          <w:rFonts w:eastAsia="Times New Roman"/>
          <w:color w:val="202020"/>
        </w:rPr>
        <w:t xml:space="preserve"> L. Elucidating the role of diet in maintaining gut health to reduce the risk of obesity, cardiovascular and other age-related inflammatory diseases: recent challenges and future recommendations. </w:t>
      </w:r>
      <w:r w:rsidRPr="00CE680E">
        <w:rPr>
          <w:rFonts w:eastAsia="Times New Roman"/>
          <w:i/>
          <w:iCs/>
          <w:color w:val="202020"/>
        </w:rPr>
        <w:t>Gut Microbes</w:t>
      </w:r>
      <w:r w:rsidRPr="00DE585F">
        <w:rPr>
          <w:rFonts w:eastAsia="Times New Roman"/>
          <w:color w:val="202020"/>
        </w:rPr>
        <w:t xml:space="preserve">. </w:t>
      </w:r>
      <w:r w:rsidRPr="00CE680E">
        <w:rPr>
          <w:rFonts w:eastAsia="Times New Roman"/>
          <w:b/>
          <w:bCs/>
          <w:color w:val="202020"/>
        </w:rPr>
        <w:t>2024</w:t>
      </w:r>
      <w:r w:rsidRPr="00DE585F">
        <w:rPr>
          <w:rFonts w:eastAsia="Times New Roman"/>
          <w:color w:val="202020"/>
        </w:rPr>
        <w:t>;</w:t>
      </w:r>
      <w:r w:rsidR="000F25FC">
        <w:rPr>
          <w:rFonts w:eastAsia="Times New Roman"/>
          <w:color w:val="202020"/>
        </w:rPr>
        <w:t xml:space="preserve"> </w:t>
      </w:r>
      <w:r w:rsidRPr="00DE585F">
        <w:rPr>
          <w:rFonts w:eastAsia="Times New Roman"/>
          <w:color w:val="202020"/>
        </w:rPr>
        <w:t>16:2297864. doi: 10.1080/19490976.2023.2297864.</w:t>
      </w:r>
    </w:p>
    <w:p w14:paraId="6DE95EA6" w14:textId="237BA189" w:rsidR="003C345F" w:rsidRPr="00B06110" w:rsidRDefault="00BF21AB" w:rsidP="00B06110">
      <w:pPr>
        <w:pStyle w:val="PargrafodaLista"/>
        <w:numPr>
          <w:ilvl w:val="0"/>
          <w:numId w:val="26"/>
        </w:numPr>
        <w:spacing w:after="160" w:line="240" w:lineRule="auto"/>
        <w:ind w:firstLineChars="0"/>
        <w:contextualSpacing/>
        <w:rPr>
          <w:rFonts w:eastAsia="Times New Roman"/>
        </w:rPr>
      </w:pPr>
      <w:r w:rsidRPr="00CE680E">
        <w:rPr>
          <w:rFonts w:eastAsia="Times New Roman"/>
        </w:rPr>
        <w:t>Morales</w:t>
      </w:r>
      <w:r w:rsidR="00CE680E" w:rsidRPr="00CE680E">
        <w:rPr>
          <w:rFonts w:eastAsia="Times New Roman"/>
        </w:rPr>
        <w:t>,</w:t>
      </w:r>
      <w:r w:rsidRPr="00CE680E">
        <w:rPr>
          <w:rFonts w:eastAsia="Times New Roman"/>
        </w:rPr>
        <w:t xml:space="preserve"> J</w:t>
      </w:r>
      <w:r w:rsidR="00CE680E" w:rsidRPr="00CE680E">
        <w:rPr>
          <w:rFonts w:eastAsia="Times New Roman"/>
        </w:rPr>
        <w:t>.</w:t>
      </w:r>
      <w:r w:rsidRPr="00CE680E">
        <w:rPr>
          <w:rFonts w:eastAsia="Times New Roman"/>
        </w:rPr>
        <w:t>S</w:t>
      </w:r>
      <w:r w:rsidR="00CE680E" w:rsidRPr="00CE680E">
        <w:rPr>
          <w:rFonts w:eastAsia="Times New Roman"/>
        </w:rPr>
        <w:t>.;</w:t>
      </w:r>
      <w:r w:rsidRPr="00CE680E">
        <w:rPr>
          <w:rFonts w:eastAsia="Times New Roman"/>
        </w:rPr>
        <w:t xml:space="preserve"> Valenzuela</w:t>
      </w:r>
      <w:r w:rsidR="00CE680E" w:rsidRPr="00CE680E">
        <w:rPr>
          <w:rFonts w:eastAsia="Times New Roman"/>
        </w:rPr>
        <w:t>,</w:t>
      </w:r>
      <w:r w:rsidRPr="00CE680E">
        <w:rPr>
          <w:rFonts w:eastAsia="Times New Roman"/>
        </w:rPr>
        <w:t xml:space="preserve"> P</w:t>
      </w:r>
      <w:r w:rsidR="00CE680E" w:rsidRPr="00CE680E">
        <w:rPr>
          <w:rFonts w:eastAsia="Times New Roman"/>
        </w:rPr>
        <w:t>.</w:t>
      </w:r>
      <w:r w:rsidRPr="00CE680E">
        <w:rPr>
          <w:rFonts w:eastAsia="Times New Roman"/>
        </w:rPr>
        <w:t>L</w:t>
      </w:r>
      <w:r w:rsidR="00CE680E" w:rsidRPr="00CE680E">
        <w:rPr>
          <w:rFonts w:eastAsia="Times New Roman"/>
        </w:rPr>
        <w:t>.;</w:t>
      </w:r>
      <w:r w:rsidRPr="00CE680E">
        <w:rPr>
          <w:rFonts w:eastAsia="Times New Roman"/>
        </w:rPr>
        <w:t xml:space="preserve"> Castillo-García</w:t>
      </w:r>
      <w:r w:rsidR="00CE680E" w:rsidRPr="00CE680E">
        <w:rPr>
          <w:rFonts w:eastAsia="Times New Roman"/>
        </w:rPr>
        <w:t>,</w:t>
      </w:r>
      <w:r w:rsidRPr="00CE680E">
        <w:rPr>
          <w:rFonts w:eastAsia="Times New Roman"/>
        </w:rPr>
        <w:t xml:space="preserve"> A</w:t>
      </w:r>
      <w:r w:rsidR="00CE680E" w:rsidRPr="00CE680E">
        <w:rPr>
          <w:rFonts w:eastAsia="Times New Roman"/>
        </w:rPr>
        <w:t>.;</w:t>
      </w:r>
      <w:r w:rsidRPr="00CE680E">
        <w:rPr>
          <w:rFonts w:eastAsia="Times New Roman"/>
        </w:rPr>
        <w:t xml:space="preserve"> Butragueño</w:t>
      </w:r>
      <w:r w:rsidR="00CE680E" w:rsidRPr="00CE680E">
        <w:rPr>
          <w:rFonts w:eastAsia="Times New Roman"/>
        </w:rPr>
        <w:t>,</w:t>
      </w:r>
      <w:r w:rsidRPr="00CE680E">
        <w:rPr>
          <w:rFonts w:eastAsia="Times New Roman"/>
        </w:rPr>
        <w:t xml:space="preserve"> </w:t>
      </w:r>
      <w:r w:rsidRPr="00BF21AB">
        <w:rPr>
          <w:rFonts w:eastAsia="Times New Roman"/>
        </w:rPr>
        <w:t>J</w:t>
      </w:r>
      <w:r w:rsidR="00CE680E">
        <w:rPr>
          <w:rFonts w:eastAsia="Times New Roman"/>
        </w:rPr>
        <w:t>.;</w:t>
      </w:r>
      <w:r w:rsidRPr="00BF21AB">
        <w:rPr>
          <w:rFonts w:eastAsia="Times New Roman"/>
        </w:rPr>
        <w:t xml:space="preserve"> Jiménez-Pavón</w:t>
      </w:r>
      <w:r w:rsidR="00CE680E">
        <w:rPr>
          <w:rFonts w:eastAsia="Times New Roman"/>
        </w:rPr>
        <w:t>,</w:t>
      </w:r>
      <w:r w:rsidRPr="00BF21AB">
        <w:rPr>
          <w:rFonts w:eastAsia="Times New Roman"/>
        </w:rPr>
        <w:t xml:space="preserve"> D</w:t>
      </w:r>
      <w:r w:rsidR="00BD5955">
        <w:rPr>
          <w:rFonts w:eastAsia="Times New Roman"/>
        </w:rPr>
        <w:t>.;</w:t>
      </w:r>
      <w:r w:rsidRPr="00BF21AB">
        <w:rPr>
          <w:rFonts w:eastAsia="Times New Roman"/>
        </w:rPr>
        <w:t xml:space="preserve"> Carrera-Bastos</w:t>
      </w:r>
      <w:r w:rsidR="00BD5955">
        <w:rPr>
          <w:rFonts w:eastAsia="Times New Roman"/>
        </w:rPr>
        <w:t>,</w:t>
      </w:r>
      <w:r w:rsidRPr="00BF21AB">
        <w:rPr>
          <w:rFonts w:eastAsia="Times New Roman"/>
        </w:rPr>
        <w:t xml:space="preserve"> P</w:t>
      </w:r>
      <w:r w:rsidR="00BD5955">
        <w:rPr>
          <w:rFonts w:eastAsia="Times New Roman"/>
        </w:rPr>
        <w:t>.;</w:t>
      </w:r>
      <w:r w:rsidRPr="00BF21AB">
        <w:rPr>
          <w:rFonts w:eastAsia="Times New Roman"/>
        </w:rPr>
        <w:t xml:space="preserve"> Lucia</w:t>
      </w:r>
      <w:r w:rsidR="00BD5955">
        <w:rPr>
          <w:rFonts w:eastAsia="Times New Roman"/>
        </w:rPr>
        <w:t>,</w:t>
      </w:r>
      <w:r w:rsidRPr="00BF21AB">
        <w:rPr>
          <w:rFonts w:eastAsia="Times New Roman"/>
        </w:rPr>
        <w:t xml:space="preserve"> A.</w:t>
      </w:r>
      <w:r w:rsidR="003C345F" w:rsidRPr="00BF21AB">
        <w:rPr>
          <w:rFonts w:eastAsia="Times New Roman"/>
        </w:rPr>
        <w:t xml:space="preserve"> </w:t>
      </w:r>
      <w:r w:rsidR="003C345F" w:rsidRPr="00B06110">
        <w:rPr>
          <w:rFonts w:eastAsia="Times New Roman"/>
        </w:rPr>
        <w:t xml:space="preserve">The Exposome and Immune Health in Times of the COVID-19 Pandemic. </w:t>
      </w:r>
      <w:r w:rsidR="003C345F" w:rsidRPr="00BD5955">
        <w:rPr>
          <w:rFonts w:eastAsia="Times New Roman"/>
          <w:i/>
          <w:iCs/>
        </w:rPr>
        <w:t>Nutrients</w:t>
      </w:r>
      <w:r w:rsidR="003C345F" w:rsidRPr="00B06110">
        <w:rPr>
          <w:rFonts w:eastAsia="Times New Roman"/>
        </w:rPr>
        <w:t xml:space="preserve">. </w:t>
      </w:r>
      <w:r w:rsidR="003C345F" w:rsidRPr="00BD5955">
        <w:rPr>
          <w:rFonts w:eastAsia="Times New Roman"/>
          <w:b/>
          <w:bCs/>
        </w:rPr>
        <w:t>2022</w:t>
      </w:r>
      <w:r w:rsidR="003C345F" w:rsidRPr="00B06110">
        <w:rPr>
          <w:rFonts w:eastAsia="Times New Roman"/>
        </w:rPr>
        <w:t xml:space="preserve">; 14: 24. doi: </w:t>
      </w:r>
      <w:r w:rsidR="003C345F" w:rsidRPr="001C5613">
        <w:t>10.3390/nu14010024</w:t>
      </w:r>
      <w:r w:rsidR="003C345F" w:rsidRPr="00B06110">
        <w:rPr>
          <w:rFonts w:eastAsia="Times New Roman"/>
        </w:rPr>
        <w:t xml:space="preserve"> </w:t>
      </w:r>
    </w:p>
    <w:p w14:paraId="2CE10B27" w14:textId="3E7D4A5B" w:rsidR="003C345F" w:rsidRPr="00B06110" w:rsidRDefault="00D239C1" w:rsidP="00B06110">
      <w:pPr>
        <w:pStyle w:val="PargrafodaLista"/>
        <w:numPr>
          <w:ilvl w:val="0"/>
          <w:numId w:val="26"/>
        </w:numPr>
        <w:spacing w:after="160" w:line="240" w:lineRule="auto"/>
        <w:ind w:firstLineChars="0"/>
        <w:contextualSpacing/>
        <w:rPr>
          <w:rFonts w:eastAsia="Times New Roman"/>
        </w:rPr>
      </w:pPr>
      <w:r w:rsidRPr="00D239C1">
        <w:rPr>
          <w:rFonts w:eastAsia="Times New Roman"/>
        </w:rPr>
        <w:t>Rinninella</w:t>
      </w:r>
      <w:r w:rsidR="00BD5955">
        <w:rPr>
          <w:rFonts w:eastAsia="Times New Roman"/>
        </w:rPr>
        <w:t>,</w:t>
      </w:r>
      <w:r w:rsidRPr="00D239C1">
        <w:rPr>
          <w:rFonts w:eastAsia="Times New Roman"/>
        </w:rPr>
        <w:t xml:space="preserve"> E</w:t>
      </w:r>
      <w:r w:rsidR="00687DB2">
        <w:rPr>
          <w:rFonts w:eastAsia="Times New Roman"/>
        </w:rPr>
        <w:t>.;</w:t>
      </w:r>
      <w:r w:rsidRPr="00D239C1">
        <w:rPr>
          <w:rFonts w:eastAsia="Times New Roman"/>
        </w:rPr>
        <w:t xml:space="preserve"> Tohumcu</w:t>
      </w:r>
      <w:r w:rsidR="00635BA6">
        <w:rPr>
          <w:rFonts w:eastAsia="Times New Roman"/>
        </w:rPr>
        <w:t>,</w:t>
      </w:r>
      <w:r w:rsidRPr="00D239C1">
        <w:rPr>
          <w:rFonts w:eastAsia="Times New Roman"/>
        </w:rPr>
        <w:t xml:space="preserve"> E</w:t>
      </w:r>
      <w:r w:rsidR="00635BA6">
        <w:rPr>
          <w:rFonts w:eastAsia="Times New Roman"/>
        </w:rPr>
        <w:t>.;</w:t>
      </w:r>
      <w:r w:rsidRPr="00D239C1">
        <w:rPr>
          <w:rFonts w:eastAsia="Times New Roman"/>
        </w:rPr>
        <w:t xml:space="preserve"> Raoul</w:t>
      </w:r>
      <w:r w:rsidR="00635BA6">
        <w:rPr>
          <w:rFonts w:eastAsia="Times New Roman"/>
        </w:rPr>
        <w:t>,</w:t>
      </w:r>
      <w:r w:rsidRPr="00D239C1">
        <w:rPr>
          <w:rFonts w:eastAsia="Times New Roman"/>
        </w:rPr>
        <w:t xml:space="preserve"> P</w:t>
      </w:r>
      <w:r w:rsidR="00635BA6">
        <w:rPr>
          <w:rFonts w:eastAsia="Times New Roman"/>
        </w:rPr>
        <w:t>.;</w:t>
      </w:r>
      <w:r w:rsidRPr="00D239C1">
        <w:rPr>
          <w:rFonts w:eastAsia="Times New Roman"/>
        </w:rPr>
        <w:t xml:space="preserve"> Fiorani</w:t>
      </w:r>
      <w:r w:rsidR="00635BA6">
        <w:rPr>
          <w:rFonts w:eastAsia="Times New Roman"/>
        </w:rPr>
        <w:t>,</w:t>
      </w:r>
      <w:r w:rsidRPr="00D239C1">
        <w:rPr>
          <w:rFonts w:eastAsia="Times New Roman"/>
        </w:rPr>
        <w:t xml:space="preserve"> M</w:t>
      </w:r>
      <w:r w:rsidR="00635BA6">
        <w:rPr>
          <w:rFonts w:eastAsia="Times New Roman"/>
        </w:rPr>
        <w:t>.;</w:t>
      </w:r>
      <w:r w:rsidRPr="00D239C1">
        <w:rPr>
          <w:rFonts w:eastAsia="Times New Roman"/>
        </w:rPr>
        <w:t xml:space="preserve"> Cintoni</w:t>
      </w:r>
      <w:r w:rsidR="00635BA6">
        <w:rPr>
          <w:rFonts w:eastAsia="Times New Roman"/>
        </w:rPr>
        <w:t>,</w:t>
      </w:r>
      <w:r w:rsidRPr="00D239C1">
        <w:rPr>
          <w:rFonts w:eastAsia="Times New Roman"/>
        </w:rPr>
        <w:t xml:space="preserve"> M</w:t>
      </w:r>
      <w:r w:rsidR="00635BA6">
        <w:rPr>
          <w:rFonts w:eastAsia="Times New Roman"/>
        </w:rPr>
        <w:t>.;</w:t>
      </w:r>
      <w:r w:rsidRPr="00D239C1">
        <w:rPr>
          <w:rFonts w:eastAsia="Times New Roman"/>
        </w:rPr>
        <w:t xml:space="preserve"> Mele</w:t>
      </w:r>
      <w:r w:rsidR="00635BA6">
        <w:rPr>
          <w:rFonts w:eastAsia="Times New Roman"/>
        </w:rPr>
        <w:t>,</w:t>
      </w:r>
      <w:r w:rsidRPr="00D239C1">
        <w:rPr>
          <w:rFonts w:eastAsia="Times New Roman"/>
        </w:rPr>
        <w:t xml:space="preserve"> M</w:t>
      </w:r>
      <w:r w:rsidR="00635BA6">
        <w:rPr>
          <w:rFonts w:eastAsia="Times New Roman"/>
        </w:rPr>
        <w:t>.</w:t>
      </w:r>
      <w:r w:rsidRPr="00D239C1">
        <w:rPr>
          <w:rFonts w:eastAsia="Times New Roman"/>
        </w:rPr>
        <w:t>C</w:t>
      </w:r>
      <w:r w:rsidR="00635BA6">
        <w:rPr>
          <w:rFonts w:eastAsia="Times New Roman"/>
        </w:rPr>
        <w:t>.;</w:t>
      </w:r>
      <w:r w:rsidRPr="00D239C1">
        <w:rPr>
          <w:rFonts w:eastAsia="Times New Roman"/>
        </w:rPr>
        <w:t xml:space="preserve"> Cammarota</w:t>
      </w:r>
      <w:r w:rsidR="00635BA6">
        <w:rPr>
          <w:rFonts w:eastAsia="Times New Roman"/>
        </w:rPr>
        <w:t>,</w:t>
      </w:r>
      <w:r w:rsidRPr="00D239C1">
        <w:rPr>
          <w:rFonts w:eastAsia="Times New Roman"/>
        </w:rPr>
        <w:t xml:space="preserve"> G</w:t>
      </w:r>
      <w:r w:rsidR="00B60DC2">
        <w:rPr>
          <w:rFonts w:eastAsia="Times New Roman"/>
        </w:rPr>
        <w:t>.;</w:t>
      </w:r>
      <w:r w:rsidRPr="00D239C1">
        <w:rPr>
          <w:rFonts w:eastAsia="Times New Roman"/>
        </w:rPr>
        <w:t xml:space="preserve"> Gasbarrini</w:t>
      </w:r>
      <w:r w:rsidR="00B60DC2">
        <w:rPr>
          <w:rFonts w:eastAsia="Times New Roman"/>
        </w:rPr>
        <w:t>,</w:t>
      </w:r>
      <w:r w:rsidRPr="00D239C1">
        <w:rPr>
          <w:rFonts w:eastAsia="Times New Roman"/>
        </w:rPr>
        <w:t xml:space="preserve"> A</w:t>
      </w:r>
      <w:r w:rsidR="00B60DC2">
        <w:rPr>
          <w:rFonts w:eastAsia="Times New Roman"/>
        </w:rPr>
        <w:t>.;</w:t>
      </w:r>
      <w:r w:rsidRPr="00D239C1">
        <w:rPr>
          <w:rFonts w:eastAsia="Times New Roman"/>
        </w:rPr>
        <w:t xml:space="preserve"> Ianiro</w:t>
      </w:r>
      <w:r w:rsidR="00B60DC2">
        <w:rPr>
          <w:rFonts w:eastAsia="Times New Roman"/>
        </w:rPr>
        <w:t>,</w:t>
      </w:r>
      <w:r w:rsidRPr="00D239C1">
        <w:rPr>
          <w:rFonts w:eastAsia="Times New Roman"/>
        </w:rPr>
        <w:t xml:space="preserve"> G.</w:t>
      </w:r>
      <w:r>
        <w:rPr>
          <w:rFonts w:eastAsia="Times New Roman"/>
        </w:rPr>
        <w:t xml:space="preserve"> </w:t>
      </w:r>
      <w:r w:rsidR="003C345F" w:rsidRPr="00B06110">
        <w:rPr>
          <w:rFonts w:eastAsia="Times New Roman"/>
        </w:rPr>
        <w:t xml:space="preserve">The role of diet in shaping human gut microbiota. </w:t>
      </w:r>
      <w:r w:rsidR="003C345F" w:rsidRPr="00403118">
        <w:rPr>
          <w:rFonts w:eastAsia="Times New Roman"/>
          <w:i/>
          <w:iCs/>
        </w:rPr>
        <w:t>Best Pract Res Clin Gastroenterol</w:t>
      </w:r>
      <w:r w:rsidR="003C345F" w:rsidRPr="00B06110">
        <w:rPr>
          <w:rFonts w:eastAsia="Times New Roman"/>
        </w:rPr>
        <w:t xml:space="preserve">. </w:t>
      </w:r>
      <w:r w:rsidR="003C345F" w:rsidRPr="00403118">
        <w:rPr>
          <w:rFonts w:eastAsia="Times New Roman"/>
          <w:b/>
          <w:bCs/>
        </w:rPr>
        <w:t>2023</w:t>
      </w:r>
      <w:r w:rsidR="003C345F" w:rsidRPr="00B06110">
        <w:rPr>
          <w:rFonts w:eastAsia="Times New Roman"/>
        </w:rPr>
        <w:t>; 63:101828. doi: 10.1016/j.bpg.2023.101828.</w:t>
      </w:r>
    </w:p>
    <w:p w14:paraId="5075B2F4" w14:textId="4F939D3C" w:rsidR="003C345F" w:rsidRPr="00B06110" w:rsidRDefault="00B505CC" w:rsidP="00B06110">
      <w:pPr>
        <w:pStyle w:val="PargrafodaLista"/>
        <w:numPr>
          <w:ilvl w:val="0"/>
          <w:numId w:val="26"/>
        </w:numPr>
        <w:spacing w:after="160" w:line="240" w:lineRule="auto"/>
        <w:ind w:firstLineChars="0"/>
        <w:contextualSpacing/>
        <w:rPr>
          <w:rFonts w:eastAsia="Times New Roman"/>
        </w:rPr>
      </w:pPr>
      <w:r w:rsidRPr="00B505CC">
        <w:rPr>
          <w:rFonts w:eastAsia="Times New Roman"/>
        </w:rPr>
        <w:t>Li</w:t>
      </w:r>
      <w:r w:rsidR="00403118">
        <w:rPr>
          <w:rFonts w:eastAsia="Times New Roman"/>
        </w:rPr>
        <w:t>,</w:t>
      </w:r>
      <w:r w:rsidRPr="00B505CC">
        <w:rPr>
          <w:rFonts w:eastAsia="Times New Roman"/>
        </w:rPr>
        <w:t xml:space="preserve"> J</w:t>
      </w:r>
      <w:r w:rsidR="00403118">
        <w:rPr>
          <w:rFonts w:eastAsia="Times New Roman"/>
        </w:rPr>
        <w:t>.;</w:t>
      </w:r>
      <w:r w:rsidRPr="00B505CC">
        <w:rPr>
          <w:rFonts w:eastAsia="Times New Roman"/>
        </w:rPr>
        <w:t xml:space="preserve"> Riaz Rajoka</w:t>
      </w:r>
      <w:r w:rsidR="00403118">
        <w:rPr>
          <w:rFonts w:eastAsia="Times New Roman"/>
        </w:rPr>
        <w:t>,</w:t>
      </w:r>
      <w:r w:rsidRPr="00B505CC">
        <w:rPr>
          <w:rFonts w:eastAsia="Times New Roman"/>
        </w:rPr>
        <w:t xml:space="preserve"> M</w:t>
      </w:r>
      <w:r w:rsidR="00403118">
        <w:rPr>
          <w:rFonts w:eastAsia="Times New Roman"/>
        </w:rPr>
        <w:t>.</w:t>
      </w:r>
      <w:r w:rsidRPr="00B505CC">
        <w:rPr>
          <w:rFonts w:eastAsia="Times New Roman"/>
        </w:rPr>
        <w:t>S</w:t>
      </w:r>
      <w:r w:rsidR="00403118">
        <w:rPr>
          <w:rFonts w:eastAsia="Times New Roman"/>
        </w:rPr>
        <w:t>.;</w:t>
      </w:r>
      <w:r w:rsidRPr="00B505CC">
        <w:rPr>
          <w:rFonts w:eastAsia="Times New Roman"/>
        </w:rPr>
        <w:t xml:space="preserve"> Shao</w:t>
      </w:r>
      <w:r w:rsidR="00403118">
        <w:rPr>
          <w:rFonts w:eastAsia="Times New Roman"/>
        </w:rPr>
        <w:t>,</w:t>
      </w:r>
      <w:r w:rsidRPr="00B505CC">
        <w:rPr>
          <w:rFonts w:eastAsia="Times New Roman"/>
        </w:rPr>
        <w:t xml:space="preserve"> D</w:t>
      </w:r>
      <w:r w:rsidR="00403118">
        <w:rPr>
          <w:rFonts w:eastAsia="Times New Roman"/>
        </w:rPr>
        <w:t>.;</w:t>
      </w:r>
      <w:r w:rsidRPr="00B505CC">
        <w:rPr>
          <w:rFonts w:eastAsia="Times New Roman"/>
        </w:rPr>
        <w:t xml:space="preserve"> Jiang</w:t>
      </w:r>
      <w:r w:rsidR="00403118">
        <w:rPr>
          <w:rFonts w:eastAsia="Times New Roman"/>
        </w:rPr>
        <w:t>,</w:t>
      </w:r>
      <w:r w:rsidRPr="00B505CC">
        <w:rPr>
          <w:rFonts w:eastAsia="Times New Roman"/>
        </w:rPr>
        <w:t xml:space="preserve"> C</w:t>
      </w:r>
      <w:r w:rsidR="00403118">
        <w:rPr>
          <w:rFonts w:eastAsia="Times New Roman"/>
        </w:rPr>
        <w:t>.;</w:t>
      </w:r>
      <w:r w:rsidRPr="00B505CC">
        <w:rPr>
          <w:rFonts w:eastAsia="Times New Roman"/>
        </w:rPr>
        <w:t xml:space="preserve"> Jin</w:t>
      </w:r>
      <w:r w:rsidR="00403118">
        <w:rPr>
          <w:rFonts w:eastAsia="Times New Roman"/>
        </w:rPr>
        <w:t>,</w:t>
      </w:r>
      <w:r w:rsidRPr="00B505CC">
        <w:rPr>
          <w:rFonts w:eastAsia="Times New Roman"/>
        </w:rPr>
        <w:t xml:space="preserve"> M</w:t>
      </w:r>
      <w:r w:rsidR="00403118">
        <w:rPr>
          <w:rFonts w:eastAsia="Times New Roman"/>
        </w:rPr>
        <w:t>.;</w:t>
      </w:r>
      <w:r w:rsidRPr="00B505CC">
        <w:rPr>
          <w:rFonts w:eastAsia="Times New Roman"/>
        </w:rPr>
        <w:t xml:space="preserve"> Huang</w:t>
      </w:r>
      <w:r w:rsidR="00403118">
        <w:rPr>
          <w:rFonts w:eastAsia="Times New Roman"/>
        </w:rPr>
        <w:t>,</w:t>
      </w:r>
      <w:r w:rsidRPr="00B505CC">
        <w:rPr>
          <w:rFonts w:eastAsia="Times New Roman"/>
        </w:rPr>
        <w:t xml:space="preserve"> Q</w:t>
      </w:r>
      <w:r w:rsidR="00403118">
        <w:rPr>
          <w:rFonts w:eastAsia="Times New Roman"/>
        </w:rPr>
        <w:t>.;</w:t>
      </w:r>
      <w:r w:rsidRPr="00B505CC">
        <w:rPr>
          <w:rFonts w:eastAsia="Times New Roman"/>
        </w:rPr>
        <w:t xml:space="preserve"> Yang</w:t>
      </w:r>
      <w:r w:rsidR="00403118">
        <w:rPr>
          <w:rFonts w:eastAsia="Times New Roman"/>
        </w:rPr>
        <w:t>,</w:t>
      </w:r>
      <w:r w:rsidRPr="00B505CC">
        <w:rPr>
          <w:rFonts w:eastAsia="Times New Roman"/>
        </w:rPr>
        <w:t xml:space="preserve"> H</w:t>
      </w:r>
      <w:r w:rsidR="00403118">
        <w:rPr>
          <w:rFonts w:eastAsia="Times New Roman"/>
        </w:rPr>
        <w:t>.;</w:t>
      </w:r>
      <w:r w:rsidRPr="00B505CC">
        <w:rPr>
          <w:rFonts w:eastAsia="Times New Roman"/>
        </w:rPr>
        <w:t xml:space="preserve"> Shi</w:t>
      </w:r>
      <w:r w:rsidR="00403118">
        <w:rPr>
          <w:rFonts w:eastAsia="Times New Roman"/>
        </w:rPr>
        <w:t>,</w:t>
      </w:r>
      <w:r w:rsidRPr="00B505CC">
        <w:rPr>
          <w:rFonts w:eastAsia="Times New Roman"/>
        </w:rPr>
        <w:t xml:space="preserve"> J</w:t>
      </w:r>
      <w:r w:rsidR="003C345F" w:rsidRPr="00B06110">
        <w:rPr>
          <w:rFonts w:eastAsia="Times New Roman"/>
        </w:rPr>
        <w:t xml:space="preserve">. Strategies to increase the efficacy of using gut microbiota for the modulation of obesity. </w:t>
      </w:r>
      <w:r w:rsidR="003C345F" w:rsidRPr="00403118">
        <w:rPr>
          <w:rFonts w:eastAsia="Times New Roman"/>
          <w:i/>
          <w:iCs/>
        </w:rPr>
        <w:t>Obes Rev</w:t>
      </w:r>
      <w:r w:rsidR="003C345F" w:rsidRPr="00B06110">
        <w:rPr>
          <w:rFonts w:eastAsia="Times New Roman"/>
        </w:rPr>
        <w:t xml:space="preserve">. </w:t>
      </w:r>
      <w:r w:rsidR="003C345F" w:rsidRPr="00403118">
        <w:rPr>
          <w:rFonts w:eastAsia="Times New Roman"/>
          <w:b/>
          <w:bCs/>
        </w:rPr>
        <w:t>2017</w:t>
      </w:r>
      <w:r w:rsidR="003C345F" w:rsidRPr="00B06110">
        <w:rPr>
          <w:rFonts w:eastAsia="Times New Roman"/>
        </w:rPr>
        <w:t>;18:1260-1271. doi: 10.1111/obr.12590.</w:t>
      </w:r>
    </w:p>
    <w:p w14:paraId="4E5F2809" w14:textId="57BEAEF1"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Gumma</w:t>
      </w:r>
      <w:r w:rsidR="00403118">
        <w:rPr>
          <w:rFonts w:eastAsia="Times New Roman"/>
        </w:rPr>
        <w:t>,</w:t>
      </w:r>
      <w:r w:rsidRPr="00B06110">
        <w:rPr>
          <w:rFonts w:eastAsia="Times New Roman"/>
        </w:rPr>
        <w:t xml:space="preserve"> E</w:t>
      </w:r>
      <w:r w:rsidR="00403118">
        <w:rPr>
          <w:rFonts w:eastAsia="Times New Roman"/>
        </w:rPr>
        <w:t>.</w:t>
      </w:r>
      <w:r w:rsidRPr="00B06110">
        <w:rPr>
          <w:rFonts w:eastAsia="Times New Roman"/>
        </w:rPr>
        <w:t xml:space="preserve">Z. Human gut microbiota/microbiome in health and diseases: a review. </w:t>
      </w:r>
      <w:r w:rsidRPr="00BB0C75">
        <w:rPr>
          <w:rFonts w:eastAsia="Times New Roman"/>
          <w:i/>
          <w:iCs/>
        </w:rPr>
        <w:t>Antonie van Leeuwenhoek</w:t>
      </w:r>
      <w:r w:rsidRPr="00B06110">
        <w:rPr>
          <w:rFonts w:eastAsia="Times New Roman"/>
        </w:rPr>
        <w:t xml:space="preserve">. </w:t>
      </w:r>
      <w:r w:rsidRPr="00BB0C75">
        <w:rPr>
          <w:rFonts w:eastAsia="Times New Roman"/>
          <w:b/>
          <w:bCs/>
        </w:rPr>
        <w:t>2020</w:t>
      </w:r>
      <w:r w:rsidRPr="00B06110">
        <w:rPr>
          <w:rFonts w:eastAsia="Times New Roman"/>
        </w:rPr>
        <w:t xml:space="preserve">; 113:2019–2040. </w:t>
      </w:r>
      <w:r w:rsidRPr="00B06110">
        <w:rPr>
          <w:color w:val="212121"/>
          <w:shd w:val="clear" w:color="auto" w:fill="FFFFFF"/>
        </w:rPr>
        <w:t>doi: 10.1007/s10482-020-01474-7. </w:t>
      </w:r>
    </w:p>
    <w:p w14:paraId="338FC29A" w14:textId="743804A6"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Adak</w:t>
      </w:r>
      <w:r w:rsidR="00BB0C75">
        <w:rPr>
          <w:rFonts w:eastAsia="Times New Roman"/>
        </w:rPr>
        <w:t>,</w:t>
      </w:r>
      <w:r w:rsidRPr="00B06110">
        <w:rPr>
          <w:rFonts w:eastAsia="Times New Roman"/>
        </w:rPr>
        <w:t xml:space="preserve"> A</w:t>
      </w:r>
      <w:r w:rsidR="00BB0C75">
        <w:rPr>
          <w:rFonts w:eastAsia="Times New Roman"/>
        </w:rPr>
        <w:t>.;</w:t>
      </w:r>
      <w:r w:rsidRPr="00B06110">
        <w:rPr>
          <w:rFonts w:eastAsia="Times New Roman"/>
        </w:rPr>
        <w:t xml:space="preserve"> Khan</w:t>
      </w:r>
      <w:r w:rsidR="00BB0C75">
        <w:rPr>
          <w:rFonts w:eastAsia="Times New Roman"/>
        </w:rPr>
        <w:t>,</w:t>
      </w:r>
      <w:r w:rsidRPr="00B06110">
        <w:rPr>
          <w:rFonts w:eastAsia="Times New Roman"/>
        </w:rPr>
        <w:t xml:space="preserve"> M</w:t>
      </w:r>
      <w:r w:rsidR="00BB0C75">
        <w:rPr>
          <w:rFonts w:eastAsia="Times New Roman"/>
        </w:rPr>
        <w:t>.</w:t>
      </w:r>
      <w:r w:rsidRPr="00B06110">
        <w:rPr>
          <w:rFonts w:eastAsia="Times New Roman"/>
        </w:rPr>
        <w:t xml:space="preserve">R. An insight into gut microbiota and its functionalities. </w:t>
      </w:r>
      <w:r w:rsidRPr="00BB0C75">
        <w:rPr>
          <w:rFonts w:eastAsia="Times New Roman"/>
          <w:i/>
          <w:iCs/>
        </w:rPr>
        <w:t>Cell Mol Life Sci</w:t>
      </w:r>
      <w:r w:rsidRPr="00B06110">
        <w:rPr>
          <w:rFonts w:eastAsia="Times New Roman"/>
        </w:rPr>
        <w:t xml:space="preserve">. </w:t>
      </w:r>
      <w:r w:rsidRPr="00BB0C75">
        <w:rPr>
          <w:rFonts w:eastAsia="Times New Roman"/>
          <w:b/>
          <w:bCs/>
        </w:rPr>
        <w:t>2019</w:t>
      </w:r>
      <w:r w:rsidRPr="00B06110">
        <w:rPr>
          <w:rFonts w:eastAsia="Times New Roman"/>
        </w:rPr>
        <w:t xml:space="preserve">; 76:473-493. </w:t>
      </w:r>
      <w:r w:rsidRPr="00B06110">
        <w:rPr>
          <w:color w:val="212121"/>
          <w:shd w:val="clear" w:color="auto" w:fill="FFFFFF"/>
        </w:rPr>
        <w:t>doi: 10.1007/s00018-018-2943-4. </w:t>
      </w:r>
    </w:p>
    <w:p w14:paraId="2D2965EA" w14:textId="3006C690" w:rsidR="003C345F" w:rsidRPr="00B06110" w:rsidRDefault="003C345F" w:rsidP="00B06110">
      <w:pPr>
        <w:pStyle w:val="PargrafodaLista"/>
        <w:numPr>
          <w:ilvl w:val="0"/>
          <w:numId w:val="26"/>
        </w:numPr>
        <w:spacing w:after="160" w:line="240" w:lineRule="auto"/>
        <w:ind w:firstLineChars="0"/>
        <w:contextualSpacing/>
        <w:rPr>
          <w:rFonts w:eastAsia="Times New Roman"/>
          <w:lang w:val="pt-BR"/>
        </w:rPr>
      </w:pPr>
      <w:r w:rsidRPr="00B06110">
        <w:rPr>
          <w:rFonts w:eastAsia="Times New Roman"/>
        </w:rPr>
        <w:t>Hur</w:t>
      </w:r>
      <w:r w:rsidR="00BB0C75">
        <w:rPr>
          <w:rFonts w:eastAsia="Times New Roman"/>
        </w:rPr>
        <w:t>,</w:t>
      </w:r>
      <w:r w:rsidRPr="00B06110">
        <w:rPr>
          <w:rFonts w:eastAsia="Times New Roman"/>
        </w:rPr>
        <w:t xml:space="preserve"> K</w:t>
      </w:r>
      <w:r w:rsidR="00BB0C75">
        <w:rPr>
          <w:rFonts w:eastAsia="Times New Roman"/>
        </w:rPr>
        <w:t>.</w:t>
      </w:r>
      <w:r w:rsidRPr="00B06110">
        <w:rPr>
          <w:rFonts w:eastAsia="Times New Roman"/>
        </w:rPr>
        <w:t>Y</w:t>
      </w:r>
      <w:r w:rsidR="00BB0C75">
        <w:rPr>
          <w:rFonts w:eastAsia="Times New Roman"/>
        </w:rPr>
        <w:t>.;</w:t>
      </w:r>
      <w:r w:rsidRPr="00B06110">
        <w:rPr>
          <w:rFonts w:eastAsia="Times New Roman"/>
        </w:rPr>
        <w:t xml:space="preserve"> Lee</w:t>
      </w:r>
      <w:r w:rsidR="00BB0C75">
        <w:rPr>
          <w:rFonts w:eastAsia="Times New Roman"/>
        </w:rPr>
        <w:t>,</w:t>
      </w:r>
      <w:r w:rsidRPr="00B06110">
        <w:rPr>
          <w:rFonts w:eastAsia="Times New Roman"/>
        </w:rPr>
        <w:t xml:space="preserve"> M</w:t>
      </w:r>
      <w:r w:rsidR="00BB0C75">
        <w:rPr>
          <w:rFonts w:eastAsia="Times New Roman"/>
        </w:rPr>
        <w:t>.</w:t>
      </w:r>
      <w:r w:rsidRPr="00B06110">
        <w:rPr>
          <w:rFonts w:eastAsia="Times New Roman"/>
        </w:rPr>
        <w:t xml:space="preserve">S. Gut Microbiota and Metabolic Disorders. </w:t>
      </w:r>
      <w:r w:rsidRPr="00BB0C75">
        <w:rPr>
          <w:rFonts w:eastAsia="Times New Roman"/>
          <w:i/>
          <w:iCs/>
          <w:lang w:val="pt-BR"/>
        </w:rPr>
        <w:t>Diabetes Metab J</w:t>
      </w:r>
      <w:r w:rsidRPr="00B06110">
        <w:rPr>
          <w:rFonts w:eastAsia="Times New Roman"/>
          <w:lang w:val="pt-BR"/>
        </w:rPr>
        <w:t xml:space="preserve">. </w:t>
      </w:r>
      <w:r w:rsidRPr="00BB0C75">
        <w:rPr>
          <w:rFonts w:eastAsia="Times New Roman"/>
          <w:b/>
          <w:bCs/>
          <w:lang w:val="pt-BR"/>
        </w:rPr>
        <w:t>2015</w:t>
      </w:r>
      <w:r w:rsidRPr="00B06110">
        <w:rPr>
          <w:rFonts w:eastAsia="Times New Roman"/>
          <w:lang w:val="pt-BR"/>
        </w:rPr>
        <w:t>; 39:198-203. doi:10.4093/dmj.2015.39.3.198</w:t>
      </w:r>
    </w:p>
    <w:p w14:paraId="28377EED" w14:textId="78871773"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B0C75">
        <w:rPr>
          <w:rFonts w:eastAsia="Times New Roman"/>
        </w:rPr>
        <w:t>Leo</w:t>
      </w:r>
      <w:r w:rsidR="00BB0C75" w:rsidRPr="00BB0C75">
        <w:rPr>
          <w:rFonts w:eastAsia="Times New Roman"/>
        </w:rPr>
        <w:t>,</w:t>
      </w:r>
      <w:r w:rsidRPr="00BB0C75">
        <w:rPr>
          <w:rFonts w:eastAsia="Times New Roman"/>
        </w:rPr>
        <w:t xml:space="preserve"> E</w:t>
      </w:r>
      <w:r w:rsidR="00BB0C75" w:rsidRPr="00BB0C75">
        <w:rPr>
          <w:rFonts w:eastAsia="Times New Roman"/>
        </w:rPr>
        <w:t>.</w:t>
      </w:r>
      <w:r w:rsidRPr="00BB0C75">
        <w:rPr>
          <w:rFonts w:eastAsia="Times New Roman"/>
        </w:rPr>
        <w:t>E</w:t>
      </w:r>
      <w:r w:rsidR="00BB0C75" w:rsidRPr="00BB0C75">
        <w:rPr>
          <w:rFonts w:eastAsia="Times New Roman"/>
        </w:rPr>
        <w:t>.</w:t>
      </w:r>
      <w:r w:rsidRPr="00BB0C75">
        <w:rPr>
          <w:rFonts w:eastAsia="Times New Roman"/>
        </w:rPr>
        <w:t>M</w:t>
      </w:r>
      <w:r w:rsidR="00BB0C75" w:rsidRPr="00BB0C75">
        <w:rPr>
          <w:rFonts w:eastAsia="Times New Roman"/>
        </w:rPr>
        <w:t>.;</w:t>
      </w:r>
      <w:r w:rsidRPr="00BB0C75">
        <w:rPr>
          <w:rFonts w:eastAsia="Times New Roman"/>
        </w:rPr>
        <w:t xml:space="preserve"> Peñafiel</w:t>
      </w:r>
      <w:r w:rsidR="00BB0C75" w:rsidRPr="00BB0C75">
        <w:rPr>
          <w:rFonts w:eastAsia="Times New Roman"/>
        </w:rPr>
        <w:t>,</w:t>
      </w:r>
      <w:r w:rsidRPr="00BB0C75">
        <w:rPr>
          <w:rFonts w:eastAsia="Times New Roman"/>
        </w:rPr>
        <w:t xml:space="preserve"> A</w:t>
      </w:r>
      <w:r w:rsidR="00BB0C75" w:rsidRPr="00BB0C75">
        <w:rPr>
          <w:rFonts w:eastAsia="Times New Roman"/>
        </w:rPr>
        <w:t>.</w:t>
      </w:r>
      <w:r w:rsidRPr="00BB0C75">
        <w:rPr>
          <w:rFonts w:eastAsia="Times New Roman"/>
        </w:rPr>
        <w:t>M</w:t>
      </w:r>
      <w:r w:rsidR="00BB0C75" w:rsidRPr="00BB0C75">
        <w:rPr>
          <w:rFonts w:eastAsia="Times New Roman"/>
        </w:rPr>
        <w:t>.;</w:t>
      </w:r>
      <w:r w:rsidRPr="00BB0C75">
        <w:rPr>
          <w:rFonts w:eastAsia="Times New Roman"/>
        </w:rPr>
        <w:t xml:space="preserve"> Escalante</w:t>
      </w:r>
      <w:r w:rsidR="00BB0C75" w:rsidRPr="00BB0C75">
        <w:rPr>
          <w:rFonts w:eastAsia="Times New Roman"/>
        </w:rPr>
        <w:t>,</w:t>
      </w:r>
      <w:r w:rsidRPr="00BB0C75">
        <w:rPr>
          <w:rFonts w:eastAsia="Times New Roman"/>
        </w:rPr>
        <w:t xml:space="preserve"> V</w:t>
      </w:r>
      <w:r w:rsidR="00BB0C75" w:rsidRPr="00BB0C75">
        <w:rPr>
          <w:rFonts w:eastAsia="Times New Roman"/>
        </w:rPr>
        <w:t>.</w:t>
      </w:r>
      <w:r w:rsidRPr="00BB0C75">
        <w:rPr>
          <w:rFonts w:eastAsia="Times New Roman"/>
        </w:rPr>
        <w:t>M</w:t>
      </w:r>
      <w:r w:rsidR="00BB0C75" w:rsidRPr="00BB0C75">
        <w:rPr>
          <w:rFonts w:eastAsia="Times New Roman"/>
        </w:rPr>
        <w:t>.</w:t>
      </w:r>
      <w:r w:rsidRPr="00BB0C75">
        <w:rPr>
          <w:rFonts w:eastAsia="Times New Roman"/>
        </w:rPr>
        <w:t>H</w:t>
      </w:r>
      <w:r w:rsidR="00BB0C75" w:rsidRPr="00BB0C75">
        <w:rPr>
          <w:rFonts w:eastAsia="Times New Roman"/>
        </w:rPr>
        <w:t>.;</w:t>
      </w:r>
      <w:r w:rsidRPr="00BB0C75">
        <w:rPr>
          <w:rFonts w:eastAsia="Times New Roman"/>
        </w:rPr>
        <w:t xml:space="preserve"> Araujo</w:t>
      </w:r>
      <w:r w:rsidR="00BB0C75" w:rsidRPr="00BB0C75">
        <w:rPr>
          <w:rFonts w:eastAsia="Times New Roman"/>
        </w:rPr>
        <w:t>,</w:t>
      </w:r>
      <w:r w:rsidRPr="00BB0C75">
        <w:rPr>
          <w:rFonts w:eastAsia="Times New Roman"/>
        </w:rPr>
        <w:t xml:space="preserve"> Z</w:t>
      </w:r>
      <w:r w:rsidR="00BB0C75" w:rsidRPr="00BB0C75">
        <w:rPr>
          <w:rFonts w:eastAsia="Times New Roman"/>
        </w:rPr>
        <w:t>.</w:t>
      </w:r>
      <w:r w:rsidRPr="00BB0C75">
        <w:rPr>
          <w:rFonts w:eastAsia="Times New Roman"/>
        </w:rPr>
        <w:t>M</w:t>
      </w:r>
      <w:r w:rsidR="00BB0C75" w:rsidRPr="00BB0C75">
        <w:rPr>
          <w:rFonts w:eastAsia="Times New Roman"/>
        </w:rPr>
        <w:t>.</w:t>
      </w:r>
      <w:r w:rsidRPr="00BB0C75">
        <w:rPr>
          <w:rFonts w:eastAsia="Times New Roman"/>
        </w:rPr>
        <w:t xml:space="preserve">C. </w:t>
      </w:r>
      <w:r w:rsidRPr="00B06110">
        <w:rPr>
          <w:rFonts w:eastAsia="Times New Roman"/>
        </w:rPr>
        <w:t xml:space="preserve">Ultra-processed diet, systemic oxidative stress, and breach of immunological tolerance. </w:t>
      </w:r>
      <w:r w:rsidRPr="00BB0C75">
        <w:rPr>
          <w:rFonts w:eastAsia="Times New Roman"/>
          <w:i/>
          <w:iCs/>
        </w:rPr>
        <w:t>Nutrition</w:t>
      </w:r>
      <w:r w:rsidRPr="00B06110">
        <w:rPr>
          <w:rFonts w:eastAsia="Times New Roman"/>
        </w:rPr>
        <w:t xml:space="preserve">. </w:t>
      </w:r>
      <w:r w:rsidRPr="00BB0C75">
        <w:rPr>
          <w:rFonts w:eastAsia="Times New Roman"/>
          <w:b/>
          <w:bCs/>
        </w:rPr>
        <w:t>2021</w:t>
      </w:r>
      <w:r w:rsidRPr="00B06110">
        <w:rPr>
          <w:rFonts w:eastAsia="Times New Roman"/>
        </w:rPr>
        <w:t>; 92:111419. doi: 10.1016/j.nut.2021.111419.</w:t>
      </w:r>
    </w:p>
    <w:p w14:paraId="740D176C" w14:textId="3EEF145B" w:rsidR="003C345F" w:rsidRPr="00B06110" w:rsidRDefault="005B1094" w:rsidP="00B06110">
      <w:pPr>
        <w:pStyle w:val="PargrafodaLista"/>
        <w:numPr>
          <w:ilvl w:val="0"/>
          <w:numId w:val="26"/>
        </w:numPr>
        <w:spacing w:after="160" w:line="240" w:lineRule="auto"/>
        <w:ind w:firstLineChars="0"/>
        <w:contextualSpacing/>
        <w:rPr>
          <w:rFonts w:eastAsia="Times New Roman"/>
        </w:rPr>
      </w:pPr>
      <w:r w:rsidRPr="005B1094">
        <w:rPr>
          <w:rFonts w:eastAsia="Times New Roman"/>
        </w:rPr>
        <w:t>Dahiya</w:t>
      </w:r>
      <w:r w:rsidR="00884D4F">
        <w:rPr>
          <w:rFonts w:eastAsia="Times New Roman"/>
        </w:rPr>
        <w:t>,</w:t>
      </w:r>
      <w:r w:rsidRPr="005B1094">
        <w:rPr>
          <w:rFonts w:eastAsia="Times New Roman"/>
        </w:rPr>
        <w:t xml:space="preserve"> D</w:t>
      </w:r>
      <w:r w:rsidR="00884D4F">
        <w:rPr>
          <w:rFonts w:eastAsia="Times New Roman"/>
        </w:rPr>
        <w:t>.</w:t>
      </w:r>
      <w:r w:rsidRPr="005B1094">
        <w:rPr>
          <w:rFonts w:eastAsia="Times New Roman"/>
        </w:rPr>
        <w:t>K</w:t>
      </w:r>
      <w:r w:rsidR="00884D4F">
        <w:rPr>
          <w:rFonts w:eastAsia="Times New Roman"/>
        </w:rPr>
        <w:t>.;</w:t>
      </w:r>
      <w:r w:rsidRPr="005B1094">
        <w:rPr>
          <w:rFonts w:eastAsia="Times New Roman"/>
        </w:rPr>
        <w:t xml:space="preserve"> Renuka, Puniya</w:t>
      </w:r>
      <w:r w:rsidR="0003398F">
        <w:rPr>
          <w:rFonts w:eastAsia="Times New Roman"/>
        </w:rPr>
        <w:t>,</w:t>
      </w:r>
      <w:r w:rsidRPr="005B1094">
        <w:rPr>
          <w:rFonts w:eastAsia="Times New Roman"/>
        </w:rPr>
        <w:t xml:space="preserve"> M</w:t>
      </w:r>
      <w:r w:rsidR="0003398F">
        <w:rPr>
          <w:rFonts w:eastAsia="Times New Roman"/>
        </w:rPr>
        <w:t>.;</w:t>
      </w:r>
      <w:r w:rsidRPr="005B1094">
        <w:rPr>
          <w:rFonts w:eastAsia="Times New Roman"/>
        </w:rPr>
        <w:t xml:space="preserve"> Shandilya</w:t>
      </w:r>
      <w:r w:rsidR="0003398F">
        <w:rPr>
          <w:rFonts w:eastAsia="Times New Roman"/>
        </w:rPr>
        <w:t>,</w:t>
      </w:r>
      <w:r w:rsidRPr="005B1094">
        <w:rPr>
          <w:rFonts w:eastAsia="Times New Roman"/>
        </w:rPr>
        <w:t xml:space="preserve"> U</w:t>
      </w:r>
      <w:r w:rsidR="0003398F">
        <w:rPr>
          <w:rFonts w:eastAsia="Times New Roman"/>
        </w:rPr>
        <w:t>.</w:t>
      </w:r>
      <w:r w:rsidRPr="005B1094">
        <w:rPr>
          <w:rFonts w:eastAsia="Times New Roman"/>
        </w:rPr>
        <w:t>K</w:t>
      </w:r>
      <w:r w:rsidR="0003398F">
        <w:rPr>
          <w:rFonts w:eastAsia="Times New Roman"/>
        </w:rPr>
        <w:t>.;</w:t>
      </w:r>
      <w:r w:rsidRPr="005B1094">
        <w:rPr>
          <w:rFonts w:eastAsia="Times New Roman"/>
        </w:rPr>
        <w:t xml:space="preserve"> Dhewa</w:t>
      </w:r>
      <w:r w:rsidR="0003398F">
        <w:rPr>
          <w:rFonts w:eastAsia="Times New Roman"/>
        </w:rPr>
        <w:t>,</w:t>
      </w:r>
      <w:r w:rsidRPr="005B1094">
        <w:rPr>
          <w:rFonts w:eastAsia="Times New Roman"/>
        </w:rPr>
        <w:t xml:space="preserve"> T</w:t>
      </w:r>
      <w:r w:rsidR="0003398F">
        <w:rPr>
          <w:rFonts w:eastAsia="Times New Roman"/>
        </w:rPr>
        <w:t>.;</w:t>
      </w:r>
      <w:r w:rsidRPr="005B1094">
        <w:rPr>
          <w:rFonts w:eastAsia="Times New Roman"/>
        </w:rPr>
        <w:t xml:space="preserve"> Kumar</w:t>
      </w:r>
      <w:r w:rsidR="0003398F">
        <w:rPr>
          <w:rFonts w:eastAsia="Times New Roman"/>
        </w:rPr>
        <w:t>,</w:t>
      </w:r>
      <w:r w:rsidRPr="005B1094">
        <w:rPr>
          <w:rFonts w:eastAsia="Times New Roman"/>
        </w:rPr>
        <w:t xml:space="preserve"> N</w:t>
      </w:r>
      <w:r w:rsidR="0003398F">
        <w:rPr>
          <w:rFonts w:eastAsia="Times New Roman"/>
        </w:rPr>
        <w:t>.;</w:t>
      </w:r>
      <w:r w:rsidRPr="005B1094">
        <w:rPr>
          <w:rFonts w:eastAsia="Times New Roman"/>
        </w:rPr>
        <w:t xml:space="preserve"> Kumar</w:t>
      </w:r>
      <w:r w:rsidR="0003398F">
        <w:rPr>
          <w:rFonts w:eastAsia="Times New Roman"/>
        </w:rPr>
        <w:t>,</w:t>
      </w:r>
      <w:r w:rsidRPr="005B1094">
        <w:rPr>
          <w:rFonts w:eastAsia="Times New Roman"/>
        </w:rPr>
        <w:t xml:space="preserve"> S</w:t>
      </w:r>
      <w:r w:rsidR="0003398F">
        <w:rPr>
          <w:rFonts w:eastAsia="Times New Roman"/>
        </w:rPr>
        <w:t>.;</w:t>
      </w:r>
      <w:r w:rsidRPr="005B1094">
        <w:rPr>
          <w:rFonts w:eastAsia="Times New Roman"/>
        </w:rPr>
        <w:t xml:space="preserve"> Puniya</w:t>
      </w:r>
      <w:r w:rsidR="0003398F">
        <w:rPr>
          <w:rFonts w:eastAsia="Times New Roman"/>
        </w:rPr>
        <w:t>,</w:t>
      </w:r>
      <w:r w:rsidRPr="005B1094">
        <w:rPr>
          <w:rFonts w:eastAsia="Times New Roman"/>
        </w:rPr>
        <w:t xml:space="preserve"> A</w:t>
      </w:r>
      <w:r w:rsidR="0003398F">
        <w:rPr>
          <w:rFonts w:eastAsia="Times New Roman"/>
        </w:rPr>
        <w:t>.</w:t>
      </w:r>
      <w:r w:rsidRPr="005B1094">
        <w:rPr>
          <w:rFonts w:eastAsia="Times New Roman"/>
        </w:rPr>
        <w:t>K</w:t>
      </w:r>
      <w:r w:rsidR="0003398F">
        <w:rPr>
          <w:rFonts w:eastAsia="Times New Roman"/>
        </w:rPr>
        <w:t>.;</w:t>
      </w:r>
      <w:r w:rsidRPr="005B1094">
        <w:rPr>
          <w:rFonts w:eastAsia="Times New Roman"/>
        </w:rPr>
        <w:t xml:space="preserve"> Shukla</w:t>
      </w:r>
      <w:r w:rsidR="0003398F">
        <w:rPr>
          <w:rFonts w:eastAsia="Times New Roman"/>
        </w:rPr>
        <w:t>,</w:t>
      </w:r>
      <w:r w:rsidRPr="005B1094">
        <w:rPr>
          <w:rFonts w:eastAsia="Times New Roman"/>
        </w:rPr>
        <w:t xml:space="preserve"> P</w:t>
      </w:r>
      <w:r w:rsidR="003C345F" w:rsidRPr="00B06110">
        <w:rPr>
          <w:rFonts w:eastAsia="Times New Roman"/>
        </w:rPr>
        <w:t xml:space="preserve">. Gut Microbiota Modulation and Its Relationship with Obesity Using Prebiotic Fibers and Probiotics: A Review. </w:t>
      </w:r>
      <w:r w:rsidR="003C345F" w:rsidRPr="00CD6262">
        <w:rPr>
          <w:rFonts w:eastAsia="Times New Roman"/>
          <w:i/>
          <w:iCs/>
        </w:rPr>
        <w:t>Front Microbiol</w:t>
      </w:r>
      <w:r w:rsidR="003C345F" w:rsidRPr="00B06110">
        <w:rPr>
          <w:rFonts w:eastAsia="Times New Roman"/>
        </w:rPr>
        <w:t xml:space="preserve">. </w:t>
      </w:r>
      <w:r w:rsidR="003C345F" w:rsidRPr="00CD6262">
        <w:rPr>
          <w:rFonts w:eastAsia="Times New Roman"/>
          <w:b/>
          <w:bCs/>
        </w:rPr>
        <w:t>2017</w:t>
      </w:r>
      <w:r w:rsidR="003C345F" w:rsidRPr="00B06110">
        <w:rPr>
          <w:rFonts w:eastAsia="Times New Roman"/>
        </w:rPr>
        <w:t>; 8:563. doi: 10.3389/fmicb.2017.00563.</w:t>
      </w:r>
    </w:p>
    <w:p w14:paraId="35487575" w14:textId="3102386A" w:rsidR="003C345F" w:rsidRPr="00B06110" w:rsidRDefault="00CF3378" w:rsidP="00B06110">
      <w:pPr>
        <w:pStyle w:val="PargrafodaLista"/>
        <w:numPr>
          <w:ilvl w:val="0"/>
          <w:numId w:val="26"/>
        </w:numPr>
        <w:spacing w:after="160" w:line="240" w:lineRule="auto"/>
        <w:ind w:firstLineChars="0"/>
        <w:contextualSpacing/>
        <w:rPr>
          <w:rFonts w:eastAsia="Times New Roman"/>
        </w:rPr>
      </w:pPr>
      <w:r w:rsidRPr="00CF3378">
        <w:rPr>
          <w:rFonts w:eastAsia="Times New Roman"/>
        </w:rPr>
        <w:t>Armet</w:t>
      </w:r>
      <w:r w:rsidR="0003398F">
        <w:rPr>
          <w:rFonts w:eastAsia="Times New Roman"/>
        </w:rPr>
        <w:t>,</w:t>
      </w:r>
      <w:r w:rsidRPr="00CF3378">
        <w:rPr>
          <w:rFonts w:eastAsia="Times New Roman"/>
        </w:rPr>
        <w:t xml:space="preserve"> A</w:t>
      </w:r>
      <w:r w:rsidR="0003398F">
        <w:rPr>
          <w:rFonts w:eastAsia="Times New Roman"/>
        </w:rPr>
        <w:t>.</w:t>
      </w:r>
      <w:r w:rsidRPr="00CF3378">
        <w:rPr>
          <w:rFonts w:eastAsia="Times New Roman"/>
        </w:rPr>
        <w:t>M</w:t>
      </w:r>
      <w:r w:rsidR="0003398F">
        <w:rPr>
          <w:rFonts w:eastAsia="Times New Roman"/>
        </w:rPr>
        <w:t>.;</w:t>
      </w:r>
      <w:r w:rsidRPr="00CF3378">
        <w:rPr>
          <w:rFonts w:eastAsia="Times New Roman"/>
        </w:rPr>
        <w:t xml:space="preserve"> Deehan</w:t>
      </w:r>
      <w:r w:rsidR="0003398F">
        <w:rPr>
          <w:rFonts w:eastAsia="Times New Roman"/>
        </w:rPr>
        <w:t>,</w:t>
      </w:r>
      <w:r w:rsidRPr="00CF3378">
        <w:rPr>
          <w:rFonts w:eastAsia="Times New Roman"/>
        </w:rPr>
        <w:t xml:space="preserve"> E</w:t>
      </w:r>
      <w:r w:rsidR="0003398F">
        <w:rPr>
          <w:rFonts w:eastAsia="Times New Roman"/>
        </w:rPr>
        <w:t>.</w:t>
      </w:r>
      <w:r w:rsidRPr="00CF3378">
        <w:rPr>
          <w:rFonts w:eastAsia="Times New Roman"/>
        </w:rPr>
        <w:t>C</w:t>
      </w:r>
      <w:r w:rsidR="0003398F">
        <w:rPr>
          <w:rFonts w:eastAsia="Times New Roman"/>
        </w:rPr>
        <w:t>.;</w:t>
      </w:r>
      <w:r w:rsidRPr="00CF3378">
        <w:rPr>
          <w:rFonts w:eastAsia="Times New Roman"/>
        </w:rPr>
        <w:t xml:space="preserve"> O'Sullivan</w:t>
      </w:r>
      <w:r w:rsidR="0003398F">
        <w:rPr>
          <w:rFonts w:eastAsia="Times New Roman"/>
        </w:rPr>
        <w:t>,</w:t>
      </w:r>
      <w:r w:rsidRPr="00CF3378">
        <w:rPr>
          <w:rFonts w:eastAsia="Times New Roman"/>
        </w:rPr>
        <w:t xml:space="preserve"> A</w:t>
      </w:r>
      <w:r w:rsidR="0003398F">
        <w:rPr>
          <w:rFonts w:eastAsia="Times New Roman"/>
        </w:rPr>
        <w:t>.</w:t>
      </w:r>
      <w:r w:rsidRPr="00CF3378">
        <w:rPr>
          <w:rFonts w:eastAsia="Times New Roman"/>
        </w:rPr>
        <w:t>F</w:t>
      </w:r>
      <w:r w:rsidR="0003398F">
        <w:rPr>
          <w:rFonts w:eastAsia="Times New Roman"/>
        </w:rPr>
        <w:t>.;</w:t>
      </w:r>
      <w:r w:rsidRPr="00CF3378">
        <w:rPr>
          <w:rFonts w:eastAsia="Times New Roman"/>
        </w:rPr>
        <w:t xml:space="preserve"> Mota</w:t>
      </w:r>
      <w:r w:rsidR="0003398F">
        <w:rPr>
          <w:rFonts w:eastAsia="Times New Roman"/>
        </w:rPr>
        <w:t>,</w:t>
      </w:r>
      <w:r w:rsidRPr="00CF3378">
        <w:rPr>
          <w:rFonts w:eastAsia="Times New Roman"/>
        </w:rPr>
        <w:t xml:space="preserve"> J</w:t>
      </w:r>
      <w:r w:rsidR="0003398F">
        <w:rPr>
          <w:rFonts w:eastAsia="Times New Roman"/>
        </w:rPr>
        <w:t>.</w:t>
      </w:r>
      <w:r w:rsidRPr="00CF3378">
        <w:rPr>
          <w:rFonts w:eastAsia="Times New Roman"/>
        </w:rPr>
        <w:t>F</w:t>
      </w:r>
      <w:r w:rsidR="0003398F">
        <w:rPr>
          <w:rFonts w:eastAsia="Times New Roman"/>
        </w:rPr>
        <w:t>.;</w:t>
      </w:r>
      <w:r w:rsidRPr="00CF3378">
        <w:rPr>
          <w:rFonts w:eastAsia="Times New Roman"/>
        </w:rPr>
        <w:t xml:space="preserve"> Field</w:t>
      </w:r>
      <w:r w:rsidR="0003398F">
        <w:rPr>
          <w:rFonts w:eastAsia="Times New Roman"/>
        </w:rPr>
        <w:t>,</w:t>
      </w:r>
      <w:r w:rsidRPr="00CF3378">
        <w:rPr>
          <w:rFonts w:eastAsia="Times New Roman"/>
        </w:rPr>
        <w:t xml:space="preserve"> C</w:t>
      </w:r>
      <w:r w:rsidR="0003398F">
        <w:rPr>
          <w:rFonts w:eastAsia="Times New Roman"/>
        </w:rPr>
        <w:t>.</w:t>
      </w:r>
      <w:r w:rsidRPr="00CF3378">
        <w:rPr>
          <w:rFonts w:eastAsia="Times New Roman"/>
        </w:rPr>
        <w:t>J</w:t>
      </w:r>
      <w:r w:rsidR="0003398F">
        <w:rPr>
          <w:rFonts w:eastAsia="Times New Roman"/>
        </w:rPr>
        <w:t>.;</w:t>
      </w:r>
      <w:r w:rsidRPr="00CF3378">
        <w:rPr>
          <w:rFonts w:eastAsia="Times New Roman"/>
        </w:rPr>
        <w:t xml:space="preserve"> Prado</w:t>
      </w:r>
      <w:r w:rsidR="0003398F">
        <w:rPr>
          <w:rFonts w:eastAsia="Times New Roman"/>
        </w:rPr>
        <w:t>,</w:t>
      </w:r>
      <w:r w:rsidRPr="00CF3378">
        <w:rPr>
          <w:rFonts w:eastAsia="Times New Roman"/>
        </w:rPr>
        <w:t xml:space="preserve"> C</w:t>
      </w:r>
      <w:r w:rsidR="0003398F">
        <w:rPr>
          <w:rFonts w:eastAsia="Times New Roman"/>
        </w:rPr>
        <w:t>.</w:t>
      </w:r>
      <w:r w:rsidRPr="00CF3378">
        <w:rPr>
          <w:rFonts w:eastAsia="Times New Roman"/>
        </w:rPr>
        <w:t>M</w:t>
      </w:r>
      <w:r w:rsidR="0003398F">
        <w:rPr>
          <w:rFonts w:eastAsia="Times New Roman"/>
        </w:rPr>
        <w:t>.;</w:t>
      </w:r>
      <w:r w:rsidRPr="00CF3378">
        <w:rPr>
          <w:rFonts w:eastAsia="Times New Roman"/>
        </w:rPr>
        <w:t xml:space="preserve"> Lucey</w:t>
      </w:r>
      <w:r w:rsidR="0003398F">
        <w:rPr>
          <w:rFonts w:eastAsia="Times New Roman"/>
        </w:rPr>
        <w:t>,</w:t>
      </w:r>
      <w:r w:rsidRPr="00CF3378">
        <w:rPr>
          <w:rFonts w:eastAsia="Times New Roman"/>
        </w:rPr>
        <w:t xml:space="preserve"> A</w:t>
      </w:r>
      <w:r w:rsidR="0003398F">
        <w:rPr>
          <w:rFonts w:eastAsia="Times New Roman"/>
        </w:rPr>
        <w:t>.</w:t>
      </w:r>
      <w:r w:rsidRPr="00CF3378">
        <w:rPr>
          <w:rFonts w:eastAsia="Times New Roman"/>
        </w:rPr>
        <w:t>J</w:t>
      </w:r>
      <w:r w:rsidR="0003398F">
        <w:rPr>
          <w:rFonts w:eastAsia="Times New Roman"/>
        </w:rPr>
        <w:t>.;</w:t>
      </w:r>
      <w:r w:rsidRPr="00CF3378">
        <w:rPr>
          <w:rFonts w:eastAsia="Times New Roman"/>
        </w:rPr>
        <w:t xml:space="preserve"> Walter</w:t>
      </w:r>
      <w:r w:rsidR="0003398F">
        <w:rPr>
          <w:rFonts w:eastAsia="Times New Roman"/>
        </w:rPr>
        <w:t>,</w:t>
      </w:r>
      <w:r w:rsidRPr="00CF3378">
        <w:rPr>
          <w:rFonts w:eastAsia="Times New Roman"/>
        </w:rPr>
        <w:t xml:space="preserve"> J</w:t>
      </w:r>
      <w:r w:rsidR="003C345F" w:rsidRPr="00B06110">
        <w:rPr>
          <w:rFonts w:eastAsia="Times New Roman"/>
        </w:rPr>
        <w:t xml:space="preserve">. Rethinking healthy eating in light of the gut microbiome. </w:t>
      </w:r>
      <w:r w:rsidR="003C345F" w:rsidRPr="00CD6262">
        <w:rPr>
          <w:rFonts w:eastAsia="Times New Roman"/>
          <w:i/>
          <w:iCs/>
        </w:rPr>
        <w:t>Cell Host Microbe</w:t>
      </w:r>
      <w:r w:rsidR="003C345F" w:rsidRPr="00B06110">
        <w:rPr>
          <w:rFonts w:eastAsia="Times New Roman"/>
        </w:rPr>
        <w:t xml:space="preserve">. </w:t>
      </w:r>
      <w:r w:rsidR="003C345F" w:rsidRPr="00CD6262">
        <w:rPr>
          <w:rFonts w:eastAsia="Times New Roman"/>
          <w:b/>
          <w:bCs/>
        </w:rPr>
        <w:t>2022</w:t>
      </w:r>
      <w:r w:rsidR="003C345F" w:rsidRPr="00B06110">
        <w:rPr>
          <w:rFonts w:eastAsia="Times New Roman"/>
        </w:rPr>
        <w:t>; 30:764-785. doi: 10.1016/j.chom.2022.04.016.</w:t>
      </w:r>
    </w:p>
    <w:p w14:paraId="37CEE0A5" w14:textId="712064D3"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Yan</w:t>
      </w:r>
      <w:r w:rsidR="0003398F">
        <w:rPr>
          <w:rFonts w:eastAsia="Times New Roman"/>
        </w:rPr>
        <w:t>,</w:t>
      </w:r>
      <w:r w:rsidRPr="00B06110">
        <w:rPr>
          <w:rFonts w:eastAsia="Times New Roman"/>
        </w:rPr>
        <w:t xml:space="preserve"> S</w:t>
      </w:r>
      <w:r w:rsidR="0003398F">
        <w:rPr>
          <w:rFonts w:eastAsia="Times New Roman"/>
        </w:rPr>
        <w:t>.;</w:t>
      </w:r>
      <w:r w:rsidRPr="00B06110">
        <w:rPr>
          <w:rFonts w:eastAsia="Times New Roman"/>
        </w:rPr>
        <w:t xml:space="preserve"> Tian</w:t>
      </w:r>
      <w:r w:rsidR="0003398F">
        <w:rPr>
          <w:rFonts w:eastAsia="Times New Roman"/>
        </w:rPr>
        <w:t>,</w:t>
      </w:r>
      <w:r w:rsidRPr="00B06110">
        <w:rPr>
          <w:rFonts w:eastAsia="Times New Roman"/>
        </w:rPr>
        <w:t xml:space="preserve"> Z</w:t>
      </w:r>
      <w:r w:rsidR="0003398F">
        <w:rPr>
          <w:rFonts w:eastAsia="Times New Roman"/>
        </w:rPr>
        <w:t>.;</w:t>
      </w:r>
      <w:r w:rsidRPr="00B06110">
        <w:rPr>
          <w:rFonts w:eastAsia="Times New Roman"/>
        </w:rPr>
        <w:t xml:space="preserve"> Li</w:t>
      </w:r>
      <w:r w:rsidR="0003398F">
        <w:rPr>
          <w:rFonts w:eastAsia="Times New Roman"/>
        </w:rPr>
        <w:t>,</w:t>
      </w:r>
      <w:r w:rsidRPr="00B06110">
        <w:rPr>
          <w:rFonts w:eastAsia="Times New Roman"/>
        </w:rPr>
        <w:t xml:space="preserve"> M</w:t>
      </w:r>
      <w:r w:rsidR="0003398F">
        <w:rPr>
          <w:rFonts w:eastAsia="Times New Roman"/>
        </w:rPr>
        <w:t xml:space="preserve">.; </w:t>
      </w:r>
      <w:r w:rsidRPr="00B06110">
        <w:rPr>
          <w:rFonts w:eastAsia="Times New Roman"/>
        </w:rPr>
        <w:t>Li</w:t>
      </w:r>
      <w:r w:rsidR="0003398F">
        <w:rPr>
          <w:rFonts w:eastAsia="Times New Roman"/>
        </w:rPr>
        <w:t>,</w:t>
      </w:r>
      <w:r w:rsidRPr="00B06110">
        <w:rPr>
          <w:rFonts w:eastAsia="Times New Roman"/>
        </w:rPr>
        <w:t xml:space="preserve"> B</w:t>
      </w:r>
      <w:r w:rsidR="0003398F">
        <w:rPr>
          <w:rFonts w:eastAsia="Times New Roman"/>
        </w:rPr>
        <w:t xml:space="preserve">.; </w:t>
      </w:r>
      <w:r w:rsidRPr="00B06110">
        <w:rPr>
          <w:rFonts w:eastAsia="Times New Roman"/>
        </w:rPr>
        <w:t>Cui</w:t>
      </w:r>
      <w:r w:rsidR="003602F0">
        <w:rPr>
          <w:rFonts w:eastAsia="Times New Roman"/>
        </w:rPr>
        <w:t>,</w:t>
      </w:r>
      <w:r w:rsidRPr="00B06110">
        <w:rPr>
          <w:rFonts w:eastAsia="Times New Roman"/>
        </w:rPr>
        <w:t xml:space="preserve"> W. Effects of probiotic supplementation on the regulation of blood lipid levels in overweight or obese subjects: a meta-analysis. </w:t>
      </w:r>
      <w:r w:rsidRPr="00CD6262">
        <w:rPr>
          <w:rFonts w:eastAsia="Times New Roman"/>
          <w:i/>
          <w:iCs/>
        </w:rPr>
        <w:t>Food Funct</w:t>
      </w:r>
      <w:r w:rsidRPr="00B06110">
        <w:rPr>
          <w:rFonts w:eastAsia="Times New Roman"/>
        </w:rPr>
        <w:t xml:space="preserve">. </w:t>
      </w:r>
      <w:r w:rsidRPr="00CD6262">
        <w:rPr>
          <w:rFonts w:eastAsia="Times New Roman"/>
          <w:b/>
          <w:bCs/>
        </w:rPr>
        <w:t>2019</w:t>
      </w:r>
      <w:r w:rsidRPr="00B06110">
        <w:rPr>
          <w:rFonts w:eastAsia="Times New Roman"/>
        </w:rPr>
        <w:t xml:space="preserve">; 10:1747. </w:t>
      </w:r>
      <w:r w:rsidRPr="00B06110">
        <w:rPr>
          <w:color w:val="212121"/>
          <w:shd w:val="clear" w:color="auto" w:fill="FFFFFF"/>
        </w:rPr>
        <w:t>doi: 10.1039/c8fo02163e.</w:t>
      </w:r>
    </w:p>
    <w:p w14:paraId="168CFD4D" w14:textId="6DEE993E" w:rsidR="003C345F" w:rsidRPr="00B06110" w:rsidRDefault="00D45E3F" w:rsidP="00B06110">
      <w:pPr>
        <w:pStyle w:val="PargrafodaLista"/>
        <w:numPr>
          <w:ilvl w:val="0"/>
          <w:numId w:val="26"/>
        </w:numPr>
        <w:spacing w:after="160" w:line="240" w:lineRule="auto"/>
        <w:ind w:firstLineChars="0"/>
        <w:contextualSpacing/>
        <w:rPr>
          <w:rFonts w:eastAsia="Times New Roman"/>
        </w:rPr>
      </w:pPr>
      <w:r w:rsidRPr="00D45E3F">
        <w:rPr>
          <w:rFonts w:eastAsia="Times New Roman"/>
        </w:rPr>
        <w:t>Shirvani-Rad</w:t>
      </w:r>
      <w:r w:rsidR="003602F0">
        <w:rPr>
          <w:rFonts w:eastAsia="Times New Roman"/>
        </w:rPr>
        <w:t>,</w:t>
      </w:r>
      <w:r w:rsidRPr="00D45E3F">
        <w:rPr>
          <w:rFonts w:eastAsia="Times New Roman"/>
        </w:rPr>
        <w:t xml:space="preserve"> S</w:t>
      </w:r>
      <w:r w:rsidR="003602F0">
        <w:rPr>
          <w:rFonts w:eastAsia="Times New Roman"/>
        </w:rPr>
        <w:t>.;</w:t>
      </w:r>
      <w:r w:rsidRPr="00D45E3F">
        <w:rPr>
          <w:rFonts w:eastAsia="Times New Roman"/>
        </w:rPr>
        <w:t xml:space="preserve"> Tabatabaei-Malazy</w:t>
      </w:r>
      <w:r w:rsidR="003602F0">
        <w:rPr>
          <w:rFonts w:eastAsia="Times New Roman"/>
        </w:rPr>
        <w:t>,</w:t>
      </w:r>
      <w:r w:rsidRPr="00D45E3F">
        <w:rPr>
          <w:rFonts w:eastAsia="Times New Roman"/>
        </w:rPr>
        <w:t xml:space="preserve"> O</w:t>
      </w:r>
      <w:r w:rsidR="003602F0">
        <w:rPr>
          <w:rFonts w:eastAsia="Times New Roman"/>
        </w:rPr>
        <w:t>.;</w:t>
      </w:r>
      <w:r w:rsidRPr="00D45E3F">
        <w:rPr>
          <w:rFonts w:eastAsia="Times New Roman"/>
        </w:rPr>
        <w:t xml:space="preserve"> Mohseni</w:t>
      </w:r>
      <w:r w:rsidR="003602F0">
        <w:rPr>
          <w:rFonts w:eastAsia="Times New Roman"/>
        </w:rPr>
        <w:t>,</w:t>
      </w:r>
      <w:r w:rsidRPr="00D45E3F">
        <w:rPr>
          <w:rFonts w:eastAsia="Times New Roman"/>
        </w:rPr>
        <w:t xml:space="preserve"> S</w:t>
      </w:r>
      <w:r w:rsidR="003602F0">
        <w:rPr>
          <w:rFonts w:eastAsia="Times New Roman"/>
        </w:rPr>
        <w:t>.;</w:t>
      </w:r>
      <w:r w:rsidRPr="00D45E3F">
        <w:rPr>
          <w:rFonts w:eastAsia="Times New Roman"/>
        </w:rPr>
        <w:t xml:space="preserve"> Hasani-Ranjbar</w:t>
      </w:r>
      <w:r w:rsidR="003602F0">
        <w:rPr>
          <w:rFonts w:eastAsia="Times New Roman"/>
        </w:rPr>
        <w:t>,</w:t>
      </w:r>
      <w:r w:rsidRPr="00D45E3F">
        <w:rPr>
          <w:rFonts w:eastAsia="Times New Roman"/>
        </w:rPr>
        <w:t xml:space="preserve"> S</w:t>
      </w:r>
      <w:r w:rsidR="003602F0">
        <w:rPr>
          <w:rFonts w:eastAsia="Times New Roman"/>
        </w:rPr>
        <w:t>.;</w:t>
      </w:r>
      <w:r w:rsidRPr="00D45E3F">
        <w:rPr>
          <w:rFonts w:eastAsia="Times New Roman"/>
        </w:rPr>
        <w:t xml:space="preserve"> Soroush</w:t>
      </w:r>
      <w:r w:rsidR="003602F0">
        <w:rPr>
          <w:rFonts w:eastAsia="Times New Roman"/>
        </w:rPr>
        <w:t>,</w:t>
      </w:r>
      <w:r w:rsidRPr="00D45E3F">
        <w:rPr>
          <w:rFonts w:eastAsia="Times New Roman"/>
        </w:rPr>
        <w:t xml:space="preserve"> A</w:t>
      </w:r>
      <w:r w:rsidR="003602F0">
        <w:rPr>
          <w:rFonts w:eastAsia="Times New Roman"/>
        </w:rPr>
        <w:t>.</w:t>
      </w:r>
      <w:r w:rsidRPr="00D45E3F">
        <w:rPr>
          <w:rFonts w:eastAsia="Times New Roman"/>
        </w:rPr>
        <w:t>R</w:t>
      </w:r>
      <w:r w:rsidR="003602F0">
        <w:rPr>
          <w:rFonts w:eastAsia="Times New Roman"/>
        </w:rPr>
        <w:t>.;</w:t>
      </w:r>
      <w:r w:rsidRPr="00D45E3F">
        <w:rPr>
          <w:rFonts w:eastAsia="Times New Roman"/>
        </w:rPr>
        <w:t xml:space="preserve"> Hoseini-Tavassol</w:t>
      </w:r>
      <w:r w:rsidR="003602F0">
        <w:rPr>
          <w:rFonts w:eastAsia="Times New Roman"/>
        </w:rPr>
        <w:t>,</w:t>
      </w:r>
      <w:r w:rsidRPr="00D45E3F">
        <w:rPr>
          <w:rFonts w:eastAsia="Times New Roman"/>
        </w:rPr>
        <w:t xml:space="preserve"> Z</w:t>
      </w:r>
      <w:r w:rsidR="003602F0">
        <w:rPr>
          <w:rFonts w:eastAsia="Times New Roman"/>
        </w:rPr>
        <w:t>.;</w:t>
      </w:r>
      <w:r w:rsidRPr="00D45E3F">
        <w:rPr>
          <w:rFonts w:eastAsia="Times New Roman"/>
        </w:rPr>
        <w:t xml:space="preserve"> Ejtahed</w:t>
      </w:r>
      <w:r w:rsidR="003602F0">
        <w:rPr>
          <w:rFonts w:eastAsia="Times New Roman"/>
        </w:rPr>
        <w:t>,</w:t>
      </w:r>
      <w:r w:rsidRPr="00D45E3F">
        <w:rPr>
          <w:rFonts w:eastAsia="Times New Roman"/>
        </w:rPr>
        <w:t xml:space="preserve"> H</w:t>
      </w:r>
      <w:r w:rsidR="003602F0">
        <w:rPr>
          <w:rFonts w:eastAsia="Times New Roman"/>
        </w:rPr>
        <w:t>.</w:t>
      </w:r>
      <w:r w:rsidRPr="00D45E3F">
        <w:rPr>
          <w:rFonts w:eastAsia="Times New Roman"/>
        </w:rPr>
        <w:t>S</w:t>
      </w:r>
      <w:r w:rsidR="003602F0">
        <w:rPr>
          <w:rFonts w:eastAsia="Times New Roman"/>
        </w:rPr>
        <w:t>.;</w:t>
      </w:r>
      <w:r w:rsidRPr="00D45E3F">
        <w:rPr>
          <w:rFonts w:eastAsia="Times New Roman"/>
        </w:rPr>
        <w:t xml:space="preserve"> Larijani</w:t>
      </w:r>
      <w:r w:rsidR="003602F0">
        <w:rPr>
          <w:rFonts w:eastAsia="Times New Roman"/>
        </w:rPr>
        <w:t>,</w:t>
      </w:r>
      <w:r w:rsidRPr="00D45E3F">
        <w:rPr>
          <w:rFonts w:eastAsia="Times New Roman"/>
        </w:rPr>
        <w:t xml:space="preserve"> B.</w:t>
      </w:r>
      <w:r w:rsidR="003C345F" w:rsidRPr="00D45E3F">
        <w:rPr>
          <w:rFonts w:eastAsia="Times New Roman"/>
        </w:rPr>
        <w:t xml:space="preserve"> </w:t>
      </w:r>
      <w:r w:rsidR="003C345F" w:rsidRPr="00B06110">
        <w:rPr>
          <w:rFonts w:eastAsia="Times New Roman"/>
        </w:rPr>
        <w:t xml:space="preserve">Probiotics as a Complementary Therapy for Management of Obesity: A Systematic Review. </w:t>
      </w:r>
      <w:r w:rsidR="003C345F" w:rsidRPr="00CD6262">
        <w:rPr>
          <w:rFonts w:eastAsia="Times New Roman"/>
          <w:i/>
          <w:iCs/>
        </w:rPr>
        <w:t>Evid Based Complement Alternat Med</w:t>
      </w:r>
      <w:r w:rsidR="003C345F" w:rsidRPr="00B06110">
        <w:rPr>
          <w:rFonts w:eastAsia="Times New Roman"/>
        </w:rPr>
        <w:t xml:space="preserve">. </w:t>
      </w:r>
      <w:r w:rsidR="003C345F" w:rsidRPr="00CD6262">
        <w:rPr>
          <w:rFonts w:eastAsia="Times New Roman"/>
          <w:b/>
          <w:bCs/>
        </w:rPr>
        <w:t>2021</w:t>
      </w:r>
      <w:r w:rsidR="003C345F" w:rsidRPr="00B06110">
        <w:rPr>
          <w:rFonts w:eastAsia="Times New Roman"/>
        </w:rPr>
        <w:t>;</w:t>
      </w:r>
      <w:r w:rsidR="00CD6262">
        <w:rPr>
          <w:rFonts w:eastAsia="Times New Roman"/>
        </w:rPr>
        <w:t xml:space="preserve"> </w:t>
      </w:r>
      <w:r w:rsidR="00195625">
        <w:rPr>
          <w:rFonts w:eastAsia="Times New Roman"/>
        </w:rPr>
        <w:t>22</w:t>
      </w:r>
      <w:r w:rsidR="00B86981">
        <w:rPr>
          <w:rFonts w:eastAsia="Times New Roman"/>
        </w:rPr>
        <w:t>:2021</w:t>
      </w:r>
      <w:r w:rsidR="003C345F" w:rsidRPr="00B06110">
        <w:rPr>
          <w:rFonts w:eastAsia="Times New Roman"/>
        </w:rPr>
        <w:t>:6688450. doi: 10.1155/2021/6688450.</w:t>
      </w:r>
    </w:p>
    <w:p w14:paraId="39DE20E8" w14:textId="6D005EE4" w:rsidR="003C345F" w:rsidRPr="00B06110" w:rsidRDefault="00993031" w:rsidP="00B06110">
      <w:pPr>
        <w:pStyle w:val="PargrafodaLista"/>
        <w:numPr>
          <w:ilvl w:val="0"/>
          <w:numId w:val="26"/>
        </w:numPr>
        <w:spacing w:after="160" w:line="240" w:lineRule="auto"/>
        <w:ind w:firstLineChars="0"/>
        <w:contextualSpacing/>
        <w:rPr>
          <w:rFonts w:eastAsia="Times New Roman"/>
        </w:rPr>
      </w:pPr>
      <w:r w:rsidRPr="00993031">
        <w:rPr>
          <w:rFonts w:eastAsia="Times New Roman"/>
        </w:rPr>
        <w:t>Rowland</w:t>
      </w:r>
      <w:r w:rsidR="00BF597F">
        <w:rPr>
          <w:rFonts w:eastAsia="Times New Roman"/>
        </w:rPr>
        <w:t>,</w:t>
      </w:r>
      <w:r w:rsidRPr="00993031">
        <w:rPr>
          <w:rFonts w:eastAsia="Times New Roman"/>
        </w:rPr>
        <w:t xml:space="preserve"> I</w:t>
      </w:r>
      <w:r w:rsidR="00BF597F">
        <w:rPr>
          <w:rFonts w:eastAsia="Times New Roman"/>
        </w:rPr>
        <w:t>.;</w:t>
      </w:r>
      <w:r w:rsidRPr="00993031">
        <w:rPr>
          <w:rFonts w:eastAsia="Times New Roman"/>
        </w:rPr>
        <w:t xml:space="preserve"> Gibson</w:t>
      </w:r>
      <w:r w:rsidR="00BF597F">
        <w:rPr>
          <w:rFonts w:eastAsia="Times New Roman"/>
        </w:rPr>
        <w:t>,</w:t>
      </w:r>
      <w:r w:rsidRPr="00993031">
        <w:rPr>
          <w:rFonts w:eastAsia="Times New Roman"/>
        </w:rPr>
        <w:t xml:space="preserve"> G</w:t>
      </w:r>
      <w:r w:rsidR="00BF597F">
        <w:rPr>
          <w:rFonts w:eastAsia="Times New Roman"/>
        </w:rPr>
        <w:t>.;</w:t>
      </w:r>
      <w:r w:rsidRPr="00993031">
        <w:rPr>
          <w:rFonts w:eastAsia="Times New Roman"/>
        </w:rPr>
        <w:t xml:space="preserve"> Heinken</w:t>
      </w:r>
      <w:r w:rsidR="00BF597F">
        <w:rPr>
          <w:rFonts w:eastAsia="Times New Roman"/>
        </w:rPr>
        <w:t>,</w:t>
      </w:r>
      <w:r w:rsidRPr="00993031">
        <w:rPr>
          <w:rFonts w:eastAsia="Times New Roman"/>
        </w:rPr>
        <w:t xml:space="preserve"> A</w:t>
      </w:r>
      <w:r w:rsidR="00BF597F">
        <w:rPr>
          <w:rFonts w:eastAsia="Times New Roman"/>
        </w:rPr>
        <w:t>.;</w:t>
      </w:r>
      <w:r w:rsidRPr="00993031">
        <w:rPr>
          <w:rFonts w:eastAsia="Times New Roman"/>
        </w:rPr>
        <w:t xml:space="preserve"> Scott</w:t>
      </w:r>
      <w:r w:rsidR="00BF597F">
        <w:rPr>
          <w:rFonts w:eastAsia="Times New Roman"/>
        </w:rPr>
        <w:t>,</w:t>
      </w:r>
      <w:r w:rsidRPr="00993031">
        <w:rPr>
          <w:rFonts w:eastAsia="Times New Roman"/>
        </w:rPr>
        <w:t xml:space="preserve"> K</w:t>
      </w:r>
      <w:r w:rsidR="00BF597F">
        <w:rPr>
          <w:rFonts w:eastAsia="Times New Roman"/>
        </w:rPr>
        <w:t>.;</w:t>
      </w:r>
      <w:r w:rsidRPr="00993031">
        <w:rPr>
          <w:rFonts w:eastAsia="Times New Roman"/>
        </w:rPr>
        <w:t xml:space="preserve"> Swann</w:t>
      </w:r>
      <w:r w:rsidR="00BF597F">
        <w:rPr>
          <w:rFonts w:eastAsia="Times New Roman"/>
        </w:rPr>
        <w:t>,</w:t>
      </w:r>
      <w:r w:rsidRPr="00993031">
        <w:rPr>
          <w:rFonts w:eastAsia="Times New Roman"/>
        </w:rPr>
        <w:t xml:space="preserve"> J</w:t>
      </w:r>
      <w:r w:rsidR="00BF597F">
        <w:rPr>
          <w:rFonts w:eastAsia="Times New Roman"/>
        </w:rPr>
        <w:t>.;</w:t>
      </w:r>
      <w:r w:rsidRPr="00993031">
        <w:rPr>
          <w:rFonts w:eastAsia="Times New Roman"/>
        </w:rPr>
        <w:t xml:space="preserve"> Thiele</w:t>
      </w:r>
      <w:r w:rsidR="00BF597F">
        <w:rPr>
          <w:rFonts w:eastAsia="Times New Roman"/>
        </w:rPr>
        <w:t>,</w:t>
      </w:r>
      <w:r w:rsidRPr="00993031">
        <w:rPr>
          <w:rFonts w:eastAsia="Times New Roman"/>
        </w:rPr>
        <w:t xml:space="preserve"> I</w:t>
      </w:r>
      <w:r w:rsidR="00BF597F">
        <w:rPr>
          <w:rFonts w:eastAsia="Times New Roman"/>
        </w:rPr>
        <w:t>.;</w:t>
      </w:r>
      <w:r w:rsidRPr="00993031">
        <w:rPr>
          <w:rFonts w:eastAsia="Times New Roman"/>
        </w:rPr>
        <w:t xml:space="preserve"> Tuohy</w:t>
      </w:r>
      <w:r w:rsidR="00BF597F">
        <w:rPr>
          <w:rFonts w:eastAsia="Times New Roman"/>
        </w:rPr>
        <w:t>,</w:t>
      </w:r>
      <w:r w:rsidRPr="00993031">
        <w:rPr>
          <w:rFonts w:eastAsia="Times New Roman"/>
        </w:rPr>
        <w:t xml:space="preserve"> K</w:t>
      </w:r>
      <w:r w:rsidR="003C345F" w:rsidRPr="00B06110">
        <w:rPr>
          <w:rFonts w:eastAsia="Times New Roman"/>
        </w:rPr>
        <w:t xml:space="preserve">. Gut microbiota functions: metabolism of nutrients and other food components. </w:t>
      </w:r>
      <w:r w:rsidR="003C345F" w:rsidRPr="00BF597F">
        <w:rPr>
          <w:rFonts w:eastAsia="Times New Roman"/>
          <w:i/>
          <w:iCs/>
        </w:rPr>
        <w:t>Eur J Nutr</w:t>
      </w:r>
      <w:r w:rsidR="003C345F" w:rsidRPr="00B06110">
        <w:rPr>
          <w:rFonts w:eastAsia="Times New Roman"/>
        </w:rPr>
        <w:t xml:space="preserve">. </w:t>
      </w:r>
      <w:r w:rsidR="003C345F" w:rsidRPr="00BF597F">
        <w:rPr>
          <w:rFonts w:eastAsia="Times New Roman"/>
          <w:b/>
          <w:bCs/>
        </w:rPr>
        <w:t>2018</w:t>
      </w:r>
      <w:r w:rsidR="003C345F" w:rsidRPr="00B06110">
        <w:rPr>
          <w:rFonts w:eastAsia="Times New Roman"/>
        </w:rPr>
        <w:t>; 57:1-24. doi: 10.1007/s00394-017-1445-8.</w:t>
      </w:r>
    </w:p>
    <w:p w14:paraId="19A12506" w14:textId="23BB6CE5"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Asemi</w:t>
      </w:r>
      <w:r w:rsidR="001B57D9">
        <w:rPr>
          <w:rFonts w:eastAsia="Times New Roman"/>
        </w:rPr>
        <w:t>,</w:t>
      </w:r>
      <w:r w:rsidRPr="00B06110">
        <w:rPr>
          <w:rFonts w:eastAsia="Times New Roman"/>
        </w:rPr>
        <w:t xml:space="preserve"> Z</w:t>
      </w:r>
      <w:r w:rsidR="001B57D9">
        <w:rPr>
          <w:rFonts w:eastAsia="Times New Roman"/>
        </w:rPr>
        <w:t>.;</w:t>
      </w:r>
      <w:r w:rsidRPr="00B06110">
        <w:rPr>
          <w:rFonts w:eastAsia="Times New Roman"/>
        </w:rPr>
        <w:t xml:space="preserve"> Zare</w:t>
      </w:r>
      <w:r w:rsidR="001B57D9">
        <w:rPr>
          <w:rFonts w:eastAsia="Times New Roman"/>
        </w:rPr>
        <w:t>,</w:t>
      </w:r>
      <w:r w:rsidRPr="00B06110">
        <w:rPr>
          <w:rFonts w:eastAsia="Times New Roman"/>
        </w:rPr>
        <w:t xml:space="preserve"> Z</w:t>
      </w:r>
      <w:r w:rsidR="001B57D9">
        <w:rPr>
          <w:rFonts w:eastAsia="Times New Roman"/>
        </w:rPr>
        <w:t>.;</w:t>
      </w:r>
      <w:r w:rsidRPr="00B06110">
        <w:rPr>
          <w:rFonts w:eastAsia="Times New Roman"/>
        </w:rPr>
        <w:t xml:space="preserve"> Shakeri</w:t>
      </w:r>
      <w:r w:rsidR="001B57D9">
        <w:rPr>
          <w:rFonts w:eastAsia="Times New Roman"/>
        </w:rPr>
        <w:t>,</w:t>
      </w:r>
      <w:r w:rsidRPr="00B06110">
        <w:rPr>
          <w:rFonts w:eastAsia="Times New Roman"/>
        </w:rPr>
        <w:t xml:space="preserve"> H</w:t>
      </w:r>
      <w:r w:rsidR="001B57D9">
        <w:rPr>
          <w:rFonts w:eastAsia="Times New Roman"/>
        </w:rPr>
        <w:t>.;</w:t>
      </w:r>
      <w:r w:rsidRPr="00B06110">
        <w:rPr>
          <w:rFonts w:eastAsia="Times New Roman"/>
        </w:rPr>
        <w:t xml:space="preserve"> Sabihi</w:t>
      </w:r>
      <w:r w:rsidR="001B57D9">
        <w:rPr>
          <w:rFonts w:eastAsia="Times New Roman"/>
        </w:rPr>
        <w:t>,</w:t>
      </w:r>
      <w:r w:rsidRPr="00B06110">
        <w:rPr>
          <w:rFonts w:eastAsia="Times New Roman"/>
        </w:rPr>
        <w:t xml:space="preserve"> S</w:t>
      </w:r>
      <w:r w:rsidR="001B57D9">
        <w:rPr>
          <w:rFonts w:eastAsia="Times New Roman"/>
        </w:rPr>
        <w:t>.</w:t>
      </w:r>
      <w:r w:rsidRPr="00B06110">
        <w:rPr>
          <w:rFonts w:eastAsia="Times New Roman"/>
        </w:rPr>
        <w:t>S</w:t>
      </w:r>
      <w:r w:rsidR="001B57D9">
        <w:rPr>
          <w:rFonts w:eastAsia="Times New Roman"/>
        </w:rPr>
        <w:t>.;</w:t>
      </w:r>
      <w:r w:rsidRPr="00B06110">
        <w:rPr>
          <w:rFonts w:eastAsia="Times New Roman"/>
        </w:rPr>
        <w:t xml:space="preserve"> Esmaillzadeh</w:t>
      </w:r>
      <w:r w:rsidR="001B57D9">
        <w:rPr>
          <w:rFonts w:eastAsia="Times New Roman"/>
        </w:rPr>
        <w:t>,</w:t>
      </w:r>
      <w:r w:rsidRPr="00B06110">
        <w:rPr>
          <w:rFonts w:eastAsia="Times New Roman"/>
        </w:rPr>
        <w:t xml:space="preserve"> A. Effect of multispecies probiotic supplements on metabolic profiles, hs-CRP, and oxidative stress in patients with type 2 diabetes. </w:t>
      </w:r>
      <w:r w:rsidRPr="00B86981">
        <w:rPr>
          <w:rFonts w:eastAsia="Times New Roman"/>
          <w:i/>
          <w:iCs/>
        </w:rPr>
        <w:t>Ann Nutr Metab</w:t>
      </w:r>
      <w:r w:rsidRPr="00B06110">
        <w:rPr>
          <w:rFonts w:eastAsia="Times New Roman"/>
        </w:rPr>
        <w:t xml:space="preserve">. </w:t>
      </w:r>
      <w:r w:rsidRPr="00B86981">
        <w:rPr>
          <w:rFonts w:eastAsia="Times New Roman"/>
          <w:b/>
          <w:bCs/>
        </w:rPr>
        <w:t>2013</w:t>
      </w:r>
      <w:r w:rsidRPr="00B06110">
        <w:rPr>
          <w:rFonts w:eastAsia="Times New Roman"/>
        </w:rPr>
        <w:t>; 63:1-9. doi: 10.1159/000349922.</w:t>
      </w:r>
    </w:p>
    <w:p w14:paraId="56160842" w14:textId="5D5788D4" w:rsidR="003C345F" w:rsidRPr="00B06110" w:rsidRDefault="00C542D0" w:rsidP="00B06110">
      <w:pPr>
        <w:pStyle w:val="PargrafodaLista"/>
        <w:numPr>
          <w:ilvl w:val="0"/>
          <w:numId w:val="26"/>
        </w:numPr>
        <w:spacing w:after="160" w:line="240" w:lineRule="auto"/>
        <w:ind w:firstLineChars="0"/>
        <w:contextualSpacing/>
        <w:rPr>
          <w:rFonts w:eastAsia="Times New Roman"/>
        </w:rPr>
      </w:pPr>
      <w:r w:rsidRPr="00C542D0">
        <w:rPr>
          <w:rFonts w:eastAsia="Times New Roman"/>
        </w:rPr>
        <w:t>Perna</w:t>
      </w:r>
      <w:r w:rsidR="001B57D9">
        <w:rPr>
          <w:rFonts w:eastAsia="Times New Roman"/>
        </w:rPr>
        <w:t>,</w:t>
      </w:r>
      <w:r w:rsidRPr="00C542D0">
        <w:rPr>
          <w:rFonts w:eastAsia="Times New Roman"/>
        </w:rPr>
        <w:t xml:space="preserve"> S</w:t>
      </w:r>
      <w:r w:rsidR="001B57D9">
        <w:rPr>
          <w:rFonts w:eastAsia="Times New Roman"/>
        </w:rPr>
        <w:t>.;</w:t>
      </w:r>
      <w:r w:rsidRPr="00C542D0">
        <w:rPr>
          <w:rFonts w:eastAsia="Times New Roman"/>
        </w:rPr>
        <w:t xml:space="preserve"> Ilyas</w:t>
      </w:r>
      <w:r w:rsidR="001B57D9">
        <w:rPr>
          <w:rFonts w:eastAsia="Times New Roman"/>
        </w:rPr>
        <w:t>,</w:t>
      </w:r>
      <w:r w:rsidRPr="00C542D0">
        <w:rPr>
          <w:rFonts w:eastAsia="Times New Roman"/>
        </w:rPr>
        <w:t xml:space="preserve"> Z</w:t>
      </w:r>
      <w:r w:rsidR="001B57D9">
        <w:rPr>
          <w:rFonts w:eastAsia="Times New Roman"/>
        </w:rPr>
        <w:t>.;</w:t>
      </w:r>
      <w:r w:rsidRPr="00C542D0">
        <w:rPr>
          <w:rFonts w:eastAsia="Times New Roman"/>
        </w:rPr>
        <w:t xml:space="preserve"> Giacosa</w:t>
      </w:r>
      <w:r w:rsidR="001B57D9">
        <w:rPr>
          <w:rFonts w:eastAsia="Times New Roman"/>
        </w:rPr>
        <w:t>,</w:t>
      </w:r>
      <w:r w:rsidRPr="00C542D0">
        <w:rPr>
          <w:rFonts w:eastAsia="Times New Roman"/>
        </w:rPr>
        <w:t xml:space="preserve"> A</w:t>
      </w:r>
      <w:r w:rsidR="001B57D9">
        <w:rPr>
          <w:rFonts w:eastAsia="Times New Roman"/>
        </w:rPr>
        <w:t>.;</w:t>
      </w:r>
      <w:r w:rsidRPr="00C542D0">
        <w:rPr>
          <w:rFonts w:eastAsia="Times New Roman"/>
        </w:rPr>
        <w:t xml:space="preserve"> Gasparri</w:t>
      </w:r>
      <w:r w:rsidR="001B57D9">
        <w:rPr>
          <w:rFonts w:eastAsia="Times New Roman"/>
        </w:rPr>
        <w:t>,</w:t>
      </w:r>
      <w:r w:rsidRPr="00C542D0">
        <w:rPr>
          <w:rFonts w:eastAsia="Times New Roman"/>
        </w:rPr>
        <w:t xml:space="preserve"> C</w:t>
      </w:r>
      <w:r w:rsidR="001B57D9">
        <w:rPr>
          <w:rFonts w:eastAsia="Times New Roman"/>
        </w:rPr>
        <w:t>.;</w:t>
      </w:r>
      <w:r w:rsidRPr="00C542D0">
        <w:rPr>
          <w:rFonts w:eastAsia="Times New Roman"/>
        </w:rPr>
        <w:t xml:space="preserve"> Peroni</w:t>
      </w:r>
      <w:r w:rsidR="001B57D9">
        <w:rPr>
          <w:rFonts w:eastAsia="Times New Roman"/>
        </w:rPr>
        <w:t>,</w:t>
      </w:r>
      <w:r w:rsidRPr="00C542D0">
        <w:rPr>
          <w:rFonts w:eastAsia="Times New Roman"/>
        </w:rPr>
        <w:t xml:space="preserve"> G</w:t>
      </w:r>
      <w:r w:rsidR="001B57D9">
        <w:rPr>
          <w:rFonts w:eastAsia="Times New Roman"/>
        </w:rPr>
        <w:t>.;</w:t>
      </w:r>
      <w:r w:rsidRPr="00C542D0">
        <w:rPr>
          <w:rFonts w:eastAsia="Times New Roman"/>
        </w:rPr>
        <w:t xml:space="preserve"> Faliva</w:t>
      </w:r>
      <w:r w:rsidR="001B57D9">
        <w:rPr>
          <w:rFonts w:eastAsia="Times New Roman"/>
        </w:rPr>
        <w:t>,</w:t>
      </w:r>
      <w:r w:rsidRPr="00C542D0">
        <w:rPr>
          <w:rFonts w:eastAsia="Times New Roman"/>
        </w:rPr>
        <w:t xml:space="preserve"> M</w:t>
      </w:r>
      <w:r w:rsidR="001B57D9">
        <w:rPr>
          <w:rFonts w:eastAsia="Times New Roman"/>
        </w:rPr>
        <w:t>.</w:t>
      </w:r>
      <w:r w:rsidRPr="00C542D0">
        <w:rPr>
          <w:rFonts w:eastAsia="Times New Roman"/>
        </w:rPr>
        <w:t>A</w:t>
      </w:r>
      <w:r w:rsidR="001B57D9">
        <w:rPr>
          <w:rFonts w:eastAsia="Times New Roman"/>
        </w:rPr>
        <w:t>.;</w:t>
      </w:r>
      <w:r w:rsidRPr="00C542D0">
        <w:rPr>
          <w:rFonts w:eastAsia="Times New Roman"/>
        </w:rPr>
        <w:t xml:space="preserve"> Rigon</w:t>
      </w:r>
      <w:r w:rsidR="001B57D9">
        <w:rPr>
          <w:rFonts w:eastAsia="Times New Roman"/>
        </w:rPr>
        <w:t>,</w:t>
      </w:r>
      <w:r w:rsidRPr="00C542D0">
        <w:rPr>
          <w:rFonts w:eastAsia="Times New Roman"/>
        </w:rPr>
        <w:t xml:space="preserve"> C</w:t>
      </w:r>
      <w:r w:rsidR="001B57D9">
        <w:rPr>
          <w:rFonts w:eastAsia="Times New Roman"/>
        </w:rPr>
        <w:t>.;</w:t>
      </w:r>
      <w:r w:rsidRPr="00C542D0">
        <w:rPr>
          <w:rFonts w:eastAsia="Times New Roman"/>
        </w:rPr>
        <w:t xml:space="preserve"> Naso</w:t>
      </w:r>
      <w:r w:rsidR="001B57D9">
        <w:rPr>
          <w:rFonts w:eastAsia="Times New Roman"/>
        </w:rPr>
        <w:t>,</w:t>
      </w:r>
      <w:r w:rsidRPr="00C542D0">
        <w:rPr>
          <w:rFonts w:eastAsia="Times New Roman"/>
        </w:rPr>
        <w:t xml:space="preserve"> M</w:t>
      </w:r>
      <w:r w:rsidR="001B57D9">
        <w:rPr>
          <w:rFonts w:eastAsia="Times New Roman"/>
        </w:rPr>
        <w:t>.;</w:t>
      </w:r>
      <w:r w:rsidRPr="00C542D0">
        <w:rPr>
          <w:rFonts w:eastAsia="Times New Roman"/>
        </w:rPr>
        <w:t xml:space="preserve"> Riva</w:t>
      </w:r>
      <w:r w:rsidR="001B57D9">
        <w:rPr>
          <w:rFonts w:eastAsia="Times New Roman"/>
        </w:rPr>
        <w:t>,</w:t>
      </w:r>
      <w:r w:rsidRPr="00C542D0">
        <w:rPr>
          <w:rFonts w:eastAsia="Times New Roman"/>
        </w:rPr>
        <w:t xml:space="preserve"> A</w:t>
      </w:r>
      <w:r w:rsidR="001B57D9">
        <w:rPr>
          <w:rFonts w:eastAsia="Times New Roman"/>
        </w:rPr>
        <w:t>.;</w:t>
      </w:r>
      <w:r w:rsidRPr="00C542D0">
        <w:rPr>
          <w:rFonts w:eastAsia="Times New Roman"/>
        </w:rPr>
        <w:t xml:space="preserve"> Petrangolini</w:t>
      </w:r>
      <w:r w:rsidR="001B57D9">
        <w:rPr>
          <w:rFonts w:eastAsia="Times New Roman"/>
        </w:rPr>
        <w:t>,</w:t>
      </w:r>
      <w:r w:rsidRPr="00C542D0">
        <w:rPr>
          <w:rFonts w:eastAsia="Times New Roman"/>
        </w:rPr>
        <w:t xml:space="preserve"> G</w:t>
      </w:r>
      <w:r w:rsidR="001B57D9">
        <w:rPr>
          <w:rFonts w:eastAsia="Times New Roman"/>
        </w:rPr>
        <w:t>.;</w:t>
      </w:r>
      <w:r w:rsidRPr="00C542D0">
        <w:rPr>
          <w:rFonts w:eastAsia="Times New Roman"/>
        </w:rPr>
        <w:t xml:space="preserve"> Redha</w:t>
      </w:r>
      <w:r w:rsidR="009E580F">
        <w:rPr>
          <w:rFonts w:eastAsia="Times New Roman"/>
        </w:rPr>
        <w:t>,</w:t>
      </w:r>
      <w:r w:rsidRPr="00C542D0">
        <w:rPr>
          <w:rFonts w:eastAsia="Times New Roman"/>
        </w:rPr>
        <w:t xml:space="preserve"> A</w:t>
      </w:r>
      <w:r w:rsidR="009E580F">
        <w:rPr>
          <w:rFonts w:eastAsia="Times New Roman"/>
        </w:rPr>
        <w:t>.A.;</w:t>
      </w:r>
      <w:r w:rsidRPr="00C542D0">
        <w:rPr>
          <w:rFonts w:eastAsia="Times New Roman"/>
        </w:rPr>
        <w:t xml:space="preserve"> Rondanelli</w:t>
      </w:r>
      <w:r w:rsidR="001B57D9">
        <w:rPr>
          <w:rFonts w:eastAsia="Times New Roman"/>
        </w:rPr>
        <w:t>,</w:t>
      </w:r>
      <w:r w:rsidRPr="00C542D0">
        <w:rPr>
          <w:rFonts w:eastAsia="Times New Roman"/>
        </w:rPr>
        <w:t xml:space="preserve"> M.</w:t>
      </w:r>
      <w:r>
        <w:rPr>
          <w:rFonts w:eastAsia="Times New Roman"/>
        </w:rPr>
        <w:t xml:space="preserve"> </w:t>
      </w:r>
      <w:r w:rsidR="003C345F" w:rsidRPr="00B06110">
        <w:rPr>
          <w:rFonts w:eastAsia="Times New Roman"/>
        </w:rPr>
        <w:t xml:space="preserve">Is Probiotic Supplementation Useful for the Management of Body Weight and Other Anthropometric Measures in Adults Affected by Overweight and Obesity with Metabolic Related Diseases? A Systematic Review and Meta-Analysis. </w:t>
      </w:r>
      <w:r w:rsidR="003C345F" w:rsidRPr="009E580F">
        <w:rPr>
          <w:rFonts w:eastAsia="Times New Roman"/>
          <w:i/>
          <w:iCs/>
        </w:rPr>
        <w:t>Nutrients</w:t>
      </w:r>
      <w:r w:rsidR="003C345F" w:rsidRPr="00B06110">
        <w:rPr>
          <w:rFonts w:eastAsia="Times New Roman"/>
        </w:rPr>
        <w:t xml:space="preserve">. </w:t>
      </w:r>
      <w:r w:rsidR="003C345F" w:rsidRPr="009E580F">
        <w:rPr>
          <w:rFonts w:eastAsia="Times New Roman"/>
          <w:b/>
          <w:bCs/>
        </w:rPr>
        <w:t>2021</w:t>
      </w:r>
      <w:r w:rsidR="003C345F" w:rsidRPr="00B06110">
        <w:rPr>
          <w:rFonts w:eastAsia="Times New Roman"/>
        </w:rPr>
        <w:t>; 13:666. doi: 10.3390/nu13020666.</w:t>
      </w:r>
    </w:p>
    <w:p w14:paraId="2647A4D8" w14:textId="2AC4AA02"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Fontané</w:t>
      </w:r>
      <w:r w:rsidR="007A1EA9">
        <w:rPr>
          <w:rFonts w:eastAsia="Times New Roman"/>
        </w:rPr>
        <w:t>,</w:t>
      </w:r>
      <w:r w:rsidRPr="00B06110">
        <w:rPr>
          <w:rFonts w:eastAsia="Times New Roman"/>
        </w:rPr>
        <w:t xml:space="preserve"> L</w:t>
      </w:r>
      <w:r w:rsidR="007A1EA9">
        <w:rPr>
          <w:rFonts w:eastAsia="Times New Roman"/>
        </w:rPr>
        <w:t>.;</w:t>
      </w:r>
      <w:r w:rsidRPr="00B06110">
        <w:rPr>
          <w:rFonts w:eastAsia="Times New Roman"/>
        </w:rPr>
        <w:t xml:space="preserve"> Benaiges</w:t>
      </w:r>
      <w:r w:rsidR="007A1EA9">
        <w:rPr>
          <w:rFonts w:eastAsia="Times New Roman"/>
        </w:rPr>
        <w:t>,</w:t>
      </w:r>
      <w:r w:rsidRPr="00B06110">
        <w:rPr>
          <w:rFonts w:eastAsia="Times New Roman"/>
        </w:rPr>
        <w:t xml:space="preserve"> D</w:t>
      </w:r>
      <w:r w:rsidR="007A1EA9">
        <w:rPr>
          <w:rFonts w:eastAsia="Times New Roman"/>
        </w:rPr>
        <w:t>.;</w:t>
      </w:r>
      <w:r w:rsidRPr="00B06110">
        <w:rPr>
          <w:rFonts w:eastAsia="Times New Roman"/>
        </w:rPr>
        <w:t xml:space="preserve"> Goday</w:t>
      </w:r>
      <w:r w:rsidR="007A1EA9">
        <w:rPr>
          <w:rFonts w:eastAsia="Times New Roman"/>
        </w:rPr>
        <w:t>,</w:t>
      </w:r>
      <w:r w:rsidRPr="00B06110">
        <w:rPr>
          <w:rFonts w:eastAsia="Times New Roman"/>
        </w:rPr>
        <w:t xml:space="preserve"> A</w:t>
      </w:r>
      <w:r w:rsidR="007A1EA9">
        <w:rPr>
          <w:rFonts w:eastAsia="Times New Roman"/>
        </w:rPr>
        <w:t>.;</w:t>
      </w:r>
      <w:r w:rsidRPr="00B06110">
        <w:rPr>
          <w:rFonts w:eastAsia="Times New Roman"/>
        </w:rPr>
        <w:t xml:space="preserve"> Llauradó</w:t>
      </w:r>
      <w:r w:rsidR="007A1EA9">
        <w:rPr>
          <w:rFonts w:eastAsia="Times New Roman"/>
        </w:rPr>
        <w:t>,</w:t>
      </w:r>
      <w:r w:rsidRPr="00B06110">
        <w:rPr>
          <w:rFonts w:eastAsia="Times New Roman"/>
        </w:rPr>
        <w:t xml:space="preserve"> G</w:t>
      </w:r>
      <w:r w:rsidR="007A1EA9">
        <w:rPr>
          <w:rFonts w:eastAsia="Times New Roman"/>
        </w:rPr>
        <w:t>.;</w:t>
      </w:r>
      <w:r w:rsidRPr="00B06110">
        <w:rPr>
          <w:rFonts w:eastAsia="Times New Roman"/>
        </w:rPr>
        <w:t xml:space="preserve"> Pedro-Boteta</w:t>
      </w:r>
      <w:r w:rsidR="007A1EA9">
        <w:rPr>
          <w:rFonts w:eastAsia="Times New Roman"/>
        </w:rPr>
        <w:t>,</w:t>
      </w:r>
      <w:r w:rsidRPr="00B06110">
        <w:rPr>
          <w:rFonts w:eastAsia="Times New Roman"/>
        </w:rPr>
        <w:t xml:space="preserve"> J. Influence of microbiota and probiotics on obesity. </w:t>
      </w:r>
      <w:r w:rsidRPr="009E580F">
        <w:rPr>
          <w:rFonts w:eastAsia="Times New Roman"/>
          <w:i/>
          <w:iCs/>
        </w:rPr>
        <w:t>Clin Investig Arterioscler</w:t>
      </w:r>
      <w:r w:rsidRPr="00B06110">
        <w:rPr>
          <w:rFonts w:eastAsia="Times New Roman"/>
        </w:rPr>
        <w:t xml:space="preserve">. </w:t>
      </w:r>
      <w:r w:rsidRPr="009E580F">
        <w:rPr>
          <w:rFonts w:eastAsia="Times New Roman"/>
          <w:b/>
          <w:bCs/>
        </w:rPr>
        <w:t>2018</w:t>
      </w:r>
      <w:r w:rsidRPr="00B06110">
        <w:rPr>
          <w:rFonts w:eastAsia="Times New Roman"/>
        </w:rPr>
        <w:t xml:space="preserve">; 30:271-279. </w:t>
      </w:r>
      <w:r w:rsidRPr="00B06110">
        <w:rPr>
          <w:color w:val="212121"/>
          <w:shd w:val="clear" w:color="auto" w:fill="FFFFFF"/>
        </w:rPr>
        <w:t>doi: 10.1016/j.arteri.2018.03.004.</w:t>
      </w:r>
    </w:p>
    <w:p w14:paraId="258BB648" w14:textId="1ADBD9C2" w:rsidR="003C345F" w:rsidRPr="00B06110" w:rsidRDefault="006817AE" w:rsidP="00B06110">
      <w:pPr>
        <w:pStyle w:val="PargrafodaLista"/>
        <w:numPr>
          <w:ilvl w:val="0"/>
          <w:numId w:val="26"/>
        </w:numPr>
        <w:spacing w:after="160" w:line="240" w:lineRule="auto"/>
        <w:ind w:firstLineChars="0"/>
        <w:contextualSpacing/>
        <w:rPr>
          <w:rFonts w:eastAsia="Times New Roman"/>
        </w:rPr>
      </w:pPr>
      <w:r w:rsidRPr="006817AE">
        <w:rPr>
          <w:rFonts w:eastAsia="Times New Roman"/>
        </w:rPr>
        <w:t>Rehman</w:t>
      </w:r>
      <w:r w:rsidR="007A1EA9">
        <w:rPr>
          <w:rFonts w:eastAsia="Times New Roman"/>
        </w:rPr>
        <w:t>,</w:t>
      </w:r>
      <w:r w:rsidRPr="006817AE">
        <w:rPr>
          <w:rFonts w:eastAsia="Times New Roman"/>
        </w:rPr>
        <w:t xml:space="preserve"> A</w:t>
      </w:r>
      <w:r w:rsidR="007A1EA9">
        <w:rPr>
          <w:rFonts w:eastAsia="Times New Roman"/>
        </w:rPr>
        <w:t>.;</w:t>
      </w:r>
      <w:r w:rsidRPr="006817AE">
        <w:rPr>
          <w:rFonts w:eastAsia="Times New Roman"/>
        </w:rPr>
        <w:t xml:space="preserve"> Tyree</w:t>
      </w:r>
      <w:r w:rsidR="007A1EA9">
        <w:rPr>
          <w:rFonts w:eastAsia="Times New Roman"/>
        </w:rPr>
        <w:t>,</w:t>
      </w:r>
      <w:r w:rsidRPr="006817AE">
        <w:rPr>
          <w:rFonts w:eastAsia="Times New Roman"/>
        </w:rPr>
        <w:t xml:space="preserve"> S</w:t>
      </w:r>
      <w:r w:rsidR="007A1EA9">
        <w:rPr>
          <w:rFonts w:eastAsia="Times New Roman"/>
        </w:rPr>
        <w:t>.</w:t>
      </w:r>
      <w:r w:rsidRPr="006817AE">
        <w:rPr>
          <w:rFonts w:eastAsia="Times New Roman"/>
        </w:rPr>
        <w:t>M</w:t>
      </w:r>
      <w:r w:rsidR="007A1EA9">
        <w:rPr>
          <w:rFonts w:eastAsia="Times New Roman"/>
        </w:rPr>
        <w:t>.;</w:t>
      </w:r>
      <w:r w:rsidRPr="006817AE">
        <w:rPr>
          <w:rFonts w:eastAsia="Times New Roman"/>
        </w:rPr>
        <w:t xml:space="preserve"> Fehlbaum</w:t>
      </w:r>
      <w:r w:rsidR="007A1EA9">
        <w:rPr>
          <w:rFonts w:eastAsia="Times New Roman"/>
        </w:rPr>
        <w:t>,</w:t>
      </w:r>
      <w:r w:rsidRPr="006817AE">
        <w:rPr>
          <w:rFonts w:eastAsia="Times New Roman"/>
        </w:rPr>
        <w:t xml:space="preserve"> S</w:t>
      </w:r>
      <w:r w:rsidR="007A1EA9">
        <w:rPr>
          <w:rFonts w:eastAsia="Times New Roman"/>
        </w:rPr>
        <w:t>.;</w:t>
      </w:r>
      <w:r w:rsidRPr="006817AE">
        <w:rPr>
          <w:rFonts w:eastAsia="Times New Roman"/>
        </w:rPr>
        <w:t xml:space="preserve"> DunnGalvin</w:t>
      </w:r>
      <w:r w:rsidR="007A1EA9">
        <w:rPr>
          <w:rFonts w:eastAsia="Times New Roman"/>
        </w:rPr>
        <w:t>,</w:t>
      </w:r>
      <w:r w:rsidRPr="006817AE">
        <w:rPr>
          <w:rFonts w:eastAsia="Times New Roman"/>
        </w:rPr>
        <w:t xml:space="preserve"> G</w:t>
      </w:r>
      <w:r w:rsidR="007A1EA9">
        <w:rPr>
          <w:rFonts w:eastAsia="Times New Roman"/>
        </w:rPr>
        <w:t>.;</w:t>
      </w:r>
      <w:r w:rsidRPr="006817AE">
        <w:rPr>
          <w:rFonts w:eastAsia="Times New Roman"/>
        </w:rPr>
        <w:t xml:space="preserve"> Panagos</w:t>
      </w:r>
      <w:r w:rsidR="007A1EA9">
        <w:rPr>
          <w:rFonts w:eastAsia="Times New Roman"/>
        </w:rPr>
        <w:t>,</w:t>
      </w:r>
      <w:r w:rsidRPr="006817AE">
        <w:rPr>
          <w:rFonts w:eastAsia="Times New Roman"/>
        </w:rPr>
        <w:t xml:space="preserve"> C</w:t>
      </w:r>
      <w:r w:rsidR="007A1EA9">
        <w:rPr>
          <w:rFonts w:eastAsia="Times New Roman"/>
        </w:rPr>
        <w:t>.</w:t>
      </w:r>
      <w:r w:rsidRPr="006817AE">
        <w:rPr>
          <w:rFonts w:eastAsia="Times New Roman"/>
        </w:rPr>
        <w:t>G</w:t>
      </w:r>
      <w:r w:rsidR="007A1EA9">
        <w:rPr>
          <w:rFonts w:eastAsia="Times New Roman"/>
        </w:rPr>
        <w:t>.;</w:t>
      </w:r>
      <w:r w:rsidRPr="006817AE">
        <w:rPr>
          <w:rFonts w:eastAsia="Times New Roman"/>
        </w:rPr>
        <w:t xml:space="preserve"> Guy</w:t>
      </w:r>
      <w:r w:rsidR="007A1EA9">
        <w:rPr>
          <w:rFonts w:eastAsia="Times New Roman"/>
        </w:rPr>
        <w:t>,</w:t>
      </w:r>
      <w:r w:rsidRPr="006817AE">
        <w:rPr>
          <w:rFonts w:eastAsia="Times New Roman"/>
        </w:rPr>
        <w:t xml:space="preserve"> B</w:t>
      </w:r>
      <w:r w:rsidR="007A1EA9">
        <w:rPr>
          <w:rFonts w:eastAsia="Times New Roman"/>
        </w:rPr>
        <w:t>.;</w:t>
      </w:r>
      <w:r w:rsidRPr="006817AE">
        <w:rPr>
          <w:rFonts w:eastAsia="Times New Roman"/>
        </w:rPr>
        <w:t xml:space="preserve"> Patel</w:t>
      </w:r>
      <w:r w:rsidR="007A1EA9">
        <w:rPr>
          <w:rFonts w:eastAsia="Times New Roman"/>
        </w:rPr>
        <w:t>,</w:t>
      </w:r>
      <w:r w:rsidRPr="006817AE">
        <w:rPr>
          <w:rFonts w:eastAsia="Times New Roman"/>
        </w:rPr>
        <w:t xml:space="preserve"> S</w:t>
      </w:r>
      <w:r w:rsidR="007A1EA9">
        <w:rPr>
          <w:rFonts w:eastAsia="Times New Roman"/>
        </w:rPr>
        <w:t>.;</w:t>
      </w:r>
      <w:r w:rsidRPr="006817AE">
        <w:rPr>
          <w:rFonts w:eastAsia="Times New Roman"/>
        </w:rPr>
        <w:t xml:space="preserve"> Dinan</w:t>
      </w:r>
      <w:r w:rsidR="007A1EA9">
        <w:rPr>
          <w:rFonts w:eastAsia="Times New Roman"/>
        </w:rPr>
        <w:t>,</w:t>
      </w:r>
      <w:r w:rsidRPr="006817AE">
        <w:rPr>
          <w:rFonts w:eastAsia="Times New Roman"/>
        </w:rPr>
        <w:t xml:space="preserve"> T</w:t>
      </w:r>
      <w:r w:rsidR="007A1EA9">
        <w:rPr>
          <w:rFonts w:eastAsia="Times New Roman"/>
        </w:rPr>
        <w:t>.</w:t>
      </w:r>
      <w:r w:rsidRPr="006817AE">
        <w:rPr>
          <w:rFonts w:eastAsia="Times New Roman"/>
        </w:rPr>
        <w:t>G</w:t>
      </w:r>
      <w:r w:rsidR="007A1EA9">
        <w:rPr>
          <w:rFonts w:eastAsia="Times New Roman"/>
        </w:rPr>
        <w:t>.;</w:t>
      </w:r>
      <w:r w:rsidRPr="006817AE">
        <w:rPr>
          <w:rFonts w:eastAsia="Times New Roman"/>
        </w:rPr>
        <w:t xml:space="preserve"> Duttaroy</w:t>
      </w:r>
      <w:r w:rsidR="007A1EA9">
        <w:rPr>
          <w:rFonts w:eastAsia="Times New Roman"/>
        </w:rPr>
        <w:t>,</w:t>
      </w:r>
      <w:r w:rsidRPr="006817AE">
        <w:rPr>
          <w:rFonts w:eastAsia="Times New Roman"/>
        </w:rPr>
        <w:t xml:space="preserve"> A</w:t>
      </w:r>
      <w:r w:rsidR="007A1EA9">
        <w:rPr>
          <w:rFonts w:eastAsia="Times New Roman"/>
        </w:rPr>
        <w:t>.</w:t>
      </w:r>
      <w:r w:rsidRPr="006817AE">
        <w:rPr>
          <w:rFonts w:eastAsia="Times New Roman"/>
        </w:rPr>
        <w:t>K</w:t>
      </w:r>
      <w:r w:rsidR="007A1EA9">
        <w:rPr>
          <w:rFonts w:eastAsia="Times New Roman"/>
        </w:rPr>
        <w:t>.;</w:t>
      </w:r>
      <w:r w:rsidRPr="006817AE">
        <w:rPr>
          <w:rFonts w:eastAsia="Times New Roman"/>
        </w:rPr>
        <w:t xml:space="preserve"> Duss</w:t>
      </w:r>
      <w:r w:rsidR="007A1EA9">
        <w:rPr>
          <w:rFonts w:eastAsia="Times New Roman"/>
        </w:rPr>
        <w:t>,</w:t>
      </w:r>
      <w:r w:rsidRPr="006817AE">
        <w:rPr>
          <w:rFonts w:eastAsia="Times New Roman"/>
        </w:rPr>
        <w:t xml:space="preserve"> R</w:t>
      </w:r>
      <w:r w:rsidR="007A1EA9">
        <w:rPr>
          <w:rFonts w:eastAsia="Times New Roman"/>
        </w:rPr>
        <w:t>.;</w:t>
      </w:r>
      <w:r w:rsidRPr="006817AE">
        <w:rPr>
          <w:rFonts w:eastAsia="Times New Roman"/>
        </w:rPr>
        <w:t xml:space="preserve"> Steinert</w:t>
      </w:r>
      <w:r w:rsidR="007A1EA9">
        <w:rPr>
          <w:rFonts w:eastAsia="Times New Roman"/>
        </w:rPr>
        <w:t>,</w:t>
      </w:r>
      <w:r w:rsidRPr="006817AE">
        <w:rPr>
          <w:rFonts w:eastAsia="Times New Roman"/>
        </w:rPr>
        <w:t xml:space="preserve"> R</w:t>
      </w:r>
      <w:r w:rsidR="007A1EA9">
        <w:rPr>
          <w:rFonts w:eastAsia="Times New Roman"/>
        </w:rPr>
        <w:t>.</w:t>
      </w:r>
      <w:r w:rsidRPr="006817AE">
        <w:rPr>
          <w:rFonts w:eastAsia="Times New Roman"/>
        </w:rPr>
        <w:t>E</w:t>
      </w:r>
      <w:r w:rsidR="003C345F" w:rsidRPr="00B06110">
        <w:rPr>
          <w:rFonts w:eastAsia="Times New Roman"/>
        </w:rPr>
        <w:t xml:space="preserve">. A water-soluble tomato extract rich in secondary plant metabolites lowers </w:t>
      </w:r>
      <w:r w:rsidR="003C345F" w:rsidRPr="00B06110">
        <w:rPr>
          <w:rFonts w:eastAsia="Times New Roman"/>
        </w:rPr>
        <w:lastRenderedPageBreak/>
        <w:t>trimethylamine-n-oxide and modulates gut microbiota: a randomized, double-blind, placebo-controlled cross-over study in overweight and obese adults.</w:t>
      </w:r>
      <w:r w:rsidR="002C097D">
        <w:rPr>
          <w:rFonts w:eastAsia="Times New Roman"/>
        </w:rPr>
        <w:t xml:space="preserve"> </w:t>
      </w:r>
      <w:r w:rsidR="003C345F" w:rsidRPr="002C097D">
        <w:rPr>
          <w:rFonts w:eastAsia="Times New Roman"/>
          <w:i/>
          <w:iCs/>
        </w:rPr>
        <w:t>J</w:t>
      </w:r>
      <w:r w:rsidR="002C097D" w:rsidRPr="002C097D">
        <w:rPr>
          <w:rFonts w:eastAsia="Times New Roman"/>
          <w:i/>
          <w:iCs/>
        </w:rPr>
        <w:t xml:space="preserve"> </w:t>
      </w:r>
      <w:r w:rsidR="003C345F" w:rsidRPr="002C097D">
        <w:rPr>
          <w:rFonts w:eastAsia="Times New Roman"/>
          <w:i/>
          <w:iCs/>
        </w:rPr>
        <w:t>Nut</w:t>
      </w:r>
      <w:r w:rsidR="003C345F" w:rsidRPr="00B06110">
        <w:rPr>
          <w:rFonts w:eastAsia="Times New Roman"/>
        </w:rPr>
        <w:t xml:space="preserve">. </w:t>
      </w:r>
      <w:r w:rsidR="003C345F" w:rsidRPr="002C097D">
        <w:rPr>
          <w:rFonts w:eastAsia="Times New Roman"/>
          <w:b/>
          <w:bCs/>
        </w:rPr>
        <w:t>2023</w:t>
      </w:r>
      <w:r w:rsidR="003C345F" w:rsidRPr="00B06110">
        <w:rPr>
          <w:rFonts w:eastAsia="Times New Roman"/>
        </w:rPr>
        <w:t xml:space="preserve">; 153:96–105. </w:t>
      </w:r>
      <w:hyperlink r:id="rId30">
        <w:r w:rsidR="003C345F" w:rsidRPr="00B06110">
          <w:rPr>
            <w:rStyle w:val="Hyperlink"/>
            <w:color w:val="auto"/>
            <w:u w:val="none"/>
          </w:rPr>
          <w:t>doi:10.1016/j.tjnut.2022.11.009</w:t>
        </w:r>
      </w:hyperlink>
      <w:r w:rsidR="003C345F" w:rsidRPr="00B06110">
        <w:rPr>
          <w:rFonts w:eastAsia="Times New Roman"/>
        </w:rPr>
        <w:t>.</w:t>
      </w:r>
    </w:p>
    <w:p w14:paraId="7BDCAA64" w14:textId="6BFB1BFE" w:rsidR="003C345F" w:rsidRPr="00B06110" w:rsidRDefault="00326F13" w:rsidP="00B06110">
      <w:pPr>
        <w:pStyle w:val="PargrafodaLista"/>
        <w:numPr>
          <w:ilvl w:val="0"/>
          <w:numId w:val="26"/>
        </w:numPr>
        <w:spacing w:after="160" w:line="240" w:lineRule="auto"/>
        <w:ind w:firstLineChars="0"/>
        <w:contextualSpacing/>
        <w:rPr>
          <w:rFonts w:eastAsia="Times New Roman"/>
        </w:rPr>
      </w:pPr>
      <w:r w:rsidRPr="00326F13">
        <w:rPr>
          <w:rFonts w:eastAsia="Times New Roman"/>
        </w:rPr>
        <w:t>Vallianou</w:t>
      </w:r>
      <w:r w:rsidR="009D3246">
        <w:rPr>
          <w:rFonts w:eastAsia="Times New Roman"/>
        </w:rPr>
        <w:t>,</w:t>
      </w:r>
      <w:r w:rsidRPr="00326F13">
        <w:rPr>
          <w:rFonts w:eastAsia="Times New Roman"/>
        </w:rPr>
        <w:t xml:space="preserve"> N</w:t>
      </w:r>
      <w:r w:rsidR="009D3246">
        <w:rPr>
          <w:rFonts w:eastAsia="Times New Roman"/>
        </w:rPr>
        <w:t>.</w:t>
      </w:r>
      <w:r w:rsidRPr="00326F13">
        <w:rPr>
          <w:rFonts w:eastAsia="Times New Roman"/>
        </w:rPr>
        <w:t>G</w:t>
      </w:r>
      <w:r w:rsidR="009D3246">
        <w:rPr>
          <w:rFonts w:eastAsia="Times New Roman"/>
        </w:rPr>
        <w:t>.;</w:t>
      </w:r>
      <w:r w:rsidRPr="00326F13">
        <w:rPr>
          <w:rFonts w:eastAsia="Times New Roman"/>
        </w:rPr>
        <w:t xml:space="preserve"> Kounatidis</w:t>
      </w:r>
      <w:r w:rsidR="009D3246">
        <w:rPr>
          <w:rFonts w:eastAsia="Times New Roman"/>
        </w:rPr>
        <w:t>,</w:t>
      </w:r>
      <w:r w:rsidRPr="00326F13">
        <w:rPr>
          <w:rFonts w:eastAsia="Times New Roman"/>
        </w:rPr>
        <w:t xml:space="preserve"> D</w:t>
      </w:r>
      <w:r w:rsidR="009D3246">
        <w:rPr>
          <w:rFonts w:eastAsia="Times New Roman"/>
        </w:rPr>
        <w:t>.;</w:t>
      </w:r>
      <w:r w:rsidRPr="00326F13">
        <w:rPr>
          <w:rFonts w:eastAsia="Times New Roman"/>
        </w:rPr>
        <w:t xml:space="preserve"> Tsilingiris</w:t>
      </w:r>
      <w:r w:rsidR="009D3246">
        <w:rPr>
          <w:rFonts w:eastAsia="Times New Roman"/>
        </w:rPr>
        <w:t>,</w:t>
      </w:r>
      <w:r w:rsidRPr="00326F13">
        <w:rPr>
          <w:rFonts w:eastAsia="Times New Roman"/>
        </w:rPr>
        <w:t xml:space="preserve"> D</w:t>
      </w:r>
      <w:r w:rsidR="009D3246">
        <w:rPr>
          <w:rFonts w:eastAsia="Times New Roman"/>
        </w:rPr>
        <w:t>.;</w:t>
      </w:r>
      <w:r w:rsidRPr="00326F13">
        <w:rPr>
          <w:rFonts w:eastAsia="Times New Roman"/>
        </w:rPr>
        <w:t xml:space="preserve"> Panagopoulos</w:t>
      </w:r>
      <w:r w:rsidR="009D3246">
        <w:rPr>
          <w:rFonts w:eastAsia="Times New Roman"/>
        </w:rPr>
        <w:t>,</w:t>
      </w:r>
      <w:r w:rsidRPr="00326F13">
        <w:rPr>
          <w:rFonts w:eastAsia="Times New Roman"/>
        </w:rPr>
        <w:t xml:space="preserve"> F</w:t>
      </w:r>
      <w:r w:rsidR="009D3246">
        <w:rPr>
          <w:rFonts w:eastAsia="Times New Roman"/>
        </w:rPr>
        <w:t>.;</w:t>
      </w:r>
      <w:r w:rsidRPr="00326F13">
        <w:rPr>
          <w:rFonts w:eastAsia="Times New Roman"/>
        </w:rPr>
        <w:t xml:space="preserve"> Christodoulatos</w:t>
      </w:r>
      <w:r w:rsidR="009D3246">
        <w:rPr>
          <w:rFonts w:eastAsia="Times New Roman"/>
        </w:rPr>
        <w:t>,</w:t>
      </w:r>
      <w:r w:rsidRPr="00326F13">
        <w:rPr>
          <w:rFonts w:eastAsia="Times New Roman"/>
        </w:rPr>
        <w:t xml:space="preserve"> G</w:t>
      </w:r>
      <w:r w:rsidR="009D3246">
        <w:rPr>
          <w:rFonts w:eastAsia="Times New Roman"/>
        </w:rPr>
        <w:t>.</w:t>
      </w:r>
      <w:r w:rsidRPr="00326F13">
        <w:rPr>
          <w:rFonts w:eastAsia="Times New Roman"/>
        </w:rPr>
        <w:t>S</w:t>
      </w:r>
      <w:r w:rsidR="009D3246">
        <w:rPr>
          <w:rFonts w:eastAsia="Times New Roman"/>
        </w:rPr>
        <w:t>.;</w:t>
      </w:r>
      <w:r w:rsidRPr="00326F13">
        <w:rPr>
          <w:rFonts w:eastAsia="Times New Roman"/>
        </w:rPr>
        <w:t xml:space="preserve"> Evangelopoulos</w:t>
      </w:r>
      <w:r w:rsidR="009D3246">
        <w:rPr>
          <w:rFonts w:eastAsia="Times New Roman"/>
        </w:rPr>
        <w:t>,</w:t>
      </w:r>
      <w:r w:rsidRPr="00326F13">
        <w:rPr>
          <w:rFonts w:eastAsia="Times New Roman"/>
        </w:rPr>
        <w:t xml:space="preserve"> A</w:t>
      </w:r>
      <w:r w:rsidR="009D3246">
        <w:rPr>
          <w:rFonts w:eastAsia="Times New Roman"/>
        </w:rPr>
        <w:t>.;</w:t>
      </w:r>
      <w:r w:rsidRPr="00326F13">
        <w:rPr>
          <w:rFonts w:eastAsia="Times New Roman"/>
        </w:rPr>
        <w:t xml:space="preserve"> Karampela</w:t>
      </w:r>
      <w:r w:rsidR="009D3246">
        <w:rPr>
          <w:rFonts w:eastAsia="Times New Roman"/>
        </w:rPr>
        <w:t>,</w:t>
      </w:r>
      <w:r w:rsidRPr="00326F13">
        <w:rPr>
          <w:rFonts w:eastAsia="Times New Roman"/>
        </w:rPr>
        <w:t xml:space="preserve"> I</w:t>
      </w:r>
      <w:r w:rsidR="009D3246">
        <w:rPr>
          <w:rFonts w:eastAsia="Times New Roman"/>
        </w:rPr>
        <w:t>.;</w:t>
      </w:r>
      <w:r w:rsidRPr="00326F13">
        <w:rPr>
          <w:rFonts w:eastAsia="Times New Roman"/>
        </w:rPr>
        <w:t xml:space="preserve"> Dalamaga</w:t>
      </w:r>
      <w:r w:rsidR="009D3246">
        <w:rPr>
          <w:rFonts w:eastAsia="Times New Roman"/>
        </w:rPr>
        <w:t>,</w:t>
      </w:r>
      <w:r w:rsidRPr="00326F13">
        <w:rPr>
          <w:rFonts w:eastAsia="Times New Roman"/>
        </w:rPr>
        <w:t xml:space="preserve"> M</w:t>
      </w:r>
      <w:r w:rsidR="003C345F" w:rsidRPr="00326F13">
        <w:rPr>
          <w:rFonts w:eastAsia="Times New Roman"/>
        </w:rPr>
        <w:t xml:space="preserve">. </w:t>
      </w:r>
      <w:r w:rsidR="003C345F" w:rsidRPr="00B06110">
        <w:rPr>
          <w:rFonts w:eastAsia="Times New Roman"/>
        </w:rPr>
        <w:t xml:space="preserve">The Role of Next-Generation Probiotics in Obesity and Obesity-Associated Disorders: Current Knowledge and Future Perspectives. </w:t>
      </w:r>
      <w:r w:rsidR="003C345F" w:rsidRPr="002C097D">
        <w:rPr>
          <w:rFonts w:eastAsia="Times New Roman"/>
          <w:i/>
          <w:iCs/>
        </w:rPr>
        <w:t>Int J Mol Sci</w:t>
      </w:r>
      <w:r w:rsidR="003C345F" w:rsidRPr="00B06110">
        <w:rPr>
          <w:rFonts w:eastAsia="Times New Roman"/>
        </w:rPr>
        <w:t xml:space="preserve">. </w:t>
      </w:r>
      <w:r w:rsidR="003C345F" w:rsidRPr="002C097D">
        <w:rPr>
          <w:rFonts w:eastAsia="Times New Roman"/>
          <w:b/>
          <w:bCs/>
        </w:rPr>
        <w:t>2023</w:t>
      </w:r>
      <w:r w:rsidR="003C345F" w:rsidRPr="00B06110">
        <w:rPr>
          <w:rFonts w:eastAsia="Times New Roman"/>
        </w:rPr>
        <w:t>; 24:6755. doi:10.3390/ijms24076755.</w:t>
      </w:r>
    </w:p>
    <w:p w14:paraId="5B81AE0B" w14:textId="0BF8B608"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Cerdó</w:t>
      </w:r>
      <w:r w:rsidR="009D3246">
        <w:rPr>
          <w:rFonts w:eastAsia="Times New Roman"/>
        </w:rPr>
        <w:t>,</w:t>
      </w:r>
      <w:r w:rsidRPr="00B06110">
        <w:rPr>
          <w:rFonts w:eastAsia="Times New Roman"/>
        </w:rPr>
        <w:t xml:space="preserve"> T</w:t>
      </w:r>
      <w:r w:rsidR="009D3246">
        <w:rPr>
          <w:rFonts w:eastAsia="Times New Roman"/>
        </w:rPr>
        <w:t>.;</w:t>
      </w:r>
      <w:r w:rsidRPr="00B06110">
        <w:rPr>
          <w:rFonts w:eastAsia="Times New Roman"/>
        </w:rPr>
        <w:t xml:space="preserve"> García-Santos</w:t>
      </w:r>
      <w:r w:rsidR="009D3246">
        <w:rPr>
          <w:rFonts w:eastAsia="Times New Roman"/>
        </w:rPr>
        <w:t>,</w:t>
      </w:r>
      <w:r w:rsidRPr="00B06110">
        <w:rPr>
          <w:rFonts w:eastAsia="Times New Roman"/>
        </w:rPr>
        <w:t xml:space="preserve"> J</w:t>
      </w:r>
      <w:r w:rsidR="009D3246">
        <w:rPr>
          <w:rFonts w:eastAsia="Times New Roman"/>
        </w:rPr>
        <w:t>.</w:t>
      </w:r>
      <w:r w:rsidRPr="00B06110">
        <w:rPr>
          <w:rFonts w:eastAsia="Times New Roman"/>
        </w:rPr>
        <w:t>A</w:t>
      </w:r>
      <w:r w:rsidR="009D3246">
        <w:rPr>
          <w:rFonts w:eastAsia="Times New Roman"/>
        </w:rPr>
        <w:t>.;</w:t>
      </w:r>
      <w:r w:rsidRPr="00B06110">
        <w:rPr>
          <w:rFonts w:eastAsia="Times New Roman"/>
        </w:rPr>
        <w:t xml:space="preserve"> Bermúdez</w:t>
      </w:r>
      <w:r w:rsidR="009D3246">
        <w:rPr>
          <w:rFonts w:eastAsia="Times New Roman"/>
        </w:rPr>
        <w:t>,</w:t>
      </w:r>
      <w:r w:rsidRPr="00B06110">
        <w:rPr>
          <w:rFonts w:eastAsia="Times New Roman"/>
        </w:rPr>
        <w:t xml:space="preserve"> M</w:t>
      </w:r>
      <w:r w:rsidR="009D3246">
        <w:rPr>
          <w:rFonts w:eastAsia="Times New Roman"/>
        </w:rPr>
        <w:t>.</w:t>
      </w:r>
      <w:r w:rsidRPr="00B06110">
        <w:rPr>
          <w:rFonts w:eastAsia="Times New Roman"/>
        </w:rPr>
        <w:t>G</w:t>
      </w:r>
      <w:r w:rsidR="009D3246">
        <w:rPr>
          <w:rFonts w:eastAsia="Times New Roman"/>
        </w:rPr>
        <w:t>.;</w:t>
      </w:r>
      <w:r w:rsidRPr="00B06110">
        <w:rPr>
          <w:rFonts w:eastAsia="Times New Roman"/>
        </w:rPr>
        <w:t xml:space="preserve"> Campoy C. The Role of Probiotics and Prebiotics in the Prevention and Treatment of Obesity. </w:t>
      </w:r>
      <w:r w:rsidRPr="002C097D">
        <w:rPr>
          <w:rFonts w:eastAsia="Times New Roman"/>
          <w:i/>
          <w:iCs/>
        </w:rPr>
        <w:t>Nutrients</w:t>
      </w:r>
      <w:r w:rsidRPr="00B06110">
        <w:rPr>
          <w:rFonts w:eastAsia="Times New Roman"/>
        </w:rPr>
        <w:t xml:space="preserve">. </w:t>
      </w:r>
      <w:r w:rsidRPr="002C097D">
        <w:rPr>
          <w:rFonts w:eastAsia="Times New Roman"/>
          <w:b/>
          <w:bCs/>
        </w:rPr>
        <w:t>2019</w:t>
      </w:r>
      <w:r w:rsidRPr="00B06110">
        <w:rPr>
          <w:rFonts w:eastAsia="Times New Roman"/>
        </w:rPr>
        <w:t>;11:635. doi:10.3390/nu11030635.</w:t>
      </w:r>
    </w:p>
    <w:p w14:paraId="18FED59B" w14:textId="230238A2"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Aguilera</w:t>
      </w:r>
      <w:r w:rsidR="001E399F">
        <w:rPr>
          <w:rFonts w:eastAsia="Times New Roman"/>
        </w:rPr>
        <w:t>,</w:t>
      </w:r>
      <w:r w:rsidRPr="00B06110">
        <w:rPr>
          <w:rFonts w:eastAsia="Times New Roman"/>
        </w:rPr>
        <w:t xml:space="preserve"> X</w:t>
      </w:r>
      <w:r w:rsidR="001E399F">
        <w:rPr>
          <w:rFonts w:eastAsia="Times New Roman"/>
        </w:rPr>
        <w:t>.</w:t>
      </w:r>
      <w:r w:rsidRPr="00B06110">
        <w:rPr>
          <w:rFonts w:eastAsia="Times New Roman"/>
        </w:rPr>
        <w:t>E</w:t>
      </w:r>
      <w:r w:rsidR="001E399F">
        <w:rPr>
          <w:rFonts w:eastAsia="Times New Roman"/>
        </w:rPr>
        <w:t>.</w:t>
      </w:r>
      <w:r w:rsidRPr="00B06110">
        <w:rPr>
          <w:rFonts w:eastAsia="Times New Roman"/>
        </w:rPr>
        <w:t>L</w:t>
      </w:r>
      <w:r w:rsidR="001E399F">
        <w:rPr>
          <w:rFonts w:eastAsia="Times New Roman"/>
        </w:rPr>
        <w:t>.;</w:t>
      </w:r>
      <w:r w:rsidRPr="00B06110">
        <w:rPr>
          <w:rFonts w:eastAsia="Times New Roman"/>
        </w:rPr>
        <w:t xml:space="preserve"> Manzano</w:t>
      </w:r>
      <w:r w:rsidR="001E399F">
        <w:rPr>
          <w:rFonts w:eastAsia="Times New Roman"/>
        </w:rPr>
        <w:t>,</w:t>
      </w:r>
      <w:r w:rsidRPr="00B06110">
        <w:rPr>
          <w:rFonts w:eastAsia="Times New Roman"/>
        </w:rPr>
        <w:t xml:space="preserve"> A</w:t>
      </w:r>
      <w:r w:rsidR="001E399F">
        <w:rPr>
          <w:rFonts w:eastAsia="Times New Roman"/>
        </w:rPr>
        <w:t>.;</w:t>
      </w:r>
      <w:r w:rsidRPr="00B06110">
        <w:rPr>
          <w:rFonts w:eastAsia="Times New Roman"/>
        </w:rPr>
        <w:t xml:space="preserve"> Pirela</w:t>
      </w:r>
      <w:r w:rsidR="001E399F">
        <w:rPr>
          <w:rFonts w:eastAsia="Times New Roman"/>
        </w:rPr>
        <w:t>,</w:t>
      </w:r>
      <w:r w:rsidRPr="00B06110">
        <w:rPr>
          <w:rFonts w:eastAsia="Times New Roman"/>
        </w:rPr>
        <w:t xml:space="preserve"> D</w:t>
      </w:r>
      <w:r w:rsidR="001E399F">
        <w:rPr>
          <w:rFonts w:eastAsia="Times New Roman"/>
        </w:rPr>
        <w:t>.;</w:t>
      </w:r>
      <w:r w:rsidRPr="00B06110">
        <w:rPr>
          <w:rFonts w:eastAsia="Times New Roman"/>
        </w:rPr>
        <w:t xml:space="preserve"> Bermúdez</w:t>
      </w:r>
      <w:r w:rsidR="001E399F">
        <w:rPr>
          <w:rFonts w:eastAsia="Times New Roman"/>
        </w:rPr>
        <w:t>,</w:t>
      </w:r>
      <w:r w:rsidRPr="00B06110">
        <w:rPr>
          <w:rFonts w:eastAsia="Times New Roman"/>
        </w:rPr>
        <w:t xml:space="preserve"> V. Probiotics and Gut Microbiota in Obesity: Myths and Realities of a New Health Revolution. </w:t>
      </w:r>
      <w:r w:rsidRPr="002C097D">
        <w:rPr>
          <w:rFonts w:eastAsia="Times New Roman"/>
          <w:i/>
          <w:iCs/>
        </w:rPr>
        <w:t>J Pers Med</w:t>
      </w:r>
      <w:r w:rsidR="002C097D">
        <w:rPr>
          <w:rFonts w:eastAsia="Times New Roman"/>
        </w:rPr>
        <w:t>.</w:t>
      </w:r>
      <w:r w:rsidRPr="00B06110">
        <w:rPr>
          <w:rFonts w:eastAsia="Times New Roman"/>
        </w:rPr>
        <w:t xml:space="preserve"> </w:t>
      </w:r>
      <w:r w:rsidRPr="002C097D">
        <w:rPr>
          <w:rFonts w:eastAsia="Times New Roman"/>
          <w:b/>
          <w:bCs/>
        </w:rPr>
        <w:t>2022</w:t>
      </w:r>
      <w:r w:rsidRPr="00B06110">
        <w:rPr>
          <w:rFonts w:eastAsia="Times New Roman"/>
        </w:rPr>
        <w:t>; 12:1282. doi:10.3390/jpm12081282.</w:t>
      </w:r>
    </w:p>
    <w:p w14:paraId="03556D95" w14:textId="45614940" w:rsidR="003C345F" w:rsidRPr="00B06110" w:rsidRDefault="00E6359A" w:rsidP="00B06110">
      <w:pPr>
        <w:pStyle w:val="PargrafodaLista"/>
        <w:numPr>
          <w:ilvl w:val="0"/>
          <w:numId w:val="26"/>
        </w:numPr>
        <w:spacing w:after="160" w:line="240" w:lineRule="auto"/>
        <w:ind w:firstLineChars="0"/>
        <w:contextualSpacing/>
        <w:rPr>
          <w:rFonts w:eastAsia="Times New Roman"/>
        </w:rPr>
      </w:pPr>
      <w:r w:rsidRPr="00E6359A">
        <w:rPr>
          <w:rFonts w:eastAsia="Times New Roman"/>
        </w:rPr>
        <w:t>Magne</w:t>
      </w:r>
      <w:r w:rsidR="001E399F">
        <w:rPr>
          <w:rFonts w:eastAsia="Times New Roman"/>
        </w:rPr>
        <w:t>,</w:t>
      </w:r>
      <w:r w:rsidRPr="00E6359A">
        <w:rPr>
          <w:rFonts w:eastAsia="Times New Roman"/>
        </w:rPr>
        <w:t xml:space="preserve"> F</w:t>
      </w:r>
      <w:r w:rsidR="001E399F">
        <w:rPr>
          <w:rFonts w:eastAsia="Times New Roman"/>
        </w:rPr>
        <w:t>.;</w:t>
      </w:r>
      <w:r w:rsidRPr="00E6359A">
        <w:rPr>
          <w:rFonts w:eastAsia="Times New Roman"/>
        </w:rPr>
        <w:t xml:space="preserve"> Gotteland</w:t>
      </w:r>
      <w:r w:rsidR="001E399F">
        <w:rPr>
          <w:rFonts w:eastAsia="Times New Roman"/>
        </w:rPr>
        <w:t>,</w:t>
      </w:r>
      <w:r w:rsidRPr="00E6359A">
        <w:rPr>
          <w:rFonts w:eastAsia="Times New Roman"/>
        </w:rPr>
        <w:t xml:space="preserve"> M</w:t>
      </w:r>
      <w:r w:rsidR="001E399F">
        <w:rPr>
          <w:rFonts w:eastAsia="Times New Roman"/>
        </w:rPr>
        <w:t>.;</w:t>
      </w:r>
      <w:r w:rsidRPr="00E6359A">
        <w:rPr>
          <w:rFonts w:eastAsia="Times New Roman"/>
        </w:rPr>
        <w:t xml:space="preserve"> Gauthier</w:t>
      </w:r>
      <w:r w:rsidR="001E399F">
        <w:rPr>
          <w:rFonts w:eastAsia="Times New Roman"/>
        </w:rPr>
        <w:t>,</w:t>
      </w:r>
      <w:r w:rsidRPr="00E6359A">
        <w:rPr>
          <w:rFonts w:eastAsia="Times New Roman"/>
        </w:rPr>
        <w:t xml:space="preserve"> L</w:t>
      </w:r>
      <w:r w:rsidR="001E399F">
        <w:rPr>
          <w:rFonts w:eastAsia="Times New Roman"/>
        </w:rPr>
        <w:t>.;</w:t>
      </w:r>
      <w:r w:rsidRPr="00E6359A">
        <w:rPr>
          <w:rFonts w:eastAsia="Times New Roman"/>
        </w:rPr>
        <w:t xml:space="preserve"> Zazueta</w:t>
      </w:r>
      <w:r w:rsidR="001E399F">
        <w:rPr>
          <w:rFonts w:eastAsia="Times New Roman"/>
        </w:rPr>
        <w:t>,</w:t>
      </w:r>
      <w:r w:rsidRPr="00E6359A">
        <w:rPr>
          <w:rFonts w:eastAsia="Times New Roman"/>
        </w:rPr>
        <w:t xml:space="preserve"> A</w:t>
      </w:r>
      <w:r w:rsidR="001E399F">
        <w:rPr>
          <w:rFonts w:eastAsia="Times New Roman"/>
        </w:rPr>
        <w:t>.;</w:t>
      </w:r>
      <w:r w:rsidRPr="00E6359A">
        <w:rPr>
          <w:rFonts w:eastAsia="Times New Roman"/>
        </w:rPr>
        <w:t xml:space="preserve"> Pesoa</w:t>
      </w:r>
      <w:r w:rsidR="001E399F">
        <w:rPr>
          <w:rFonts w:eastAsia="Times New Roman"/>
        </w:rPr>
        <w:t>,</w:t>
      </w:r>
      <w:r w:rsidRPr="00E6359A">
        <w:rPr>
          <w:rFonts w:eastAsia="Times New Roman"/>
        </w:rPr>
        <w:t xml:space="preserve"> S</w:t>
      </w:r>
      <w:r w:rsidR="001E399F">
        <w:rPr>
          <w:rFonts w:eastAsia="Times New Roman"/>
        </w:rPr>
        <w:t>.;</w:t>
      </w:r>
      <w:r w:rsidRPr="00E6359A">
        <w:rPr>
          <w:rFonts w:eastAsia="Times New Roman"/>
        </w:rPr>
        <w:t xml:space="preserve"> Navarrete</w:t>
      </w:r>
      <w:r w:rsidR="001E399F">
        <w:rPr>
          <w:rFonts w:eastAsia="Times New Roman"/>
        </w:rPr>
        <w:t>,</w:t>
      </w:r>
      <w:r w:rsidRPr="00E6359A">
        <w:rPr>
          <w:rFonts w:eastAsia="Times New Roman"/>
        </w:rPr>
        <w:t xml:space="preserve"> P</w:t>
      </w:r>
      <w:r w:rsidR="001E399F">
        <w:rPr>
          <w:rFonts w:eastAsia="Times New Roman"/>
        </w:rPr>
        <w:t>.;</w:t>
      </w:r>
      <w:r w:rsidRPr="00E6359A">
        <w:rPr>
          <w:rFonts w:eastAsia="Times New Roman"/>
        </w:rPr>
        <w:t xml:space="preserve"> Balamurugan</w:t>
      </w:r>
      <w:r w:rsidR="001E399F">
        <w:rPr>
          <w:rFonts w:eastAsia="Times New Roman"/>
        </w:rPr>
        <w:t>,</w:t>
      </w:r>
      <w:r w:rsidRPr="00E6359A">
        <w:rPr>
          <w:rFonts w:eastAsia="Times New Roman"/>
        </w:rPr>
        <w:t xml:space="preserve"> R</w:t>
      </w:r>
      <w:r w:rsidR="003C345F" w:rsidRPr="00E6359A">
        <w:rPr>
          <w:rFonts w:eastAsia="Times New Roman"/>
        </w:rPr>
        <w:t xml:space="preserve">. </w:t>
      </w:r>
      <w:r w:rsidR="003C345F" w:rsidRPr="00B06110">
        <w:rPr>
          <w:rFonts w:eastAsia="Times New Roman"/>
        </w:rPr>
        <w:t xml:space="preserve">The Firmicutes/Bacteroidetes Ratio: A Relevant Marker of Gut Dysbiosis in Obese Patients? </w:t>
      </w:r>
      <w:r w:rsidR="003C345F" w:rsidRPr="002C097D">
        <w:rPr>
          <w:rFonts w:eastAsia="Times New Roman"/>
          <w:i/>
          <w:iCs/>
        </w:rPr>
        <w:t>Nutrients</w:t>
      </w:r>
      <w:r w:rsidR="003C345F" w:rsidRPr="00B06110">
        <w:rPr>
          <w:rFonts w:eastAsia="Times New Roman"/>
        </w:rPr>
        <w:t xml:space="preserve">. </w:t>
      </w:r>
      <w:r w:rsidR="003C345F" w:rsidRPr="002C097D">
        <w:rPr>
          <w:rFonts w:eastAsia="Times New Roman"/>
          <w:b/>
          <w:bCs/>
        </w:rPr>
        <w:t>2020</w:t>
      </w:r>
      <w:r w:rsidR="003C345F" w:rsidRPr="00B06110">
        <w:rPr>
          <w:rFonts w:eastAsia="Times New Roman"/>
        </w:rPr>
        <w:t>;12:1474. doi: 10.3390/nu12051474.</w:t>
      </w:r>
    </w:p>
    <w:p w14:paraId="7F59B189" w14:textId="0A3B4851"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Włodarczyk</w:t>
      </w:r>
      <w:r w:rsidR="00890021">
        <w:rPr>
          <w:rFonts w:eastAsia="Times New Roman"/>
        </w:rPr>
        <w:t>,</w:t>
      </w:r>
      <w:r w:rsidRPr="00B06110">
        <w:rPr>
          <w:rFonts w:eastAsia="Times New Roman"/>
        </w:rPr>
        <w:t xml:space="preserve"> M</w:t>
      </w:r>
      <w:r w:rsidR="00890021">
        <w:rPr>
          <w:rFonts w:eastAsia="Times New Roman"/>
        </w:rPr>
        <w:t>.;</w:t>
      </w:r>
      <w:r w:rsidRPr="00B06110">
        <w:rPr>
          <w:rFonts w:eastAsia="Times New Roman"/>
        </w:rPr>
        <w:t xml:space="preserve"> S´lizewska</w:t>
      </w:r>
      <w:r w:rsidR="00F22F9B">
        <w:rPr>
          <w:rFonts w:eastAsia="Times New Roman"/>
        </w:rPr>
        <w:t>,</w:t>
      </w:r>
      <w:r w:rsidRPr="00B06110">
        <w:rPr>
          <w:rFonts w:eastAsia="Times New Roman"/>
        </w:rPr>
        <w:t xml:space="preserve"> K. Obesity as the 21st Century's major disease: The role of probiotics and prebiotics in prevention and treatment. </w:t>
      </w:r>
      <w:r w:rsidRPr="00DE7563">
        <w:rPr>
          <w:rFonts w:eastAsia="Times New Roman"/>
          <w:i/>
          <w:iCs/>
        </w:rPr>
        <w:t>Food Bioscience</w:t>
      </w:r>
      <w:r w:rsidRPr="00B06110">
        <w:rPr>
          <w:rFonts w:eastAsia="Times New Roman"/>
        </w:rPr>
        <w:t xml:space="preserve">. </w:t>
      </w:r>
      <w:r w:rsidRPr="00DE7563">
        <w:rPr>
          <w:rFonts w:eastAsia="Times New Roman"/>
          <w:b/>
          <w:bCs/>
        </w:rPr>
        <w:t>2021</w:t>
      </w:r>
      <w:r w:rsidRPr="00B06110">
        <w:rPr>
          <w:rFonts w:eastAsia="Times New Roman"/>
        </w:rPr>
        <w:t>. doi:10.1016/j.fbio.2021.101115.</w:t>
      </w:r>
    </w:p>
    <w:p w14:paraId="2EFCCEC2" w14:textId="3E2E169F"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Fitch</w:t>
      </w:r>
      <w:r w:rsidR="00F22F9B">
        <w:rPr>
          <w:rFonts w:eastAsia="Times New Roman"/>
        </w:rPr>
        <w:t>,</w:t>
      </w:r>
      <w:r w:rsidRPr="00B06110">
        <w:rPr>
          <w:rFonts w:eastAsia="Times New Roman"/>
        </w:rPr>
        <w:t xml:space="preserve"> A</w:t>
      </w:r>
      <w:r w:rsidR="00F22F9B">
        <w:rPr>
          <w:rFonts w:eastAsia="Times New Roman"/>
        </w:rPr>
        <w:t>.</w:t>
      </w:r>
      <w:r w:rsidRPr="00B06110">
        <w:rPr>
          <w:rFonts w:eastAsia="Times New Roman"/>
        </w:rPr>
        <w:t>K</w:t>
      </w:r>
      <w:r w:rsidR="00F22F9B">
        <w:rPr>
          <w:rFonts w:eastAsia="Times New Roman"/>
        </w:rPr>
        <w:t>.;</w:t>
      </w:r>
      <w:r w:rsidRPr="00B06110">
        <w:rPr>
          <w:rFonts w:eastAsia="Times New Roman"/>
        </w:rPr>
        <w:t xml:space="preserve"> Bays</w:t>
      </w:r>
      <w:r w:rsidR="00F22F9B">
        <w:rPr>
          <w:rFonts w:eastAsia="Times New Roman"/>
        </w:rPr>
        <w:t>,</w:t>
      </w:r>
      <w:r w:rsidRPr="00B06110">
        <w:rPr>
          <w:rFonts w:eastAsia="Times New Roman"/>
        </w:rPr>
        <w:t xml:space="preserve"> H</w:t>
      </w:r>
      <w:r w:rsidR="00F22F9B">
        <w:rPr>
          <w:rFonts w:eastAsia="Times New Roman"/>
        </w:rPr>
        <w:t>.</w:t>
      </w:r>
      <w:r w:rsidRPr="00B06110">
        <w:rPr>
          <w:rFonts w:eastAsia="Times New Roman"/>
        </w:rPr>
        <w:t xml:space="preserve">E. Obesity definition, diagnosis, bias, standard operating procedures (SOPs), and telehealth: An Obesity Medicine Association (OMA) Clinical Practice Statement (CPS) 2022. </w:t>
      </w:r>
      <w:r w:rsidRPr="00DE7563">
        <w:rPr>
          <w:rFonts w:eastAsia="Times New Roman"/>
          <w:i/>
          <w:iCs/>
        </w:rPr>
        <w:t>Obesity Pillars</w:t>
      </w:r>
      <w:r w:rsidRPr="00B06110">
        <w:rPr>
          <w:rFonts w:eastAsia="Times New Roman"/>
        </w:rPr>
        <w:t xml:space="preserve">. </w:t>
      </w:r>
      <w:r w:rsidRPr="00DE7563">
        <w:rPr>
          <w:rFonts w:eastAsia="Times New Roman"/>
          <w:b/>
          <w:bCs/>
        </w:rPr>
        <w:t>2022</w:t>
      </w:r>
      <w:r w:rsidRPr="00B06110">
        <w:rPr>
          <w:rFonts w:eastAsia="Times New Roman"/>
        </w:rPr>
        <w:t>; 1:100004. doi:10.1016/j.obpill.2021.100004.</w:t>
      </w:r>
    </w:p>
    <w:p w14:paraId="3394A7F1" w14:textId="4C81D41E" w:rsidR="003C345F" w:rsidRPr="00B06110" w:rsidRDefault="00B6486E" w:rsidP="00B06110">
      <w:pPr>
        <w:pStyle w:val="PargrafodaLista"/>
        <w:numPr>
          <w:ilvl w:val="0"/>
          <w:numId w:val="26"/>
        </w:numPr>
        <w:spacing w:after="160" w:line="240" w:lineRule="auto"/>
        <w:ind w:firstLineChars="0"/>
        <w:contextualSpacing/>
        <w:rPr>
          <w:rFonts w:eastAsia="Times New Roman"/>
        </w:rPr>
      </w:pPr>
      <w:r w:rsidRPr="00B6486E">
        <w:rPr>
          <w:rFonts w:eastAsia="Times New Roman"/>
        </w:rPr>
        <w:t>Ben Othman</w:t>
      </w:r>
      <w:r w:rsidR="00F22F9B">
        <w:rPr>
          <w:rFonts w:eastAsia="Times New Roman"/>
        </w:rPr>
        <w:t>,</w:t>
      </w:r>
      <w:r w:rsidRPr="00B6486E">
        <w:rPr>
          <w:rFonts w:eastAsia="Times New Roman"/>
        </w:rPr>
        <w:t xml:space="preserve"> R</w:t>
      </w:r>
      <w:r w:rsidR="00F22F9B">
        <w:rPr>
          <w:rFonts w:eastAsia="Times New Roman"/>
        </w:rPr>
        <w:t>.;</w:t>
      </w:r>
      <w:r w:rsidRPr="00B6486E">
        <w:rPr>
          <w:rFonts w:eastAsia="Times New Roman"/>
        </w:rPr>
        <w:t xml:space="preserve"> Ben Amor</w:t>
      </w:r>
      <w:r w:rsidR="00F22F9B">
        <w:rPr>
          <w:rFonts w:eastAsia="Times New Roman"/>
        </w:rPr>
        <w:t>,</w:t>
      </w:r>
      <w:r w:rsidRPr="00B6486E">
        <w:rPr>
          <w:rFonts w:eastAsia="Times New Roman"/>
        </w:rPr>
        <w:t xml:space="preserve"> N</w:t>
      </w:r>
      <w:r w:rsidR="00F22F9B">
        <w:rPr>
          <w:rFonts w:eastAsia="Times New Roman"/>
        </w:rPr>
        <w:t>.;</w:t>
      </w:r>
      <w:r w:rsidRPr="00B6486E">
        <w:rPr>
          <w:rFonts w:eastAsia="Times New Roman"/>
        </w:rPr>
        <w:t xml:space="preserve"> Mahjoub</w:t>
      </w:r>
      <w:r w:rsidR="00F22F9B">
        <w:rPr>
          <w:rFonts w:eastAsia="Times New Roman"/>
        </w:rPr>
        <w:t>,</w:t>
      </w:r>
      <w:r w:rsidRPr="00B6486E">
        <w:rPr>
          <w:rFonts w:eastAsia="Times New Roman"/>
        </w:rPr>
        <w:t xml:space="preserve"> F</w:t>
      </w:r>
      <w:r w:rsidR="00F22F9B">
        <w:rPr>
          <w:rFonts w:eastAsia="Times New Roman"/>
        </w:rPr>
        <w:t>.;</w:t>
      </w:r>
      <w:r w:rsidRPr="00B6486E">
        <w:rPr>
          <w:rFonts w:eastAsia="Times New Roman"/>
        </w:rPr>
        <w:t xml:space="preserve"> Berriche</w:t>
      </w:r>
      <w:r w:rsidR="00F22F9B">
        <w:rPr>
          <w:rFonts w:eastAsia="Times New Roman"/>
        </w:rPr>
        <w:t>,</w:t>
      </w:r>
      <w:r w:rsidRPr="00B6486E">
        <w:rPr>
          <w:rFonts w:eastAsia="Times New Roman"/>
        </w:rPr>
        <w:t xml:space="preserve"> O</w:t>
      </w:r>
      <w:r w:rsidR="00F22F9B">
        <w:rPr>
          <w:rFonts w:eastAsia="Times New Roman"/>
        </w:rPr>
        <w:t>.;</w:t>
      </w:r>
      <w:r w:rsidRPr="00B6486E">
        <w:rPr>
          <w:rFonts w:eastAsia="Times New Roman"/>
        </w:rPr>
        <w:t xml:space="preserve"> El Ghali</w:t>
      </w:r>
      <w:r w:rsidR="00F22F9B">
        <w:rPr>
          <w:rFonts w:eastAsia="Times New Roman"/>
        </w:rPr>
        <w:t>,</w:t>
      </w:r>
      <w:r w:rsidRPr="00B6486E">
        <w:rPr>
          <w:rFonts w:eastAsia="Times New Roman"/>
        </w:rPr>
        <w:t xml:space="preserve"> C</w:t>
      </w:r>
      <w:r w:rsidR="00FF5658">
        <w:rPr>
          <w:rFonts w:eastAsia="Times New Roman"/>
        </w:rPr>
        <w:t>.;</w:t>
      </w:r>
      <w:r w:rsidRPr="00B6486E">
        <w:rPr>
          <w:rFonts w:eastAsia="Times New Roman"/>
        </w:rPr>
        <w:t xml:space="preserve"> Gamoudi</w:t>
      </w:r>
      <w:r w:rsidR="00345818">
        <w:rPr>
          <w:rFonts w:eastAsia="Times New Roman"/>
        </w:rPr>
        <w:t>,</w:t>
      </w:r>
      <w:r w:rsidRPr="00B6486E">
        <w:rPr>
          <w:rFonts w:eastAsia="Times New Roman"/>
        </w:rPr>
        <w:t xml:space="preserve"> A</w:t>
      </w:r>
      <w:r w:rsidR="00345818">
        <w:rPr>
          <w:rFonts w:eastAsia="Times New Roman"/>
        </w:rPr>
        <w:t>.;</w:t>
      </w:r>
      <w:r w:rsidRPr="00B6486E">
        <w:rPr>
          <w:rFonts w:eastAsia="Times New Roman"/>
        </w:rPr>
        <w:t xml:space="preserve"> Jamoussi</w:t>
      </w:r>
      <w:r w:rsidR="00345818">
        <w:rPr>
          <w:rFonts w:eastAsia="Times New Roman"/>
        </w:rPr>
        <w:t>,</w:t>
      </w:r>
      <w:r w:rsidRPr="00B6486E">
        <w:rPr>
          <w:rFonts w:eastAsia="Times New Roman"/>
        </w:rPr>
        <w:t xml:space="preserve"> H.</w:t>
      </w:r>
      <w:r>
        <w:rPr>
          <w:rFonts w:eastAsia="Times New Roman"/>
        </w:rPr>
        <w:t xml:space="preserve"> </w:t>
      </w:r>
      <w:r w:rsidR="003C345F" w:rsidRPr="00B06110">
        <w:rPr>
          <w:rFonts w:eastAsia="Times New Roman"/>
        </w:rPr>
        <w:t xml:space="preserve">A clinical trial about effects of prebiotic and probiotic supplementation on weight loss, psychological profile and metabolic parameters in obese subjects. </w:t>
      </w:r>
      <w:r w:rsidR="003C345F" w:rsidRPr="00884D4F">
        <w:rPr>
          <w:rFonts w:eastAsia="Times New Roman"/>
          <w:i/>
          <w:iCs/>
        </w:rPr>
        <w:t>Endocrinol Diabetes Metab</w:t>
      </w:r>
      <w:r w:rsidR="003C345F" w:rsidRPr="00B06110">
        <w:rPr>
          <w:rFonts w:eastAsia="Times New Roman"/>
        </w:rPr>
        <w:t xml:space="preserve">. </w:t>
      </w:r>
      <w:r w:rsidR="003C345F" w:rsidRPr="00884D4F">
        <w:rPr>
          <w:rFonts w:eastAsia="Times New Roman"/>
          <w:b/>
          <w:bCs/>
        </w:rPr>
        <w:t>2023</w:t>
      </w:r>
      <w:r w:rsidR="003C345F" w:rsidRPr="00B06110">
        <w:rPr>
          <w:rFonts w:eastAsia="Times New Roman"/>
        </w:rPr>
        <w:t>; 6:e402. doi: 10.1002/edm2.402.</w:t>
      </w:r>
    </w:p>
    <w:p w14:paraId="68FB9C9E" w14:textId="6AA17A29"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Stojanov</w:t>
      </w:r>
      <w:r w:rsidR="00345818">
        <w:rPr>
          <w:rFonts w:eastAsia="Times New Roman"/>
        </w:rPr>
        <w:t>,</w:t>
      </w:r>
      <w:r w:rsidRPr="00B06110">
        <w:rPr>
          <w:rFonts w:eastAsia="Times New Roman"/>
        </w:rPr>
        <w:t xml:space="preserve"> S</w:t>
      </w:r>
      <w:r w:rsidR="00345818">
        <w:rPr>
          <w:rFonts w:eastAsia="Times New Roman"/>
        </w:rPr>
        <w:t>.;</w:t>
      </w:r>
      <w:r w:rsidRPr="00B06110">
        <w:rPr>
          <w:rFonts w:eastAsia="Times New Roman"/>
        </w:rPr>
        <w:t xml:space="preserve"> Berlec</w:t>
      </w:r>
      <w:r w:rsidR="00345818">
        <w:rPr>
          <w:rFonts w:eastAsia="Times New Roman"/>
        </w:rPr>
        <w:t>,</w:t>
      </w:r>
      <w:r w:rsidRPr="00B06110">
        <w:rPr>
          <w:rFonts w:eastAsia="Times New Roman"/>
        </w:rPr>
        <w:t xml:space="preserve"> A</w:t>
      </w:r>
      <w:r w:rsidR="00345818">
        <w:rPr>
          <w:rFonts w:eastAsia="Times New Roman"/>
        </w:rPr>
        <w:t>.;</w:t>
      </w:r>
      <w:r w:rsidRPr="00B06110">
        <w:rPr>
          <w:rFonts w:eastAsia="Times New Roman"/>
        </w:rPr>
        <w:t xml:space="preserve"> Štrukelj</w:t>
      </w:r>
      <w:r w:rsidR="00345818">
        <w:rPr>
          <w:rFonts w:eastAsia="Times New Roman"/>
        </w:rPr>
        <w:t>,</w:t>
      </w:r>
      <w:r w:rsidRPr="00B06110">
        <w:rPr>
          <w:rFonts w:eastAsia="Times New Roman"/>
        </w:rPr>
        <w:t xml:space="preserve"> B. The Influence of Probiotics on the Firmicutes/Bacteroidetes Ratio in the Treatment of Obesity and Inflammatory Bowel disease. </w:t>
      </w:r>
      <w:r w:rsidRPr="00884D4F">
        <w:rPr>
          <w:rFonts w:eastAsia="Times New Roman"/>
          <w:i/>
          <w:iCs/>
        </w:rPr>
        <w:t>Microorganisms</w:t>
      </w:r>
      <w:r w:rsidRPr="00B06110">
        <w:rPr>
          <w:rFonts w:eastAsia="Times New Roman"/>
        </w:rPr>
        <w:t xml:space="preserve">. </w:t>
      </w:r>
      <w:r w:rsidRPr="00884D4F">
        <w:rPr>
          <w:rFonts w:eastAsia="Times New Roman"/>
          <w:b/>
          <w:bCs/>
        </w:rPr>
        <w:t>2020</w:t>
      </w:r>
      <w:r w:rsidRPr="00B06110">
        <w:rPr>
          <w:rFonts w:eastAsia="Times New Roman"/>
        </w:rPr>
        <w:t>; 8:1715. doi: 10.3390/microorganisms8111715.</w:t>
      </w:r>
    </w:p>
    <w:p w14:paraId="17B451F6" w14:textId="1E8E1776"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Arora</w:t>
      </w:r>
      <w:r w:rsidR="00EB2300">
        <w:rPr>
          <w:rFonts w:eastAsia="Times New Roman"/>
        </w:rPr>
        <w:t>,</w:t>
      </w:r>
      <w:r w:rsidRPr="00B06110">
        <w:rPr>
          <w:rFonts w:eastAsia="Times New Roman"/>
        </w:rPr>
        <w:t xml:space="preserve"> T</w:t>
      </w:r>
      <w:r w:rsidR="00EB2300">
        <w:rPr>
          <w:rFonts w:eastAsia="Times New Roman"/>
        </w:rPr>
        <w:t>.;</w:t>
      </w:r>
      <w:r w:rsidRPr="00B06110">
        <w:rPr>
          <w:rFonts w:eastAsia="Times New Roman"/>
        </w:rPr>
        <w:t xml:space="preserve"> Singh</w:t>
      </w:r>
      <w:r w:rsidR="00EB2300">
        <w:rPr>
          <w:rFonts w:eastAsia="Times New Roman"/>
        </w:rPr>
        <w:t>,</w:t>
      </w:r>
      <w:r w:rsidRPr="00B06110">
        <w:rPr>
          <w:rFonts w:eastAsia="Times New Roman"/>
        </w:rPr>
        <w:t xml:space="preserve"> S</w:t>
      </w:r>
      <w:r w:rsidR="00EB2300">
        <w:rPr>
          <w:rFonts w:eastAsia="Times New Roman"/>
        </w:rPr>
        <w:t>.;</w:t>
      </w:r>
      <w:r w:rsidRPr="00B06110">
        <w:rPr>
          <w:rFonts w:eastAsia="Times New Roman"/>
        </w:rPr>
        <w:t xml:space="preserve"> Sharma</w:t>
      </w:r>
      <w:r w:rsidR="00EB2300">
        <w:rPr>
          <w:rFonts w:eastAsia="Times New Roman"/>
        </w:rPr>
        <w:t>,</w:t>
      </w:r>
      <w:r w:rsidRPr="00B06110">
        <w:rPr>
          <w:rFonts w:eastAsia="Times New Roman"/>
        </w:rPr>
        <w:t xml:space="preserve"> R</w:t>
      </w:r>
      <w:r w:rsidR="00EB2300">
        <w:rPr>
          <w:rFonts w:eastAsia="Times New Roman"/>
        </w:rPr>
        <w:t>.</w:t>
      </w:r>
      <w:r w:rsidRPr="00B06110">
        <w:rPr>
          <w:rFonts w:eastAsia="Times New Roman"/>
        </w:rPr>
        <w:t xml:space="preserve">K. Probiotics: Interaction with gut microbiome and antiobesity potential. </w:t>
      </w:r>
      <w:r w:rsidRPr="00884D4F">
        <w:rPr>
          <w:rFonts w:eastAsia="Times New Roman"/>
          <w:i/>
          <w:iCs/>
        </w:rPr>
        <w:t>Nutrition</w:t>
      </w:r>
      <w:r w:rsidRPr="00B06110">
        <w:rPr>
          <w:rFonts w:eastAsia="Times New Roman"/>
        </w:rPr>
        <w:t xml:space="preserve">. </w:t>
      </w:r>
      <w:r w:rsidRPr="00884D4F">
        <w:rPr>
          <w:rFonts w:eastAsia="Times New Roman"/>
          <w:b/>
          <w:bCs/>
        </w:rPr>
        <w:t>2013</w:t>
      </w:r>
      <w:r w:rsidRPr="00B06110">
        <w:rPr>
          <w:rFonts w:eastAsia="Times New Roman"/>
        </w:rPr>
        <w:t>; 29:591-6. doi:10.1016/j.nut.2012.07.017.</w:t>
      </w:r>
    </w:p>
    <w:p w14:paraId="7BB907CE" w14:textId="366B6F53" w:rsidR="003C345F" w:rsidRPr="00B06110" w:rsidRDefault="00860506" w:rsidP="00B06110">
      <w:pPr>
        <w:pStyle w:val="PargrafodaLista"/>
        <w:numPr>
          <w:ilvl w:val="0"/>
          <w:numId w:val="26"/>
        </w:numPr>
        <w:spacing w:after="160" w:line="240" w:lineRule="auto"/>
        <w:ind w:firstLineChars="0"/>
        <w:contextualSpacing/>
        <w:rPr>
          <w:rFonts w:eastAsia="Times New Roman"/>
        </w:rPr>
      </w:pPr>
      <w:r w:rsidRPr="00860506">
        <w:rPr>
          <w:rFonts w:eastAsia="Times New Roman"/>
        </w:rPr>
        <w:t>Perumpail</w:t>
      </w:r>
      <w:r w:rsidR="00ED3BC3">
        <w:rPr>
          <w:rFonts w:eastAsia="Times New Roman"/>
        </w:rPr>
        <w:t>,</w:t>
      </w:r>
      <w:r w:rsidRPr="00860506">
        <w:rPr>
          <w:rFonts w:eastAsia="Times New Roman"/>
        </w:rPr>
        <w:t xml:space="preserve"> B</w:t>
      </w:r>
      <w:r w:rsidR="00ED3BC3">
        <w:rPr>
          <w:rFonts w:eastAsia="Times New Roman"/>
        </w:rPr>
        <w:t>.</w:t>
      </w:r>
      <w:r w:rsidRPr="00860506">
        <w:rPr>
          <w:rFonts w:eastAsia="Times New Roman"/>
        </w:rPr>
        <w:t>J</w:t>
      </w:r>
      <w:r w:rsidR="00ED3BC3">
        <w:rPr>
          <w:rFonts w:eastAsia="Times New Roman"/>
        </w:rPr>
        <w:t>.;</w:t>
      </w:r>
      <w:r w:rsidRPr="00860506">
        <w:rPr>
          <w:rFonts w:eastAsia="Times New Roman"/>
        </w:rPr>
        <w:t xml:space="preserve"> Li</w:t>
      </w:r>
      <w:r w:rsidR="00ED3BC3">
        <w:rPr>
          <w:rFonts w:eastAsia="Times New Roman"/>
        </w:rPr>
        <w:t>,</w:t>
      </w:r>
      <w:r w:rsidRPr="00860506">
        <w:rPr>
          <w:rFonts w:eastAsia="Times New Roman"/>
        </w:rPr>
        <w:t xml:space="preserve"> A</w:t>
      </w:r>
      <w:r w:rsidR="00ED3BC3">
        <w:rPr>
          <w:rFonts w:eastAsia="Times New Roman"/>
        </w:rPr>
        <w:t>.</w:t>
      </w:r>
      <w:r w:rsidRPr="00860506">
        <w:rPr>
          <w:rFonts w:eastAsia="Times New Roman"/>
        </w:rPr>
        <w:t>A</w:t>
      </w:r>
      <w:r w:rsidR="00ED3BC3">
        <w:rPr>
          <w:rFonts w:eastAsia="Times New Roman"/>
        </w:rPr>
        <w:t>.;</w:t>
      </w:r>
      <w:r w:rsidRPr="00860506">
        <w:rPr>
          <w:rFonts w:eastAsia="Times New Roman"/>
        </w:rPr>
        <w:t xml:space="preserve"> John</w:t>
      </w:r>
      <w:r w:rsidR="00ED3BC3">
        <w:rPr>
          <w:rFonts w:eastAsia="Times New Roman"/>
        </w:rPr>
        <w:t>,</w:t>
      </w:r>
      <w:r w:rsidRPr="00860506">
        <w:rPr>
          <w:rFonts w:eastAsia="Times New Roman"/>
        </w:rPr>
        <w:t xml:space="preserve"> N</w:t>
      </w:r>
      <w:r w:rsidR="00ED3BC3">
        <w:rPr>
          <w:rFonts w:eastAsia="Times New Roman"/>
        </w:rPr>
        <w:t>.;</w:t>
      </w:r>
      <w:r w:rsidRPr="00860506">
        <w:rPr>
          <w:rFonts w:eastAsia="Times New Roman"/>
        </w:rPr>
        <w:t xml:space="preserve"> Sallam</w:t>
      </w:r>
      <w:r w:rsidR="00ED3BC3">
        <w:rPr>
          <w:rFonts w:eastAsia="Times New Roman"/>
        </w:rPr>
        <w:t>,</w:t>
      </w:r>
      <w:r w:rsidRPr="00860506">
        <w:rPr>
          <w:rFonts w:eastAsia="Times New Roman"/>
        </w:rPr>
        <w:t xml:space="preserve"> S</w:t>
      </w:r>
      <w:r w:rsidR="00ED3BC3">
        <w:rPr>
          <w:rFonts w:eastAsia="Times New Roman"/>
        </w:rPr>
        <w:t>.;</w:t>
      </w:r>
      <w:r w:rsidRPr="00860506">
        <w:rPr>
          <w:rFonts w:eastAsia="Times New Roman"/>
        </w:rPr>
        <w:t xml:space="preserve"> Shah</w:t>
      </w:r>
      <w:r w:rsidR="00D473B8">
        <w:rPr>
          <w:rFonts w:eastAsia="Times New Roman"/>
        </w:rPr>
        <w:t>,</w:t>
      </w:r>
      <w:r w:rsidRPr="00860506">
        <w:rPr>
          <w:rFonts w:eastAsia="Times New Roman"/>
        </w:rPr>
        <w:t xml:space="preserve"> N</w:t>
      </w:r>
      <w:r w:rsidR="00D473B8">
        <w:rPr>
          <w:rFonts w:eastAsia="Times New Roman"/>
        </w:rPr>
        <w:t>.</w:t>
      </w:r>
      <w:r w:rsidRPr="00860506">
        <w:rPr>
          <w:rFonts w:eastAsia="Times New Roman"/>
        </w:rPr>
        <w:t>D</w:t>
      </w:r>
      <w:r w:rsidR="00D473B8">
        <w:rPr>
          <w:rFonts w:eastAsia="Times New Roman"/>
        </w:rPr>
        <w:t>.;</w:t>
      </w:r>
      <w:r w:rsidRPr="00860506">
        <w:rPr>
          <w:rFonts w:eastAsia="Times New Roman"/>
        </w:rPr>
        <w:t xml:space="preserve"> Kwong</w:t>
      </w:r>
      <w:r w:rsidR="00D473B8">
        <w:rPr>
          <w:rFonts w:eastAsia="Times New Roman"/>
        </w:rPr>
        <w:t xml:space="preserve">, </w:t>
      </w:r>
      <w:r w:rsidRPr="00860506">
        <w:rPr>
          <w:rFonts w:eastAsia="Times New Roman"/>
        </w:rPr>
        <w:t>W</w:t>
      </w:r>
      <w:r w:rsidR="00D473B8">
        <w:rPr>
          <w:rFonts w:eastAsia="Times New Roman"/>
        </w:rPr>
        <w:t>.;</w:t>
      </w:r>
      <w:r w:rsidRPr="00860506">
        <w:rPr>
          <w:rFonts w:eastAsia="Times New Roman"/>
        </w:rPr>
        <w:t xml:space="preserve"> Cholankeril</w:t>
      </w:r>
      <w:r w:rsidR="00D473B8">
        <w:rPr>
          <w:rFonts w:eastAsia="Times New Roman"/>
        </w:rPr>
        <w:t>,</w:t>
      </w:r>
      <w:r w:rsidRPr="00860506">
        <w:rPr>
          <w:rFonts w:eastAsia="Times New Roman"/>
        </w:rPr>
        <w:t xml:space="preserve"> G</w:t>
      </w:r>
      <w:r w:rsidR="00D473B8">
        <w:rPr>
          <w:rFonts w:eastAsia="Times New Roman"/>
        </w:rPr>
        <w:t>.;</w:t>
      </w:r>
      <w:r w:rsidRPr="00860506">
        <w:rPr>
          <w:rFonts w:eastAsia="Times New Roman"/>
        </w:rPr>
        <w:t xml:space="preserve"> Kim</w:t>
      </w:r>
      <w:r w:rsidR="00D473B8">
        <w:rPr>
          <w:rFonts w:eastAsia="Times New Roman"/>
        </w:rPr>
        <w:t>,</w:t>
      </w:r>
      <w:r w:rsidRPr="00860506">
        <w:rPr>
          <w:rFonts w:eastAsia="Times New Roman"/>
        </w:rPr>
        <w:t xml:space="preserve"> D</w:t>
      </w:r>
      <w:r w:rsidR="00D473B8">
        <w:rPr>
          <w:rFonts w:eastAsia="Times New Roman"/>
        </w:rPr>
        <w:t>.;</w:t>
      </w:r>
      <w:r w:rsidRPr="00860506">
        <w:rPr>
          <w:rFonts w:eastAsia="Times New Roman"/>
        </w:rPr>
        <w:t xml:space="preserve"> Ahmed</w:t>
      </w:r>
      <w:r w:rsidR="00D473B8">
        <w:rPr>
          <w:rFonts w:eastAsia="Times New Roman"/>
        </w:rPr>
        <w:t>,</w:t>
      </w:r>
      <w:r w:rsidRPr="00860506">
        <w:rPr>
          <w:rFonts w:eastAsia="Times New Roman"/>
        </w:rPr>
        <w:t xml:space="preserve"> A</w:t>
      </w:r>
      <w:r w:rsidR="003C345F" w:rsidRPr="00B06110">
        <w:rPr>
          <w:rFonts w:eastAsia="Times New Roman"/>
        </w:rPr>
        <w:t xml:space="preserve">. The Therapeutic Implications of the Gut Microbiome and Probiotics in Patients with NAFLD. </w:t>
      </w:r>
      <w:r w:rsidR="003C345F" w:rsidRPr="00884D4F">
        <w:rPr>
          <w:rFonts w:eastAsia="Times New Roman"/>
          <w:i/>
          <w:iCs/>
        </w:rPr>
        <w:t>Diseases</w:t>
      </w:r>
      <w:r w:rsidR="003C345F" w:rsidRPr="00B06110">
        <w:rPr>
          <w:rFonts w:eastAsia="Times New Roman"/>
        </w:rPr>
        <w:t xml:space="preserve">. </w:t>
      </w:r>
      <w:r w:rsidR="003C345F" w:rsidRPr="00884D4F">
        <w:rPr>
          <w:rFonts w:eastAsia="Times New Roman"/>
          <w:b/>
          <w:bCs/>
        </w:rPr>
        <w:t>2019</w:t>
      </w:r>
      <w:r w:rsidR="003C345F" w:rsidRPr="00B06110">
        <w:rPr>
          <w:rFonts w:eastAsia="Times New Roman"/>
        </w:rPr>
        <w:t>;7:27. doi: 10.3390/diseases7010027.</w:t>
      </w:r>
    </w:p>
    <w:p w14:paraId="046D67F2" w14:textId="145FC9BC" w:rsidR="003C345F" w:rsidRPr="00B06110" w:rsidRDefault="00777EF8" w:rsidP="00B06110">
      <w:pPr>
        <w:pStyle w:val="PargrafodaLista"/>
        <w:numPr>
          <w:ilvl w:val="0"/>
          <w:numId w:val="26"/>
        </w:numPr>
        <w:spacing w:after="160" w:line="240" w:lineRule="auto"/>
        <w:ind w:firstLineChars="0"/>
        <w:contextualSpacing/>
        <w:rPr>
          <w:rFonts w:eastAsia="Times New Roman"/>
        </w:rPr>
      </w:pPr>
      <w:r w:rsidRPr="00777EF8">
        <w:rPr>
          <w:rFonts w:eastAsia="Times New Roman"/>
        </w:rPr>
        <w:t>Kim</w:t>
      </w:r>
      <w:r w:rsidR="00D473B8">
        <w:rPr>
          <w:rFonts w:eastAsia="Times New Roman"/>
        </w:rPr>
        <w:t>,</w:t>
      </w:r>
      <w:r w:rsidRPr="00777EF8">
        <w:rPr>
          <w:rFonts w:eastAsia="Times New Roman"/>
        </w:rPr>
        <w:t xml:space="preserve"> S</w:t>
      </w:r>
      <w:r w:rsidR="00D473B8">
        <w:rPr>
          <w:rFonts w:eastAsia="Times New Roman"/>
        </w:rPr>
        <w:t>.</w:t>
      </w:r>
      <w:r w:rsidRPr="00777EF8">
        <w:rPr>
          <w:rFonts w:eastAsia="Times New Roman"/>
        </w:rPr>
        <w:t>K</w:t>
      </w:r>
      <w:r w:rsidR="00D473B8">
        <w:rPr>
          <w:rFonts w:eastAsia="Times New Roman"/>
        </w:rPr>
        <w:t>.;</w:t>
      </w:r>
      <w:r w:rsidRPr="00777EF8">
        <w:rPr>
          <w:rFonts w:eastAsia="Times New Roman"/>
        </w:rPr>
        <w:t xml:space="preserve"> Guevarra</w:t>
      </w:r>
      <w:r w:rsidR="00D473B8">
        <w:rPr>
          <w:rFonts w:eastAsia="Times New Roman"/>
        </w:rPr>
        <w:t>,</w:t>
      </w:r>
      <w:r w:rsidRPr="00777EF8">
        <w:rPr>
          <w:rFonts w:eastAsia="Times New Roman"/>
        </w:rPr>
        <w:t xml:space="preserve"> R</w:t>
      </w:r>
      <w:r w:rsidR="00D473B8">
        <w:rPr>
          <w:rFonts w:eastAsia="Times New Roman"/>
        </w:rPr>
        <w:t>.</w:t>
      </w:r>
      <w:r w:rsidRPr="00777EF8">
        <w:rPr>
          <w:rFonts w:eastAsia="Times New Roman"/>
        </w:rPr>
        <w:t>B</w:t>
      </w:r>
      <w:r w:rsidR="00D473B8">
        <w:rPr>
          <w:rFonts w:eastAsia="Times New Roman"/>
        </w:rPr>
        <w:t>.;</w:t>
      </w:r>
      <w:r w:rsidRPr="00777EF8">
        <w:rPr>
          <w:rFonts w:eastAsia="Times New Roman"/>
        </w:rPr>
        <w:t xml:space="preserve"> Kim</w:t>
      </w:r>
      <w:r w:rsidR="00D473B8">
        <w:rPr>
          <w:rFonts w:eastAsia="Times New Roman"/>
        </w:rPr>
        <w:t xml:space="preserve">, </w:t>
      </w:r>
      <w:r w:rsidRPr="00777EF8">
        <w:rPr>
          <w:rFonts w:eastAsia="Times New Roman"/>
        </w:rPr>
        <w:t>Y</w:t>
      </w:r>
      <w:r w:rsidR="00D473B8">
        <w:rPr>
          <w:rFonts w:eastAsia="Times New Roman"/>
        </w:rPr>
        <w:t>.</w:t>
      </w:r>
      <w:r w:rsidRPr="00777EF8">
        <w:rPr>
          <w:rFonts w:eastAsia="Times New Roman"/>
        </w:rPr>
        <w:t>T</w:t>
      </w:r>
      <w:r w:rsidR="00D473B8">
        <w:rPr>
          <w:rFonts w:eastAsia="Times New Roman"/>
        </w:rPr>
        <w:t>.;</w:t>
      </w:r>
      <w:r w:rsidRPr="00777EF8">
        <w:rPr>
          <w:rFonts w:eastAsia="Times New Roman"/>
        </w:rPr>
        <w:t xml:space="preserve"> Kwon</w:t>
      </w:r>
      <w:r w:rsidR="00D473B8">
        <w:rPr>
          <w:rFonts w:eastAsia="Times New Roman"/>
        </w:rPr>
        <w:t>,</w:t>
      </w:r>
      <w:r w:rsidRPr="00777EF8">
        <w:rPr>
          <w:rFonts w:eastAsia="Times New Roman"/>
        </w:rPr>
        <w:t xml:space="preserve"> J</w:t>
      </w:r>
      <w:r w:rsidR="00D473B8">
        <w:rPr>
          <w:rFonts w:eastAsia="Times New Roman"/>
        </w:rPr>
        <w:t>.;</w:t>
      </w:r>
      <w:r w:rsidRPr="00777EF8">
        <w:rPr>
          <w:rFonts w:eastAsia="Times New Roman"/>
        </w:rPr>
        <w:t xml:space="preserve"> Kim</w:t>
      </w:r>
      <w:r w:rsidR="00D473B8">
        <w:rPr>
          <w:rFonts w:eastAsia="Times New Roman"/>
        </w:rPr>
        <w:t>,</w:t>
      </w:r>
      <w:r w:rsidRPr="00777EF8">
        <w:rPr>
          <w:rFonts w:eastAsia="Times New Roman"/>
        </w:rPr>
        <w:t xml:space="preserve"> H</w:t>
      </w:r>
      <w:r w:rsidR="00D473B8">
        <w:rPr>
          <w:rFonts w:eastAsia="Times New Roman"/>
        </w:rPr>
        <w:t>.;</w:t>
      </w:r>
      <w:r w:rsidRPr="00777EF8">
        <w:rPr>
          <w:rFonts w:eastAsia="Times New Roman"/>
        </w:rPr>
        <w:t xml:space="preserve"> Cho</w:t>
      </w:r>
      <w:r w:rsidR="00D473B8">
        <w:rPr>
          <w:rFonts w:eastAsia="Times New Roman"/>
        </w:rPr>
        <w:t>,</w:t>
      </w:r>
      <w:r w:rsidRPr="00777EF8">
        <w:rPr>
          <w:rFonts w:eastAsia="Times New Roman"/>
        </w:rPr>
        <w:t xml:space="preserve"> J</w:t>
      </w:r>
      <w:r w:rsidR="00D473B8">
        <w:rPr>
          <w:rFonts w:eastAsia="Times New Roman"/>
        </w:rPr>
        <w:t>.</w:t>
      </w:r>
      <w:r w:rsidRPr="00777EF8">
        <w:rPr>
          <w:rFonts w:eastAsia="Times New Roman"/>
        </w:rPr>
        <w:t>H</w:t>
      </w:r>
      <w:r w:rsidR="00D473B8">
        <w:rPr>
          <w:rFonts w:eastAsia="Times New Roman"/>
        </w:rPr>
        <w:t>.;</w:t>
      </w:r>
      <w:r w:rsidRPr="00777EF8">
        <w:rPr>
          <w:rFonts w:eastAsia="Times New Roman"/>
        </w:rPr>
        <w:t xml:space="preserve"> Kim</w:t>
      </w:r>
      <w:r w:rsidR="00AF5A6D">
        <w:rPr>
          <w:rFonts w:eastAsia="Times New Roman"/>
        </w:rPr>
        <w:t>,</w:t>
      </w:r>
      <w:r w:rsidRPr="00777EF8">
        <w:rPr>
          <w:rFonts w:eastAsia="Times New Roman"/>
        </w:rPr>
        <w:t xml:space="preserve"> H</w:t>
      </w:r>
      <w:r w:rsidR="00AF5A6D">
        <w:rPr>
          <w:rFonts w:eastAsia="Times New Roman"/>
        </w:rPr>
        <w:t>.</w:t>
      </w:r>
      <w:r w:rsidRPr="00777EF8">
        <w:rPr>
          <w:rFonts w:eastAsia="Times New Roman"/>
        </w:rPr>
        <w:t>B</w:t>
      </w:r>
      <w:r w:rsidR="00AF5A6D">
        <w:rPr>
          <w:rFonts w:eastAsia="Times New Roman"/>
        </w:rPr>
        <w:t>.;</w:t>
      </w:r>
      <w:r w:rsidRPr="00777EF8">
        <w:rPr>
          <w:rFonts w:eastAsia="Times New Roman"/>
        </w:rPr>
        <w:t xml:space="preserve"> Lee</w:t>
      </w:r>
      <w:r w:rsidR="00AF5A6D">
        <w:rPr>
          <w:rFonts w:eastAsia="Times New Roman"/>
        </w:rPr>
        <w:t>,</w:t>
      </w:r>
      <w:r w:rsidRPr="00777EF8">
        <w:rPr>
          <w:rFonts w:eastAsia="Times New Roman"/>
        </w:rPr>
        <w:t xml:space="preserve"> J</w:t>
      </w:r>
      <w:r w:rsidR="00AF5A6D">
        <w:rPr>
          <w:rFonts w:eastAsia="Times New Roman"/>
        </w:rPr>
        <w:t>.</w:t>
      </w:r>
      <w:r w:rsidRPr="00777EF8">
        <w:rPr>
          <w:rFonts w:eastAsia="Times New Roman"/>
        </w:rPr>
        <w:t>H</w:t>
      </w:r>
      <w:r w:rsidR="003C345F" w:rsidRPr="00B06110">
        <w:rPr>
          <w:rFonts w:eastAsia="Times New Roman"/>
        </w:rPr>
        <w:t xml:space="preserve">. Role of Probiotics in Human Gut Microbiome-Associated Diseases. </w:t>
      </w:r>
      <w:r w:rsidR="003C345F" w:rsidRPr="00884D4F">
        <w:rPr>
          <w:rFonts w:eastAsia="Times New Roman"/>
          <w:i/>
          <w:iCs/>
        </w:rPr>
        <w:t>J Microbiol Biotechnol</w:t>
      </w:r>
      <w:r w:rsidR="003C345F" w:rsidRPr="00B06110">
        <w:rPr>
          <w:rFonts w:eastAsia="Times New Roman"/>
        </w:rPr>
        <w:t xml:space="preserve">. </w:t>
      </w:r>
      <w:r w:rsidR="003C345F" w:rsidRPr="00884D4F">
        <w:rPr>
          <w:rFonts w:eastAsia="Times New Roman"/>
          <w:b/>
          <w:bCs/>
        </w:rPr>
        <w:t>2019</w:t>
      </w:r>
      <w:r w:rsidR="003C345F" w:rsidRPr="00B06110">
        <w:rPr>
          <w:rFonts w:eastAsia="Times New Roman"/>
        </w:rPr>
        <w:t>; 29:1335-1340. doi: 10.4014/jmb.1906.06064.</w:t>
      </w:r>
    </w:p>
    <w:p w14:paraId="743956FF" w14:textId="67BD2AEF"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Cox</w:t>
      </w:r>
      <w:r w:rsidR="00AF5A6D">
        <w:rPr>
          <w:rFonts w:eastAsia="Times New Roman"/>
        </w:rPr>
        <w:t>,</w:t>
      </w:r>
      <w:r w:rsidRPr="00B06110">
        <w:rPr>
          <w:rFonts w:eastAsia="Times New Roman"/>
        </w:rPr>
        <w:t xml:space="preserve"> A</w:t>
      </w:r>
      <w:r w:rsidR="00AF5A6D">
        <w:rPr>
          <w:rFonts w:eastAsia="Times New Roman"/>
        </w:rPr>
        <w:t>.</w:t>
      </w:r>
      <w:r w:rsidRPr="00B06110">
        <w:rPr>
          <w:rFonts w:eastAsia="Times New Roman"/>
        </w:rPr>
        <w:t>J</w:t>
      </w:r>
      <w:r w:rsidR="00AF5A6D">
        <w:rPr>
          <w:rFonts w:eastAsia="Times New Roman"/>
        </w:rPr>
        <w:t>.;</w:t>
      </w:r>
      <w:r w:rsidRPr="00B06110">
        <w:rPr>
          <w:rFonts w:eastAsia="Times New Roman"/>
        </w:rPr>
        <w:t xml:space="preserve"> West</w:t>
      </w:r>
      <w:r w:rsidR="00AF5A6D">
        <w:rPr>
          <w:rFonts w:eastAsia="Times New Roman"/>
        </w:rPr>
        <w:t>,</w:t>
      </w:r>
      <w:r w:rsidRPr="00B06110">
        <w:rPr>
          <w:rFonts w:eastAsia="Times New Roman"/>
        </w:rPr>
        <w:t xml:space="preserve"> N</w:t>
      </w:r>
      <w:r w:rsidR="00AF5A6D">
        <w:rPr>
          <w:rFonts w:eastAsia="Times New Roman"/>
        </w:rPr>
        <w:t>.</w:t>
      </w:r>
      <w:r w:rsidRPr="00B06110">
        <w:rPr>
          <w:rFonts w:eastAsia="Times New Roman"/>
        </w:rPr>
        <w:t>P</w:t>
      </w:r>
      <w:r w:rsidR="00AF5A6D">
        <w:rPr>
          <w:rFonts w:eastAsia="Times New Roman"/>
        </w:rPr>
        <w:t>.;</w:t>
      </w:r>
      <w:r w:rsidRPr="00B06110">
        <w:rPr>
          <w:rFonts w:eastAsia="Times New Roman"/>
        </w:rPr>
        <w:t xml:space="preserve"> Cripps</w:t>
      </w:r>
      <w:r w:rsidR="00AF5A6D">
        <w:rPr>
          <w:rFonts w:eastAsia="Times New Roman"/>
        </w:rPr>
        <w:t>,</w:t>
      </w:r>
      <w:r w:rsidRPr="00B06110">
        <w:rPr>
          <w:rFonts w:eastAsia="Times New Roman"/>
        </w:rPr>
        <w:t xml:space="preserve"> A</w:t>
      </w:r>
      <w:r w:rsidR="00AF5A6D">
        <w:rPr>
          <w:rFonts w:eastAsia="Times New Roman"/>
        </w:rPr>
        <w:t>.</w:t>
      </w:r>
      <w:r w:rsidRPr="00B06110">
        <w:rPr>
          <w:rFonts w:eastAsia="Times New Roman"/>
        </w:rPr>
        <w:t xml:space="preserve">W. Obesity, inflammation, and the gut microbiota. </w:t>
      </w:r>
      <w:r w:rsidRPr="00884D4F">
        <w:rPr>
          <w:rFonts w:eastAsia="Times New Roman"/>
          <w:i/>
          <w:iCs/>
        </w:rPr>
        <w:t>Lancet Diabetes Endocrinol</w:t>
      </w:r>
      <w:r w:rsidRPr="00B06110">
        <w:rPr>
          <w:rFonts w:eastAsia="Times New Roman"/>
        </w:rPr>
        <w:t xml:space="preserve">. </w:t>
      </w:r>
      <w:r w:rsidRPr="00884D4F">
        <w:rPr>
          <w:rFonts w:eastAsia="Times New Roman"/>
          <w:b/>
          <w:bCs/>
        </w:rPr>
        <w:t>2015</w:t>
      </w:r>
      <w:r w:rsidRPr="00B06110">
        <w:rPr>
          <w:rFonts w:eastAsia="Times New Roman"/>
        </w:rPr>
        <w:t>; 3:207-15. doi: 10.1016/S2213-8587(14)70134-2.</w:t>
      </w:r>
    </w:p>
    <w:p w14:paraId="56CB7BA8" w14:textId="24503A6D"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Barengolts</w:t>
      </w:r>
      <w:r w:rsidR="00AF5A6D">
        <w:rPr>
          <w:rFonts w:eastAsia="Times New Roman"/>
        </w:rPr>
        <w:t>,</w:t>
      </w:r>
      <w:r w:rsidRPr="00B06110">
        <w:rPr>
          <w:rFonts w:eastAsia="Times New Roman"/>
        </w:rPr>
        <w:t xml:space="preserve"> E. Gut microbiota, prebiotics, probiotics, and synbiotics in management of obesity and prediabetes: review of randomized controlled trials. </w:t>
      </w:r>
      <w:r w:rsidRPr="00884D4F">
        <w:rPr>
          <w:rFonts w:eastAsia="Times New Roman"/>
          <w:i/>
          <w:iCs/>
        </w:rPr>
        <w:t>Endocr Pract</w:t>
      </w:r>
      <w:r w:rsidRPr="00B06110">
        <w:rPr>
          <w:rFonts w:eastAsia="Times New Roman"/>
        </w:rPr>
        <w:t xml:space="preserve">. </w:t>
      </w:r>
      <w:r w:rsidRPr="00884D4F">
        <w:rPr>
          <w:rFonts w:eastAsia="Times New Roman"/>
          <w:b/>
          <w:bCs/>
        </w:rPr>
        <w:t>2016</w:t>
      </w:r>
      <w:r w:rsidRPr="00B06110">
        <w:rPr>
          <w:rFonts w:eastAsia="Times New Roman"/>
        </w:rPr>
        <w:t>; 22:1224-1234. doi: 10.4158/EP151157.RA.</w:t>
      </w:r>
    </w:p>
    <w:p w14:paraId="5753C228" w14:textId="3B716C90" w:rsidR="003C345F" w:rsidRPr="00B06110" w:rsidRDefault="00693EB1" w:rsidP="00B06110">
      <w:pPr>
        <w:pStyle w:val="PargrafodaLista"/>
        <w:numPr>
          <w:ilvl w:val="0"/>
          <w:numId w:val="26"/>
        </w:numPr>
        <w:spacing w:after="160" w:line="240" w:lineRule="auto"/>
        <w:ind w:firstLineChars="0"/>
        <w:contextualSpacing/>
        <w:rPr>
          <w:rFonts w:eastAsia="Times New Roman"/>
        </w:rPr>
      </w:pPr>
      <w:r w:rsidRPr="00AF5A6D">
        <w:rPr>
          <w:rFonts w:eastAsia="Times New Roman"/>
        </w:rPr>
        <w:t>Maioli</w:t>
      </w:r>
      <w:r w:rsidR="00AF5A6D" w:rsidRPr="00AF5A6D">
        <w:rPr>
          <w:rFonts w:eastAsia="Times New Roman"/>
        </w:rPr>
        <w:t>,</w:t>
      </w:r>
      <w:r w:rsidRPr="00AF5A6D">
        <w:rPr>
          <w:rFonts w:eastAsia="Times New Roman"/>
        </w:rPr>
        <w:t xml:space="preserve"> T</w:t>
      </w:r>
      <w:r w:rsidR="00AF5A6D" w:rsidRPr="00AF5A6D">
        <w:rPr>
          <w:rFonts w:eastAsia="Times New Roman"/>
        </w:rPr>
        <w:t>.</w:t>
      </w:r>
      <w:r w:rsidRPr="00AF5A6D">
        <w:rPr>
          <w:rFonts w:eastAsia="Times New Roman"/>
        </w:rPr>
        <w:t>U</w:t>
      </w:r>
      <w:r w:rsidR="00AF5A6D" w:rsidRPr="00AF5A6D">
        <w:rPr>
          <w:rFonts w:eastAsia="Times New Roman"/>
        </w:rPr>
        <w:t>.;</w:t>
      </w:r>
      <w:r w:rsidRPr="00AF5A6D">
        <w:rPr>
          <w:rFonts w:eastAsia="Times New Roman"/>
        </w:rPr>
        <w:t xml:space="preserve"> Borras-Nogues</w:t>
      </w:r>
      <w:r w:rsidR="00AF5A6D" w:rsidRPr="00AF5A6D">
        <w:rPr>
          <w:rFonts w:eastAsia="Times New Roman"/>
        </w:rPr>
        <w:t>,</w:t>
      </w:r>
      <w:r w:rsidRPr="00AF5A6D">
        <w:rPr>
          <w:rFonts w:eastAsia="Times New Roman"/>
        </w:rPr>
        <w:t xml:space="preserve"> E</w:t>
      </w:r>
      <w:r w:rsidR="00AF5A6D" w:rsidRPr="00AF5A6D">
        <w:rPr>
          <w:rFonts w:eastAsia="Times New Roman"/>
        </w:rPr>
        <w:t>.;</w:t>
      </w:r>
      <w:r w:rsidRPr="00AF5A6D">
        <w:rPr>
          <w:rFonts w:eastAsia="Times New Roman"/>
        </w:rPr>
        <w:t xml:space="preserve"> Torres</w:t>
      </w:r>
      <w:r w:rsidR="00AF5A6D" w:rsidRPr="00AF5A6D">
        <w:rPr>
          <w:rFonts w:eastAsia="Times New Roman"/>
        </w:rPr>
        <w:t>,</w:t>
      </w:r>
      <w:r w:rsidRPr="00AF5A6D">
        <w:rPr>
          <w:rFonts w:eastAsia="Times New Roman"/>
        </w:rPr>
        <w:t xml:space="preserve"> L</w:t>
      </w:r>
      <w:r w:rsidR="00AF5A6D" w:rsidRPr="00AF5A6D">
        <w:rPr>
          <w:rFonts w:eastAsia="Times New Roman"/>
        </w:rPr>
        <w:t>.;</w:t>
      </w:r>
      <w:r w:rsidRPr="00AF5A6D">
        <w:rPr>
          <w:rFonts w:eastAsia="Times New Roman"/>
        </w:rPr>
        <w:t xml:space="preserve"> Barbosa</w:t>
      </w:r>
      <w:r w:rsidR="00AF5A6D" w:rsidRPr="00AF5A6D">
        <w:rPr>
          <w:rFonts w:eastAsia="Times New Roman"/>
        </w:rPr>
        <w:t>,</w:t>
      </w:r>
      <w:r w:rsidRPr="00AF5A6D">
        <w:rPr>
          <w:rFonts w:eastAsia="Times New Roman"/>
        </w:rPr>
        <w:t xml:space="preserve"> S</w:t>
      </w:r>
      <w:r w:rsidR="00AF5A6D" w:rsidRPr="00AF5A6D">
        <w:rPr>
          <w:rFonts w:eastAsia="Times New Roman"/>
        </w:rPr>
        <w:t>.</w:t>
      </w:r>
      <w:r w:rsidRPr="00AF5A6D">
        <w:rPr>
          <w:rFonts w:eastAsia="Times New Roman"/>
        </w:rPr>
        <w:t>C</w:t>
      </w:r>
      <w:r w:rsidR="00AF5A6D" w:rsidRPr="00AF5A6D">
        <w:rPr>
          <w:rFonts w:eastAsia="Times New Roman"/>
        </w:rPr>
        <w:t>.;</w:t>
      </w:r>
      <w:r w:rsidRPr="00AF5A6D">
        <w:rPr>
          <w:rFonts w:eastAsia="Times New Roman"/>
        </w:rPr>
        <w:t xml:space="preserve"> Martins</w:t>
      </w:r>
      <w:r w:rsidR="00AF5A6D" w:rsidRPr="00AF5A6D">
        <w:rPr>
          <w:rFonts w:eastAsia="Times New Roman"/>
        </w:rPr>
        <w:t>,</w:t>
      </w:r>
      <w:r w:rsidRPr="00AF5A6D">
        <w:rPr>
          <w:rFonts w:eastAsia="Times New Roman"/>
        </w:rPr>
        <w:t xml:space="preserve"> V</w:t>
      </w:r>
      <w:r w:rsidR="00AF5A6D" w:rsidRPr="00AF5A6D">
        <w:rPr>
          <w:rFonts w:eastAsia="Times New Roman"/>
        </w:rPr>
        <w:t>.</w:t>
      </w:r>
      <w:r w:rsidRPr="00AF5A6D">
        <w:rPr>
          <w:rFonts w:eastAsia="Times New Roman"/>
        </w:rPr>
        <w:t>D</w:t>
      </w:r>
      <w:r w:rsidR="00AF5A6D" w:rsidRPr="00AF5A6D">
        <w:rPr>
          <w:rFonts w:eastAsia="Times New Roman"/>
        </w:rPr>
        <w:t>.;</w:t>
      </w:r>
      <w:r w:rsidRPr="00AF5A6D">
        <w:rPr>
          <w:rFonts w:eastAsia="Times New Roman"/>
        </w:rPr>
        <w:t xml:space="preserve"> Langella</w:t>
      </w:r>
      <w:r w:rsidR="00AF5A6D" w:rsidRPr="00AF5A6D">
        <w:rPr>
          <w:rFonts w:eastAsia="Times New Roman"/>
        </w:rPr>
        <w:t>,</w:t>
      </w:r>
      <w:r w:rsidRPr="00AF5A6D">
        <w:rPr>
          <w:rFonts w:eastAsia="Times New Roman"/>
        </w:rPr>
        <w:t xml:space="preserve"> P</w:t>
      </w:r>
      <w:r w:rsidR="00AF5A6D" w:rsidRPr="00AF5A6D">
        <w:rPr>
          <w:rFonts w:eastAsia="Times New Roman"/>
        </w:rPr>
        <w:t>.;</w:t>
      </w:r>
      <w:r w:rsidRPr="00AF5A6D">
        <w:rPr>
          <w:rFonts w:eastAsia="Times New Roman"/>
        </w:rPr>
        <w:t xml:space="preserve"> Azevedo</w:t>
      </w:r>
      <w:r w:rsidR="00AF5A6D" w:rsidRPr="00AF5A6D">
        <w:rPr>
          <w:rFonts w:eastAsia="Times New Roman"/>
        </w:rPr>
        <w:t>,</w:t>
      </w:r>
      <w:r w:rsidRPr="00AF5A6D">
        <w:rPr>
          <w:rFonts w:eastAsia="Times New Roman"/>
        </w:rPr>
        <w:t xml:space="preserve"> V</w:t>
      </w:r>
      <w:r w:rsidR="00AF5A6D" w:rsidRPr="00AF5A6D">
        <w:rPr>
          <w:rFonts w:eastAsia="Times New Roman"/>
        </w:rPr>
        <w:t>.</w:t>
      </w:r>
      <w:r w:rsidRPr="00AF5A6D">
        <w:rPr>
          <w:rFonts w:eastAsia="Times New Roman"/>
        </w:rPr>
        <w:t>A</w:t>
      </w:r>
      <w:r w:rsidR="00AF5A6D" w:rsidRPr="00AF5A6D">
        <w:rPr>
          <w:rFonts w:eastAsia="Times New Roman"/>
        </w:rPr>
        <w:t>.;</w:t>
      </w:r>
      <w:r w:rsidRPr="00AF5A6D">
        <w:rPr>
          <w:rFonts w:eastAsia="Times New Roman"/>
        </w:rPr>
        <w:t xml:space="preserve"> Chatel</w:t>
      </w:r>
      <w:r w:rsidR="00AF5A6D" w:rsidRPr="00AF5A6D">
        <w:rPr>
          <w:rFonts w:eastAsia="Times New Roman"/>
        </w:rPr>
        <w:t>,</w:t>
      </w:r>
      <w:r w:rsidRPr="00AF5A6D">
        <w:rPr>
          <w:rFonts w:eastAsia="Times New Roman"/>
        </w:rPr>
        <w:t xml:space="preserve"> J</w:t>
      </w:r>
      <w:r w:rsidR="00AF5A6D" w:rsidRPr="00AF5A6D">
        <w:rPr>
          <w:rFonts w:eastAsia="Times New Roman"/>
        </w:rPr>
        <w:t>.</w:t>
      </w:r>
      <w:r w:rsidRPr="00AF5A6D">
        <w:rPr>
          <w:rFonts w:eastAsia="Times New Roman"/>
        </w:rPr>
        <w:t xml:space="preserve">M. </w:t>
      </w:r>
      <w:r w:rsidR="003C345F" w:rsidRPr="00B06110">
        <w:rPr>
          <w:rFonts w:eastAsia="Times New Roman"/>
        </w:rPr>
        <w:t xml:space="preserve">Possible Benefits of </w:t>
      </w:r>
      <w:r w:rsidR="003C345F" w:rsidRPr="00B06110">
        <w:rPr>
          <w:rFonts w:eastAsia="Times New Roman"/>
          <w:i/>
          <w:iCs/>
        </w:rPr>
        <w:t>Faecalibacterium prausnitzii</w:t>
      </w:r>
      <w:r w:rsidR="003C345F" w:rsidRPr="00B06110">
        <w:rPr>
          <w:rFonts w:eastAsia="Times New Roman"/>
        </w:rPr>
        <w:t xml:space="preserve"> for Obesity-Associated Gut Disorders. </w:t>
      </w:r>
      <w:r w:rsidR="003C345F" w:rsidRPr="00884D4F">
        <w:rPr>
          <w:rFonts w:eastAsia="Times New Roman"/>
          <w:i/>
          <w:iCs/>
        </w:rPr>
        <w:t>Front Pharmacol</w:t>
      </w:r>
      <w:r w:rsidR="003C345F" w:rsidRPr="00B06110">
        <w:rPr>
          <w:rFonts w:eastAsia="Times New Roman"/>
        </w:rPr>
        <w:t xml:space="preserve">. </w:t>
      </w:r>
      <w:r w:rsidR="003C345F" w:rsidRPr="00884D4F">
        <w:rPr>
          <w:rFonts w:eastAsia="Times New Roman"/>
          <w:b/>
          <w:bCs/>
        </w:rPr>
        <w:t>2021</w:t>
      </w:r>
      <w:r w:rsidR="003C345F" w:rsidRPr="00B06110">
        <w:rPr>
          <w:rFonts w:eastAsia="Times New Roman"/>
        </w:rPr>
        <w:t>; 12:740636. doi: 10.3389/fphar.2021.740636.</w:t>
      </w:r>
    </w:p>
    <w:p w14:paraId="434C6879" w14:textId="7A4C5080" w:rsidR="003C345F" w:rsidRPr="00B06110" w:rsidRDefault="003C345F" w:rsidP="00B06110">
      <w:pPr>
        <w:pStyle w:val="PargrafodaLista"/>
        <w:numPr>
          <w:ilvl w:val="0"/>
          <w:numId w:val="26"/>
        </w:numPr>
        <w:spacing w:after="160" w:line="240" w:lineRule="auto"/>
        <w:ind w:firstLineChars="0"/>
        <w:contextualSpacing/>
        <w:rPr>
          <w:rFonts w:eastAsia="Times New Roman"/>
        </w:rPr>
      </w:pPr>
      <w:r w:rsidRPr="00B06110">
        <w:rPr>
          <w:rFonts w:eastAsia="Times New Roman"/>
        </w:rPr>
        <w:t>Mithieux</w:t>
      </w:r>
      <w:r w:rsidR="00AF5A6D">
        <w:rPr>
          <w:rFonts w:eastAsia="Times New Roman"/>
        </w:rPr>
        <w:t>,</w:t>
      </w:r>
      <w:r w:rsidRPr="00B06110">
        <w:rPr>
          <w:rFonts w:eastAsia="Times New Roman"/>
        </w:rPr>
        <w:t xml:space="preserve"> G. Gut Microbiota and Host Metabolism: What Relationship. </w:t>
      </w:r>
      <w:r w:rsidRPr="00693EB1">
        <w:rPr>
          <w:rFonts w:eastAsia="Times New Roman"/>
          <w:i/>
          <w:iCs/>
        </w:rPr>
        <w:t>Neuroendocrinology</w:t>
      </w:r>
      <w:r w:rsidRPr="00B06110">
        <w:rPr>
          <w:rFonts w:eastAsia="Times New Roman"/>
        </w:rPr>
        <w:t xml:space="preserve">. </w:t>
      </w:r>
      <w:r w:rsidRPr="00693EB1">
        <w:rPr>
          <w:rFonts w:eastAsia="Times New Roman"/>
          <w:b/>
          <w:bCs/>
        </w:rPr>
        <w:t>2018</w:t>
      </w:r>
      <w:r w:rsidRPr="00B06110">
        <w:rPr>
          <w:rFonts w:eastAsia="Times New Roman"/>
        </w:rPr>
        <w:t>; 106:352-356. doi: 10.1159/000484526.</w:t>
      </w:r>
    </w:p>
    <w:sectPr w:rsidR="003C345F" w:rsidRPr="00B06110" w:rsidSect="00770985">
      <w:headerReference w:type="even" r:id="rId31"/>
      <w:headerReference w:type="default" r:id="rId32"/>
      <w:footerReference w:type="default" r:id="rId33"/>
      <w:headerReference w:type="first" r:id="rId34"/>
      <w:footerReference w:type="first" r:id="rId35"/>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8212A" w14:textId="77777777" w:rsidR="00F475B6" w:rsidRDefault="00F475B6" w:rsidP="00C1340D">
      <w:r>
        <w:separator/>
      </w:r>
    </w:p>
  </w:endnote>
  <w:endnote w:type="continuationSeparator" w:id="0">
    <w:p w14:paraId="0E05A86E" w14:textId="77777777" w:rsidR="00F475B6" w:rsidRDefault="00F475B6"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18F0F" w14:textId="77777777" w:rsidR="00953BF5" w:rsidRPr="00032917" w:rsidRDefault="00953BF5" w:rsidP="00032917">
    <w:pPr>
      <w:pStyle w:val="Rodap"/>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7F5DE" w14:textId="77777777" w:rsidR="0024570F" w:rsidRDefault="0024570F" w:rsidP="0010543D">
    <w:pPr>
      <w:pStyle w:val="MDPIfooterfirstpage"/>
      <w:pBdr>
        <w:top w:val="single" w:sz="4" w:space="0" w:color="000000"/>
      </w:pBdr>
      <w:adjustRightInd w:val="0"/>
      <w:snapToGrid w:val="0"/>
      <w:spacing w:before="480" w:line="100" w:lineRule="exact"/>
      <w:rPr>
        <w:i/>
        <w:szCs w:val="16"/>
      </w:rPr>
    </w:pPr>
  </w:p>
  <w:p w14:paraId="5A3044F3" w14:textId="77777777" w:rsidR="00391035" w:rsidRPr="008B308E" w:rsidRDefault="00856F22" w:rsidP="00C21920">
    <w:pPr>
      <w:pStyle w:val="MDPIfooterfirstpage"/>
      <w:tabs>
        <w:tab w:val="clear" w:pos="8845"/>
        <w:tab w:val="right" w:pos="10466"/>
      </w:tabs>
      <w:spacing w:line="240" w:lineRule="auto"/>
      <w:jc w:val="both"/>
      <w:rPr>
        <w:lang w:val="fr-CH"/>
      </w:rPr>
    </w:pPr>
    <w:r w:rsidRPr="00D44AD5">
      <w:rPr>
        <w:i/>
        <w:szCs w:val="16"/>
        <w:lang w:val="es-ES_tradnl"/>
      </w:rPr>
      <w:t>Medicina</w:t>
    </w:r>
    <w:r w:rsidR="00871C11" w:rsidRPr="00D44AD5">
      <w:rPr>
        <w:szCs w:val="16"/>
        <w:lang w:val="es-ES_tradnl"/>
      </w:rPr>
      <w:t xml:space="preserve"> </w:t>
    </w:r>
    <w:r w:rsidR="00C97679" w:rsidRPr="00D44AD5">
      <w:rPr>
        <w:b/>
        <w:szCs w:val="16"/>
        <w:lang w:val="es-ES_tradnl"/>
      </w:rPr>
      <w:t>2024</w:t>
    </w:r>
    <w:r w:rsidR="00891015" w:rsidRPr="00D44AD5">
      <w:rPr>
        <w:szCs w:val="16"/>
        <w:lang w:val="es-ES_tradnl"/>
      </w:rPr>
      <w:t>,</w:t>
    </w:r>
    <w:r w:rsidR="00C97679" w:rsidRPr="00D44AD5">
      <w:rPr>
        <w:i/>
        <w:szCs w:val="16"/>
        <w:lang w:val="es-ES_tradnl"/>
      </w:rPr>
      <w:t xml:space="preserve"> 60</w:t>
    </w:r>
    <w:r w:rsidR="00891015" w:rsidRPr="00D44AD5">
      <w:rPr>
        <w:szCs w:val="16"/>
        <w:lang w:val="es-ES_tradnl"/>
      </w:rPr>
      <w:t xml:space="preserve">, </w:t>
    </w:r>
    <w:r w:rsidR="0092211A" w:rsidRPr="00D44AD5">
      <w:rPr>
        <w:szCs w:val="16"/>
        <w:lang w:val="es-ES_tradnl"/>
      </w:rPr>
      <w:t>x</w:t>
    </w:r>
    <w:r w:rsidR="0024570F" w:rsidRPr="00D44AD5">
      <w:rPr>
        <w:szCs w:val="16"/>
        <w:lang w:val="es-ES_tradnl"/>
      </w:rPr>
      <w:t>. https://doi.org/10.3390/xxxxx</w:t>
    </w:r>
    <w:r w:rsidR="00C21920" w:rsidRPr="008B308E">
      <w:rPr>
        <w:lang w:val="fr-CH"/>
      </w:rPr>
      <w:tab/>
    </w:r>
    <w:r w:rsidR="00391035" w:rsidRPr="008B308E">
      <w:rPr>
        <w:lang w:val="fr-CH"/>
      </w:rPr>
      <w:t>www.mdpi.com/journal/</w:t>
    </w:r>
    <w:r w:rsidR="00CE7A1C" w:rsidRPr="00D44AD5">
      <w:rPr>
        <w:lang w:val="es-ES_tradnl"/>
      </w:rPr>
      <w:t>medicina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01DEE" w14:textId="77777777" w:rsidR="00F475B6" w:rsidRDefault="00F475B6" w:rsidP="00C1340D">
      <w:r>
        <w:separator/>
      </w:r>
    </w:p>
  </w:footnote>
  <w:footnote w:type="continuationSeparator" w:id="0">
    <w:p w14:paraId="6EE2697B" w14:textId="77777777" w:rsidR="00F475B6" w:rsidRDefault="00F475B6" w:rsidP="00C13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1AE0F" w14:textId="77777777" w:rsidR="00953BF5" w:rsidRDefault="00953BF5" w:rsidP="00225F3F">
    <w:pPr>
      <w:pStyle w:val="Cabealho"/>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1FCFA" w14:textId="77777777" w:rsidR="0024570F" w:rsidRDefault="00856F22" w:rsidP="00C21920">
    <w:pPr>
      <w:tabs>
        <w:tab w:val="right" w:pos="10466"/>
      </w:tabs>
      <w:adjustRightInd w:val="0"/>
      <w:snapToGrid w:val="0"/>
      <w:spacing w:line="240" w:lineRule="auto"/>
      <w:rPr>
        <w:sz w:val="16"/>
      </w:rPr>
    </w:pPr>
    <w:r>
      <w:rPr>
        <w:i/>
        <w:sz w:val="16"/>
      </w:rPr>
      <w:t>Medicina</w:t>
    </w:r>
    <w:r w:rsidR="007A5CE1">
      <w:rPr>
        <w:i/>
        <w:sz w:val="16"/>
      </w:rPr>
      <w:t xml:space="preserve"> </w:t>
    </w:r>
    <w:r w:rsidR="00C97679">
      <w:rPr>
        <w:b/>
        <w:sz w:val="16"/>
      </w:rPr>
      <w:t>2024</w:t>
    </w:r>
    <w:r w:rsidR="00891015" w:rsidRPr="00891015">
      <w:rPr>
        <w:sz w:val="16"/>
      </w:rPr>
      <w:t>,</w:t>
    </w:r>
    <w:r w:rsidR="00C97679">
      <w:rPr>
        <w:i/>
        <w:sz w:val="16"/>
      </w:rPr>
      <w:t xml:space="preserve"> 60</w:t>
    </w:r>
    <w:r w:rsidR="0092211A">
      <w:rPr>
        <w:sz w:val="16"/>
      </w:rPr>
      <w:t>, x FOR PEER REVIEW</w:t>
    </w:r>
    <w:r w:rsidR="00C21920">
      <w:rPr>
        <w:sz w:val="16"/>
      </w:rPr>
      <w:tab/>
    </w:r>
    <w:r w:rsidR="0092211A">
      <w:rPr>
        <w:sz w:val="16"/>
      </w:rPr>
      <w:fldChar w:fldCharType="begin"/>
    </w:r>
    <w:r w:rsidR="0092211A">
      <w:rPr>
        <w:sz w:val="16"/>
      </w:rPr>
      <w:instrText xml:space="preserve"> PAGE   \* MERGEFORMAT </w:instrText>
    </w:r>
    <w:r w:rsidR="0092211A">
      <w:rPr>
        <w:sz w:val="16"/>
      </w:rPr>
      <w:fldChar w:fldCharType="separate"/>
    </w:r>
    <w:r w:rsidR="00D53CBA">
      <w:rPr>
        <w:sz w:val="16"/>
      </w:rPr>
      <w:t>5</w:t>
    </w:r>
    <w:r w:rsidR="0092211A">
      <w:rPr>
        <w:sz w:val="16"/>
      </w:rPr>
      <w:fldChar w:fldCharType="end"/>
    </w:r>
    <w:r w:rsidR="0092211A">
      <w:rPr>
        <w:sz w:val="16"/>
      </w:rPr>
      <w:t xml:space="preserve"> of </w:t>
    </w:r>
    <w:r w:rsidR="0092211A">
      <w:rPr>
        <w:sz w:val="16"/>
      </w:rPr>
      <w:fldChar w:fldCharType="begin"/>
    </w:r>
    <w:r w:rsidR="0092211A">
      <w:rPr>
        <w:sz w:val="16"/>
      </w:rPr>
      <w:instrText xml:space="preserve"> NUMPAGES   \* MERGEFORMAT </w:instrText>
    </w:r>
    <w:r w:rsidR="0092211A">
      <w:rPr>
        <w:sz w:val="16"/>
      </w:rPr>
      <w:fldChar w:fldCharType="separate"/>
    </w:r>
    <w:r w:rsidR="00D53CBA">
      <w:rPr>
        <w:sz w:val="16"/>
      </w:rPr>
      <w:t>5</w:t>
    </w:r>
    <w:r w:rsidR="0092211A">
      <w:rPr>
        <w:sz w:val="16"/>
      </w:rPr>
      <w:fldChar w:fldCharType="end"/>
    </w:r>
  </w:p>
  <w:p w14:paraId="1732E32E" w14:textId="77777777" w:rsidR="00391035" w:rsidRPr="007A5CE1" w:rsidRDefault="00391035" w:rsidP="0010543D">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24570F" w:rsidRPr="00C21920" w14:paraId="07BF98E8" w14:textId="77777777" w:rsidTr="00D44AD5">
      <w:trPr>
        <w:trHeight w:val="686"/>
      </w:trPr>
      <w:tc>
        <w:tcPr>
          <w:tcW w:w="3679" w:type="dxa"/>
          <w:shd w:val="clear" w:color="auto" w:fill="auto"/>
          <w:vAlign w:val="center"/>
        </w:tcPr>
        <w:p w14:paraId="09EBA4C7" w14:textId="77777777" w:rsidR="0024570F" w:rsidRPr="001908FF" w:rsidRDefault="00182159" w:rsidP="00C21920">
          <w:pPr>
            <w:pStyle w:val="Cabealho"/>
            <w:pBdr>
              <w:bottom w:val="none" w:sz="0" w:space="0" w:color="auto"/>
            </w:pBdr>
            <w:jc w:val="left"/>
            <w:rPr>
              <w:rFonts w:eastAsia="DengXian"/>
              <w:b/>
              <w:bCs/>
            </w:rPr>
          </w:pPr>
          <w:r w:rsidRPr="001908FF">
            <w:rPr>
              <w:rFonts w:eastAsia="DengXian"/>
              <w:b/>
              <w:bCs/>
            </w:rPr>
            <w:drawing>
              <wp:inline distT="0" distB="0" distL="0" distR="0" wp14:anchorId="72CB266C" wp14:editId="768DF33E">
                <wp:extent cx="1807845" cy="429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7845" cy="429260"/>
                        </a:xfrm>
                        <a:prstGeom prst="rect">
                          <a:avLst/>
                        </a:prstGeom>
                        <a:noFill/>
                        <a:ln>
                          <a:noFill/>
                        </a:ln>
                      </pic:spPr>
                    </pic:pic>
                  </a:graphicData>
                </a:graphic>
              </wp:inline>
            </w:drawing>
          </w:r>
        </w:p>
      </w:tc>
      <w:tc>
        <w:tcPr>
          <w:tcW w:w="4535" w:type="dxa"/>
          <w:shd w:val="clear" w:color="auto" w:fill="auto"/>
          <w:vAlign w:val="center"/>
        </w:tcPr>
        <w:p w14:paraId="301D2D67" w14:textId="77777777" w:rsidR="0024570F" w:rsidRPr="001908FF" w:rsidRDefault="0024570F" w:rsidP="00C21920">
          <w:pPr>
            <w:pStyle w:val="Cabealho"/>
            <w:pBdr>
              <w:bottom w:val="none" w:sz="0" w:space="0" w:color="auto"/>
            </w:pBdr>
            <w:rPr>
              <w:rFonts w:eastAsia="DengXian"/>
              <w:b/>
              <w:bCs/>
            </w:rPr>
          </w:pPr>
        </w:p>
      </w:tc>
      <w:tc>
        <w:tcPr>
          <w:tcW w:w="2273" w:type="dxa"/>
          <w:shd w:val="clear" w:color="auto" w:fill="auto"/>
          <w:vAlign w:val="center"/>
        </w:tcPr>
        <w:p w14:paraId="6A638A5A" w14:textId="77777777" w:rsidR="0024570F" w:rsidRPr="001908FF" w:rsidRDefault="00D44AD5" w:rsidP="00D44AD5">
          <w:pPr>
            <w:pStyle w:val="Cabealho"/>
            <w:pBdr>
              <w:bottom w:val="none" w:sz="0" w:space="0" w:color="auto"/>
            </w:pBdr>
            <w:jc w:val="right"/>
            <w:rPr>
              <w:rFonts w:eastAsia="DengXian"/>
              <w:b/>
              <w:bCs/>
            </w:rPr>
          </w:pPr>
          <w:r>
            <w:rPr>
              <w:rFonts w:eastAsia="DengXian"/>
              <w:b/>
              <w:bCs/>
            </w:rPr>
            <w:drawing>
              <wp:inline distT="0" distB="0" distL="0" distR="0" wp14:anchorId="3EB99506" wp14:editId="7096D8A0">
                <wp:extent cx="540000" cy="360000"/>
                <wp:effectExtent l="0" t="0" r="0" b="2540"/>
                <wp:docPr id="1169474420" name="Picture 1"/>
                <wp:cNvGraphicFramePr/>
                <a:graphic xmlns:a="http://schemas.openxmlformats.org/drawingml/2006/main">
                  <a:graphicData uri="http://schemas.openxmlformats.org/drawingml/2006/picture">
                    <pic:pic xmlns:pic="http://schemas.openxmlformats.org/drawingml/2006/picture">
                      <pic:nvPicPr>
                        <pic:cNvPr id="1169474420" name=""/>
                        <pic:cNvPicPr/>
                      </pic:nvPicPr>
                      <pic:blipFill>
                        <a:blip r:embed="rId2"/>
                        <a:stretch>
                          <a:fillRect/>
                        </a:stretch>
                      </pic:blipFill>
                      <pic:spPr>
                        <a:xfrm>
                          <a:off x="0" y="0"/>
                          <a:ext cx="540000" cy="360000"/>
                        </a:xfrm>
                        <a:prstGeom prst="rect">
                          <a:avLst/>
                        </a:prstGeom>
                      </pic:spPr>
                    </pic:pic>
                  </a:graphicData>
                </a:graphic>
              </wp:inline>
            </w:drawing>
          </w:r>
        </w:p>
      </w:tc>
    </w:tr>
  </w:tbl>
  <w:p w14:paraId="5C59B992" w14:textId="77777777" w:rsidR="008810B3" w:rsidRPr="0024570F" w:rsidRDefault="008810B3" w:rsidP="0010543D">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hybridMultilevel"/>
    <w:tmpl w:val="70CA7AE6"/>
    <w:lvl w:ilvl="0" w:tplc="70923396">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F3C455EC"/>
    <w:lvl w:ilvl="0" w:tplc="45401056">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1C3A3F0C"/>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430B505B"/>
    <w:multiLevelType w:val="hybridMultilevel"/>
    <w:tmpl w:val="9F6C6AD8"/>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075B53"/>
    <w:multiLevelType w:val="hybridMultilevel"/>
    <w:tmpl w:val="65B4FFDA"/>
    <w:lvl w:ilvl="0" w:tplc="A6A454EC">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9" w15:restartNumberingAfterBreak="0">
    <w:nsid w:val="56D90CC0"/>
    <w:multiLevelType w:val="hybridMultilevel"/>
    <w:tmpl w:val="BB9E171C"/>
    <w:lvl w:ilvl="0" w:tplc="20A01338">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8D6A2A"/>
    <w:multiLevelType w:val="hybridMultilevel"/>
    <w:tmpl w:val="FFFFFFFF"/>
    <w:lvl w:ilvl="0" w:tplc="62DAA544">
      <w:start w:val="1"/>
      <w:numFmt w:val="decimal"/>
      <w:lvlText w:val="%1."/>
      <w:lvlJc w:val="left"/>
      <w:pPr>
        <w:ind w:left="720" w:hanging="360"/>
      </w:pPr>
    </w:lvl>
    <w:lvl w:ilvl="1" w:tplc="A8E62818">
      <w:start w:val="1"/>
      <w:numFmt w:val="lowerLetter"/>
      <w:lvlText w:val="%2."/>
      <w:lvlJc w:val="left"/>
      <w:pPr>
        <w:ind w:left="1440" w:hanging="360"/>
      </w:pPr>
    </w:lvl>
    <w:lvl w:ilvl="2" w:tplc="837A4D56">
      <w:start w:val="1"/>
      <w:numFmt w:val="lowerRoman"/>
      <w:lvlText w:val="%3."/>
      <w:lvlJc w:val="right"/>
      <w:pPr>
        <w:ind w:left="2160" w:hanging="180"/>
      </w:pPr>
    </w:lvl>
    <w:lvl w:ilvl="3" w:tplc="47561BC0">
      <w:start w:val="1"/>
      <w:numFmt w:val="decimal"/>
      <w:lvlText w:val="%4."/>
      <w:lvlJc w:val="left"/>
      <w:pPr>
        <w:ind w:left="2880" w:hanging="360"/>
      </w:pPr>
    </w:lvl>
    <w:lvl w:ilvl="4" w:tplc="096499BC">
      <w:start w:val="1"/>
      <w:numFmt w:val="lowerLetter"/>
      <w:lvlText w:val="%5."/>
      <w:lvlJc w:val="left"/>
      <w:pPr>
        <w:ind w:left="3600" w:hanging="360"/>
      </w:pPr>
    </w:lvl>
    <w:lvl w:ilvl="5" w:tplc="3A6A7814">
      <w:start w:val="1"/>
      <w:numFmt w:val="lowerRoman"/>
      <w:lvlText w:val="%6."/>
      <w:lvlJc w:val="right"/>
      <w:pPr>
        <w:ind w:left="4320" w:hanging="180"/>
      </w:pPr>
    </w:lvl>
    <w:lvl w:ilvl="6" w:tplc="FFCA6BE4">
      <w:start w:val="1"/>
      <w:numFmt w:val="decimal"/>
      <w:lvlText w:val="%7."/>
      <w:lvlJc w:val="left"/>
      <w:pPr>
        <w:ind w:left="5040" w:hanging="360"/>
      </w:pPr>
    </w:lvl>
    <w:lvl w:ilvl="7" w:tplc="605C2A16">
      <w:start w:val="1"/>
      <w:numFmt w:val="lowerLetter"/>
      <w:lvlText w:val="%8."/>
      <w:lvlJc w:val="left"/>
      <w:pPr>
        <w:ind w:left="5760" w:hanging="360"/>
      </w:pPr>
    </w:lvl>
    <w:lvl w:ilvl="8" w:tplc="16DE8A20">
      <w:start w:val="1"/>
      <w:numFmt w:val="lowerRoman"/>
      <w:lvlText w:val="%9."/>
      <w:lvlJc w:val="right"/>
      <w:pPr>
        <w:ind w:left="6480" w:hanging="180"/>
      </w:pPr>
    </w:lvl>
  </w:abstractNum>
  <w:abstractNum w:abstractNumId="11" w15:restartNumberingAfterBreak="0">
    <w:nsid w:val="62191577"/>
    <w:multiLevelType w:val="multilevel"/>
    <w:tmpl w:val="1C090029"/>
    <w:styleLink w:val="Style1"/>
    <w:lvl w:ilvl="0">
      <w:start w:val="1"/>
      <w:numFmt w:val="decimal"/>
      <w:suff w:val="space"/>
      <w:lvlText w:val="Chapter %1"/>
      <w:lvlJc w:val="left"/>
      <w:pPr>
        <w:ind w:left="0" w:firstLine="0"/>
      </w:pPr>
      <w:rPr>
        <w:rFonts w:ascii="Arial" w:hAnsi="Arial"/>
        <w:b/>
        <w:i w:val="0"/>
        <w:caps/>
        <w:smallCaps w:val="0"/>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673C370A"/>
    <w:multiLevelType w:val="hybridMultilevel"/>
    <w:tmpl w:val="CF36D044"/>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13" w15:restartNumberingAfterBreak="0">
    <w:nsid w:val="6DB20A64"/>
    <w:multiLevelType w:val="hybridMultilevel"/>
    <w:tmpl w:val="53BE3AD6"/>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4"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6457461">
    <w:abstractNumId w:val="3"/>
  </w:num>
  <w:num w:numId="2" w16cid:durableId="1498228041">
    <w:abstractNumId w:val="5"/>
  </w:num>
  <w:num w:numId="3" w16cid:durableId="2144496909">
    <w:abstractNumId w:val="2"/>
  </w:num>
  <w:num w:numId="4" w16cid:durableId="1676805517">
    <w:abstractNumId w:val="12"/>
  </w:num>
  <w:num w:numId="5" w16cid:durableId="63112632">
    <w:abstractNumId w:val="13"/>
  </w:num>
  <w:num w:numId="6" w16cid:durableId="902520518">
    <w:abstractNumId w:val="6"/>
  </w:num>
  <w:num w:numId="7" w16cid:durableId="1445466007">
    <w:abstractNumId w:val="4"/>
  </w:num>
  <w:num w:numId="8" w16cid:durableId="914123363">
    <w:abstractNumId w:val="8"/>
  </w:num>
  <w:num w:numId="9" w16cid:durableId="756639395">
    <w:abstractNumId w:val="1"/>
  </w:num>
  <w:num w:numId="10" w16cid:durableId="1315405359">
    <w:abstractNumId w:val="8"/>
  </w:num>
  <w:num w:numId="11" w16cid:durableId="720710694">
    <w:abstractNumId w:val="1"/>
  </w:num>
  <w:num w:numId="12" w16cid:durableId="690956291">
    <w:abstractNumId w:val="8"/>
  </w:num>
  <w:num w:numId="13" w16cid:durableId="2047638541">
    <w:abstractNumId w:val="1"/>
  </w:num>
  <w:num w:numId="14" w16cid:durableId="4859747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03501941">
    <w:abstractNumId w:val="11"/>
  </w:num>
  <w:num w:numId="16" w16cid:durableId="1609577647">
    <w:abstractNumId w:val="14"/>
  </w:num>
  <w:num w:numId="17" w16cid:durableId="1559392762">
    <w:abstractNumId w:val="8"/>
  </w:num>
  <w:num w:numId="18" w16cid:durableId="698312230">
    <w:abstractNumId w:val="1"/>
  </w:num>
  <w:num w:numId="19" w16cid:durableId="1189296466">
    <w:abstractNumId w:val="0"/>
  </w:num>
  <w:num w:numId="20" w16cid:durableId="1422796633">
    <w:abstractNumId w:val="7"/>
  </w:num>
  <w:num w:numId="21" w16cid:durableId="1827043305">
    <w:abstractNumId w:val="0"/>
  </w:num>
  <w:num w:numId="22" w16cid:durableId="775638991">
    <w:abstractNumId w:val="8"/>
  </w:num>
  <w:num w:numId="23" w16cid:durableId="955677630">
    <w:abstractNumId w:val="1"/>
  </w:num>
  <w:num w:numId="24" w16cid:durableId="1273440476">
    <w:abstractNumId w:val="0"/>
  </w:num>
  <w:num w:numId="25" w16cid:durableId="416833335">
    <w:abstractNumId w:val="9"/>
  </w:num>
  <w:num w:numId="26" w16cid:durableId="565795899">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396"/>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D03"/>
    <w:rsid w:val="00000637"/>
    <w:rsid w:val="000006F8"/>
    <w:rsid w:val="00000728"/>
    <w:rsid w:val="00003D74"/>
    <w:rsid w:val="000043B5"/>
    <w:rsid w:val="000046B6"/>
    <w:rsid w:val="00004BA7"/>
    <w:rsid w:val="00005FC2"/>
    <w:rsid w:val="00011BC3"/>
    <w:rsid w:val="0001283B"/>
    <w:rsid w:val="00012D49"/>
    <w:rsid w:val="00014EE3"/>
    <w:rsid w:val="00015995"/>
    <w:rsid w:val="0002090C"/>
    <w:rsid w:val="00024621"/>
    <w:rsid w:val="0002467B"/>
    <w:rsid w:val="00025A91"/>
    <w:rsid w:val="00025C56"/>
    <w:rsid w:val="00026877"/>
    <w:rsid w:val="0003047F"/>
    <w:rsid w:val="000319B8"/>
    <w:rsid w:val="00031D0B"/>
    <w:rsid w:val="00032917"/>
    <w:rsid w:val="0003351A"/>
    <w:rsid w:val="0003398F"/>
    <w:rsid w:val="00034840"/>
    <w:rsid w:val="00034BF8"/>
    <w:rsid w:val="000361F7"/>
    <w:rsid w:val="00036F1E"/>
    <w:rsid w:val="00037366"/>
    <w:rsid w:val="00037F00"/>
    <w:rsid w:val="00041A10"/>
    <w:rsid w:val="0004245C"/>
    <w:rsid w:val="00042C12"/>
    <w:rsid w:val="000439F3"/>
    <w:rsid w:val="00043F91"/>
    <w:rsid w:val="00044417"/>
    <w:rsid w:val="0004473F"/>
    <w:rsid w:val="00045898"/>
    <w:rsid w:val="00050716"/>
    <w:rsid w:val="00050C65"/>
    <w:rsid w:val="000520E3"/>
    <w:rsid w:val="000530DB"/>
    <w:rsid w:val="000551E0"/>
    <w:rsid w:val="000552E7"/>
    <w:rsid w:val="000562B9"/>
    <w:rsid w:val="00056DBB"/>
    <w:rsid w:val="00057201"/>
    <w:rsid w:val="000578BD"/>
    <w:rsid w:val="000602E4"/>
    <w:rsid w:val="000605CD"/>
    <w:rsid w:val="00061602"/>
    <w:rsid w:val="0006221A"/>
    <w:rsid w:val="00062A1F"/>
    <w:rsid w:val="00063A6A"/>
    <w:rsid w:val="0006467F"/>
    <w:rsid w:val="00071D03"/>
    <w:rsid w:val="00073BD9"/>
    <w:rsid w:val="00076BEC"/>
    <w:rsid w:val="00077A9D"/>
    <w:rsid w:val="00082D78"/>
    <w:rsid w:val="000832C6"/>
    <w:rsid w:val="000833FA"/>
    <w:rsid w:val="000848D6"/>
    <w:rsid w:val="000848F9"/>
    <w:rsid w:val="00085735"/>
    <w:rsid w:val="00094176"/>
    <w:rsid w:val="000A0E49"/>
    <w:rsid w:val="000A0F29"/>
    <w:rsid w:val="000A1D23"/>
    <w:rsid w:val="000A2C95"/>
    <w:rsid w:val="000A3155"/>
    <w:rsid w:val="000A3E93"/>
    <w:rsid w:val="000A411D"/>
    <w:rsid w:val="000A45A9"/>
    <w:rsid w:val="000A5FAE"/>
    <w:rsid w:val="000B05D0"/>
    <w:rsid w:val="000B38AC"/>
    <w:rsid w:val="000B529D"/>
    <w:rsid w:val="000B5482"/>
    <w:rsid w:val="000B7EF6"/>
    <w:rsid w:val="000C10B1"/>
    <w:rsid w:val="000C299D"/>
    <w:rsid w:val="000C4A82"/>
    <w:rsid w:val="000C4B5D"/>
    <w:rsid w:val="000C4FB6"/>
    <w:rsid w:val="000D0305"/>
    <w:rsid w:val="000D0745"/>
    <w:rsid w:val="000D0874"/>
    <w:rsid w:val="000D093A"/>
    <w:rsid w:val="000D10CE"/>
    <w:rsid w:val="000D166F"/>
    <w:rsid w:val="000D2274"/>
    <w:rsid w:val="000D2842"/>
    <w:rsid w:val="000D2F06"/>
    <w:rsid w:val="000D5554"/>
    <w:rsid w:val="000E08FD"/>
    <w:rsid w:val="000E35FE"/>
    <w:rsid w:val="000E37D1"/>
    <w:rsid w:val="000E7A5D"/>
    <w:rsid w:val="000F0E85"/>
    <w:rsid w:val="000F0F9F"/>
    <w:rsid w:val="000F25FC"/>
    <w:rsid w:val="000F4E0E"/>
    <w:rsid w:val="000F5383"/>
    <w:rsid w:val="00100B2F"/>
    <w:rsid w:val="00100FE2"/>
    <w:rsid w:val="00103634"/>
    <w:rsid w:val="0010543D"/>
    <w:rsid w:val="0010655E"/>
    <w:rsid w:val="00111B59"/>
    <w:rsid w:val="00114CC5"/>
    <w:rsid w:val="001170CF"/>
    <w:rsid w:val="00117491"/>
    <w:rsid w:val="0011779E"/>
    <w:rsid w:val="0012125D"/>
    <w:rsid w:val="00121C57"/>
    <w:rsid w:val="00124065"/>
    <w:rsid w:val="00124285"/>
    <w:rsid w:val="0012462F"/>
    <w:rsid w:val="001268A0"/>
    <w:rsid w:val="00127B58"/>
    <w:rsid w:val="00130F88"/>
    <w:rsid w:val="00131F3D"/>
    <w:rsid w:val="00133521"/>
    <w:rsid w:val="001352B6"/>
    <w:rsid w:val="00135C14"/>
    <w:rsid w:val="00140A39"/>
    <w:rsid w:val="0014158B"/>
    <w:rsid w:val="00143181"/>
    <w:rsid w:val="00143C0A"/>
    <w:rsid w:val="00144660"/>
    <w:rsid w:val="00144DC5"/>
    <w:rsid w:val="00144E54"/>
    <w:rsid w:val="00145F5A"/>
    <w:rsid w:val="001479B2"/>
    <w:rsid w:val="00147F29"/>
    <w:rsid w:val="00150342"/>
    <w:rsid w:val="00151E48"/>
    <w:rsid w:val="00152F85"/>
    <w:rsid w:val="00153272"/>
    <w:rsid w:val="00154DD9"/>
    <w:rsid w:val="00155401"/>
    <w:rsid w:val="00156006"/>
    <w:rsid w:val="00160C50"/>
    <w:rsid w:val="0016263E"/>
    <w:rsid w:val="00162788"/>
    <w:rsid w:val="001632F9"/>
    <w:rsid w:val="00163372"/>
    <w:rsid w:val="001637C2"/>
    <w:rsid w:val="00163B41"/>
    <w:rsid w:val="001641F1"/>
    <w:rsid w:val="00165A01"/>
    <w:rsid w:val="001665A2"/>
    <w:rsid w:val="0016702F"/>
    <w:rsid w:val="001731B0"/>
    <w:rsid w:val="001732EE"/>
    <w:rsid w:val="001739FB"/>
    <w:rsid w:val="00173FC0"/>
    <w:rsid w:val="001763AE"/>
    <w:rsid w:val="0017675B"/>
    <w:rsid w:val="001767CE"/>
    <w:rsid w:val="00176BBA"/>
    <w:rsid w:val="00176DC5"/>
    <w:rsid w:val="00176E73"/>
    <w:rsid w:val="0017709E"/>
    <w:rsid w:val="00177CD9"/>
    <w:rsid w:val="001812DE"/>
    <w:rsid w:val="00182159"/>
    <w:rsid w:val="00184B65"/>
    <w:rsid w:val="00184ECF"/>
    <w:rsid w:val="001854A7"/>
    <w:rsid w:val="00185CD5"/>
    <w:rsid w:val="001860DD"/>
    <w:rsid w:val="00187502"/>
    <w:rsid w:val="001908FF"/>
    <w:rsid w:val="00192141"/>
    <w:rsid w:val="001929BE"/>
    <w:rsid w:val="00193EBD"/>
    <w:rsid w:val="00194DCB"/>
    <w:rsid w:val="00195625"/>
    <w:rsid w:val="001A0D5B"/>
    <w:rsid w:val="001A103B"/>
    <w:rsid w:val="001A2D5C"/>
    <w:rsid w:val="001A3926"/>
    <w:rsid w:val="001A4A0E"/>
    <w:rsid w:val="001A4C9E"/>
    <w:rsid w:val="001A5567"/>
    <w:rsid w:val="001A7D08"/>
    <w:rsid w:val="001B09F9"/>
    <w:rsid w:val="001B22D3"/>
    <w:rsid w:val="001B2E32"/>
    <w:rsid w:val="001B396D"/>
    <w:rsid w:val="001B3A0F"/>
    <w:rsid w:val="001B446E"/>
    <w:rsid w:val="001B464F"/>
    <w:rsid w:val="001B57D9"/>
    <w:rsid w:val="001B670A"/>
    <w:rsid w:val="001C0136"/>
    <w:rsid w:val="001C1FC7"/>
    <w:rsid w:val="001C2A2E"/>
    <w:rsid w:val="001C3917"/>
    <w:rsid w:val="001C3B86"/>
    <w:rsid w:val="001C5613"/>
    <w:rsid w:val="001C6374"/>
    <w:rsid w:val="001D0A2E"/>
    <w:rsid w:val="001D0BD8"/>
    <w:rsid w:val="001D115D"/>
    <w:rsid w:val="001D1AB1"/>
    <w:rsid w:val="001D1D5B"/>
    <w:rsid w:val="001D22CA"/>
    <w:rsid w:val="001D44AC"/>
    <w:rsid w:val="001D4C88"/>
    <w:rsid w:val="001D4CBF"/>
    <w:rsid w:val="001D5C83"/>
    <w:rsid w:val="001D5CB0"/>
    <w:rsid w:val="001D7118"/>
    <w:rsid w:val="001D7351"/>
    <w:rsid w:val="001E0482"/>
    <w:rsid w:val="001E0BFA"/>
    <w:rsid w:val="001E13E2"/>
    <w:rsid w:val="001E26BA"/>
    <w:rsid w:val="001E399F"/>
    <w:rsid w:val="001E3DBC"/>
    <w:rsid w:val="001E3E2D"/>
    <w:rsid w:val="001E6577"/>
    <w:rsid w:val="001F2913"/>
    <w:rsid w:val="001F45A9"/>
    <w:rsid w:val="001F54C5"/>
    <w:rsid w:val="001F55DC"/>
    <w:rsid w:val="001F5A4A"/>
    <w:rsid w:val="001F7765"/>
    <w:rsid w:val="0020147D"/>
    <w:rsid w:val="002019B1"/>
    <w:rsid w:val="002021CF"/>
    <w:rsid w:val="002026F5"/>
    <w:rsid w:val="0020471D"/>
    <w:rsid w:val="00205B34"/>
    <w:rsid w:val="0020616B"/>
    <w:rsid w:val="00206503"/>
    <w:rsid w:val="00206737"/>
    <w:rsid w:val="00206B4D"/>
    <w:rsid w:val="00210DDB"/>
    <w:rsid w:val="0021202D"/>
    <w:rsid w:val="0021289D"/>
    <w:rsid w:val="00214190"/>
    <w:rsid w:val="00216FA9"/>
    <w:rsid w:val="00220209"/>
    <w:rsid w:val="002220D5"/>
    <w:rsid w:val="00223A64"/>
    <w:rsid w:val="00225217"/>
    <w:rsid w:val="00225F3F"/>
    <w:rsid w:val="00226AB1"/>
    <w:rsid w:val="00230413"/>
    <w:rsid w:val="002306B3"/>
    <w:rsid w:val="0023353C"/>
    <w:rsid w:val="00234505"/>
    <w:rsid w:val="00235077"/>
    <w:rsid w:val="00235973"/>
    <w:rsid w:val="00236969"/>
    <w:rsid w:val="00236C0D"/>
    <w:rsid w:val="00236D35"/>
    <w:rsid w:val="00236F94"/>
    <w:rsid w:val="00237EDD"/>
    <w:rsid w:val="0024084D"/>
    <w:rsid w:val="00240C8C"/>
    <w:rsid w:val="00241C14"/>
    <w:rsid w:val="002434C9"/>
    <w:rsid w:val="00245356"/>
    <w:rsid w:val="0024570F"/>
    <w:rsid w:val="00245D86"/>
    <w:rsid w:val="00246CE0"/>
    <w:rsid w:val="00246F9E"/>
    <w:rsid w:val="0024720E"/>
    <w:rsid w:val="00250B8C"/>
    <w:rsid w:val="0025127B"/>
    <w:rsid w:val="00251811"/>
    <w:rsid w:val="00251BD3"/>
    <w:rsid w:val="0025232D"/>
    <w:rsid w:val="00252515"/>
    <w:rsid w:val="0025259B"/>
    <w:rsid w:val="00252BD9"/>
    <w:rsid w:val="00252F0A"/>
    <w:rsid w:val="00253193"/>
    <w:rsid w:val="00255B5C"/>
    <w:rsid w:val="00256E08"/>
    <w:rsid w:val="00257403"/>
    <w:rsid w:val="0025777F"/>
    <w:rsid w:val="00257822"/>
    <w:rsid w:val="00261B77"/>
    <w:rsid w:val="00261E49"/>
    <w:rsid w:val="0026256D"/>
    <w:rsid w:val="00263890"/>
    <w:rsid w:val="00264647"/>
    <w:rsid w:val="0026479E"/>
    <w:rsid w:val="00264D54"/>
    <w:rsid w:val="002665A2"/>
    <w:rsid w:val="002708B7"/>
    <w:rsid w:val="002713C7"/>
    <w:rsid w:val="00271978"/>
    <w:rsid w:val="00272574"/>
    <w:rsid w:val="00273440"/>
    <w:rsid w:val="0027513B"/>
    <w:rsid w:val="0027593D"/>
    <w:rsid w:val="00275F7E"/>
    <w:rsid w:val="00276B71"/>
    <w:rsid w:val="0027713B"/>
    <w:rsid w:val="002813F6"/>
    <w:rsid w:val="00283662"/>
    <w:rsid w:val="002841FE"/>
    <w:rsid w:val="00284B18"/>
    <w:rsid w:val="00284C14"/>
    <w:rsid w:val="00285954"/>
    <w:rsid w:val="00285A67"/>
    <w:rsid w:val="00285C0A"/>
    <w:rsid w:val="0028727D"/>
    <w:rsid w:val="002874AE"/>
    <w:rsid w:val="002915B6"/>
    <w:rsid w:val="0029240A"/>
    <w:rsid w:val="0029287A"/>
    <w:rsid w:val="00294C2F"/>
    <w:rsid w:val="002952C9"/>
    <w:rsid w:val="0029628E"/>
    <w:rsid w:val="00296EB7"/>
    <w:rsid w:val="002A08CF"/>
    <w:rsid w:val="002A31E4"/>
    <w:rsid w:val="002A3ABD"/>
    <w:rsid w:val="002A4A76"/>
    <w:rsid w:val="002A66E9"/>
    <w:rsid w:val="002A7E73"/>
    <w:rsid w:val="002B0BCA"/>
    <w:rsid w:val="002B2263"/>
    <w:rsid w:val="002B37F5"/>
    <w:rsid w:val="002B4981"/>
    <w:rsid w:val="002B6802"/>
    <w:rsid w:val="002B75A2"/>
    <w:rsid w:val="002B7893"/>
    <w:rsid w:val="002C097D"/>
    <w:rsid w:val="002C0E6A"/>
    <w:rsid w:val="002C28DD"/>
    <w:rsid w:val="002C28FD"/>
    <w:rsid w:val="002C2E2D"/>
    <w:rsid w:val="002C300A"/>
    <w:rsid w:val="002C4E2C"/>
    <w:rsid w:val="002C5045"/>
    <w:rsid w:val="002C6C5F"/>
    <w:rsid w:val="002C7423"/>
    <w:rsid w:val="002C7CEB"/>
    <w:rsid w:val="002D0834"/>
    <w:rsid w:val="002D2055"/>
    <w:rsid w:val="002D476D"/>
    <w:rsid w:val="002D4F9D"/>
    <w:rsid w:val="002D54A2"/>
    <w:rsid w:val="002D6428"/>
    <w:rsid w:val="002D7EB2"/>
    <w:rsid w:val="002E0B8D"/>
    <w:rsid w:val="002E11AF"/>
    <w:rsid w:val="002E1F9C"/>
    <w:rsid w:val="002E2696"/>
    <w:rsid w:val="002E3A36"/>
    <w:rsid w:val="002E41F9"/>
    <w:rsid w:val="002E45FF"/>
    <w:rsid w:val="002E4AE9"/>
    <w:rsid w:val="002E59FA"/>
    <w:rsid w:val="002E699F"/>
    <w:rsid w:val="002F0022"/>
    <w:rsid w:val="002F06FE"/>
    <w:rsid w:val="002F1F90"/>
    <w:rsid w:val="002F30E0"/>
    <w:rsid w:val="002F343C"/>
    <w:rsid w:val="002F3A40"/>
    <w:rsid w:val="002F6006"/>
    <w:rsid w:val="002F636C"/>
    <w:rsid w:val="002F667B"/>
    <w:rsid w:val="002F6728"/>
    <w:rsid w:val="002F6FC8"/>
    <w:rsid w:val="00300B4D"/>
    <w:rsid w:val="00300F39"/>
    <w:rsid w:val="0030282D"/>
    <w:rsid w:val="0030286C"/>
    <w:rsid w:val="0030379B"/>
    <w:rsid w:val="003053D7"/>
    <w:rsid w:val="00305668"/>
    <w:rsid w:val="003066AC"/>
    <w:rsid w:val="00306771"/>
    <w:rsid w:val="0030792C"/>
    <w:rsid w:val="00307DAD"/>
    <w:rsid w:val="00312F5B"/>
    <w:rsid w:val="0031308C"/>
    <w:rsid w:val="0031392A"/>
    <w:rsid w:val="003150AD"/>
    <w:rsid w:val="00315E1C"/>
    <w:rsid w:val="00315EE0"/>
    <w:rsid w:val="003167AC"/>
    <w:rsid w:val="00317CB4"/>
    <w:rsid w:val="00320F2A"/>
    <w:rsid w:val="0032250E"/>
    <w:rsid w:val="00322580"/>
    <w:rsid w:val="0032285F"/>
    <w:rsid w:val="003229FD"/>
    <w:rsid w:val="003246E2"/>
    <w:rsid w:val="00325069"/>
    <w:rsid w:val="0032589B"/>
    <w:rsid w:val="003260DD"/>
    <w:rsid w:val="00326F13"/>
    <w:rsid w:val="00327E38"/>
    <w:rsid w:val="0033124F"/>
    <w:rsid w:val="0033164F"/>
    <w:rsid w:val="00333C2D"/>
    <w:rsid w:val="00334E54"/>
    <w:rsid w:val="00334FFA"/>
    <w:rsid w:val="003352F1"/>
    <w:rsid w:val="00336080"/>
    <w:rsid w:val="00336726"/>
    <w:rsid w:val="00336BEA"/>
    <w:rsid w:val="003379F5"/>
    <w:rsid w:val="00337E77"/>
    <w:rsid w:val="00340477"/>
    <w:rsid w:val="00341638"/>
    <w:rsid w:val="00341815"/>
    <w:rsid w:val="0034202F"/>
    <w:rsid w:val="00342F13"/>
    <w:rsid w:val="00344684"/>
    <w:rsid w:val="00344DFE"/>
    <w:rsid w:val="00345818"/>
    <w:rsid w:val="00345FEB"/>
    <w:rsid w:val="00346A68"/>
    <w:rsid w:val="00346B1B"/>
    <w:rsid w:val="00347596"/>
    <w:rsid w:val="00352D55"/>
    <w:rsid w:val="0035313A"/>
    <w:rsid w:val="0035340A"/>
    <w:rsid w:val="00353B41"/>
    <w:rsid w:val="0035469E"/>
    <w:rsid w:val="0035521D"/>
    <w:rsid w:val="00357207"/>
    <w:rsid w:val="003602F0"/>
    <w:rsid w:val="00363D81"/>
    <w:rsid w:val="00365273"/>
    <w:rsid w:val="00367166"/>
    <w:rsid w:val="00367343"/>
    <w:rsid w:val="003675B2"/>
    <w:rsid w:val="00367C05"/>
    <w:rsid w:val="00370569"/>
    <w:rsid w:val="003709EC"/>
    <w:rsid w:val="00371B08"/>
    <w:rsid w:val="00373D16"/>
    <w:rsid w:val="00373F32"/>
    <w:rsid w:val="00374898"/>
    <w:rsid w:val="003749F1"/>
    <w:rsid w:val="00374C1F"/>
    <w:rsid w:val="00375DF5"/>
    <w:rsid w:val="00376A5F"/>
    <w:rsid w:val="00376FA1"/>
    <w:rsid w:val="003812C8"/>
    <w:rsid w:val="00381A60"/>
    <w:rsid w:val="00381C2D"/>
    <w:rsid w:val="00381D89"/>
    <w:rsid w:val="00381FC4"/>
    <w:rsid w:val="00383425"/>
    <w:rsid w:val="003835CE"/>
    <w:rsid w:val="00383CD2"/>
    <w:rsid w:val="00384168"/>
    <w:rsid w:val="003855CF"/>
    <w:rsid w:val="0038648F"/>
    <w:rsid w:val="003902E6"/>
    <w:rsid w:val="00391035"/>
    <w:rsid w:val="003911F6"/>
    <w:rsid w:val="00391392"/>
    <w:rsid w:val="00391F71"/>
    <w:rsid w:val="003938E0"/>
    <w:rsid w:val="00393BB1"/>
    <w:rsid w:val="00394742"/>
    <w:rsid w:val="003961CE"/>
    <w:rsid w:val="003A0A5B"/>
    <w:rsid w:val="003A0FDD"/>
    <w:rsid w:val="003A116E"/>
    <w:rsid w:val="003A1FCC"/>
    <w:rsid w:val="003A2168"/>
    <w:rsid w:val="003A37D6"/>
    <w:rsid w:val="003A3F7E"/>
    <w:rsid w:val="003A445F"/>
    <w:rsid w:val="003A4FD3"/>
    <w:rsid w:val="003A5E59"/>
    <w:rsid w:val="003B2A22"/>
    <w:rsid w:val="003B364B"/>
    <w:rsid w:val="003B3A7C"/>
    <w:rsid w:val="003B4E63"/>
    <w:rsid w:val="003B559A"/>
    <w:rsid w:val="003B65E3"/>
    <w:rsid w:val="003C014C"/>
    <w:rsid w:val="003C156F"/>
    <w:rsid w:val="003C245C"/>
    <w:rsid w:val="003C2C26"/>
    <w:rsid w:val="003C345F"/>
    <w:rsid w:val="003C422F"/>
    <w:rsid w:val="003C47FF"/>
    <w:rsid w:val="003C4A20"/>
    <w:rsid w:val="003C4AAF"/>
    <w:rsid w:val="003C6761"/>
    <w:rsid w:val="003C7C01"/>
    <w:rsid w:val="003D123B"/>
    <w:rsid w:val="003D1BCF"/>
    <w:rsid w:val="003D1D15"/>
    <w:rsid w:val="003D1F46"/>
    <w:rsid w:val="003D2888"/>
    <w:rsid w:val="003D2BC8"/>
    <w:rsid w:val="003D6836"/>
    <w:rsid w:val="003D6DF8"/>
    <w:rsid w:val="003D72BB"/>
    <w:rsid w:val="003D740F"/>
    <w:rsid w:val="003E08EB"/>
    <w:rsid w:val="003E0C56"/>
    <w:rsid w:val="003E14E1"/>
    <w:rsid w:val="003E273F"/>
    <w:rsid w:val="003E2B81"/>
    <w:rsid w:val="003E4CB6"/>
    <w:rsid w:val="003E5F91"/>
    <w:rsid w:val="003E68A1"/>
    <w:rsid w:val="003F0471"/>
    <w:rsid w:val="003F19EE"/>
    <w:rsid w:val="003F21C8"/>
    <w:rsid w:val="003F2876"/>
    <w:rsid w:val="003F35A6"/>
    <w:rsid w:val="003F368E"/>
    <w:rsid w:val="003F4AE6"/>
    <w:rsid w:val="003F6004"/>
    <w:rsid w:val="003F6831"/>
    <w:rsid w:val="003F693E"/>
    <w:rsid w:val="003F6AEE"/>
    <w:rsid w:val="003F7C8A"/>
    <w:rsid w:val="00401EA0"/>
    <w:rsid w:val="00402B48"/>
    <w:rsid w:val="00403118"/>
    <w:rsid w:val="00404996"/>
    <w:rsid w:val="0040655F"/>
    <w:rsid w:val="00406FAB"/>
    <w:rsid w:val="00407752"/>
    <w:rsid w:val="00411568"/>
    <w:rsid w:val="00411667"/>
    <w:rsid w:val="004123C0"/>
    <w:rsid w:val="00412E27"/>
    <w:rsid w:val="00412F36"/>
    <w:rsid w:val="00412FD3"/>
    <w:rsid w:val="004137AF"/>
    <w:rsid w:val="00415FB0"/>
    <w:rsid w:val="00416645"/>
    <w:rsid w:val="00417A0D"/>
    <w:rsid w:val="004201BC"/>
    <w:rsid w:val="00423429"/>
    <w:rsid w:val="00423CD8"/>
    <w:rsid w:val="00424882"/>
    <w:rsid w:val="00425AEA"/>
    <w:rsid w:val="0042627E"/>
    <w:rsid w:val="004262FE"/>
    <w:rsid w:val="004268CE"/>
    <w:rsid w:val="00427902"/>
    <w:rsid w:val="0043115A"/>
    <w:rsid w:val="00432800"/>
    <w:rsid w:val="00433837"/>
    <w:rsid w:val="00434423"/>
    <w:rsid w:val="00436BA8"/>
    <w:rsid w:val="0043748F"/>
    <w:rsid w:val="004378B1"/>
    <w:rsid w:val="0044006E"/>
    <w:rsid w:val="004409BD"/>
    <w:rsid w:val="00441209"/>
    <w:rsid w:val="00441AF9"/>
    <w:rsid w:val="00441FA3"/>
    <w:rsid w:val="00442DC1"/>
    <w:rsid w:val="0044439B"/>
    <w:rsid w:val="004466AA"/>
    <w:rsid w:val="00446CA3"/>
    <w:rsid w:val="0044753F"/>
    <w:rsid w:val="0045011E"/>
    <w:rsid w:val="0045101B"/>
    <w:rsid w:val="0045192C"/>
    <w:rsid w:val="00453724"/>
    <w:rsid w:val="004539D4"/>
    <w:rsid w:val="00453CFB"/>
    <w:rsid w:val="0045405C"/>
    <w:rsid w:val="00455021"/>
    <w:rsid w:val="004556A7"/>
    <w:rsid w:val="00456BA6"/>
    <w:rsid w:val="00461413"/>
    <w:rsid w:val="004614D9"/>
    <w:rsid w:val="00461D63"/>
    <w:rsid w:val="00461DA2"/>
    <w:rsid w:val="00462789"/>
    <w:rsid w:val="00462F89"/>
    <w:rsid w:val="00464461"/>
    <w:rsid w:val="00467F33"/>
    <w:rsid w:val="00471859"/>
    <w:rsid w:val="00475F95"/>
    <w:rsid w:val="00476172"/>
    <w:rsid w:val="00477487"/>
    <w:rsid w:val="0048098C"/>
    <w:rsid w:val="00480BAE"/>
    <w:rsid w:val="00481ADA"/>
    <w:rsid w:val="00481E6A"/>
    <w:rsid w:val="00483436"/>
    <w:rsid w:val="00484615"/>
    <w:rsid w:val="004858DC"/>
    <w:rsid w:val="00485A79"/>
    <w:rsid w:val="004869B2"/>
    <w:rsid w:val="00492418"/>
    <w:rsid w:val="00492DD6"/>
    <w:rsid w:val="004938FB"/>
    <w:rsid w:val="0049451F"/>
    <w:rsid w:val="00495448"/>
    <w:rsid w:val="00496A6C"/>
    <w:rsid w:val="004971EB"/>
    <w:rsid w:val="004975CF"/>
    <w:rsid w:val="004A070F"/>
    <w:rsid w:val="004A3D67"/>
    <w:rsid w:val="004A3EEB"/>
    <w:rsid w:val="004A44AE"/>
    <w:rsid w:val="004A485C"/>
    <w:rsid w:val="004A5940"/>
    <w:rsid w:val="004A6E3D"/>
    <w:rsid w:val="004A7C02"/>
    <w:rsid w:val="004B1516"/>
    <w:rsid w:val="004B612D"/>
    <w:rsid w:val="004B637A"/>
    <w:rsid w:val="004B664F"/>
    <w:rsid w:val="004C16C9"/>
    <w:rsid w:val="004C1961"/>
    <w:rsid w:val="004C1A82"/>
    <w:rsid w:val="004C1AB7"/>
    <w:rsid w:val="004C1B70"/>
    <w:rsid w:val="004C1C74"/>
    <w:rsid w:val="004C3217"/>
    <w:rsid w:val="004C34F1"/>
    <w:rsid w:val="004C3D4B"/>
    <w:rsid w:val="004C6EE2"/>
    <w:rsid w:val="004C71C5"/>
    <w:rsid w:val="004D0408"/>
    <w:rsid w:val="004D27A1"/>
    <w:rsid w:val="004D2E89"/>
    <w:rsid w:val="004D342A"/>
    <w:rsid w:val="004D3D30"/>
    <w:rsid w:val="004D464D"/>
    <w:rsid w:val="004D50E0"/>
    <w:rsid w:val="004D6828"/>
    <w:rsid w:val="004E16F5"/>
    <w:rsid w:val="004E5F5D"/>
    <w:rsid w:val="004E614B"/>
    <w:rsid w:val="004E70CE"/>
    <w:rsid w:val="004E7B6B"/>
    <w:rsid w:val="004F1511"/>
    <w:rsid w:val="004F41A3"/>
    <w:rsid w:val="004F4B23"/>
    <w:rsid w:val="004F5348"/>
    <w:rsid w:val="004F7B5B"/>
    <w:rsid w:val="00505235"/>
    <w:rsid w:val="005052F4"/>
    <w:rsid w:val="005055B1"/>
    <w:rsid w:val="0050609E"/>
    <w:rsid w:val="00514D19"/>
    <w:rsid w:val="0051569D"/>
    <w:rsid w:val="005168CA"/>
    <w:rsid w:val="00516FD5"/>
    <w:rsid w:val="005173DA"/>
    <w:rsid w:val="0052047C"/>
    <w:rsid w:val="005209AE"/>
    <w:rsid w:val="00520C33"/>
    <w:rsid w:val="0052150F"/>
    <w:rsid w:val="00523C06"/>
    <w:rsid w:val="00523C6D"/>
    <w:rsid w:val="00524BEC"/>
    <w:rsid w:val="00524E78"/>
    <w:rsid w:val="00525CC6"/>
    <w:rsid w:val="00527BF5"/>
    <w:rsid w:val="00527C02"/>
    <w:rsid w:val="00532B9C"/>
    <w:rsid w:val="005332DD"/>
    <w:rsid w:val="00533883"/>
    <w:rsid w:val="00534135"/>
    <w:rsid w:val="0053584F"/>
    <w:rsid w:val="005400CD"/>
    <w:rsid w:val="00541DC6"/>
    <w:rsid w:val="00541FBF"/>
    <w:rsid w:val="005445D8"/>
    <w:rsid w:val="00546A9B"/>
    <w:rsid w:val="005477D0"/>
    <w:rsid w:val="00547A73"/>
    <w:rsid w:val="00550577"/>
    <w:rsid w:val="00550622"/>
    <w:rsid w:val="005518BE"/>
    <w:rsid w:val="005519F1"/>
    <w:rsid w:val="00554334"/>
    <w:rsid w:val="00554A5B"/>
    <w:rsid w:val="00554D7C"/>
    <w:rsid w:val="005569C6"/>
    <w:rsid w:val="00556FA7"/>
    <w:rsid w:val="005574FA"/>
    <w:rsid w:val="005579F5"/>
    <w:rsid w:val="00561B99"/>
    <w:rsid w:val="0056327E"/>
    <w:rsid w:val="0056451B"/>
    <w:rsid w:val="00565398"/>
    <w:rsid w:val="005665B7"/>
    <w:rsid w:val="0056676E"/>
    <w:rsid w:val="00566825"/>
    <w:rsid w:val="00566C4A"/>
    <w:rsid w:val="0056718A"/>
    <w:rsid w:val="00567455"/>
    <w:rsid w:val="00570518"/>
    <w:rsid w:val="00571422"/>
    <w:rsid w:val="00577204"/>
    <w:rsid w:val="00580739"/>
    <w:rsid w:val="005814AD"/>
    <w:rsid w:val="00581EDD"/>
    <w:rsid w:val="005835A9"/>
    <w:rsid w:val="00583CFA"/>
    <w:rsid w:val="00587918"/>
    <w:rsid w:val="005879FB"/>
    <w:rsid w:val="005904F3"/>
    <w:rsid w:val="00591118"/>
    <w:rsid w:val="00591A3F"/>
    <w:rsid w:val="00592174"/>
    <w:rsid w:val="005967E7"/>
    <w:rsid w:val="0059706B"/>
    <w:rsid w:val="005970D4"/>
    <w:rsid w:val="0059738E"/>
    <w:rsid w:val="005A1A79"/>
    <w:rsid w:val="005A42BD"/>
    <w:rsid w:val="005A6846"/>
    <w:rsid w:val="005A791C"/>
    <w:rsid w:val="005B1094"/>
    <w:rsid w:val="005B372B"/>
    <w:rsid w:val="005C001C"/>
    <w:rsid w:val="005C10C8"/>
    <w:rsid w:val="005C1C6F"/>
    <w:rsid w:val="005C2A6C"/>
    <w:rsid w:val="005C5730"/>
    <w:rsid w:val="005D196D"/>
    <w:rsid w:val="005D19D4"/>
    <w:rsid w:val="005D2650"/>
    <w:rsid w:val="005D28E8"/>
    <w:rsid w:val="005D2955"/>
    <w:rsid w:val="005D35BB"/>
    <w:rsid w:val="005D6EDA"/>
    <w:rsid w:val="005E1274"/>
    <w:rsid w:val="005E13E0"/>
    <w:rsid w:val="005E36A0"/>
    <w:rsid w:val="005E4EC3"/>
    <w:rsid w:val="005E64B5"/>
    <w:rsid w:val="005E7457"/>
    <w:rsid w:val="005E74D7"/>
    <w:rsid w:val="005E790B"/>
    <w:rsid w:val="005F092A"/>
    <w:rsid w:val="005F1258"/>
    <w:rsid w:val="005F3117"/>
    <w:rsid w:val="005F3B08"/>
    <w:rsid w:val="005F69DB"/>
    <w:rsid w:val="0060191C"/>
    <w:rsid w:val="00603D46"/>
    <w:rsid w:val="0060502A"/>
    <w:rsid w:val="006054D8"/>
    <w:rsid w:val="006057DA"/>
    <w:rsid w:val="006076EE"/>
    <w:rsid w:val="00607C65"/>
    <w:rsid w:val="00610143"/>
    <w:rsid w:val="006101B1"/>
    <w:rsid w:val="00610C2F"/>
    <w:rsid w:val="00610EEA"/>
    <w:rsid w:val="006118C4"/>
    <w:rsid w:val="00612526"/>
    <w:rsid w:val="00612FD7"/>
    <w:rsid w:val="00614AE8"/>
    <w:rsid w:val="0061522B"/>
    <w:rsid w:val="0061539D"/>
    <w:rsid w:val="0061576A"/>
    <w:rsid w:val="0061583B"/>
    <w:rsid w:val="00615B18"/>
    <w:rsid w:val="00617E78"/>
    <w:rsid w:val="00621703"/>
    <w:rsid w:val="00621836"/>
    <w:rsid w:val="00621F58"/>
    <w:rsid w:val="00622325"/>
    <w:rsid w:val="00622348"/>
    <w:rsid w:val="00625BAB"/>
    <w:rsid w:val="00625F2E"/>
    <w:rsid w:val="00626100"/>
    <w:rsid w:val="00626476"/>
    <w:rsid w:val="00627115"/>
    <w:rsid w:val="006310D8"/>
    <w:rsid w:val="00632057"/>
    <w:rsid w:val="00632FFF"/>
    <w:rsid w:val="006349FA"/>
    <w:rsid w:val="0063541B"/>
    <w:rsid w:val="00635BA6"/>
    <w:rsid w:val="006378A2"/>
    <w:rsid w:val="00637E6E"/>
    <w:rsid w:val="006402BD"/>
    <w:rsid w:val="006408F0"/>
    <w:rsid w:val="006410D6"/>
    <w:rsid w:val="006411A5"/>
    <w:rsid w:val="00641221"/>
    <w:rsid w:val="00642B45"/>
    <w:rsid w:val="0064371D"/>
    <w:rsid w:val="00645862"/>
    <w:rsid w:val="006458D8"/>
    <w:rsid w:val="00646CCB"/>
    <w:rsid w:val="0065221D"/>
    <w:rsid w:val="00652489"/>
    <w:rsid w:val="00652887"/>
    <w:rsid w:val="00652E63"/>
    <w:rsid w:val="00653B88"/>
    <w:rsid w:val="00654659"/>
    <w:rsid w:val="00655087"/>
    <w:rsid w:val="00655F4C"/>
    <w:rsid w:val="0065629D"/>
    <w:rsid w:val="00656934"/>
    <w:rsid w:val="00657515"/>
    <w:rsid w:val="0065777B"/>
    <w:rsid w:val="00660593"/>
    <w:rsid w:val="00660773"/>
    <w:rsid w:val="00660B85"/>
    <w:rsid w:val="00661780"/>
    <w:rsid w:val="00663329"/>
    <w:rsid w:val="00663D7F"/>
    <w:rsid w:val="00663FED"/>
    <w:rsid w:val="00664C69"/>
    <w:rsid w:val="00667F99"/>
    <w:rsid w:val="006719DE"/>
    <w:rsid w:val="00673C97"/>
    <w:rsid w:val="00674566"/>
    <w:rsid w:val="006746B1"/>
    <w:rsid w:val="006806B9"/>
    <w:rsid w:val="006808E8"/>
    <w:rsid w:val="006817AE"/>
    <w:rsid w:val="00682FE2"/>
    <w:rsid w:val="00684284"/>
    <w:rsid w:val="00684579"/>
    <w:rsid w:val="00685DA6"/>
    <w:rsid w:val="00686750"/>
    <w:rsid w:val="00686CBD"/>
    <w:rsid w:val="00686CC5"/>
    <w:rsid w:val="0068700B"/>
    <w:rsid w:val="00687A58"/>
    <w:rsid w:val="00687DB2"/>
    <w:rsid w:val="0069322B"/>
    <w:rsid w:val="00693EB1"/>
    <w:rsid w:val="00694A85"/>
    <w:rsid w:val="0069559D"/>
    <w:rsid w:val="00695D67"/>
    <w:rsid w:val="00696F8C"/>
    <w:rsid w:val="0069700C"/>
    <w:rsid w:val="00697037"/>
    <w:rsid w:val="00697801"/>
    <w:rsid w:val="006A074F"/>
    <w:rsid w:val="006A1577"/>
    <w:rsid w:val="006A2262"/>
    <w:rsid w:val="006A4BA9"/>
    <w:rsid w:val="006A54E3"/>
    <w:rsid w:val="006A55D7"/>
    <w:rsid w:val="006A735F"/>
    <w:rsid w:val="006A7AD1"/>
    <w:rsid w:val="006B0B60"/>
    <w:rsid w:val="006B20CA"/>
    <w:rsid w:val="006B279E"/>
    <w:rsid w:val="006B440B"/>
    <w:rsid w:val="006B5189"/>
    <w:rsid w:val="006C09DE"/>
    <w:rsid w:val="006C1055"/>
    <w:rsid w:val="006C3C3C"/>
    <w:rsid w:val="006C3E9D"/>
    <w:rsid w:val="006C44B9"/>
    <w:rsid w:val="006C4FA4"/>
    <w:rsid w:val="006C51D6"/>
    <w:rsid w:val="006C5333"/>
    <w:rsid w:val="006C6552"/>
    <w:rsid w:val="006C67DC"/>
    <w:rsid w:val="006C7D91"/>
    <w:rsid w:val="006C7FED"/>
    <w:rsid w:val="006D0C85"/>
    <w:rsid w:val="006D29A7"/>
    <w:rsid w:val="006D2ED9"/>
    <w:rsid w:val="006D3043"/>
    <w:rsid w:val="006D4052"/>
    <w:rsid w:val="006D425B"/>
    <w:rsid w:val="006D55F2"/>
    <w:rsid w:val="006D6F56"/>
    <w:rsid w:val="006D7D80"/>
    <w:rsid w:val="006E17AC"/>
    <w:rsid w:val="006E24C6"/>
    <w:rsid w:val="006E297A"/>
    <w:rsid w:val="006E32F6"/>
    <w:rsid w:val="006E60D8"/>
    <w:rsid w:val="006E60E5"/>
    <w:rsid w:val="006F00D8"/>
    <w:rsid w:val="006F0B83"/>
    <w:rsid w:val="006F3365"/>
    <w:rsid w:val="00701836"/>
    <w:rsid w:val="00701F70"/>
    <w:rsid w:val="00702650"/>
    <w:rsid w:val="007062E3"/>
    <w:rsid w:val="00706936"/>
    <w:rsid w:val="00706FFF"/>
    <w:rsid w:val="0070769C"/>
    <w:rsid w:val="00710C7D"/>
    <w:rsid w:val="00715323"/>
    <w:rsid w:val="00715914"/>
    <w:rsid w:val="00716CC2"/>
    <w:rsid w:val="0071759D"/>
    <w:rsid w:val="007205F7"/>
    <w:rsid w:val="0072079B"/>
    <w:rsid w:val="00722184"/>
    <w:rsid w:val="007229D7"/>
    <w:rsid w:val="0072401B"/>
    <w:rsid w:val="00724474"/>
    <w:rsid w:val="007269A0"/>
    <w:rsid w:val="007271A1"/>
    <w:rsid w:val="00730EDD"/>
    <w:rsid w:val="007318F9"/>
    <w:rsid w:val="0073205B"/>
    <w:rsid w:val="00734C7C"/>
    <w:rsid w:val="0073535F"/>
    <w:rsid w:val="00736FD6"/>
    <w:rsid w:val="0073714D"/>
    <w:rsid w:val="00737F17"/>
    <w:rsid w:val="00740B0B"/>
    <w:rsid w:val="0074264B"/>
    <w:rsid w:val="0074415C"/>
    <w:rsid w:val="00746790"/>
    <w:rsid w:val="0074696F"/>
    <w:rsid w:val="00746DFC"/>
    <w:rsid w:val="00747BD5"/>
    <w:rsid w:val="007512D0"/>
    <w:rsid w:val="0075223F"/>
    <w:rsid w:val="00752DCE"/>
    <w:rsid w:val="00753727"/>
    <w:rsid w:val="0075446B"/>
    <w:rsid w:val="00755404"/>
    <w:rsid w:val="00755676"/>
    <w:rsid w:val="00756B91"/>
    <w:rsid w:val="007578F4"/>
    <w:rsid w:val="00760E65"/>
    <w:rsid w:val="007631AD"/>
    <w:rsid w:val="00763B07"/>
    <w:rsid w:val="00763D41"/>
    <w:rsid w:val="00765FC8"/>
    <w:rsid w:val="00766CD4"/>
    <w:rsid w:val="00770985"/>
    <w:rsid w:val="0077147D"/>
    <w:rsid w:val="00777EF8"/>
    <w:rsid w:val="007811C0"/>
    <w:rsid w:val="007814A1"/>
    <w:rsid w:val="00785CC2"/>
    <w:rsid w:val="00786C6C"/>
    <w:rsid w:val="00790072"/>
    <w:rsid w:val="00791FB2"/>
    <w:rsid w:val="00792569"/>
    <w:rsid w:val="007936E5"/>
    <w:rsid w:val="00793A96"/>
    <w:rsid w:val="00795A4E"/>
    <w:rsid w:val="007A1EA9"/>
    <w:rsid w:val="007A1F04"/>
    <w:rsid w:val="007A29C5"/>
    <w:rsid w:val="007A4B52"/>
    <w:rsid w:val="007A4E42"/>
    <w:rsid w:val="007A5CE1"/>
    <w:rsid w:val="007B0185"/>
    <w:rsid w:val="007B0A56"/>
    <w:rsid w:val="007B4542"/>
    <w:rsid w:val="007B4B9B"/>
    <w:rsid w:val="007B7493"/>
    <w:rsid w:val="007C08C0"/>
    <w:rsid w:val="007C1576"/>
    <w:rsid w:val="007C425D"/>
    <w:rsid w:val="007C431E"/>
    <w:rsid w:val="007C5655"/>
    <w:rsid w:val="007C7E77"/>
    <w:rsid w:val="007D2C29"/>
    <w:rsid w:val="007D3CF3"/>
    <w:rsid w:val="007D40E6"/>
    <w:rsid w:val="007D6401"/>
    <w:rsid w:val="007D76D3"/>
    <w:rsid w:val="007D7ECD"/>
    <w:rsid w:val="007E1C66"/>
    <w:rsid w:val="007E250D"/>
    <w:rsid w:val="007E25C6"/>
    <w:rsid w:val="007E3C59"/>
    <w:rsid w:val="007E3F1E"/>
    <w:rsid w:val="007E41E9"/>
    <w:rsid w:val="007E4E1A"/>
    <w:rsid w:val="007E52C3"/>
    <w:rsid w:val="007E596F"/>
    <w:rsid w:val="007E70AC"/>
    <w:rsid w:val="007E735C"/>
    <w:rsid w:val="007E7A85"/>
    <w:rsid w:val="007F0197"/>
    <w:rsid w:val="007F0281"/>
    <w:rsid w:val="007F1502"/>
    <w:rsid w:val="007F1923"/>
    <w:rsid w:val="007F1FB0"/>
    <w:rsid w:val="007F263B"/>
    <w:rsid w:val="007F2DC8"/>
    <w:rsid w:val="007F5437"/>
    <w:rsid w:val="007F5BE2"/>
    <w:rsid w:val="007F7723"/>
    <w:rsid w:val="0080057F"/>
    <w:rsid w:val="008005B3"/>
    <w:rsid w:val="00800B99"/>
    <w:rsid w:val="0080262B"/>
    <w:rsid w:val="0080381D"/>
    <w:rsid w:val="00803BBF"/>
    <w:rsid w:val="008045A7"/>
    <w:rsid w:val="00804F2A"/>
    <w:rsid w:val="00806F80"/>
    <w:rsid w:val="008111C0"/>
    <w:rsid w:val="00811217"/>
    <w:rsid w:val="00814E34"/>
    <w:rsid w:val="008156EB"/>
    <w:rsid w:val="008158EE"/>
    <w:rsid w:val="0081603E"/>
    <w:rsid w:val="00816EB3"/>
    <w:rsid w:val="00817F49"/>
    <w:rsid w:val="0082191A"/>
    <w:rsid w:val="008252B3"/>
    <w:rsid w:val="00826339"/>
    <w:rsid w:val="00826661"/>
    <w:rsid w:val="008277BB"/>
    <w:rsid w:val="00830DDF"/>
    <w:rsid w:val="00831D40"/>
    <w:rsid w:val="00832530"/>
    <w:rsid w:val="0083491C"/>
    <w:rsid w:val="00834D3E"/>
    <w:rsid w:val="00834D58"/>
    <w:rsid w:val="00834DFD"/>
    <w:rsid w:val="00837B94"/>
    <w:rsid w:val="00837BC3"/>
    <w:rsid w:val="00840581"/>
    <w:rsid w:val="00840C66"/>
    <w:rsid w:val="008417F4"/>
    <w:rsid w:val="008418F1"/>
    <w:rsid w:val="008434A1"/>
    <w:rsid w:val="008445A5"/>
    <w:rsid w:val="008446F7"/>
    <w:rsid w:val="00844A58"/>
    <w:rsid w:val="008458C9"/>
    <w:rsid w:val="00846D2C"/>
    <w:rsid w:val="008471DD"/>
    <w:rsid w:val="0084766E"/>
    <w:rsid w:val="00851EA5"/>
    <w:rsid w:val="00852591"/>
    <w:rsid w:val="0085568A"/>
    <w:rsid w:val="00856761"/>
    <w:rsid w:val="00856F22"/>
    <w:rsid w:val="00857347"/>
    <w:rsid w:val="008573D5"/>
    <w:rsid w:val="00857ADB"/>
    <w:rsid w:val="00860506"/>
    <w:rsid w:val="008625BD"/>
    <w:rsid w:val="0086358C"/>
    <w:rsid w:val="008640E5"/>
    <w:rsid w:val="00865499"/>
    <w:rsid w:val="008670AA"/>
    <w:rsid w:val="0086721C"/>
    <w:rsid w:val="008705F5"/>
    <w:rsid w:val="00870E00"/>
    <w:rsid w:val="00871C11"/>
    <w:rsid w:val="00874E99"/>
    <w:rsid w:val="00875E96"/>
    <w:rsid w:val="008775BC"/>
    <w:rsid w:val="008777D3"/>
    <w:rsid w:val="008810B3"/>
    <w:rsid w:val="00881A04"/>
    <w:rsid w:val="00883B03"/>
    <w:rsid w:val="00884D4F"/>
    <w:rsid w:val="0088505F"/>
    <w:rsid w:val="0088519A"/>
    <w:rsid w:val="00890021"/>
    <w:rsid w:val="00890C8F"/>
    <w:rsid w:val="00891015"/>
    <w:rsid w:val="00891611"/>
    <w:rsid w:val="00891F22"/>
    <w:rsid w:val="00894D12"/>
    <w:rsid w:val="00894E26"/>
    <w:rsid w:val="00895D2A"/>
    <w:rsid w:val="00896C4C"/>
    <w:rsid w:val="008A1923"/>
    <w:rsid w:val="008A20CD"/>
    <w:rsid w:val="008A26D8"/>
    <w:rsid w:val="008A37CD"/>
    <w:rsid w:val="008A5B8F"/>
    <w:rsid w:val="008A5EC4"/>
    <w:rsid w:val="008A6BDF"/>
    <w:rsid w:val="008A716B"/>
    <w:rsid w:val="008A7201"/>
    <w:rsid w:val="008B19B9"/>
    <w:rsid w:val="008B5B4F"/>
    <w:rsid w:val="008B74C1"/>
    <w:rsid w:val="008B7538"/>
    <w:rsid w:val="008C0DAF"/>
    <w:rsid w:val="008C0E13"/>
    <w:rsid w:val="008C2CAB"/>
    <w:rsid w:val="008C3CC7"/>
    <w:rsid w:val="008C5A60"/>
    <w:rsid w:val="008D2721"/>
    <w:rsid w:val="008D2F85"/>
    <w:rsid w:val="008D3983"/>
    <w:rsid w:val="008D4222"/>
    <w:rsid w:val="008D448D"/>
    <w:rsid w:val="008D48DD"/>
    <w:rsid w:val="008D5B12"/>
    <w:rsid w:val="008D5E3B"/>
    <w:rsid w:val="008D6197"/>
    <w:rsid w:val="008E114F"/>
    <w:rsid w:val="008E7A56"/>
    <w:rsid w:val="008E7C63"/>
    <w:rsid w:val="008E7E70"/>
    <w:rsid w:val="008F1A68"/>
    <w:rsid w:val="008F2DEE"/>
    <w:rsid w:val="008F33FE"/>
    <w:rsid w:val="008F3A92"/>
    <w:rsid w:val="008F551B"/>
    <w:rsid w:val="008F71EA"/>
    <w:rsid w:val="00900F5C"/>
    <w:rsid w:val="0090201D"/>
    <w:rsid w:val="0090278A"/>
    <w:rsid w:val="009029A5"/>
    <w:rsid w:val="00903177"/>
    <w:rsid w:val="00905DFE"/>
    <w:rsid w:val="00906C25"/>
    <w:rsid w:val="00910A12"/>
    <w:rsid w:val="009121B8"/>
    <w:rsid w:val="009136F9"/>
    <w:rsid w:val="00916274"/>
    <w:rsid w:val="00917AB1"/>
    <w:rsid w:val="0092016B"/>
    <w:rsid w:val="009202CD"/>
    <w:rsid w:val="0092078E"/>
    <w:rsid w:val="00921161"/>
    <w:rsid w:val="0092211A"/>
    <w:rsid w:val="00922F79"/>
    <w:rsid w:val="00923D04"/>
    <w:rsid w:val="00924154"/>
    <w:rsid w:val="00924749"/>
    <w:rsid w:val="0092599A"/>
    <w:rsid w:val="00926435"/>
    <w:rsid w:val="00930D40"/>
    <w:rsid w:val="009320BE"/>
    <w:rsid w:val="0093245D"/>
    <w:rsid w:val="00932DF7"/>
    <w:rsid w:val="00935FFF"/>
    <w:rsid w:val="009364D7"/>
    <w:rsid w:val="00936873"/>
    <w:rsid w:val="00936C33"/>
    <w:rsid w:val="00936FDB"/>
    <w:rsid w:val="00937630"/>
    <w:rsid w:val="00941A38"/>
    <w:rsid w:val="00942626"/>
    <w:rsid w:val="00943DB0"/>
    <w:rsid w:val="009445C2"/>
    <w:rsid w:val="00945ABF"/>
    <w:rsid w:val="009479BC"/>
    <w:rsid w:val="009502B2"/>
    <w:rsid w:val="00950D03"/>
    <w:rsid w:val="00951F72"/>
    <w:rsid w:val="00953BF5"/>
    <w:rsid w:val="0095432D"/>
    <w:rsid w:val="00954F6E"/>
    <w:rsid w:val="009564D7"/>
    <w:rsid w:val="00956E1A"/>
    <w:rsid w:val="0095730D"/>
    <w:rsid w:val="009573AE"/>
    <w:rsid w:val="00957A7B"/>
    <w:rsid w:val="00957BB4"/>
    <w:rsid w:val="00957C7E"/>
    <w:rsid w:val="00960557"/>
    <w:rsid w:val="009636E0"/>
    <w:rsid w:val="00963CD7"/>
    <w:rsid w:val="00965D9A"/>
    <w:rsid w:val="00966583"/>
    <w:rsid w:val="0096726B"/>
    <w:rsid w:val="00971857"/>
    <w:rsid w:val="00972A98"/>
    <w:rsid w:val="009733A6"/>
    <w:rsid w:val="0097717F"/>
    <w:rsid w:val="009801B6"/>
    <w:rsid w:val="0098119E"/>
    <w:rsid w:val="00981BA1"/>
    <w:rsid w:val="0098344E"/>
    <w:rsid w:val="009836DF"/>
    <w:rsid w:val="0098458B"/>
    <w:rsid w:val="00986BB9"/>
    <w:rsid w:val="0098796E"/>
    <w:rsid w:val="0099115A"/>
    <w:rsid w:val="00991FF1"/>
    <w:rsid w:val="00992FA0"/>
    <w:rsid w:val="00993031"/>
    <w:rsid w:val="0099449B"/>
    <w:rsid w:val="009947DB"/>
    <w:rsid w:val="00994E48"/>
    <w:rsid w:val="0099601C"/>
    <w:rsid w:val="00996A09"/>
    <w:rsid w:val="00997702"/>
    <w:rsid w:val="009A21C5"/>
    <w:rsid w:val="009A2D1C"/>
    <w:rsid w:val="009A382A"/>
    <w:rsid w:val="009A384D"/>
    <w:rsid w:val="009A428D"/>
    <w:rsid w:val="009A453D"/>
    <w:rsid w:val="009A656B"/>
    <w:rsid w:val="009A6E03"/>
    <w:rsid w:val="009A73A9"/>
    <w:rsid w:val="009A7DE1"/>
    <w:rsid w:val="009B1383"/>
    <w:rsid w:val="009B25C7"/>
    <w:rsid w:val="009B3905"/>
    <w:rsid w:val="009B75D1"/>
    <w:rsid w:val="009C1EA0"/>
    <w:rsid w:val="009C3A17"/>
    <w:rsid w:val="009C47DE"/>
    <w:rsid w:val="009C4D38"/>
    <w:rsid w:val="009C501E"/>
    <w:rsid w:val="009C50FC"/>
    <w:rsid w:val="009C5DAC"/>
    <w:rsid w:val="009C660B"/>
    <w:rsid w:val="009D0479"/>
    <w:rsid w:val="009D0924"/>
    <w:rsid w:val="009D1C10"/>
    <w:rsid w:val="009D27B8"/>
    <w:rsid w:val="009D3246"/>
    <w:rsid w:val="009D34D2"/>
    <w:rsid w:val="009D55DE"/>
    <w:rsid w:val="009D56B4"/>
    <w:rsid w:val="009D7989"/>
    <w:rsid w:val="009E0AC7"/>
    <w:rsid w:val="009E2755"/>
    <w:rsid w:val="009E43C3"/>
    <w:rsid w:val="009E50FD"/>
    <w:rsid w:val="009E580F"/>
    <w:rsid w:val="009E5D13"/>
    <w:rsid w:val="009E5FB2"/>
    <w:rsid w:val="009E61C0"/>
    <w:rsid w:val="009E6D64"/>
    <w:rsid w:val="009E7648"/>
    <w:rsid w:val="009F017C"/>
    <w:rsid w:val="009F1081"/>
    <w:rsid w:val="009F245B"/>
    <w:rsid w:val="009F3C30"/>
    <w:rsid w:val="009F6F14"/>
    <w:rsid w:val="009F70DB"/>
    <w:rsid w:val="00A00529"/>
    <w:rsid w:val="00A00FB4"/>
    <w:rsid w:val="00A01504"/>
    <w:rsid w:val="00A01773"/>
    <w:rsid w:val="00A06558"/>
    <w:rsid w:val="00A06614"/>
    <w:rsid w:val="00A0689F"/>
    <w:rsid w:val="00A077D6"/>
    <w:rsid w:val="00A10B4B"/>
    <w:rsid w:val="00A12039"/>
    <w:rsid w:val="00A14C60"/>
    <w:rsid w:val="00A15B50"/>
    <w:rsid w:val="00A16B99"/>
    <w:rsid w:val="00A202CE"/>
    <w:rsid w:val="00A20F08"/>
    <w:rsid w:val="00A2661C"/>
    <w:rsid w:val="00A27720"/>
    <w:rsid w:val="00A30E40"/>
    <w:rsid w:val="00A31AFC"/>
    <w:rsid w:val="00A328A1"/>
    <w:rsid w:val="00A32E38"/>
    <w:rsid w:val="00A34A3A"/>
    <w:rsid w:val="00A34AC3"/>
    <w:rsid w:val="00A37CE5"/>
    <w:rsid w:val="00A404B1"/>
    <w:rsid w:val="00A434D9"/>
    <w:rsid w:val="00A4367B"/>
    <w:rsid w:val="00A44129"/>
    <w:rsid w:val="00A44FB7"/>
    <w:rsid w:val="00A46418"/>
    <w:rsid w:val="00A46EC6"/>
    <w:rsid w:val="00A46FB9"/>
    <w:rsid w:val="00A47071"/>
    <w:rsid w:val="00A51977"/>
    <w:rsid w:val="00A51E43"/>
    <w:rsid w:val="00A55024"/>
    <w:rsid w:val="00A55A64"/>
    <w:rsid w:val="00A55FFF"/>
    <w:rsid w:val="00A57E7B"/>
    <w:rsid w:val="00A6006D"/>
    <w:rsid w:val="00A61936"/>
    <w:rsid w:val="00A61DE2"/>
    <w:rsid w:val="00A63109"/>
    <w:rsid w:val="00A6659A"/>
    <w:rsid w:val="00A66917"/>
    <w:rsid w:val="00A67762"/>
    <w:rsid w:val="00A7295D"/>
    <w:rsid w:val="00A73F3C"/>
    <w:rsid w:val="00A753C9"/>
    <w:rsid w:val="00A75FF2"/>
    <w:rsid w:val="00A760FD"/>
    <w:rsid w:val="00A808AC"/>
    <w:rsid w:val="00A82ADF"/>
    <w:rsid w:val="00A84A84"/>
    <w:rsid w:val="00A84F67"/>
    <w:rsid w:val="00A8598D"/>
    <w:rsid w:val="00A861F6"/>
    <w:rsid w:val="00A902DE"/>
    <w:rsid w:val="00A9156B"/>
    <w:rsid w:val="00A91FB2"/>
    <w:rsid w:val="00A9462E"/>
    <w:rsid w:val="00A95E52"/>
    <w:rsid w:val="00A96150"/>
    <w:rsid w:val="00A96386"/>
    <w:rsid w:val="00A96AAA"/>
    <w:rsid w:val="00A96DC0"/>
    <w:rsid w:val="00AA14F6"/>
    <w:rsid w:val="00AA1D00"/>
    <w:rsid w:val="00AA2147"/>
    <w:rsid w:val="00AA2CBC"/>
    <w:rsid w:val="00AA4CDC"/>
    <w:rsid w:val="00AA534C"/>
    <w:rsid w:val="00AA6D33"/>
    <w:rsid w:val="00AA6D42"/>
    <w:rsid w:val="00AA7D16"/>
    <w:rsid w:val="00AA7D47"/>
    <w:rsid w:val="00AB118B"/>
    <w:rsid w:val="00AB18E3"/>
    <w:rsid w:val="00AB317C"/>
    <w:rsid w:val="00AB3B2F"/>
    <w:rsid w:val="00AB4374"/>
    <w:rsid w:val="00AB770B"/>
    <w:rsid w:val="00AB7823"/>
    <w:rsid w:val="00AC0F37"/>
    <w:rsid w:val="00AC1CB6"/>
    <w:rsid w:val="00AC2E74"/>
    <w:rsid w:val="00AC36F0"/>
    <w:rsid w:val="00AC37B2"/>
    <w:rsid w:val="00AC492B"/>
    <w:rsid w:val="00AD1980"/>
    <w:rsid w:val="00AD20F6"/>
    <w:rsid w:val="00AD323F"/>
    <w:rsid w:val="00AD414A"/>
    <w:rsid w:val="00AD419B"/>
    <w:rsid w:val="00AD452E"/>
    <w:rsid w:val="00AD595E"/>
    <w:rsid w:val="00AD5C14"/>
    <w:rsid w:val="00AD5DDA"/>
    <w:rsid w:val="00AE0400"/>
    <w:rsid w:val="00AE1FC9"/>
    <w:rsid w:val="00AE26B0"/>
    <w:rsid w:val="00AE2B96"/>
    <w:rsid w:val="00AE481D"/>
    <w:rsid w:val="00AE6ABF"/>
    <w:rsid w:val="00AE737B"/>
    <w:rsid w:val="00AF2C9B"/>
    <w:rsid w:val="00AF319E"/>
    <w:rsid w:val="00AF3647"/>
    <w:rsid w:val="00AF52C0"/>
    <w:rsid w:val="00AF5A6D"/>
    <w:rsid w:val="00AF69A6"/>
    <w:rsid w:val="00AF6B00"/>
    <w:rsid w:val="00AF6F96"/>
    <w:rsid w:val="00AF75FB"/>
    <w:rsid w:val="00AF7D31"/>
    <w:rsid w:val="00B00435"/>
    <w:rsid w:val="00B00829"/>
    <w:rsid w:val="00B0300F"/>
    <w:rsid w:val="00B04A30"/>
    <w:rsid w:val="00B06110"/>
    <w:rsid w:val="00B062AD"/>
    <w:rsid w:val="00B06C8B"/>
    <w:rsid w:val="00B075B0"/>
    <w:rsid w:val="00B110B4"/>
    <w:rsid w:val="00B1468D"/>
    <w:rsid w:val="00B2055D"/>
    <w:rsid w:val="00B21A85"/>
    <w:rsid w:val="00B21C2D"/>
    <w:rsid w:val="00B225D6"/>
    <w:rsid w:val="00B23DA4"/>
    <w:rsid w:val="00B243FE"/>
    <w:rsid w:val="00B24904"/>
    <w:rsid w:val="00B24CBA"/>
    <w:rsid w:val="00B24EEE"/>
    <w:rsid w:val="00B2666F"/>
    <w:rsid w:val="00B26F93"/>
    <w:rsid w:val="00B27BFC"/>
    <w:rsid w:val="00B30524"/>
    <w:rsid w:val="00B306A5"/>
    <w:rsid w:val="00B3096E"/>
    <w:rsid w:val="00B31939"/>
    <w:rsid w:val="00B3205D"/>
    <w:rsid w:val="00B32A73"/>
    <w:rsid w:val="00B36FA1"/>
    <w:rsid w:val="00B37511"/>
    <w:rsid w:val="00B42C6B"/>
    <w:rsid w:val="00B450D4"/>
    <w:rsid w:val="00B45165"/>
    <w:rsid w:val="00B451AE"/>
    <w:rsid w:val="00B50355"/>
    <w:rsid w:val="00B505CC"/>
    <w:rsid w:val="00B52973"/>
    <w:rsid w:val="00B52EB1"/>
    <w:rsid w:val="00B5455D"/>
    <w:rsid w:val="00B5495E"/>
    <w:rsid w:val="00B5496A"/>
    <w:rsid w:val="00B56183"/>
    <w:rsid w:val="00B56B51"/>
    <w:rsid w:val="00B60DC2"/>
    <w:rsid w:val="00B6121E"/>
    <w:rsid w:val="00B616FE"/>
    <w:rsid w:val="00B61A5C"/>
    <w:rsid w:val="00B62671"/>
    <w:rsid w:val="00B62B2E"/>
    <w:rsid w:val="00B637D3"/>
    <w:rsid w:val="00B6486E"/>
    <w:rsid w:val="00B65A10"/>
    <w:rsid w:val="00B66F4D"/>
    <w:rsid w:val="00B67D18"/>
    <w:rsid w:val="00B70502"/>
    <w:rsid w:val="00B7219A"/>
    <w:rsid w:val="00B74786"/>
    <w:rsid w:val="00B757FD"/>
    <w:rsid w:val="00B770CF"/>
    <w:rsid w:val="00B80F65"/>
    <w:rsid w:val="00B81556"/>
    <w:rsid w:val="00B82530"/>
    <w:rsid w:val="00B82878"/>
    <w:rsid w:val="00B832AE"/>
    <w:rsid w:val="00B83B50"/>
    <w:rsid w:val="00B8439C"/>
    <w:rsid w:val="00B84B79"/>
    <w:rsid w:val="00B853B1"/>
    <w:rsid w:val="00B85C83"/>
    <w:rsid w:val="00B85D1B"/>
    <w:rsid w:val="00B86981"/>
    <w:rsid w:val="00B8797E"/>
    <w:rsid w:val="00B87DC6"/>
    <w:rsid w:val="00B90965"/>
    <w:rsid w:val="00B92E4F"/>
    <w:rsid w:val="00B92E82"/>
    <w:rsid w:val="00B93F30"/>
    <w:rsid w:val="00B94B25"/>
    <w:rsid w:val="00B958A6"/>
    <w:rsid w:val="00B95BAE"/>
    <w:rsid w:val="00B96FBF"/>
    <w:rsid w:val="00B97335"/>
    <w:rsid w:val="00BA1537"/>
    <w:rsid w:val="00BA2636"/>
    <w:rsid w:val="00BA6755"/>
    <w:rsid w:val="00BB0C75"/>
    <w:rsid w:val="00BB349D"/>
    <w:rsid w:val="00BB4584"/>
    <w:rsid w:val="00BB5110"/>
    <w:rsid w:val="00BB514E"/>
    <w:rsid w:val="00BB6C8A"/>
    <w:rsid w:val="00BB7384"/>
    <w:rsid w:val="00BC0279"/>
    <w:rsid w:val="00BC0793"/>
    <w:rsid w:val="00BC092A"/>
    <w:rsid w:val="00BC2E11"/>
    <w:rsid w:val="00BC33F8"/>
    <w:rsid w:val="00BC4F9E"/>
    <w:rsid w:val="00BC52E0"/>
    <w:rsid w:val="00BC548D"/>
    <w:rsid w:val="00BC61FC"/>
    <w:rsid w:val="00BD1015"/>
    <w:rsid w:val="00BD30B2"/>
    <w:rsid w:val="00BD3F58"/>
    <w:rsid w:val="00BD46B9"/>
    <w:rsid w:val="00BD57F3"/>
    <w:rsid w:val="00BD583E"/>
    <w:rsid w:val="00BD5955"/>
    <w:rsid w:val="00BE0448"/>
    <w:rsid w:val="00BE0ADB"/>
    <w:rsid w:val="00BE0EB9"/>
    <w:rsid w:val="00BE10C7"/>
    <w:rsid w:val="00BE1BA1"/>
    <w:rsid w:val="00BE25F0"/>
    <w:rsid w:val="00BE46B0"/>
    <w:rsid w:val="00BE6469"/>
    <w:rsid w:val="00BE668C"/>
    <w:rsid w:val="00BE7A85"/>
    <w:rsid w:val="00BE7D4C"/>
    <w:rsid w:val="00BF1568"/>
    <w:rsid w:val="00BF21AB"/>
    <w:rsid w:val="00BF3191"/>
    <w:rsid w:val="00BF321E"/>
    <w:rsid w:val="00BF3A34"/>
    <w:rsid w:val="00BF4E44"/>
    <w:rsid w:val="00BF597F"/>
    <w:rsid w:val="00BF602D"/>
    <w:rsid w:val="00BF62F0"/>
    <w:rsid w:val="00BF7B4F"/>
    <w:rsid w:val="00C00218"/>
    <w:rsid w:val="00C01305"/>
    <w:rsid w:val="00C01849"/>
    <w:rsid w:val="00C0532A"/>
    <w:rsid w:val="00C05F9F"/>
    <w:rsid w:val="00C06CF0"/>
    <w:rsid w:val="00C07D01"/>
    <w:rsid w:val="00C10541"/>
    <w:rsid w:val="00C11FEA"/>
    <w:rsid w:val="00C12256"/>
    <w:rsid w:val="00C124C6"/>
    <w:rsid w:val="00C1340D"/>
    <w:rsid w:val="00C136D3"/>
    <w:rsid w:val="00C14AF9"/>
    <w:rsid w:val="00C152AD"/>
    <w:rsid w:val="00C20D7F"/>
    <w:rsid w:val="00C21920"/>
    <w:rsid w:val="00C221B1"/>
    <w:rsid w:val="00C232C0"/>
    <w:rsid w:val="00C236E0"/>
    <w:rsid w:val="00C23CA1"/>
    <w:rsid w:val="00C23F3D"/>
    <w:rsid w:val="00C258E4"/>
    <w:rsid w:val="00C25FEE"/>
    <w:rsid w:val="00C3027F"/>
    <w:rsid w:val="00C31793"/>
    <w:rsid w:val="00C32AC9"/>
    <w:rsid w:val="00C373FE"/>
    <w:rsid w:val="00C37FBC"/>
    <w:rsid w:val="00C4329A"/>
    <w:rsid w:val="00C45687"/>
    <w:rsid w:val="00C45730"/>
    <w:rsid w:val="00C45A45"/>
    <w:rsid w:val="00C475A3"/>
    <w:rsid w:val="00C47CCD"/>
    <w:rsid w:val="00C47D5D"/>
    <w:rsid w:val="00C50174"/>
    <w:rsid w:val="00C504B1"/>
    <w:rsid w:val="00C50983"/>
    <w:rsid w:val="00C5213B"/>
    <w:rsid w:val="00C52AF1"/>
    <w:rsid w:val="00C53638"/>
    <w:rsid w:val="00C540C6"/>
    <w:rsid w:val="00C541C4"/>
    <w:rsid w:val="00C54255"/>
    <w:rsid w:val="00C542D0"/>
    <w:rsid w:val="00C55BA4"/>
    <w:rsid w:val="00C57E9A"/>
    <w:rsid w:val="00C62E0E"/>
    <w:rsid w:val="00C64ACC"/>
    <w:rsid w:val="00C6573A"/>
    <w:rsid w:val="00C66CC4"/>
    <w:rsid w:val="00C70D7F"/>
    <w:rsid w:val="00C715CB"/>
    <w:rsid w:val="00C7209A"/>
    <w:rsid w:val="00C721BC"/>
    <w:rsid w:val="00C77BDE"/>
    <w:rsid w:val="00C77C78"/>
    <w:rsid w:val="00C804DA"/>
    <w:rsid w:val="00C806F1"/>
    <w:rsid w:val="00C80E51"/>
    <w:rsid w:val="00C80FCB"/>
    <w:rsid w:val="00C814C8"/>
    <w:rsid w:val="00C819D0"/>
    <w:rsid w:val="00C81B6C"/>
    <w:rsid w:val="00C8206B"/>
    <w:rsid w:val="00C83760"/>
    <w:rsid w:val="00C84D9E"/>
    <w:rsid w:val="00C86511"/>
    <w:rsid w:val="00C874D2"/>
    <w:rsid w:val="00C87BFA"/>
    <w:rsid w:val="00C9168E"/>
    <w:rsid w:val="00C930E0"/>
    <w:rsid w:val="00C937F4"/>
    <w:rsid w:val="00C93855"/>
    <w:rsid w:val="00C94ADE"/>
    <w:rsid w:val="00C96464"/>
    <w:rsid w:val="00C97679"/>
    <w:rsid w:val="00CA070E"/>
    <w:rsid w:val="00CA3F7E"/>
    <w:rsid w:val="00CA464D"/>
    <w:rsid w:val="00CA538C"/>
    <w:rsid w:val="00CA54B4"/>
    <w:rsid w:val="00CA70EC"/>
    <w:rsid w:val="00CA7D46"/>
    <w:rsid w:val="00CB1BB0"/>
    <w:rsid w:val="00CB275A"/>
    <w:rsid w:val="00CB2FA0"/>
    <w:rsid w:val="00CB3C6D"/>
    <w:rsid w:val="00CB4AD2"/>
    <w:rsid w:val="00CB5825"/>
    <w:rsid w:val="00CB5B7A"/>
    <w:rsid w:val="00CB5C91"/>
    <w:rsid w:val="00CB6330"/>
    <w:rsid w:val="00CC0829"/>
    <w:rsid w:val="00CC1B4D"/>
    <w:rsid w:val="00CC2405"/>
    <w:rsid w:val="00CC28F1"/>
    <w:rsid w:val="00CC6114"/>
    <w:rsid w:val="00CC7174"/>
    <w:rsid w:val="00CC7B2B"/>
    <w:rsid w:val="00CD024A"/>
    <w:rsid w:val="00CD0F34"/>
    <w:rsid w:val="00CD145E"/>
    <w:rsid w:val="00CD2D10"/>
    <w:rsid w:val="00CD43A6"/>
    <w:rsid w:val="00CD4785"/>
    <w:rsid w:val="00CD5B11"/>
    <w:rsid w:val="00CD6262"/>
    <w:rsid w:val="00CE091A"/>
    <w:rsid w:val="00CE0E7A"/>
    <w:rsid w:val="00CE10A1"/>
    <w:rsid w:val="00CE19F7"/>
    <w:rsid w:val="00CE1AE4"/>
    <w:rsid w:val="00CE2A1C"/>
    <w:rsid w:val="00CE4940"/>
    <w:rsid w:val="00CE4D9D"/>
    <w:rsid w:val="00CE680E"/>
    <w:rsid w:val="00CE71BA"/>
    <w:rsid w:val="00CE7A1C"/>
    <w:rsid w:val="00CF01EB"/>
    <w:rsid w:val="00CF1A7E"/>
    <w:rsid w:val="00CF1BC0"/>
    <w:rsid w:val="00CF28B7"/>
    <w:rsid w:val="00CF3378"/>
    <w:rsid w:val="00CF39CC"/>
    <w:rsid w:val="00CF3B0F"/>
    <w:rsid w:val="00CF422F"/>
    <w:rsid w:val="00CF5340"/>
    <w:rsid w:val="00CF64C4"/>
    <w:rsid w:val="00CF64E5"/>
    <w:rsid w:val="00CF752B"/>
    <w:rsid w:val="00CF7633"/>
    <w:rsid w:val="00CF7979"/>
    <w:rsid w:val="00CF7FB7"/>
    <w:rsid w:val="00D02E83"/>
    <w:rsid w:val="00D02EDB"/>
    <w:rsid w:val="00D055F1"/>
    <w:rsid w:val="00D05F55"/>
    <w:rsid w:val="00D062B4"/>
    <w:rsid w:val="00D1289B"/>
    <w:rsid w:val="00D12CA8"/>
    <w:rsid w:val="00D13D95"/>
    <w:rsid w:val="00D1653A"/>
    <w:rsid w:val="00D17B04"/>
    <w:rsid w:val="00D17DF2"/>
    <w:rsid w:val="00D202A2"/>
    <w:rsid w:val="00D20AE9"/>
    <w:rsid w:val="00D21550"/>
    <w:rsid w:val="00D21664"/>
    <w:rsid w:val="00D222AD"/>
    <w:rsid w:val="00D22B5B"/>
    <w:rsid w:val="00D22C3A"/>
    <w:rsid w:val="00D22E1E"/>
    <w:rsid w:val="00D239C1"/>
    <w:rsid w:val="00D23C2B"/>
    <w:rsid w:val="00D24178"/>
    <w:rsid w:val="00D24A1C"/>
    <w:rsid w:val="00D2504A"/>
    <w:rsid w:val="00D250E6"/>
    <w:rsid w:val="00D31166"/>
    <w:rsid w:val="00D32ECC"/>
    <w:rsid w:val="00D364D8"/>
    <w:rsid w:val="00D37B29"/>
    <w:rsid w:val="00D400BA"/>
    <w:rsid w:val="00D4012B"/>
    <w:rsid w:val="00D4065E"/>
    <w:rsid w:val="00D41081"/>
    <w:rsid w:val="00D41511"/>
    <w:rsid w:val="00D427F0"/>
    <w:rsid w:val="00D43C23"/>
    <w:rsid w:val="00D44AD5"/>
    <w:rsid w:val="00D45E3F"/>
    <w:rsid w:val="00D473B8"/>
    <w:rsid w:val="00D4756A"/>
    <w:rsid w:val="00D525A8"/>
    <w:rsid w:val="00D52ACF"/>
    <w:rsid w:val="00D53787"/>
    <w:rsid w:val="00D539AF"/>
    <w:rsid w:val="00D53CBA"/>
    <w:rsid w:val="00D5468C"/>
    <w:rsid w:val="00D54D47"/>
    <w:rsid w:val="00D558C8"/>
    <w:rsid w:val="00D565DE"/>
    <w:rsid w:val="00D56DA9"/>
    <w:rsid w:val="00D577D6"/>
    <w:rsid w:val="00D624EC"/>
    <w:rsid w:val="00D625D4"/>
    <w:rsid w:val="00D64261"/>
    <w:rsid w:val="00D6520A"/>
    <w:rsid w:val="00D65D3E"/>
    <w:rsid w:val="00D66692"/>
    <w:rsid w:val="00D67DD4"/>
    <w:rsid w:val="00D70AE3"/>
    <w:rsid w:val="00D713E4"/>
    <w:rsid w:val="00D73B65"/>
    <w:rsid w:val="00D73B8E"/>
    <w:rsid w:val="00D73D41"/>
    <w:rsid w:val="00D751EB"/>
    <w:rsid w:val="00D7521E"/>
    <w:rsid w:val="00D75A89"/>
    <w:rsid w:val="00D7664D"/>
    <w:rsid w:val="00D77608"/>
    <w:rsid w:val="00D807CB"/>
    <w:rsid w:val="00D82A79"/>
    <w:rsid w:val="00D84033"/>
    <w:rsid w:val="00D8426C"/>
    <w:rsid w:val="00D86C2E"/>
    <w:rsid w:val="00D90392"/>
    <w:rsid w:val="00D914A3"/>
    <w:rsid w:val="00D92A92"/>
    <w:rsid w:val="00D946C1"/>
    <w:rsid w:val="00D9548A"/>
    <w:rsid w:val="00DA0436"/>
    <w:rsid w:val="00DA179D"/>
    <w:rsid w:val="00DA1A06"/>
    <w:rsid w:val="00DA1E4B"/>
    <w:rsid w:val="00DA202F"/>
    <w:rsid w:val="00DA2D13"/>
    <w:rsid w:val="00DA4517"/>
    <w:rsid w:val="00DA4D19"/>
    <w:rsid w:val="00DA514C"/>
    <w:rsid w:val="00DA52A7"/>
    <w:rsid w:val="00DA6CE0"/>
    <w:rsid w:val="00DA6E1F"/>
    <w:rsid w:val="00DA7759"/>
    <w:rsid w:val="00DA7F13"/>
    <w:rsid w:val="00DB04EB"/>
    <w:rsid w:val="00DB0ED0"/>
    <w:rsid w:val="00DB1636"/>
    <w:rsid w:val="00DB21ED"/>
    <w:rsid w:val="00DB34DF"/>
    <w:rsid w:val="00DB4349"/>
    <w:rsid w:val="00DB44CC"/>
    <w:rsid w:val="00DB5407"/>
    <w:rsid w:val="00DB6C33"/>
    <w:rsid w:val="00DB75FF"/>
    <w:rsid w:val="00DC10C5"/>
    <w:rsid w:val="00DC2AAE"/>
    <w:rsid w:val="00DC2CB7"/>
    <w:rsid w:val="00DC3888"/>
    <w:rsid w:val="00DC440B"/>
    <w:rsid w:val="00DC4A24"/>
    <w:rsid w:val="00DC59B3"/>
    <w:rsid w:val="00DC7291"/>
    <w:rsid w:val="00DC7F92"/>
    <w:rsid w:val="00DD10A4"/>
    <w:rsid w:val="00DD21EE"/>
    <w:rsid w:val="00DD268D"/>
    <w:rsid w:val="00DD2775"/>
    <w:rsid w:val="00DD33B8"/>
    <w:rsid w:val="00DD3E4C"/>
    <w:rsid w:val="00DD502C"/>
    <w:rsid w:val="00DD5FC4"/>
    <w:rsid w:val="00DD7120"/>
    <w:rsid w:val="00DD7C63"/>
    <w:rsid w:val="00DE0C52"/>
    <w:rsid w:val="00DE4518"/>
    <w:rsid w:val="00DE585F"/>
    <w:rsid w:val="00DE5A20"/>
    <w:rsid w:val="00DE691C"/>
    <w:rsid w:val="00DE7563"/>
    <w:rsid w:val="00DE77D8"/>
    <w:rsid w:val="00DF0811"/>
    <w:rsid w:val="00DF0FE2"/>
    <w:rsid w:val="00DF23B3"/>
    <w:rsid w:val="00DF51EC"/>
    <w:rsid w:val="00DF6E6A"/>
    <w:rsid w:val="00DF7BE7"/>
    <w:rsid w:val="00E00EE7"/>
    <w:rsid w:val="00E01097"/>
    <w:rsid w:val="00E014CB"/>
    <w:rsid w:val="00E03E0E"/>
    <w:rsid w:val="00E05C79"/>
    <w:rsid w:val="00E06965"/>
    <w:rsid w:val="00E071EC"/>
    <w:rsid w:val="00E1004D"/>
    <w:rsid w:val="00E104D3"/>
    <w:rsid w:val="00E10E07"/>
    <w:rsid w:val="00E125E4"/>
    <w:rsid w:val="00E12963"/>
    <w:rsid w:val="00E13FF8"/>
    <w:rsid w:val="00E1428A"/>
    <w:rsid w:val="00E145C4"/>
    <w:rsid w:val="00E14BB3"/>
    <w:rsid w:val="00E15CB0"/>
    <w:rsid w:val="00E15E1E"/>
    <w:rsid w:val="00E169AA"/>
    <w:rsid w:val="00E16D8E"/>
    <w:rsid w:val="00E20755"/>
    <w:rsid w:val="00E20C0F"/>
    <w:rsid w:val="00E2458B"/>
    <w:rsid w:val="00E2468A"/>
    <w:rsid w:val="00E2476E"/>
    <w:rsid w:val="00E32DAA"/>
    <w:rsid w:val="00E344F4"/>
    <w:rsid w:val="00E36E4C"/>
    <w:rsid w:val="00E3769D"/>
    <w:rsid w:val="00E37FC8"/>
    <w:rsid w:val="00E4022E"/>
    <w:rsid w:val="00E4060D"/>
    <w:rsid w:val="00E41576"/>
    <w:rsid w:val="00E4440A"/>
    <w:rsid w:val="00E4488A"/>
    <w:rsid w:val="00E46106"/>
    <w:rsid w:val="00E51181"/>
    <w:rsid w:val="00E54EAF"/>
    <w:rsid w:val="00E558E4"/>
    <w:rsid w:val="00E563E8"/>
    <w:rsid w:val="00E56549"/>
    <w:rsid w:val="00E56680"/>
    <w:rsid w:val="00E576D2"/>
    <w:rsid w:val="00E576D8"/>
    <w:rsid w:val="00E6022B"/>
    <w:rsid w:val="00E60504"/>
    <w:rsid w:val="00E62D9C"/>
    <w:rsid w:val="00E62DEE"/>
    <w:rsid w:val="00E62F39"/>
    <w:rsid w:val="00E6359A"/>
    <w:rsid w:val="00E63751"/>
    <w:rsid w:val="00E647C0"/>
    <w:rsid w:val="00E648C4"/>
    <w:rsid w:val="00E65A07"/>
    <w:rsid w:val="00E71C76"/>
    <w:rsid w:val="00E723A2"/>
    <w:rsid w:val="00E73C28"/>
    <w:rsid w:val="00E74DF7"/>
    <w:rsid w:val="00E75A3D"/>
    <w:rsid w:val="00E762C6"/>
    <w:rsid w:val="00E7766F"/>
    <w:rsid w:val="00E77ABB"/>
    <w:rsid w:val="00E824DD"/>
    <w:rsid w:val="00E82EA8"/>
    <w:rsid w:val="00E83912"/>
    <w:rsid w:val="00E85986"/>
    <w:rsid w:val="00E86AAD"/>
    <w:rsid w:val="00E903DB"/>
    <w:rsid w:val="00E90AE9"/>
    <w:rsid w:val="00E90EAE"/>
    <w:rsid w:val="00E9196B"/>
    <w:rsid w:val="00E92929"/>
    <w:rsid w:val="00E943BD"/>
    <w:rsid w:val="00E970FD"/>
    <w:rsid w:val="00EA186E"/>
    <w:rsid w:val="00EA5F8F"/>
    <w:rsid w:val="00EA6423"/>
    <w:rsid w:val="00EB214B"/>
    <w:rsid w:val="00EB2300"/>
    <w:rsid w:val="00EB30B4"/>
    <w:rsid w:val="00EB3D4B"/>
    <w:rsid w:val="00EB5B48"/>
    <w:rsid w:val="00EB6AC4"/>
    <w:rsid w:val="00EB7428"/>
    <w:rsid w:val="00EC0025"/>
    <w:rsid w:val="00EC1380"/>
    <w:rsid w:val="00EC1463"/>
    <w:rsid w:val="00EC3CC1"/>
    <w:rsid w:val="00EC3E6A"/>
    <w:rsid w:val="00EC456D"/>
    <w:rsid w:val="00EC5027"/>
    <w:rsid w:val="00EC5256"/>
    <w:rsid w:val="00EC5E32"/>
    <w:rsid w:val="00EC7ADC"/>
    <w:rsid w:val="00ED0A70"/>
    <w:rsid w:val="00ED1ECB"/>
    <w:rsid w:val="00ED270E"/>
    <w:rsid w:val="00ED2D8B"/>
    <w:rsid w:val="00ED3981"/>
    <w:rsid w:val="00ED3BC3"/>
    <w:rsid w:val="00ED40B7"/>
    <w:rsid w:val="00ED42A7"/>
    <w:rsid w:val="00ED51FC"/>
    <w:rsid w:val="00ED7F7F"/>
    <w:rsid w:val="00EE0626"/>
    <w:rsid w:val="00EE120F"/>
    <w:rsid w:val="00EE18BF"/>
    <w:rsid w:val="00EF0C73"/>
    <w:rsid w:val="00EF36CB"/>
    <w:rsid w:val="00EF3960"/>
    <w:rsid w:val="00EF5129"/>
    <w:rsid w:val="00EF56B2"/>
    <w:rsid w:val="00EF5F2E"/>
    <w:rsid w:val="00F00102"/>
    <w:rsid w:val="00F010A9"/>
    <w:rsid w:val="00F01F4E"/>
    <w:rsid w:val="00F0347B"/>
    <w:rsid w:val="00F046B3"/>
    <w:rsid w:val="00F04D12"/>
    <w:rsid w:val="00F05388"/>
    <w:rsid w:val="00F119E2"/>
    <w:rsid w:val="00F11AA2"/>
    <w:rsid w:val="00F12C87"/>
    <w:rsid w:val="00F13393"/>
    <w:rsid w:val="00F144F4"/>
    <w:rsid w:val="00F14F65"/>
    <w:rsid w:val="00F156AC"/>
    <w:rsid w:val="00F1581E"/>
    <w:rsid w:val="00F16A25"/>
    <w:rsid w:val="00F21CAD"/>
    <w:rsid w:val="00F228FA"/>
    <w:rsid w:val="00F22B53"/>
    <w:rsid w:val="00F22F9B"/>
    <w:rsid w:val="00F23BCE"/>
    <w:rsid w:val="00F2474C"/>
    <w:rsid w:val="00F2598F"/>
    <w:rsid w:val="00F275AE"/>
    <w:rsid w:val="00F27C8F"/>
    <w:rsid w:val="00F31901"/>
    <w:rsid w:val="00F31CA9"/>
    <w:rsid w:val="00F3278E"/>
    <w:rsid w:val="00F33535"/>
    <w:rsid w:val="00F33C00"/>
    <w:rsid w:val="00F33FFD"/>
    <w:rsid w:val="00F35D88"/>
    <w:rsid w:val="00F37431"/>
    <w:rsid w:val="00F41532"/>
    <w:rsid w:val="00F42C23"/>
    <w:rsid w:val="00F42D71"/>
    <w:rsid w:val="00F430ED"/>
    <w:rsid w:val="00F444FD"/>
    <w:rsid w:val="00F45AAC"/>
    <w:rsid w:val="00F45C8B"/>
    <w:rsid w:val="00F46423"/>
    <w:rsid w:val="00F46624"/>
    <w:rsid w:val="00F46D96"/>
    <w:rsid w:val="00F472D8"/>
    <w:rsid w:val="00F475B6"/>
    <w:rsid w:val="00F56B9C"/>
    <w:rsid w:val="00F5715D"/>
    <w:rsid w:val="00F57252"/>
    <w:rsid w:val="00F57454"/>
    <w:rsid w:val="00F57A80"/>
    <w:rsid w:val="00F57D61"/>
    <w:rsid w:val="00F60783"/>
    <w:rsid w:val="00F61B11"/>
    <w:rsid w:val="00F63D61"/>
    <w:rsid w:val="00F6435D"/>
    <w:rsid w:val="00F653FE"/>
    <w:rsid w:val="00F65579"/>
    <w:rsid w:val="00F67BA1"/>
    <w:rsid w:val="00F67E7C"/>
    <w:rsid w:val="00F721EB"/>
    <w:rsid w:val="00F723C9"/>
    <w:rsid w:val="00F72AD8"/>
    <w:rsid w:val="00F72B7B"/>
    <w:rsid w:val="00F73710"/>
    <w:rsid w:val="00F74EFD"/>
    <w:rsid w:val="00F75858"/>
    <w:rsid w:val="00F769D3"/>
    <w:rsid w:val="00F80519"/>
    <w:rsid w:val="00F83B5F"/>
    <w:rsid w:val="00F8504B"/>
    <w:rsid w:val="00F860B3"/>
    <w:rsid w:val="00F87A76"/>
    <w:rsid w:val="00F90137"/>
    <w:rsid w:val="00F90ADA"/>
    <w:rsid w:val="00F96829"/>
    <w:rsid w:val="00F97A1E"/>
    <w:rsid w:val="00F97D82"/>
    <w:rsid w:val="00FA18CD"/>
    <w:rsid w:val="00FA1A57"/>
    <w:rsid w:val="00FA2089"/>
    <w:rsid w:val="00FA2380"/>
    <w:rsid w:val="00FA3B97"/>
    <w:rsid w:val="00FA3F21"/>
    <w:rsid w:val="00FA4839"/>
    <w:rsid w:val="00FA6901"/>
    <w:rsid w:val="00FA6BAD"/>
    <w:rsid w:val="00FB19CA"/>
    <w:rsid w:val="00FB2FF5"/>
    <w:rsid w:val="00FB3E9E"/>
    <w:rsid w:val="00FB52C1"/>
    <w:rsid w:val="00FB5756"/>
    <w:rsid w:val="00FB6CBF"/>
    <w:rsid w:val="00FB6FA7"/>
    <w:rsid w:val="00FB78F7"/>
    <w:rsid w:val="00FC1608"/>
    <w:rsid w:val="00FC2BEC"/>
    <w:rsid w:val="00FC2C5F"/>
    <w:rsid w:val="00FC368A"/>
    <w:rsid w:val="00FC3FE6"/>
    <w:rsid w:val="00FC5786"/>
    <w:rsid w:val="00FC5DA4"/>
    <w:rsid w:val="00FC6ADC"/>
    <w:rsid w:val="00FC7178"/>
    <w:rsid w:val="00FC7BC3"/>
    <w:rsid w:val="00FD0A9E"/>
    <w:rsid w:val="00FD1368"/>
    <w:rsid w:val="00FD22C5"/>
    <w:rsid w:val="00FD2974"/>
    <w:rsid w:val="00FD4174"/>
    <w:rsid w:val="00FD438B"/>
    <w:rsid w:val="00FD469D"/>
    <w:rsid w:val="00FD526B"/>
    <w:rsid w:val="00FD6112"/>
    <w:rsid w:val="00FE07B4"/>
    <w:rsid w:val="00FE1190"/>
    <w:rsid w:val="00FE1979"/>
    <w:rsid w:val="00FE1F09"/>
    <w:rsid w:val="00FE2C63"/>
    <w:rsid w:val="00FE39FA"/>
    <w:rsid w:val="00FE43F1"/>
    <w:rsid w:val="00FE4480"/>
    <w:rsid w:val="00FE44E3"/>
    <w:rsid w:val="00FE654B"/>
    <w:rsid w:val="00FE694A"/>
    <w:rsid w:val="00FF038A"/>
    <w:rsid w:val="00FF1B9C"/>
    <w:rsid w:val="00FF1EB5"/>
    <w:rsid w:val="00FF53CD"/>
    <w:rsid w:val="00FF5658"/>
    <w:rsid w:val="00FF6AA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589732"/>
  <w15:docId w15:val="{1D65859F-7138-42FA-90AD-31A8CBC6E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4A5B"/>
    <w:pPr>
      <w:spacing w:line="260" w:lineRule="atLeast"/>
      <w:jc w:val="both"/>
    </w:pPr>
    <w:rPr>
      <w:rFonts w:ascii="Palatino Linotype" w:hAnsi="Palatino Linotype"/>
      <w:noProof/>
      <w:color w:val="000000"/>
    </w:rPr>
  </w:style>
  <w:style w:type="paragraph" w:styleId="Ttulo1">
    <w:name w:val="heading 1"/>
    <w:aliases w:val="x"/>
    <w:basedOn w:val="Normal"/>
    <w:next w:val="Normal"/>
    <w:link w:val="Ttulo1Char"/>
    <w:qFormat/>
    <w:rsid w:val="00F87A76"/>
    <w:pPr>
      <w:spacing w:before="240"/>
      <w:outlineLvl w:val="0"/>
    </w:pPr>
    <w:rPr>
      <w:rFonts w:ascii="Arial" w:hAnsi="Arial"/>
      <w:b/>
      <w:u w:val="single"/>
    </w:rPr>
  </w:style>
  <w:style w:type="paragraph" w:styleId="Ttulo2">
    <w:name w:val="heading 2"/>
    <w:basedOn w:val="Normal"/>
    <w:next w:val="Normal"/>
    <w:link w:val="Ttulo2Char"/>
    <w:qFormat/>
    <w:rsid w:val="00F87A76"/>
    <w:pPr>
      <w:spacing w:before="120"/>
      <w:outlineLvl w:val="1"/>
    </w:pPr>
    <w:rPr>
      <w:rFonts w:ascii="Arial" w:hAnsi="Arial"/>
      <w:b/>
    </w:rPr>
  </w:style>
  <w:style w:type="paragraph" w:styleId="Ttulo3">
    <w:name w:val="heading 3"/>
    <w:basedOn w:val="Normal"/>
    <w:next w:val="Normal"/>
    <w:link w:val="Ttulo3Char"/>
    <w:qFormat/>
    <w:rsid w:val="00F87A76"/>
    <w:pPr>
      <w:ind w:left="360"/>
      <w:outlineLvl w:val="2"/>
    </w:pPr>
    <w:rPr>
      <w:b/>
    </w:rPr>
  </w:style>
  <w:style w:type="paragraph" w:styleId="Ttulo4">
    <w:name w:val="heading 4"/>
    <w:basedOn w:val="Normal"/>
    <w:next w:val="Normal"/>
    <w:link w:val="Ttulo4Char"/>
    <w:qFormat/>
    <w:rsid w:val="00F87A76"/>
    <w:pPr>
      <w:keepNext/>
      <w:keepLines/>
      <w:spacing w:before="240" w:line="480" w:lineRule="atLeast"/>
      <w:ind w:left="907" w:hanging="907"/>
      <w:outlineLvl w:val="3"/>
    </w:pPr>
    <w:rPr>
      <w:rFonts w:ascii="Arial" w:hAnsi="Arial"/>
      <w:b/>
    </w:rPr>
  </w:style>
  <w:style w:type="paragraph" w:styleId="Ttulo5">
    <w:name w:val="heading 5"/>
    <w:basedOn w:val="Normal"/>
    <w:next w:val="Normal"/>
    <w:link w:val="Ttulo5Char"/>
    <w:qFormat/>
    <w:rsid w:val="00F87A76"/>
    <w:pPr>
      <w:ind w:left="706"/>
      <w:outlineLvl w:val="4"/>
    </w:pPr>
    <w:rPr>
      <w:b/>
    </w:rPr>
  </w:style>
  <w:style w:type="paragraph" w:styleId="Ttulo6">
    <w:name w:val="heading 6"/>
    <w:basedOn w:val="Normal"/>
    <w:next w:val="Normal"/>
    <w:link w:val="Ttulo6Char"/>
    <w:qFormat/>
    <w:rsid w:val="00F87A76"/>
    <w:pPr>
      <w:ind w:left="706"/>
      <w:outlineLvl w:val="5"/>
    </w:pPr>
    <w:rPr>
      <w:u w:val="single"/>
    </w:rPr>
  </w:style>
  <w:style w:type="paragraph" w:styleId="Ttulo7">
    <w:name w:val="heading 7"/>
    <w:basedOn w:val="Normal"/>
    <w:next w:val="Normal"/>
    <w:link w:val="Ttulo7Char"/>
    <w:qFormat/>
    <w:rsid w:val="00F87A76"/>
    <w:pPr>
      <w:ind w:left="706"/>
      <w:outlineLvl w:val="6"/>
    </w:pPr>
    <w:rPr>
      <w:i/>
    </w:rPr>
  </w:style>
  <w:style w:type="paragraph" w:styleId="Ttulo8">
    <w:name w:val="heading 8"/>
    <w:basedOn w:val="Normal"/>
    <w:next w:val="Normal"/>
    <w:link w:val="Ttulo8Char"/>
    <w:qFormat/>
    <w:rsid w:val="00F87A76"/>
    <w:pPr>
      <w:ind w:left="706"/>
      <w:outlineLvl w:val="7"/>
    </w:pPr>
    <w:rPr>
      <w:i/>
    </w:rPr>
  </w:style>
  <w:style w:type="paragraph" w:styleId="Ttulo9">
    <w:name w:val="heading 9"/>
    <w:basedOn w:val="Normal"/>
    <w:next w:val="Normal"/>
    <w:link w:val="Ttulo9Char"/>
    <w:qFormat/>
    <w:rsid w:val="00F87A76"/>
    <w:pPr>
      <w:ind w:left="706"/>
      <w:outlineLvl w:val="8"/>
    </w:pPr>
    <w:rPr>
      <w: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x Char"/>
    <w:link w:val="Ttulo1"/>
    <w:rsid w:val="00F87A76"/>
    <w:rPr>
      <w:rFonts w:ascii="Arial" w:eastAsia="Times New Roman" w:hAnsi="Arial" w:cs="Times New Roman"/>
      <w:b/>
      <w:color w:val="000000"/>
      <w:kern w:val="0"/>
      <w:sz w:val="24"/>
      <w:u w:val="single"/>
      <w:lang w:eastAsia="de-DE"/>
    </w:rPr>
  </w:style>
  <w:style w:type="character" w:customStyle="1" w:styleId="Ttulo2Char">
    <w:name w:val="Título 2 Char"/>
    <w:link w:val="Ttulo2"/>
    <w:rsid w:val="00F87A76"/>
    <w:rPr>
      <w:rFonts w:ascii="Arial" w:eastAsia="Times New Roman" w:hAnsi="Arial" w:cs="Times New Roman"/>
      <w:b/>
      <w:color w:val="000000"/>
      <w:kern w:val="0"/>
      <w:sz w:val="24"/>
      <w:lang w:eastAsia="de-DE"/>
    </w:rPr>
  </w:style>
  <w:style w:type="character" w:customStyle="1" w:styleId="Ttulo3Char">
    <w:name w:val="Título 3 Char"/>
    <w:link w:val="Ttulo3"/>
    <w:rsid w:val="00F87A76"/>
    <w:rPr>
      <w:rFonts w:eastAsia="Times New Roman" w:cs="Times New Roman"/>
      <w:b/>
      <w:color w:val="000000"/>
      <w:kern w:val="0"/>
      <w:sz w:val="24"/>
      <w:lang w:eastAsia="de-DE"/>
    </w:rPr>
  </w:style>
  <w:style w:type="character" w:customStyle="1" w:styleId="Ttulo4Char">
    <w:name w:val="Título 4 Char"/>
    <w:link w:val="Ttulo4"/>
    <w:rsid w:val="00F87A76"/>
    <w:rPr>
      <w:rFonts w:ascii="Arial" w:eastAsia="Times New Roman" w:hAnsi="Arial" w:cs="Times New Roman"/>
      <w:b/>
      <w:color w:val="000000"/>
      <w:kern w:val="0"/>
      <w:sz w:val="24"/>
      <w:lang w:eastAsia="de-DE"/>
    </w:rPr>
  </w:style>
  <w:style w:type="character" w:customStyle="1" w:styleId="Ttulo5Char">
    <w:name w:val="Título 5 Char"/>
    <w:link w:val="Ttulo5"/>
    <w:rsid w:val="00F87A76"/>
    <w:rPr>
      <w:rFonts w:eastAsia="Times New Roman" w:cs="Times New Roman"/>
      <w:b/>
      <w:color w:val="000000"/>
      <w:kern w:val="0"/>
      <w:sz w:val="24"/>
      <w:lang w:eastAsia="de-DE"/>
    </w:rPr>
  </w:style>
  <w:style w:type="character" w:customStyle="1" w:styleId="Ttulo6Char">
    <w:name w:val="Título 6 Char"/>
    <w:link w:val="Ttulo6"/>
    <w:rsid w:val="00F87A76"/>
    <w:rPr>
      <w:rFonts w:eastAsia="Times New Roman" w:cs="Times New Roman"/>
      <w:color w:val="000000"/>
      <w:kern w:val="0"/>
      <w:sz w:val="24"/>
      <w:u w:val="single"/>
      <w:lang w:eastAsia="de-DE"/>
    </w:rPr>
  </w:style>
  <w:style w:type="character" w:customStyle="1" w:styleId="Ttulo7Char">
    <w:name w:val="Título 7 Char"/>
    <w:link w:val="Ttulo7"/>
    <w:rsid w:val="00F87A76"/>
    <w:rPr>
      <w:rFonts w:eastAsia="Times New Roman" w:cs="Times New Roman"/>
      <w:i/>
      <w:color w:val="000000"/>
      <w:kern w:val="0"/>
      <w:sz w:val="24"/>
      <w:lang w:eastAsia="de-DE"/>
    </w:rPr>
  </w:style>
  <w:style w:type="character" w:customStyle="1" w:styleId="Ttulo8Char">
    <w:name w:val="Título 8 Char"/>
    <w:link w:val="Ttulo8"/>
    <w:rsid w:val="00F87A76"/>
    <w:rPr>
      <w:rFonts w:eastAsia="Times New Roman" w:cs="Times New Roman"/>
      <w:i/>
      <w:color w:val="000000"/>
      <w:kern w:val="0"/>
      <w:sz w:val="24"/>
      <w:lang w:eastAsia="de-DE"/>
    </w:rPr>
  </w:style>
  <w:style w:type="character" w:customStyle="1" w:styleId="Ttulo9Char">
    <w:name w:val="Título 9 Char"/>
    <w:link w:val="Ttulo9"/>
    <w:rsid w:val="00F87A76"/>
    <w:rPr>
      <w:rFonts w:eastAsia="Times New Roman" w:cs="Times New Roman"/>
      <w:i/>
      <w:color w:val="000000"/>
      <w:kern w:val="0"/>
      <w:sz w:val="24"/>
      <w:lang w:eastAsia="de-DE"/>
    </w:rPr>
  </w:style>
  <w:style w:type="character" w:customStyle="1" w:styleId="apple-converted-space">
    <w:name w:val="apple-converted-space"/>
    <w:rsid w:val="00554A5B"/>
  </w:style>
  <w:style w:type="paragraph" w:customStyle="1" w:styleId="MDPI11articletype">
    <w:name w:val="MDPI_1.1_article_type"/>
    <w:next w:val="Normal"/>
    <w:qFormat/>
    <w:rsid w:val="00554A5B"/>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554A5B"/>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554A5B"/>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554A5B"/>
    <w:pPr>
      <w:adjustRightInd w:val="0"/>
      <w:snapToGrid w:val="0"/>
      <w:spacing w:line="240" w:lineRule="atLeast"/>
      <w:ind w:right="113"/>
      <w:jc w:val="left"/>
    </w:pPr>
    <w:rPr>
      <w:rFonts w:eastAsia="Times New Roman"/>
      <w:noProof w:val="0"/>
      <w:sz w:val="14"/>
      <w:lang w:eastAsia="de-DE" w:bidi="en-US"/>
    </w:rPr>
  </w:style>
  <w:style w:type="paragraph" w:customStyle="1" w:styleId="MDPI15academiceditor">
    <w:name w:val="MDPI_1.5_academic_editor"/>
    <w:qFormat/>
    <w:rsid w:val="00334FFA"/>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6affiliation">
    <w:name w:val="MDPI_1.6_affiliation"/>
    <w:qFormat/>
    <w:rsid w:val="00554A5B"/>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554A5B"/>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554A5B"/>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classification">
    <w:name w:val="MDPI_1.9_classification"/>
    <w:qFormat/>
    <w:rsid w:val="00554A5B"/>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19line">
    <w:name w:val="MDPI_1.9_line"/>
    <w:qFormat/>
    <w:rsid w:val="00554A5B"/>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paragraph" w:customStyle="1" w:styleId="M1stheader">
    <w:name w:val="M_1stheader"/>
    <w:basedOn w:val="Normal"/>
    <w:rsid w:val="00F87A76"/>
    <w:pPr>
      <w:tabs>
        <w:tab w:val="center" w:pos="4320"/>
        <w:tab w:val="right" w:pos="8640"/>
      </w:tabs>
      <w:ind w:right="360"/>
      <w:outlineLvl w:val="0"/>
    </w:pPr>
    <w:rPr>
      <w:i/>
    </w:rPr>
  </w:style>
  <w:style w:type="paragraph" w:customStyle="1" w:styleId="Mabstract">
    <w:name w:val="M_abstract"/>
    <w:basedOn w:val="Mdeck4text"/>
    <w:next w:val="Mdeck3keywords"/>
    <w:rsid w:val="00F87A76"/>
    <w:pPr>
      <w:spacing w:before="240"/>
      <w:ind w:left="113" w:right="505" w:firstLine="0"/>
    </w:pPr>
  </w:style>
  <w:style w:type="paragraph" w:customStyle="1" w:styleId="Mdeck4text">
    <w:name w:val="M_deck_4_text"/>
    <w:qFormat/>
    <w:rsid w:val="007A5CE1"/>
    <w:pPr>
      <w:kinsoku w:val="0"/>
      <w:overflowPunct w:val="0"/>
      <w:autoSpaceDE w:val="0"/>
      <w:autoSpaceDN w:val="0"/>
      <w:adjustRightInd w:val="0"/>
      <w:snapToGrid w:val="0"/>
      <w:spacing w:line="320" w:lineRule="atLeast"/>
      <w:ind w:firstLine="425"/>
      <w:jc w:val="both"/>
    </w:pPr>
    <w:rPr>
      <w:rFonts w:ascii="Minion Pro" w:eastAsia="Times New Roman" w:hAnsi="Minion Pro"/>
      <w:snapToGrid w:val="0"/>
      <w:color w:val="000000"/>
      <w:sz w:val="24"/>
      <w:lang w:eastAsia="de-DE" w:bidi="en-US"/>
    </w:rPr>
  </w:style>
  <w:style w:type="paragraph" w:customStyle="1" w:styleId="Mdeck3keywords">
    <w:name w:val="M_deck_3_keywords"/>
    <w:basedOn w:val="Mdeck4text"/>
    <w:next w:val="Normal"/>
    <w:qFormat/>
    <w:rsid w:val="007A5CE1"/>
    <w:pPr>
      <w:spacing w:before="240"/>
      <w:ind w:left="113" w:firstLine="0"/>
    </w:pPr>
  </w:style>
  <w:style w:type="paragraph" w:customStyle="1" w:styleId="MAcknow">
    <w:name w:val="M_Acknow"/>
    <w:basedOn w:val="Normal"/>
    <w:rsid w:val="00F87A76"/>
    <w:pPr>
      <w:spacing w:before="120" w:line="240" w:lineRule="atLeast"/>
    </w:pPr>
    <w:rPr>
      <w:rFonts w:ascii="Minion Pro" w:hAnsi="Minion Pro"/>
    </w:rPr>
  </w:style>
  <w:style w:type="paragraph" w:customStyle="1" w:styleId="Maddress">
    <w:name w:val="M_address"/>
    <w:basedOn w:val="Normal"/>
    <w:rsid w:val="00F87A76"/>
    <w:pPr>
      <w:spacing w:before="240"/>
    </w:pPr>
  </w:style>
  <w:style w:type="paragraph" w:customStyle="1" w:styleId="Mauthor">
    <w:name w:val="M_author"/>
    <w:basedOn w:val="Normal"/>
    <w:rsid w:val="00F87A76"/>
    <w:pPr>
      <w:spacing w:before="240" w:after="240" w:line="340" w:lineRule="exact"/>
    </w:pPr>
    <w:rPr>
      <w:b/>
      <w:lang w:val="it-IT"/>
    </w:rPr>
  </w:style>
  <w:style w:type="paragraph" w:customStyle="1" w:styleId="MCaption">
    <w:name w:val="M_Caption"/>
    <w:basedOn w:val="Normal"/>
    <w:rsid w:val="00F87A76"/>
    <w:pPr>
      <w:spacing w:before="240" w:after="240"/>
      <w:jc w:val="center"/>
    </w:pPr>
  </w:style>
  <w:style w:type="paragraph" w:customStyle="1" w:styleId="MCopyright">
    <w:name w:val="M_Copyright"/>
    <w:basedOn w:val="Mdeck8references"/>
    <w:qFormat/>
    <w:rsid w:val="00F87A76"/>
    <w:pPr>
      <w:tabs>
        <w:tab w:val="center" w:pos="4536"/>
        <w:tab w:val="right" w:pos="9072"/>
      </w:tabs>
      <w:spacing w:before="400"/>
      <w:ind w:left="0" w:firstLine="0"/>
    </w:pPr>
  </w:style>
  <w:style w:type="paragraph" w:customStyle="1" w:styleId="Mdeck8references">
    <w:name w:val="M_deck_8_references"/>
    <w:qFormat/>
    <w:rsid w:val="007A5CE1"/>
    <w:pPr>
      <w:numPr>
        <w:numId w:val="6"/>
      </w:numPr>
      <w:kinsoku w:val="0"/>
      <w:overflowPunct w:val="0"/>
      <w:autoSpaceDE w:val="0"/>
      <w:autoSpaceDN w:val="0"/>
      <w:adjustRightInd w:val="0"/>
      <w:snapToGrid w:val="0"/>
      <w:spacing w:line="260" w:lineRule="atLeast"/>
      <w:jc w:val="both"/>
    </w:pPr>
    <w:rPr>
      <w:rFonts w:eastAsia="Times New Roman"/>
      <w:snapToGrid w:val="0"/>
      <w:color w:val="000000"/>
      <w:sz w:val="24"/>
      <w:lang w:eastAsia="de-DE" w:bidi="en-US"/>
    </w:rPr>
  </w:style>
  <w:style w:type="paragraph" w:customStyle="1" w:styleId="Mdeck1articletitle">
    <w:name w:val="M_deck_1_article_title"/>
    <w:next w:val="Mdeck2authorname"/>
    <w:qFormat/>
    <w:rsid w:val="007A5CE1"/>
    <w:pPr>
      <w:kinsoku w:val="0"/>
      <w:overflowPunct w:val="0"/>
      <w:autoSpaceDE w:val="0"/>
      <w:autoSpaceDN w:val="0"/>
      <w:adjustRightInd w:val="0"/>
      <w:snapToGrid w:val="0"/>
      <w:spacing w:after="240" w:line="400" w:lineRule="exact"/>
    </w:pPr>
    <w:rPr>
      <w:rFonts w:ascii="Minion Pro" w:eastAsia="Times New Roman" w:hAnsi="Minion Pro"/>
      <w:b/>
      <w:snapToGrid w:val="0"/>
      <w:color w:val="000000"/>
      <w:sz w:val="36"/>
      <w:lang w:eastAsia="de-DE" w:bidi="en-US"/>
    </w:rPr>
  </w:style>
  <w:style w:type="paragraph" w:customStyle="1" w:styleId="Mdeck2authorname">
    <w:name w:val="M_deck_2_author_name"/>
    <w:next w:val="Mdeck3publcationhistory"/>
    <w:qFormat/>
    <w:rsid w:val="007A5CE1"/>
    <w:pPr>
      <w:kinsoku w:val="0"/>
      <w:overflowPunct w:val="0"/>
      <w:autoSpaceDE w:val="0"/>
      <w:autoSpaceDN w:val="0"/>
      <w:adjustRightInd w:val="0"/>
      <w:snapToGrid w:val="0"/>
      <w:spacing w:before="240" w:after="120" w:line="320" w:lineRule="atLeast"/>
    </w:pPr>
    <w:rPr>
      <w:rFonts w:eastAsia="Times New Roman"/>
      <w:b/>
      <w:snapToGrid w:val="0"/>
      <w:color w:val="000000"/>
      <w:sz w:val="22"/>
      <w:lang w:eastAsia="de-DE" w:bidi="en-US"/>
    </w:rPr>
  </w:style>
  <w:style w:type="paragraph" w:customStyle="1" w:styleId="Mdeck3publcationhistory">
    <w:name w:val="M_deck_3_publcation_history"/>
    <w:next w:val="Normal"/>
    <w:qFormat/>
    <w:rsid w:val="007A5CE1"/>
    <w:pPr>
      <w:widowControl w:val="0"/>
      <w:kinsoku w:val="0"/>
      <w:overflowPunct w:val="0"/>
      <w:autoSpaceDE w:val="0"/>
      <w:autoSpaceDN w:val="0"/>
      <w:adjustRightInd w:val="0"/>
      <w:snapToGrid w:val="0"/>
      <w:spacing w:before="240" w:line="340" w:lineRule="atLeast"/>
      <w:ind w:left="113"/>
    </w:pPr>
    <w:rPr>
      <w:rFonts w:eastAsia="Times New Roman"/>
      <w:i/>
      <w:snapToGrid w:val="0"/>
      <w:color w:val="000000"/>
      <w:sz w:val="24"/>
      <w:lang w:eastAsia="de-DE" w:bidi="en-US"/>
    </w:rPr>
  </w:style>
  <w:style w:type="paragraph" w:customStyle="1" w:styleId="Mdeck1articletype">
    <w:name w:val="M_deck_1_article_type"/>
    <w:basedOn w:val="Mdeck4text"/>
    <w:next w:val="Mdeck1articletitle"/>
    <w:qFormat/>
    <w:rsid w:val="007A5CE1"/>
    <w:pPr>
      <w:widowControl w:val="0"/>
      <w:spacing w:before="120" w:after="120" w:line="240" w:lineRule="auto"/>
      <w:ind w:firstLine="0"/>
      <w:jc w:val="left"/>
    </w:pPr>
    <w:rPr>
      <w:i/>
      <w:sz w:val="20"/>
      <w:szCs w:val="24"/>
    </w:rPr>
  </w:style>
  <w:style w:type="paragraph" w:customStyle="1" w:styleId="Mdeck2authoraffiliation">
    <w:name w:val="M_deck_2_author_affiliation"/>
    <w:qFormat/>
    <w:rsid w:val="007A5CE1"/>
    <w:pPr>
      <w:widowControl w:val="0"/>
      <w:kinsoku w:val="0"/>
      <w:overflowPunct w:val="0"/>
      <w:autoSpaceDE w:val="0"/>
      <w:autoSpaceDN w:val="0"/>
      <w:adjustRightInd w:val="0"/>
      <w:snapToGrid w:val="0"/>
      <w:spacing w:line="340" w:lineRule="atLeast"/>
      <w:ind w:left="311" w:hanging="198"/>
    </w:pPr>
    <w:rPr>
      <w:rFonts w:eastAsia="Times New Roman"/>
      <w:snapToGrid w:val="0"/>
      <w:color w:val="000000"/>
      <w:sz w:val="24"/>
      <w:lang w:eastAsia="de-DE" w:bidi="en-US"/>
    </w:rPr>
  </w:style>
  <w:style w:type="paragraph" w:customStyle="1" w:styleId="Mdeck2authorcorrespondence">
    <w:name w:val="M_deck_2_author_correspondence"/>
    <w:qFormat/>
    <w:rsid w:val="007A5CE1"/>
    <w:pPr>
      <w:kinsoku w:val="0"/>
      <w:overflowPunct w:val="0"/>
      <w:autoSpaceDE w:val="0"/>
      <w:autoSpaceDN w:val="0"/>
      <w:adjustRightInd w:val="0"/>
      <w:snapToGrid w:val="0"/>
      <w:spacing w:line="200" w:lineRule="atLeast"/>
      <w:ind w:left="311" w:hanging="198"/>
    </w:pPr>
    <w:rPr>
      <w:rFonts w:ascii="Palatino Linotype" w:eastAsia="Times New Roman" w:hAnsi="Palatino Linotype"/>
      <w:snapToGrid w:val="0"/>
      <w:color w:val="000000"/>
      <w:sz w:val="18"/>
      <w:lang w:eastAsia="de-DE" w:bidi="en-US"/>
    </w:rPr>
  </w:style>
  <w:style w:type="paragraph" w:customStyle="1" w:styleId="Mdeck3abstract">
    <w:name w:val="M_deck_3_abstract"/>
    <w:basedOn w:val="Mdeck4text"/>
    <w:next w:val="Mdeck3keywords"/>
    <w:qFormat/>
    <w:rsid w:val="007A5CE1"/>
    <w:pPr>
      <w:widowControl w:val="0"/>
      <w:spacing w:before="240" w:after="240" w:line="340" w:lineRule="atLeast"/>
      <w:ind w:left="113" w:right="567"/>
    </w:pPr>
    <w:rPr>
      <w:snapToGrid/>
    </w:rPr>
  </w:style>
  <w:style w:type="paragraph" w:customStyle="1" w:styleId="Mdeck4heading1">
    <w:name w:val="M_deck_4_heading_1"/>
    <w:basedOn w:val="MHeading3"/>
    <w:next w:val="Normal"/>
    <w:qFormat/>
    <w:rsid w:val="007A5CE1"/>
    <w:pPr>
      <w:spacing w:line="340" w:lineRule="atLeast"/>
      <w:outlineLvl w:val="0"/>
    </w:pPr>
    <w:rPr>
      <w:b/>
      <w:snapToGrid/>
    </w:rPr>
  </w:style>
  <w:style w:type="paragraph" w:customStyle="1" w:styleId="MHeading3">
    <w:name w:val="M_Heading3"/>
    <w:basedOn w:val="Mdeck4text"/>
    <w:qFormat/>
    <w:rsid w:val="00F87A76"/>
    <w:pPr>
      <w:spacing w:before="240" w:after="120"/>
    </w:pPr>
  </w:style>
  <w:style w:type="paragraph" w:customStyle="1" w:styleId="Mdeck4heading2">
    <w:name w:val="M_deck_4_heading_2"/>
    <w:basedOn w:val="MHeading3"/>
    <w:next w:val="Normal"/>
    <w:qFormat/>
    <w:rsid w:val="007A5CE1"/>
    <w:pPr>
      <w:outlineLvl w:val="1"/>
    </w:pPr>
    <w:rPr>
      <w:i/>
      <w:snapToGrid/>
    </w:rPr>
  </w:style>
  <w:style w:type="paragraph" w:customStyle="1" w:styleId="Mdeck4heading3">
    <w:name w:val="M_deck_4_heading_3"/>
    <w:basedOn w:val="Mdeck4text"/>
    <w:next w:val="Normal"/>
    <w:qFormat/>
    <w:rsid w:val="007A5CE1"/>
    <w:pPr>
      <w:spacing w:before="240" w:after="120" w:line="340" w:lineRule="atLeast"/>
      <w:ind w:firstLineChars="50" w:firstLine="50"/>
      <w:outlineLvl w:val="2"/>
    </w:pPr>
    <w:rPr>
      <w:snapToGrid/>
    </w:rPr>
  </w:style>
  <w:style w:type="paragraph" w:customStyle="1" w:styleId="Mdeck4textbulletlist">
    <w:name w:val="M_deck_4_text_bullet_list"/>
    <w:basedOn w:val="Mdeck4text"/>
    <w:qFormat/>
    <w:rsid w:val="007A5CE1"/>
    <w:pPr>
      <w:numPr>
        <w:numId w:val="4"/>
      </w:numPr>
      <w:spacing w:before="120" w:after="120" w:line="340" w:lineRule="atLeast"/>
    </w:pPr>
    <w:rPr>
      <w:snapToGrid/>
    </w:rPr>
  </w:style>
  <w:style w:type="paragraph" w:customStyle="1" w:styleId="Mdeck4textfirstlinezero">
    <w:name w:val="M_deck_4_text_firstline_zero"/>
    <w:basedOn w:val="Mdeck4text"/>
    <w:next w:val="Mdeck4text"/>
    <w:qFormat/>
    <w:rsid w:val="007A5CE1"/>
    <w:pPr>
      <w:ind w:firstLine="0"/>
    </w:pPr>
    <w:rPr>
      <w:szCs w:val="24"/>
    </w:rPr>
  </w:style>
  <w:style w:type="paragraph" w:customStyle="1" w:styleId="MFigure">
    <w:name w:val="M_Figure"/>
    <w:qFormat/>
    <w:rsid w:val="00F87A76"/>
    <w:pPr>
      <w:jc w:val="center"/>
    </w:pPr>
    <w:rPr>
      <w:rFonts w:ascii="Minion Pro" w:eastAsia="Times New Roman" w:hAnsi="Minion Pro"/>
      <w:color w:val="000000"/>
      <w:kern w:val="2"/>
      <w:sz w:val="24"/>
    </w:rPr>
  </w:style>
  <w:style w:type="paragraph" w:customStyle="1" w:styleId="Mdeck4textlist">
    <w:name w:val="M_deck_4_text_list"/>
    <w:basedOn w:val="MFigure"/>
    <w:qFormat/>
    <w:rsid w:val="007A5CE1"/>
    <w:rPr>
      <w:i/>
    </w:rPr>
  </w:style>
  <w:style w:type="paragraph" w:customStyle="1" w:styleId="Mdeck4textlrindent">
    <w:name w:val="M_deck_4_text_lr_indent"/>
    <w:basedOn w:val="Mdeck4text"/>
    <w:qFormat/>
    <w:rsid w:val="007A5CE1"/>
    <w:pPr>
      <w:spacing w:before="120" w:after="120" w:line="260" w:lineRule="atLeast"/>
      <w:ind w:left="425" w:right="425" w:firstLine="0"/>
    </w:pPr>
    <w:rPr>
      <w:rFonts w:ascii="Palatino Linotype" w:hAnsi="Palatino Linotype"/>
      <w:sz w:val="20"/>
    </w:rPr>
  </w:style>
  <w:style w:type="paragraph" w:customStyle="1" w:styleId="Mdeck4textnumberedlist">
    <w:name w:val="M_deck_4_text_numbered_list"/>
    <w:basedOn w:val="Mdeck4text"/>
    <w:qFormat/>
    <w:rsid w:val="007A5CE1"/>
    <w:pPr>
      <w:numPr>
        <w:numId w:val="5"/>
      </w:numPr>
      <w:spacing w:before="120" w:after="120" w:line="340" w:lineRule="atLeast"/>
    </w:pPr>
    <w:rPr>
      <w:snapToGrid/>
    </w:rPr>
  </w:style>
  <w:style w:type="paragraph" w:customStyle="1" w:styleId="Mdeck5tablebody">
    <w:name w:val="M_deck_5_table_body"/>
    <w:qFormat/>
    <w:rsid w:val="007A5CE1"/>
    <w:pPr>
      <w:kinsoku w:val="0"/>
      <w:overflowPunct w:val="0"/>
      <w:autoSpaceDE w:val="0"/>
      <w:autoSpaceDN w:val="0"/>
      <w:adjustRightInd w:val="0"/>
      <w:snapToGrid w:val="0"/>
      <w:jc w:val="center"/>
    </w:pPr>
    <w:rPr>
      <w:rFonts w:ascii="Minion Pro" w:eastAsia="Times New Roman" w:hAnsi="Minion Pro"/>
      <w:snapToGrid w:val="0"/>
      <w:color w:val="000000"/>
      <w:lang w:eastAsia="de-DE" w:bidi="en-US"/>
    </w:rPr>
  </w:style>
  <w:style w:type="table" w:customStyle="1" w:styleId="Mdeck5tablebodythreelines">
    <w:name w:val="M_deck_5_table_body_three_lines"/>
    <w:basedOn w:val="Tabelanormal"/>
    <w:uiPriority w:val="99"/>
    <w:rsid w:val="007A5CE1"/>
    <w:pPr>
      <w:adjustRightInd w:val="0"/>
      <w:snapToGrid w:val="0"/>
      <w:spacing w:line="300" w:lineRule="exact"/>
      <w:jc w:val="center"/>
    </w:pPr>
    <w:rPr>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7A5CE1"/>
    <w:pPr>
      <w:kinsoku w:val="0"/>
      <w:overflowPunct w:val="0"/>
      <w:autoSpaceDE w:val="0"/>
      <w:autoSpaceDN w:val="0"/>
      <w:adjustRightInd w:val="0"/>
      <w:snapToGrid w:val="0"/>
      <w:spacing w:after="120" w:line="260" w:lineRule="atLeast"/>
      <w:jc w:val="both"/>
    </w:pPr>
    <w:rPr>
      <w:rFonts w:ascii="Palatino Linotype" w:eastAsia="Times New Roman" w:hAnsi="Palatino Linotype"/>
      <w:snapToGrid w:val="0"/>
      <w:color w:val="000000"/>
      <w:sz w:val="18"/>
      <w:lang w:eastAsia="de-DE" w:bidi="en-US"/>
    </w:rPr>
  </w:style>
  <w:style w:type="paragraph" w:customStyle="1" w:styleId="Mdeck5tablefooter">
    <w:name w:val="M_deck_5_table_footer"/>
    <w:basedOn w:val="Mdeck5tablecaption"/>
    <w:next w:val="Mdeck4text"/>
    <w:qFormat/>
    <w:rsid w:val="007A5CE1"/>
    <w:pPr>
      <w:spacing w:line="300" w:lineRule="exact"/>
    </w:pPr>
  </w:style>
  <w:style w:type="paragraph" w:customStyle="1" w:styleId="Mdeck5tableheader">
    <w:name w:val="M_deck_5_table_header"/>
    <w:basedOn w:val="Mdeck5tablefooter"/>
    <w:rsid w:val="007A5CE1"/>
  </w:style>
  <w:style w:type="paragraph" w:customStyle="1" w:styleId="Mdeck6figurebody">
    <w:name w:val="M_deck_6_figure_body"/>
    <w:qFormat/>
    <w:rsid w:val="007A5CE1"/>
    <w:pPr>
      <w:widowControl w:val="0"/>
      <w:kinsoku w:val="0"/>
      <w:overflowPunct w:val="0"/>
      <w:autoSpaceDE w:val="0"/>
      <w:autoSpaceDN w:val="0"/>
      <w:adjustRightInd w:val="0"/>
      <w:snapToGrid w:val="0"/>
      <w:spacing w:line="340" w:lineRule="atLeast"/>
      <w:jc w:val="center"/>
    </w:pPr>
    <w:rPr>
      <w:rFonts w:eastAsia="Times New Roman"/>
      <w:snapToGrid w:val="0"/>
      <w:color w:val="000000"/>
      <w:sz w:val="24"/>
      <w:lang w:eastAsia="de-DE" w:bidi="en-US"/>
    </w:rPr>
  </w:style>
  <w:style w:type="paragraph" w:customStyle="1" w:styleId="Mdeck6figurecaption">
    <w:name w:val="M_deck_6_figure_caption"/>
    <w:next w:val="Mdeck4text"/>
    <w:qFormat/>
    <w:rsid w:val="007A5CE1"/>
    <w:pPr>
      <w:adjustRightInd w:val="0"/>
      <w:snapToGrid w:val="0"/>
      <w:spacing w:before="120" w:line="260" w:lineRule="atLeast"/>
    </w:pPr>
    <w:rPr>
      <w:rFonts w:ascii="Palatino Linotype" w:eastAsia="Times New Roman" w:hAnsi="Palatino Linotype"/>
      <w:snapToGrid w:val="0"/>
      <w:color w:val="000000"/>
      <w:sz w:val="18"/>
      <w:lang w:eastAsia="de-DE" w:bidi="en-US"/>
    </w:rPr>
  </w:style>
  <w:style w:type="paragraph" w:customStyle="1" w:styleId="Mdeck7equation">
    <w:name w:val="M_deck_7_equation"/>
    <w:basedOn w:val="Mdeck4text"/>
    <w:qFormat/>
    <w:rsid w:val="007A5CE1"/>
    <w:pPr>
      <w:spacing w:before="120" w:after="120"/>
      <w:ind w:left="709" w:firstLine="0"/>
      <w:jc w:val="center"/>
    </w:pPr>
    <w:rPr>
      <w:i/>
      <w:snapToGrid/>
      <w:szCs w:val="24"/>
      <w:lang w:eastAsia="en-US"/>
    </w:rPr>
  </w:style>
  <w:style w:type="paragraph" w:customStyle="1" w:styleId="MHeader">
    <w:name w:val="M_Header"/>
    <w:basedOn w:val="Normal"/>
    <w:rsid w:val="00F87A76"/>
    <w:pPr>
      <w:spacing w:after="240"/>
      <w:ind w:left="425"/>
    </w:pPr>
    <w:rPr>
      <w:rFonts w:ascii="Minion Pro" w:hAnsi="Minion Pro"/>
    </w:rPr>
  </w:style>
  <w:style w:type="paragraph" w:customStyle="1" w:styleId="MHeading1">
    <w:name w:val="M_Heading1"/>
    <w:basedOn w:val="MHeading3"/>
    <w:qFormat/>
    <w:rsid w:val="00F87A76"/>
    <w:rPr>
      <w:b/>
    </w:rPr>
  </w:style>
  <w:style w:type="paragraph" w:customStyle="1" w:styleId="MHeading2">
    <w:name w:val="M_Heading2"/>
    <w:basedOn w:val="MHeading3"/>
    <w:qFormat/>
    <w:rsid w:val="00F87A76"/>
    <w:rPr>
      <w:i/>
    </w:rPr>
  </w:style>
  <w:style w:type="paragraph" w:customStyle="1" w:styleId="MISSN">
    <w:name w:val="M_ISSN"/>
    <w:basedOn w:val="Normal"/>
    <w:rsid w:val="00F87A76"/>
    <w:pPr>
      <w:spacing w:after="520"/>
      <w:jc w:val="right"/>
    </w:pPr>
  </w:style>
  <w:style w:type="paragraph" w:customStyle="1" w:styleId="Mline2">
    <w:name w:val="M_line2"/>
    <w:basedOn w:val="Mdeck4text"/>
    <w:qFormat/>
    <w:rsid w:val="00F87A76"/>
    <w:pPr>
      <w:pBdr>
        <w:bottom w:val="single" w:sz="6" w:space="1" w:color="auto"/>
      </w:pBdr>
      <w:spacing w:after="480"/>
    </w:pPr>
  </w:style>
  <w:style w:type="paragraph" w:customStyle="1" w:styleId="Mline1">
    <w:name w:val="M_line1"/>
    <w:basedOn w:val="Mdeck4text"/>
    <w:next w:val="Mline2"/>
    <w:qFormat/>
    <w:rsid w:val="00F87A76"/>
    <w:pPr>
      <w:ind w:firstLine="0"/>
    </w:pPr>
  </w:style>
  <w:style w:type="paragraph" w:customStyle="1" w:styleId="MLogo">
    <w:name w:val="M_Logo"/>
    <w:basedOn w:val="Normal"/>
    <w:rsid w:val="00F87A76"/>
    <w:pPr>
      <w:spacing w:before="140"/>
      <w:jc w:val="right"/>
    </w:pPr>
    <w:rPr>
      <w:b/>
      <w:i/>
      <w:sz w:val="64"/>
    </w:rPr>
  </w:style>
  <w:style w:type="paragraph" w:customStyle="1" w:styleId="Mreceived">
    <w:name w:val="M_received"/>
    <w:basedOn w:val="Maddress"/>
    <w:rsid w:val="00F87A76"/>
    <w:rPr>
      <w:i/>
    </w:rPr>
  </w:style>
  <w:style w:type="paragraph" w:customStyle="1" w:styleId="MRefer">
    <w:name w:val="M_Refer"/>
    <w:basedOn w:val="Normal"/>
    <w:rsid w:val="00F87A76"/>
    <w:pPr>
      <w:ind w:left="461" w:hanging="461"/>
    </w:pPr>
  </w:style>
  <w:style w:type="paragraph" w:customStyle="1" w:styleId="Mtable">
    <w:name w:val="M_table"/>
    <w:basedOn w:val="Normal"/>
    <w:rsid w:val="00F87A76"/>
    <w:pPr>
      <w:keepNext/>
      <w:tabs>
        <w:tab w:val="left" w:pos="284"/>
      </w:tabs>
    </w:pPr>
  </w:style>
  <w:style w:type="paragraph" w:customStyle="1" w:styleId="MTablecaption">
    <w:name w:val="M_Tablecaption"/>
    <w:basedOn w:val="MCaption"/>
    <w:rsid w:val="00F87A76"/>
    <w:pPr>
      <w:spacing w:after="0"/>
    </w:pPr>
  </w:style>
  <w:style w:type="paragraph" w:customStyle="1" w:styleId="MText">
    <w:name w:val="M_Text"/>
    <w:basedOn w:val="Normal"/>
    <w:rsid w:val="00F87A76"/>
    <w:pPr>
      <w:ind w:firstLine="288"/>
    </w:pPr>
  </w:style>
  <w:style w:type="paragraph" w:customStyle="1" w:styleId="MTitel">
    <w:name w:val="M_Titel"/>
    <w:basedOn w:val="Normal"/>
    <w:rsid w:val="00F87A76"/>
    <w:pPr>
      <w:spacing w:before="240"/>
    </w:pPr>
    <w:rPr>
      <w:b/>
      <w:sz w:val="36"/>
      <w:lang w:val="en-GB"/>
    </w:rPr>
  </w:style>
  <w:style w:type="paragraph" w:customStyle="1" w:styleId="MDPIheader">
    <w:name w:val="MDPI_header"/>
    <w:qFormat/>
    <w:rsid w:val="00554A5B"/>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headerjournallogo">
    <w:name w:val="M_header_journal_logo"/>
    <w:qFormat/>
    <w:rsid w:val="00F87A76"/>
    <w:rPr>
      <w:rFonts w:ascii="Minion Pro" w:hAnsi="Minion Pro"/>
      <w:color w:val="000000"/>
      <w:sz w:val="24"/>
      <w:lang w:val="de-DE"/>
    </w:rPr>
  </w:style>
  <w:style w:type="paragraph" w:customStyle="1" w:styleId="TextBericht">
    <w:name w:val="Text_Bericht"/>
    <w:basedOn w:val="Normal"/>
    <w:uiPriority w:val="99"/>
    <w:rsid w:val="00F87A76"/>
    <w:pPr>
      <w:spacing w:after="120" w:line="276" w:lineRule="auto"/>
    </w:pPr>
    <w:rPr>
      <w:rFonts w:ascii="Arial" w:hAnsi="Arial"/>
      <w:lang w:val="de-DE"/>
    </w:rPr>
  </w:style>
  <w:style w:type="paragraph" w:customStyle="1" w:styleId="berschrift3">
    <w:name w:val="Überschrift3"/>
    <w:basedOn w:val="Ttulo2"/>
    <w:uiPriority w:val="99"/>
    <w:rsid w:val="00F87A76"/>
    <w:pPr>
      <w:keepNext/>
      <w:tabs>
        <w:tab w:val="num" w:pos="360"/>
      </w:tabs>
      <w:spacing w:before="0"/>
      <w:ind w:left="576" w:hanging="576"/>
    </w:pPr>
    <w:rPr>
      <w:rFonts w:cs="Arial"/>
      <w:bCs/>
      <w:iCs/>
      <w:sz w:val="18"/>
      <w:szCs w:val="28"/>
      <w:lang w:val="de-DE"/>
    </w:rPr>
  </w:style>
  <w:style w:type="character" w:styleId="Hyperlink">
    <w:name w:val="Hyperlink"/>
    <w:uiPriority w:val="99"/>
    <w:rsid w:val="00554A5B"/>
    <w:rPr>
      <w:color w:val="0000FF"/>
      <w:u w:val="single"/>
    </w:rPr>
  </w:style>
  <w:style w:type="character" w:styleId="HiperlinkVisitado">
    <w:name w:val="FollowedHyperlink"/>
    <w:rsid w:val="00554A5B"/>
    <w:rPr>
      <w:color w:val="954F72"/>
      <w:u w:val="single"/>
    </w:rPr>
  </w:style>
  <w:style w:type="character" w:styleId="Nmerodelinha">
    <w:name w:val="line number"/>
    <w:uiPriority w:val="99"/>
    <w:rsid w:val="00770985"/>
    <w:rPr>
      <w:rFonts w:ascii="Palatino Linotype" w:hAnsi="Palatino Linotype"/>
      <w:sz w:val="16"/>
    </w:rPr>
  </w:style>
  <w:style w:type="paragraph" w:styleId="Textodenotaderodap">
    <w:name w:val="footnote text"/>
    <w:basedOn w:val="Normal"/>
    <w:link w:val="TextodenotaderodapChar"/>
    <w:unhideWhenUsed/>
    <w:rsid w:val="00554A5B"/>
    <w:pPr>
      <w:spacing w:line="240" w:lineRule="auto"/>
    </w:pPr>
  </w:style>
  <w:style w:type="character" w:customStyle="1" w:styleId="TextodenotaderodapChar">
    <w:name w:val="Texto de nota de rodapé Char"/>
    <w:link w:val="Textodenotaderodap"/>
    <w:rsid w:val="00554A5B"/>
    <w:rPr>
      <w:rFonts w:ascii="Palatino Linotype" w:hAnsi="Palatino Linotype"/>
      <w:noProof/>
      <w:color w:val="000000"/>
    </w:rPr>
  </w:style>
  <w:style w:type="paragraph" w:styleId="Lista">
    <w:name w:val="List"/>
    <w:basedOn w:val="Normal"/>
    <w:rsid w:val="00F87A76"/>
    <w:pPr>
      <w:ind w:left="200" w:hangingChars="200" w:hanging="200"/>
      <w:contextualSpacing/>
    </w:pPr>
  </w:style>
  <w:style w:type="paragraph" w:styleId="Commarcadores">
    <w:name w:val="List Bullet"/>
    <w:basedOn w:val="Normal"/>
    <w:rsid w:val="00F87A76"/>
    <w:pPr>
      <w:tabs>
        <w:tab w:val="num" w:pos="360"/>
      </w:tabs>
      <w:ind w:left="200" w:hangingChars="200" w:hanging="200"/>
      <w:contextualSpacing/>
    </w:pPr>
  </w:style>
  <w:style w:type="paragraph" w:styleId="PargrafodaLista">
    <w:name w:val="List Paragraph"/>
    <w:basedOn w:val="Normal"/>
    <w:uiPriority w:val="34"/>
    <w:qFormat/>
    <w:rsid w:val="00F87A76"/>
    <w:pPr>
      <w:ind w:firstLineChars="200" w:firstLine="420"/>
    </w:pPr>
  </w:style>
  <w:style w:type="paragraph" w:styleId="Textodebalo">
    <w:name w:val="Balloon Text"/>
    <w:basedOn w:val="Normal"/>
    <w:link w:val="TextodebaloChar"/>
    <w:uiPriority w:val="99"/>
    <w:rsid w:val="00554A5B"/>
    <w:rPr>
      <w:rFonts w:cs="Tahoma"/>
      <w:szCs w:val="18"/>
    </w:rPr>
  </w:style>
  <w:style w:type="character" w:customStyle="1" w:styleId="TextodebaloChar">
    <w:name w:val="Texto de balão Char"/>
    <w:link w:val="Textodebalo"/>
    <w:uiPriority w:val="99"/>
    <w:rsid w:val="00554A5B"/>
    <w:rPr>
      <w:rFonts w:ascii="Palatino Linotype" w:hAnsi="Palatino Linotype" w:cs="Tahoma"/>
      <w:noProof/>
      <w:color w:val="000000"/>
      <w:szCs w:val="18"/>
    </w:rPr>
  </w:style>
  <w:style w:type="paragraph" w:styleId="Textodecomentrio">
    <w:name w:val="annotation text"/>
    <w:basedOn w:val="Normal"/>
    <w:link w:val="TextodecomentrioChar"/>
    <w:rsid w:val="00554A5B"/>
  </w:style>
  <w:style w:type="character" w:customStyle="1" w:styleId="TextodecomentrioChar">
    <w:name w:val="Texto de comentário Char"/>
    <w:link w:val="Textodecomentrio"/>
    <w:rsid w:val="00554A5B"/>
    <w:rPr>
      <w:rFonts w:ascii="Palatino Linotype" w:hAnsi="Palatino Linotype"/>
      <w:noProof/>
      <w:color w:val="000000"/>
    </w:rPr>
  </w:style>
  <w:style w:type="character" w:styleId="Refdecomentrio">
    <w:name w:val="annotation reference"/>
    <w:rsid w:val="00554A5B"/>
    <w:rPr>
      <w:sz w:val="21"/>
      <w:szCs w:val="21"/>
    </w:rPr>
  </w:style>
  <w:style w:type="paragraph" w:styleId="Assuntodocomentrio">
    <w:name w:val="annotation subject"/>
    <w:basedOn w:val="Textodecomentrio"/>
    <w:next w:val="Textodecomentrio"/>
    <w:link w:val="AssuntodocomentrioChar"/>
    <w:rsid w:val="00554A5B"/>
    <w:rPr>
      <w:b/>
      <w:bCs/>
    </w:rPr>
  </w:style>
  <w:style w:type="character" w:customStyle="1" w:styleId="AssuntodocomentrioChar">
    <w:name w:val="Assunto do comentário Char"/>
    <w:link w:val="Assuntodocomentrio"/>
    <w:rsid w:val="00554A5B"/>
    <w:rPr>
      <w:rFonts w:ascii="Palatino Linotype" w:hAnsi="Palatino Linotype"/>
      <w:b/>
      <w:bCs/>
      <w:noProof/>
      <w:color w:val="000000"/>
    </w:rPr>
  </w:style>
  <w:style w:type="paragraph" w:styleId="NormalWeb">
    <w:name w:val="Normal (Web)"/>
    <w:basedOn w:val="Normal"/>
    <w:uiPriority w:val="99"/>
    <w:rsid w:val="00554A5B"/>
    <w:rPr>
      <w:szCs w:val="24"/>
    </w:rPr>
  </w:style>
  <w:style w:type="paragraph" w:styleId="Bibliografia">
    <w:name w:val="Bibliography"/>
    <w:basedOn w:val="Normal"/>
    <w:next w:val="Normal"/>
    <w:uiPriority w:val="37"/>
    <w:semiHidden/>
    <w:unhideWhenUsed/>
    <w:rsid w:val="00554A5B"/>
  </w:style>
  <w:style w:type="paragraph" w:styleId="Legenda">
    <w:name w:val="caption"/>
    <w:basedOn w:val="Normal"/>
    <w:next w:val="Normal"/>
    <w:qFormat/>
    <w:rsid w:val="00F87A76"/>
    <w:pPr>
      <w:ind w:left="850" w:hanging="850"/>
      <w:jc w:val="center"/>
    </w:pPr>
    <w:rPr>
      <w:b/>
      <w:bCs/>
      <w:szCs w:val="24"/>
      <w:lang w:eastAsia="en-US"/>
    </w:rPr>
  </w:style>
  <w:style w:type="paragraph" w:styleId="ndicedeilustraes">
    <w:name w:val="table of figures"/>
    <w:basedOn w:val="Normal"/>
    <w:next w:val="Normal"/>
    <w:rsid w:val="00F87A76"/>
    <w:pPr>
      <w:tabs>
        <w:tab w:val="left" w:pos="374"/>
      </w:tabs>
      <w:snapToGrid w:val="0"/>
      <w:spacing w:line="220" w:lineRule="exact"/>
    </w:pPr>
    <w:rPr>
      <w:sz w:val="16"/>
      <w:szCs w:val="16"/>
    </w:rPr>
  </w:style>
  <w:style w:type="table" w:styleId="Tabelacomgrade">
    <w:name w:val="Table Grid"/>
    <w:basedOn w:val="Tabelanormal"/>
    <w:uiPriority w:val="39"/>
    <w:rsid w:val="00554A5B"/>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fim">
    <w:name w:val="endnote text"/>
    <w:basedOn w:val="Normal"/>
    <w:link w:val="TextodenotadefimChar"/>
    <w:unhideWhenUsed/>
    <w:rsid w:val="00554A5B"/>
    <w:pPr>
      <w:spacing w:line="240" w:lineRule="auto"/>
    </w:pPr>
  </w:style>
  <w:style w:type="character" w:customStyle="1" w:styleId="TextodenotadefimChar">
    <w:name w:val="Texto de nota de fim Char"/>
    <w:link w:val="Textodenotadefim"/>
    <w:rsid w:val="00554A5B"/>
    <w:rPr>
      <w:rFonts w:ascii="Palatino Linotype" w:hAnsi="Palatino Linotype"/>
      <w:noProof/>
      <w:color w:val="000000"/>
    </w:rPr>
  </w:style>
  <w:style w:type="character" w:styleId="Refdenotadefim">
    <w:name w:val="endnote reference"/>
    <w:rsid w:val="00554A5B"/>
    <w:rPr>
      <w:vertAlign w:val="superscript"/>
    </w:rPr>
  </w:style>
  <w:style w:type="paragraph" w:styleId="Rodap">
    <w:name w:val="footer"/>
    <w:basedOn w:val="Normal"/>
    <w:link w:val="RodapChar"/>
    <w:uiPriority w:val="99"/>
    <w:rsid w:val="00554A5B"/>
    <w:pPr>
      <w:tabs>
        <w:tab w:val="center" w:pos="4153"/>
        <w:tab w:val="right" w:pos="8306"/>
      </w:tabs>
      <w:snapToGrid w:val="0"/>
      <w:spacing w:line="240" w:lineRule="atLeast"/>
    </w:pPr>
    <w:rPr>
      <w:szCs w:val="18"/>
    </w:rPr>
  </w:style>
  <w:style w:type="character" w:customStyle="1" w:styleId="RodapChar">
    <w:name w:val="Rodapé Char"/>
    <w:link w:val="Rodap"/>
    <w:uiPriority w:val="99"/>
    <w:rsid w:val="00554A5B"/>
    <w:rPr>
      <w:rFonts w:ascii="Palatino Linotype" w:hAnsi="Palatino Linotype"/>
      <w:noProof/>
      <w:color w:val="000000"/>
      <w:szCs w:val="18"/>
    </w:rPr>
  </w:style>
  <w:style w:type="character" w:styleId="Nmerodepgina">
    <w:name w:val="page number"/>
    <w:rsid w:val="00554A5B"/>
  </w:style>
  <w:style w:type="paragraph" w:styleId="Cabealho">
    <w:name w:val="header"/>
    <w:basedOn w:val="Normal"/>
    <w:link w:val="CabealhoChar"/>
    <w:uiPriority w:val="99"/>
    <w:rsid w:val="00554A5B"/>
    <w:pPr>
      <w:pBdr>
        <w:bottom w:val="single" w:sz="6" w:space="1" w:color="auto"/>
      </w:pBdr>
      <w:tabs>
        <w:tab w:val="center" w:pos="4153"/>
        <w:tab w:val="right" w:pos="8306"/>
      </w:tabs>
      <w:snapToGrid w:val="0"/>
      <w:spacing w:line="240" w:lineRule="atLeast"/>
      <w:jc w:val="center"/>
    </w:pPr>
    <w:rPr>
      <w:szCs w:val="18"/>
    </w:rPr>
  </w:style>
  <w:style w:type="character" w:customStyle="1" w:styleId="CabealhoChar">
    <w:name w:val="Cabeçalho Char"/>
    <w:link w:val="Cabealho"/>
    <w:uiPriority w:val="99"/>
    <w:rsid w:val="00554A5B"/>
    <w:rPr>
      <w:rFonts w:ascii="Palatino Linotype" w:hAnsi="Palatino Linotype"/>
      <w:noProof/>
      <w:color w:val="000000"/>
      <w:szCs w:val="18"/>
    </w:rPr>
  </w:style>
  <w:style w:type="paragraph" w:styleId="Corpodetexto">
    <w:name w:val="Body Text"/>
    <w:link w:val="CorpodetextoChar"/>
    <w:rsid w:val="00554A5B"/>
    <w:pPr>
      <w:spacing w:after="120" w:line="340" w:lineRule="atLeast"/>
      <w:jc w:val="both"/>
    </w:pPr>
    <w:rPr>
      <w:rFonts w:ascii="Palatino Linotype" w:hAnsi="Palatino Linotype"/>
      <w:color w:val="000000"/>
      <w:sz w:val="24"/>
      <w:lang w:eastAsia="de-DE"/>
    </w:rPr>
  </w:style>
  <w:style w:type="character" w:customStyle="1" w:styleId="CorpodetextoChar">
    <w:name w:val="Corpo de texto Char"/>
    <w:link w:val="Corpodetexto"/>
    <w:rsid w:val="00554A5B"/>
    <w:rPr>
      <w:rFonts w:ascii="Palatino Linotype" w:hAnsi="Palatino Linotype"/>
      <w:color w:val="000000"/>
      <w:sz w:val="24"/>
      <w:lang w:eastAsia="de-DE"/>
    </w:rPr>
  </w:style>
  <w:style w:type="paragraph" w:customStyle="1" w:styleId="Mdeck4text2nd">
    <w:name w:val="M_deck_4_text_2nd"/>
    <w:qFormat/>
    <w:rsid w:val="007A5CE1"/>
    <w:pPr>
      <w:adjustRightInd w:val="0"/>
      <w:snapToGrid w:val="0"/>
      <w:spacing w:line="260" w:lineRule="atLeast"/>
      <w:ind w:left="850" w:hanging="425"/>
      <w:jc w:val="both"/>
    </w:pPr>
    <w:rPr>
      <w:rFonts w:ascii="Palatino Linotype" w:eastAsia="Times New Roman" w:hAnsi="Palatino Linotype"/>
      <w:snapToGrid w:val="0"/>
      <w:color w:val="000000"/>
      <w:lang w:eastAsia="de-DE" w:bidi="en-US"/>
    </w:rPr>
  </w:style>
  <w:style w:type="character" w:styleId="TextodoEspaoReservado">
    <w:name w:val="Placeholder Text"/>
    <w:uiPriority w:val="99"/>
    <w:semiHidden/>
    <w:rsid w:val="00554A5B"/>
    <w:rPr>
      <w:color w:val="808080"/>
    </w:rPr>
  </w:style>
  <w:style w:type="paragraph" w:customStyle="1" w:styleId="MDPIheadercitation">
    <w:name w:val="MDPI_header_citation"/>
    <w:rsid w:val="00554A5B"/>
    <w:pPr>
      <w:spacing w:after="240"/>
    </w:pPr>
    <w:rPr>
      <w:rFonts w:ascii="Palatino Linotype" w:eastAsia="Times New Roman" w:hAnsi="Palatino Linotype"/>
      <w:snapToGrid w:val="0"/>
      <w:color w:val="000000"/>
      <w:sz w:val="18"/>
      <w:lang w:eastAsia="de-DE" w:bidi="en-US"/>
    </w:rPr>
  </w:style>
  <w:style w:type="paragraph" w:customStyle="1" w:styleId="MDPIheaderjournallogo">
    <w:name w:val="MDPI_header_journal_logo"/>
    <w:qFormat/>
    <w:rsid w:val="00554A5B"/>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footer">
    <w:name w:val="M_footer"/>
    <w:qFormat/>
    <w:rsid w:val="00F87A76"/>
    <w:pPr>
      <w:spacing w:before="120"/>
      <w:jc w:val="center"/>
    </w:pPr>
    <w:rPr>
      <w:rFonts w:ascii="Minion Pro" w:hAnsi="Minion Pro"/>
      <w:color w:val="000000"/>
      <w:sz w:val="24"/>
      <w:lang w:val="de-DE"/>
    </w:rPr>
  </w:style>
  <w:style w:type="paragraph" w:customStyle="1" w:styleId="Mfooterfirstpage">
    <w:name w:val="M_footer_firstpage"/>
    <w:basedOn w:val="Mfooter"/>
    <w:qFormat/>
    <w:rsid w:val="00F87A76"/>
    <w:pPr>
      <w:tabs>
        <w:tab w:val="right" w:pos="8845"/>
      </w:tabs>
      <w:spacing w:line="160" w:lineRule="exact"/>
    </w:pPr>
  </w:style>
  <w:style w:type="paragraph" w:customStyle="1" w:styleId="Mheadermdpilogo">
    <w:name w:val="M_header_mdpi_logo"/>
    <w:qFormat/>
    <w:rsid w:val="00F87A76"/>
    <w:pPr>
      <w:jc w:val="right"/>
    </w:pPr>
    <w:rPr>
      <w:rFonts w:ascii="Minion Pro" w:hAnsi="Minion Pro"/>
      <w:color w:val="000000"/>
      <w:sz w:val="24"/>
      <w:lang w:val="de-DE"/>
    </w:rPr>
  </w:style>
  <w:style w:type="paragraph" w:customStyle="1" w:styleId="MAcknowledgments">
    <w:name w:val="M_Acknowledgments"/>
    <w:qFormat/>
    <w:rsid w:val="00554334"/>
    <w:pPr>
      <w:spacing w:after="120" w:line="240" w:lineRule="atLeast"/>
      <w:jc w:val="both"/>
    </w:pPr>
    <w:rPr>
      <w:rFonts w:ascii="Minion Pro" w:hAnsi="Minion Pro"/>
      <w:color w:val="000000"/>
      <w:sz w:val="24"/>
      <w:lang w:val="de-DE"/>
    </w:rPr>
  </w:style>
  <w:style w:type="paragraph" w:customStyle="1" w:styleId="MDPI32textnoindent">
    <w:name w:val="MDPI_3.2_text_no_indent"/>
    <w:basedOn w:val="MDPI31text"/>
    <w:qFormat/>
    <w:rsid w:val="00554A5B"/>
    <w:pPr>
      <w:ind w:firstLine="0"/>
    </w:pPr>
  </w:style>
  <w:style w:type="paragraph" w:customStyle="1" w:styleId="MDPI31text">
    <w:name w:val="MDPI_3.1_text"/>
    <w:qFormat/>
    <w:rsid w:val="001C3917"/>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554A5B"/>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554A5B"/>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554A5B"/>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554A5B"/>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9D1C10"/>
    <w:pPr>
      <w:numPr>
        <w:numId w:val="22"/>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9D1C10"/>
    <w:pPr>
      <w:numPr>
        <w:numId w:val="2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554A5B"/>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554A5B"/>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554A5B"/>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3B4E63"/>
    <w:pPr>
      <w:adjustRightInd w:val="0"/>
      <w:snapToGrid w:val="0"/>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554A5B"/>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554A5B"/>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554A5B"/>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72Copyright">
    <w:name w:val="MDPI_7.2_Copyright"/>
    <w:qFormat/>
    <w:rsid w:val="008B19B9"/>
    <w:pPr>
      <w:adjustRightInd w:val="0"/>
      <w:snapToGrid w:val="0"/>
      <w:spacing w:before="60" w:line="240" w:lineRule="atLeast"/>
      <w:ind w:right="113"/>
      <w:jc w:val="both"/>
    </w:pPr>
    <w:rPr>
      <w:rFonts w:ascii="Palatino Linotype" w:eastAsia="Times New Roman" w:hAnsi="Palatino Linotype"/>
      <w:noProof/>
      <w:snapToGrid w:val="0"/>
      <w:color w:val="000000"/>
      <w:sz w:val="14"/>
      <w:lang w:val="en-GB" w:eastAsia="en-GB"/>
    </w:rPr>
  </w:style>
  <w:style w:type="paragraph" w:customStyle="1" w:styleId="MDPI73CopyrightImage">
    <w:name w:val="MDPI_7.3_CopyrightImage"/>
    <w:rsid w:val="00554A5B"/>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81theorem">
    <w:name w:val="MDPI_8.1_theorem"/>
    <w:qFormat/>
    <w:rsid w:val="00554A5B"/>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554A5B"/>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554A5B"/>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554A5B"/>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554A5B"/>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554A5B"/>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554A5B"/>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1731B0"/>
    <w:pPr>
      <w:numPr>
        <w:numId w:val="25"/>
      </w:numPr>
      <w:adjustRightInd w:val="0"/>
      <w:snapToGrid w:val="0"/>
      <w:spacing w:line="228" w:lineRule="auto"/>
      <w:jc w:val="both"/>
    </w:pPr>
    <w:rPr>
      <w:rFonts w:ascii="Palatino Linotype" w:eastAsia="Times New Roman" w:hAnsi="Palatino Linotype"/>
      <w:color w:val="000000"/>
      <w:sz w:val="18"/>
      <w:lang w:eastAsia="de-DE" w:bidi="en-US"/>
    </w:rPr>
  </w:style>
  <w:style w:type="paragraph" w:customStyle="1" w:styleId="MDPIheadermdpilogo">
    <w:name w:val="MDPI_header_mdpi_logo"/>
    <w:qFormat/>
    <w:rsid w:val="00554A5B"/>
    <w:pPr>
      <w:adjustRightInd w:val="0"/>
      <w:snapToGrid w:val="0"/>
      <w:spacing w:line="260" w:lineRule="atLeast"/>
      <w:jc w:val="right"/>
    </w:pPr>
    <w:rPr>
      <w:rFonts w:ascii="Palatino Linotype" w:eastAsia="Times New Roman" w:hAnsi="Palatino Linotype"/>
      <w:color w:val="000000"/>
      <w:sz w:val="24"/>
      <w:szCs w:val="22"/>
      <w:lang w:eastAsia="de-CH"/>
    </w:rPr>
  </w:style>
  <w:style w:type="paragraph" w:customStyle="1" w:styleId="MDPI411onetablecaption">
    <w:name w:val="MDPI_4.1.1_one_table_caption"/>
    <w:qFormat/>
    <w:rsid w:val="00554A5B"/>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554A5B"/>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text">
    <w:name w:val="MDPI_text"/>
    <w:qFormat/>
    <w:rsid w:val="00554A5B"/>
    <w:pPr>
      <w:spacing w:line="260" w:lineRule="atLeast"/>
      <w:ind w:left="425" w:right="425" w:firstLine="284"/>
      <w:jc w:val="both"/>
    </w:pPr>
    <w:rPr>
      <w:rFonts w:eastAsia="Times New Roman"/>
      <w:noProof/>
      <w:snapToGrid w:val="0"/>
      <w:color w:val="000000"/>
      <w:sz w:val="22"/>
      <w:szCs w:val="22"/>
      <w:lang w:eastAsia="de-DE" w:bidi="en-US"/>
    </w:rPr>
  </w:style>
  <w:style w:type="paragraph" w:customStyle="1" w:styleId="MDPItitle">
    <w:name w:val="MDPI_title"/>
    <w:qFormat/>
    <w:rsid w:val="00554A5B"/>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styleId="MenoPendente">
    <w:name w:val="Unresolved Mention"/>
    <w:uiPriority w:val="99"/>
    <w:semiHidden/>
    <w:unhideWhenUsed/>
    <w:rsid w:val="007C1576"/>
    <w:rPr>
      <w:color w:val="605E5C"/>
      <w:shd w:val="clear" w:color="auto" w:fill="E1DFDD"/>
    </w:rPr>
  </w:style>
  <w:style w:type="table" w:styleId="TabelaSimples4">
    <w:name w:val="Plain Table 4"/>
    <w:basedOn w:val="Tabelanormal"/>
    <w:uiPriority w:val="44"/>
    <w:rsid w:val="0089101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554A5B"/>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554A5B"/>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554A5B"/>
    <w:pPr>
      <w:adjustRightInd w:val="0"/>
      <w:snapToGrid w:val="0"/>
      <w:spacing w:before="240" w:line="228" w:lineRule="auto"/>
      <w:jc w:val="both"/>
    </w:pPr>
    <w:rPr>
      <w:rFonts w:ascii="Palatino Linotype" w:hAnsi="Palatino Linotype"/>
      <w:snapToGrid w:val="0"/>
      <w:color w:val="000000"/>
      <w:sz w:val="18"/>
      <w:lang w:eastAsia="en-US" w:bidi="en-US"/>
    </w:rPr>
  </w:style>
  <w:style w:type="table" w:customStyle="1" w:styleId="MDPI41threelinetable">
    <w:name w:val="MDPI_4.1_three_line_table"/>
    <w:basedOn w:val="Tabelanormal"/>
    <w:uiPriority w:val="99"/>
    <w:rsid w:val="00554A5B"/>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equationFram">
    <w:name w:val="MDPI_equationFram"/>
    <w:qFormat/>
    <w:rsid w:val="00554A5B"/>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table" w:customStyle="1" w:styleId="MDPITable">
    <w:name w:val="MDPI_Table"/>
    <w:basedOn w:val="Tabelanormal"/>
    <w:uiPriority w:val="99"/>
    <w:rsid w:val="00554A5B"/>
    <w:rPr>
      <w:rFonts w:ascii="Palatino Linotype" w:hAnsi="Palatino Linotype"/>
      <w:color w:val="000000"/>
      <w:lang w:val="en-CA" w:eastAsia="en-US"/>
    </w:rPr>
    <w:tblPr>
      <w:tblCellMar>
        <w:left w:w="0" w:type="dxa"/>
        <w:right w:w="0" w:type="dxa"/>
      </w:tblCellMar>
    </w:tblPr>
  </w:style>
  <w:style w:type="paragraph" w:customStyle="1" w:styleId="MsoFootnoteText0">
    <w:name w:val="MsoFootnoteText"/>
    <w:basedOn w:val="NormalWeb"/>
    <w:qFormat/>
    <w:rsid w:val="00554A5B"/>
    <w:rPr>
      <w:rFonts w:ascii="Times New Roman" w:hAnsi="Times New Roman"/>
    </w:rPr>
  </w:style>
  <w:style w:type="numbering" w:customStyle="1" w:styleId="Style1">
    <w:name w:val="Style1"/>
    <w:uiPriority w:val="99"/>
    <w:rsid w:val="00554A5B"/>
    <w:pPr>
      <w:numPr>
        <w:numId w:val="15"/>
      </w:numPr>
    </w:pPr>
  </w:style>
  <w:style w:type="paragraph" w:customStyle="1" w:styleId="MDPI71FootNotes">
    <w:name w:val="MDPI_7.1_FootNotes"/>
    <w:qFormat/>
    <w:rsid w:val="00037366"/>
    <w:pPr>
      <w:numPr>
        <w:numId w:val="21"/>
      </w:numPr>
      <w:adjustRightInd w:val="0"/>
      <w:snapToGrid w:val="0"/>
      <w:spacing w:line="228" w:lineRule="auto"/>
    </w:pPr>
    <w:rPr>
      <w:rFonts w:ascii="Palatino Linotype" w:eastAsiaTheme="minorEastAsia" w:hAnsi="Palatino Linotype"/>
      <w:noProof/>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62340">
      <w:bodyDiv w:val="1"/>
      <w:marLeft w:val="0"/>
      <w:marRight w:val="0"/>
      <w:marTop w:val="0"/>
      <w:marBottom w:val="0"/>
      <w:divBdr>
        <w:top w:val="none" w:sz="0" w:space="0" w:color="auto"/>
        <w:left w:val="none" w:sz="0" w:space="0" w:color="auto"/>
        <w:bottom w:val="none" w:sz="0" w:space="0" w:color="auto"/>
        <w:right w:val="none" w:sz="0" w:space="0" w:color="auto"/>
      </w:divBdr>
    </w:div>
    <w:div w:id="537669656">
      <w:bodyDiv w:val="1"/>
      <w:marLeft w:val="0"/>
      <w:marRight w:val="0"/>
      <w:marTop w:val="0"/>
      <w:marBottom w:val="0"/>
      <w:divBdr>
        <w:top w:val="none" w:sz="0" w:space="0" w:color="auto"/>
        <w:left w:val="none" w:sz="0" w:space="0" w:color="auto"/>
        <w:bottom w:val="none" w:sz="0" w:space="0" w:color="auto"/>
        <w:right w:val="none" w:sz="0" w:space="0" w:color="auto"/>
      </w:divBdr>
    </w:div>
    <w:div w:id="878667283">
      <w:bodyDiv w:val="1"/>
      <w:marLeft w:val="0"/>
      <w:marRight w:val="0"/>
      <w:marTop w:val="0"/>
      <w:marBottom w:val="0"/>
      <w:divBdr>
        <w:top w:val="none" w:sz="0" w:space="0" w:color="auto"/>
        <w:left w:val="none" w:sz="0" w:space="0" w:color="auto"/>
        <w:bottom w:val="none" w:sz="0" w:space="0" w:color="auto"/>
        <w:right w:val="none" w:sz="0" w:space="0" w:color="auto"/>
      </w:divBdr>
    </w:div>
    <w:div w:id="1850174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alciane@ufu.br" TargetMode="External"/><Relationship Id="rId18" Type="http://schemas.openxmlformats.org/officeDocument/2006/relationships/image" Target="media/image2.tiff"/><Relationship Id="rId26" Type="http://schemas.openxmlformats.org/officeDocument/2006/relationships/hyperlink" Target="https://www.who.int/europe/news-room/" TargetMode="External"/><Relationship Id="rId21" Type="http://schemas.openxmlformats.org/officeDocument/2006/relationships/image" Target="media/image5.tif"/><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mailto:georgia@ufu.br" TargetMode="External"/><Relationship Id="rId17" Type="http://schemas.openxmlformats.org/officeDocument/2006/relationships/hyperlink" Target="mailto:denise.roder@ufu.br" TargetMode="External"/><Relationship Id="rId25" Type="http://schemas.openxmlformats.org/officeDocument/2006/relationships/hyperlink" Target="https://doi.org/10.1155/2019/3862971"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denise.roder@ufu.br" TargetMode="External"/><Relationship Id="rId20" Type="http://schemas.openxmlformats.org/officeDocument/2006/relationships/image" Target="media/image4.tif"/><Relationship Id="rId29" Type="http://schemas.openxmlformats.org/officeDocument/2006/relationships/hyperlink" Target="https://www.nature.com/articles/s12276-020-0459-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a.natal@ufu.br" TargetMode="External"/><Relationship Id="rId24" Type="http://schemas.openxmlformats.org/officeDocument/2006/relationships/hyperlink" Target="https://doi.org/10.1371/journal.pone.0257755" TargetMode="External"/><Relationship Id="rId32" Type="http://schemas.openxmlformats.org/officeDocument/2006/relationships/header" Target="head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lislei.patrizzi@uftm.edu.br" TargetMode="External"/><Relationship Id="rId23" Type="http://schemas.openxmlformats.org/officeDocument/2006/relationships/image" Target="media/image7.jpg"/><Relationship Id="rId28" Type="http://schemas.openxmlformats.org/officeDocument/2006/relationships/hyperlink" Target="https://www.nature.com/articles/s12276-020-0459-0" TargetMode="External"/><Relationship Id="rId36" Type="http://schemas.openxmlformats.org/officeDocument/2006/relationships/fontTable" Target="fontTable.xml"/><Relationship Id="rId10" Type="http://schemas.openxmlformats.org/officeDocument/2006/relationships/hyperlink" Target="mailto:analicy.xavier@ufu.br" TargetMode="External"/><Relationship Id="rId19" Type="http://schemas.openxmlformats.org/officeDocument/2006/relationships/image" Target="media/image3.tif"/><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lauber.florencio@ufu.br" TargetMode="External"/><Relationship Id="rId14" Type="http://schemas.openxmlformats.org/officeDocument/2006/relationships/hyperlink" Target="mailto:sadoyama@ufcat.edu.br" TargetMode="External"/><Relationship Id="rId22" Type="http://schemas.openxmlformats.org/officeDocument/2006/relationships/image" Target="media/image6.tif"/><Relationship Id="rId27" Type="http://schemas.openxmlformats.org/officeDocument/2006/relationships/hyperlink" Target="https://www.nature.com/articles/s12276-020-0459-0" TargetMode="External"/><Relationship Id="rId30" Type="http://schemas.openxmlformats.org/officeDocument/2006/relationships/hyperlink" Target="https://doi.org/10.1016/j.tjnut.2022.11.009" TargetMode="External"/><Relationship Id="rId35" Type="http://schemas.openxmlformats.org/officeDocument/2006/relationships/footer" Target="footer2.xml"/><Relationship Id="rId8" Type="http://schemas.openxmlformats.org/officeDocument/2006/relationships/image" Target="media/image1.png"/><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nas\Downloads\medicina-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36103-B8C7-4330-887C-3D7D3639B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medicina-template</Template>
  <TotalTime>666</TotalTime>
  <Pages>22</Pages>
  <Words>10497</Words>
  <Characters>56689</Characters>
  <Application>Microsoft Office Word</Application>
  <DocSecurity>0</DocSecurity>
  <Lines>472</Lines>
  <Paragraphs>134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Type of the Paper (Article</vt:lpstr>
      <vt:lpstr>Type of the Paper (Article</vt:lpstr>
    </vt:vector>
  </TitlesOfParts>
  <Company/>
  <LinksUpToDate>false</LinksUpToDate>
  <CharactersWithSpaces>67052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Jonas Roder</dc:creator>
  <cp:keywords/>
  <dc:description/>
  <cp:lastModifiedBy>Denise Von Dolinger de Brito Roder</cp:lastModifiedBy>
  <cp:revision>360</cp:revision>
  <dcterms:created xsi:type="dcterms:W3CDTF">2024-02-08T10:01:00Z</dcterms:created>
  <dcterms:modified xsi:type="dcterms:W3CDTF">2024-02-13T14:26:00Z</dcterms:modified>
</cp:coreProperties>
</file>