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78991" w14:textId="77777777" w:rsidR="00F400A4" w:rsidRDefault="00F400A4" w:rsidP="00F400A4">
      <w:pPr>
        <w:ind w:left="2550"/>
        <w:rPr>
          <w:rFonts w:cstheme="minorHAnsi"/>
          <w:lang w:val="en-GB"/>
        </w:rPr>
      </w:pPr>
      <w:r w:rsidRPr="00B07E0E">
        <w:rPr>
          <w:b/>
        </w:rPr>
        <w:t xml:space="preserve">Table </w:t>
      </w:r>
      <w:r>
        <w:rPr>
          <w:b/>
        </w:rPr>
        <w:t>1</w:t>
      </w:r>
      <w:bookmarkStart w:id="0" w:name="_Hlk158103042"/>
      <w:r w:rsidRPr="00B07E0E">
        <w:rPr>
          <w:b/>
        </w:rPr>
        <w:t xml:space="preserve">. </w:t>
      </w:r>
      <w:r w:rsidRPr="00F400A4">
        <w:rPr>
          <w:bCs/>
          <w:sz w:val="18"/>
          <w:szCs w:val="18"/>
        </w:rPr>
        <w:t>Prevalence of polypharmacy</w:t>
      </w:r>
      <w:r>
        <w:rPr>
          <w:b/>
        </w:rPr>
        <w:t xml:space="preserve"> </w:t>
      </w:r>
      <w:bookmarkEnd w:id="0"/>
      <w:r>
        <w:rPr>
          <w:sz w:val="18"/>
          <w:szCs w:val="18"/>
        </w:rPr>
        <w:fldChar w:fldCharType="begin" w:fldLock="1"/>
      </w:r>
      <w:r>
        <w:rPr>
          <w:sz w:val="18"/>
          <w:szCs w:val="18"/>
        </w:rPr>
        <w:instrText>ADDIN CSL_CITATION {"citationItems":[{"id":"ITEM-1","itemData":{"DOI":"10.1186/s12913-017-2793-z","ISSN":"14726963","PMID":"29268737","abstract":"Background: Polypharmacy is a frequent condition, but its prevalence and determinants in the Swiss mid-aged population are unknown. We aimed to evaluate the prevalence and determinants of polypharmacy in a large Swiss mid-aged population-based sample. Methods: Data from 4938 participants of the CoLaus study (53% women, age range 40-81 years) were collected between 2009 and 2012. Polypharmacy was defined by the regular use of five or more drugs. Results: Polypharmacy was reported by 580 participants [11.8%, 95% confidence interval (10.9; 12.6)]. Participants on polypharmacy were significantly older (mean ± standard deviation: 66.0 ± 9.1 vs. 56.6 ± 10.1 years), more frequently obese (35.9% vs. 14.7%), of lower education (66.6% vs. 50.7%) and former smokers (46.7% vs. 36.4%) than participants not on polypharmacy. These findings were confirmed by multivariate analysis: odds ratio and (95% confidence interval) for age groups 50-64 and 65-81 relative to 40-49 years: 2.90 (2.04; 4.12) and 10.3 (7.26; 14.5), respectively, p for trend &lt; 0.001; for low relative to high education: 1.56 (1.17; 2.07); for overweight and obese relative to normal weight participants: 2.09 (1.65; 2.66) and 4.38 (3.39; 5.66), respectively, p for trend &lt; 0.001; for former and current relative to never smokers: 1.42 (1.14, 1.75) and 1.63 (1.25, 2.12), respectively, p for trend &lt; 0.001. Conclusion: One out of nine participants of our sample is on polypharmacy. Increasing age, body mass index, smoking and lower education independently increase the likelihood of being on polypharmacy.","author":[{"dropping-particle":"","family":"Castioni","given":"Julien","non-dropping-particle":"","parse-names":false,"suffix":""},{"dropping-particle":"","family":"Marques-Vidal","given":"Pedro","non-dropping-particle":"","parse-names":false,"suffix":""},{"dropping-particle":"","family":"Abolhassani","given":"Nazanin","non-dropping-particle":"","parse-names":false,"suffix":""},{"dropping-particle":"","family":"Vollenweider","given":"Peter","non-dropping-particle":"","parse-names":false,"suffix":""},{"dropping-particle":"","family":"Waeber","given":"Gérard","non-dropping-particle":"","parse-names":false,"suffix":""}],"container-title":"BMC Health Services Research","id":"ITEM-1","issue":"1","issued":{"date-parts":[["2017"]]},"page":"1-9","publisher":"BMC Health Services Research","title":"Prevalence and determinants of polypharmacy in Switzerland: Data from the CoLaus study","type":"article-journal","volume":"17"},"uris":["http://www.mendeley.com/documents/?uuid=c17e6375-b37c-43c8-99dc-ed9037909317"]},{"id":"ITEM-2","itemData":{"DOI":"10.1007/s40520-019-01136-3","ISBN":"0123456789","ISSN":"17208319","PMID":"30778874","abstract":"Background: Recently the Berlin Aging Study II (BASE-II) showed that polypharmacy is associated with clinically relevant sarcopenia among community-dwelling older persons. Here we report findings from the GLISTEN study about the association of polypharmacy with sarcopenia among older medical in-patients. Methods: The GLISTEN study investigated prevalence and clinical correlates of sarcopenia in older patients admitted to geriatric and internal medicine acute care wards of 12 Italian hospitals. Results: In this sample of older medical in-patients with high prevalence of sarcopenia (34.7%) and polypharmacy (70.2%) we did not observe a significant association of polypharmacy with sarcopenia. Conclusions: Present findings demonstrate that the association of polypharmacy with sarcopenia, observed in the BASE-II study, is not evident in the GLISTEN sample, being our patients significantly older, more multi-morbid, with high prevalence of sarcopenia and polypharmacy, suggesting that this association might vary according to the heterogeneous health, functional, and nutritional characteristics of older people.","author":[{"dropping-particle":"","family":"Agosta","given":"Luca","non-dropping-particle":"","parse-names":false,"suffix":""},{"dropping-particle":"","family":"Bo","given":"Mario","non-dropping-particle":"","parse-names":false,"suffix":""},{"dropping-particle":"","family":"Bianchi","given":"Lara","non-dropping-particle":"","parse-names":false,"suffix":""},{"dropping-particle":"","family":"Abete","given":"Pasquale","non-dropping-particle":"","parse-names":false,"suffix":""},{"dropping-particle":"","family":"Belelli","given":"Giuseppe","non-dropping-particle":"","parse-names":false,"suffix":""},{"dropping-particle":"","family":"Cherubini","given":"Antonio","non-dropping-particle":"","parse-names":false,"suffix":""},{"dropping-particle":"","family":"Corica","given":"Francesco","non-dropping-particle":"","parse-names":false,"suffix":""},{"dropping-particle":"","family":"Bari","given":"Mauro","non-dropping-particle":"Di","parse-names":false,"suffix":""},{"dropping-particle":"","family":"Maggio","given":"Marcello","non-dropping-particle":"","parse-names":false,"suffix":""},{"dropping-particle":"","family":"Manca","given":"Giovanna Maria","non-dropping-particle":"","parse-names":false,"suffix":""},{"dropping-particle":"","family":"Rizzo","given":"Maria Rosaria","non-dropping-particle":"","parse-names":false,"suffix":""},{"dropping-particle":"","family":"Rossi","given":"Andrea","non-dropping-particle":"","parse-names":false,"suffix":""},{"dropping-particle":"","family":"Landi","given":"Francesco","non-dropping-particle":"","parse-names":false,"suffix":""},{"dropping-particle":"","family":"Volpato","given":"Stefano","non-dropping-particle":"","parse-names":false,"suffix":""},{"dropping-particle":"","family":"Brombo","given":"Gloria","non-dropping-particle":"","parse-names":false,"suffix":""},{"dropping-particle":"","family":"Ortolani","given":"Beatrice","non-dropping-particle":"","parse-names":false,"suffix":""},{"dropping-particle":"","family":"Savino","given":"Elisabetta","non-dropping-particle":"","parse-names":false,"suffix":""},{"dropping-particle":"","family":"Maietti","given":"Elisa","non-dropping-particle":"","parse-names":false,"suffix":""},{"dropping-particle":"","family":"Fisichella","given":"Alberto","non-dropping-particle":"","parse-names":false,"suffix":""},{"dropping-particle":"","family":"Buttò","given":"Valeria","non-dropping-particle":"","parse-names":false,"suffix":""},{"dropping-particle":"","family":"Zamboni","given":"Mauro","non-dropping-particle":"","parse-names":false,"suffix":""},{"dropping-particle":"","family":"Caliari","given":"Cesare","non-dropping-particle":"","parse-names":false,"suffix":""},{"dropping-particle":"","family":"Ferrari","given":"Elena","non-dropping-particle":"","parse-names":false,"suffix":""},{"dropping-particle":"","family":"Orso","given":"Francesco","non-dropping-particle":"","parse-names":false,"suffix":""},{"dropping-particle":"","family":"Sacco","given":"Flavia","non-dropping-particle":"","parse-names":false,"suffix":""},{"dropping-particle":"","family":"Di Meo","given":"Laura","non-dropping-particle":"","parse-names":false,"suffix":""},{"dropping-particle":"","family":"Cerri","given":"Anna Paola","non-dropping-particle":"","parse-names":false,"suffix":""},{"dropping-particle":"","family":"Motta","given":"Marco","non-dropping-particle":"","parse-names":false,"suffix":""},{"dropping-particle":"","family":"Pittella","given":"Francesca","non-dropping-particle":"","parse-names":false,"suffix":""},{"dropping-particle":"","family":"Bonfanti","given":"Alessandra","non-dropping-particle":"","parse-names":false,"suffix":""},{"dropping-particle":"","family":"Fusco","given":"Sergio","non-dropping-particle":"","parse-names":false,"suffix":""},{"dropping-particle":"","family":"Prestipino Giarritta","given":"Valeria","non-dropping-particle":"","parse-names":false,"suffix":""},{"dropping-particle":"","family":"Soraci","given":"Luca","non-dropping-particle":"","parse-names":false,"suffix":""},{"dropping-particle":"","family":"Pili","given":"Fausto Giordano","non-dropping-particle":"","parse-names":false,"suffix":""},{"dropping-particle":"","family":"Basile","given":"Claudia","non-dropping-particle":"","parse-names":false,"suffix":""},{"dropping-particle":"","family":"Coppola","given":"Carla","non-dropping-particle":"","parse-names":false,"suffix":""},{"dropping-particle":"","family":"Dalise","given":"Anna Maria","non-dropping-particle":"","parse-names":false,"suffix":""},{"dropping-particle":"","family":"Fava","given":"Ilaria","non-dropping-particle":"","parse-names":false,"suffix":""},{"dropping-particle":"","family":"Catte","given":"Olga","non-dropping-particle":"","parse-names":false,"suffix":""},{"dropping-particle":"","family":"Orrù","given":"Maura","non-dropping-particle":"","parse-names":false,"suffix":""},{"dropping-particle":"","family":"Salaris","given":"Paolo","non-dropping-particle":"","parse-names":false,"suffix":""},{"dropping-particle":"","family":"Martone","given":"Anna Maria","non-dropping-particle":"","parse-names":false,"suffix":""},{"dropping-particle":"","family":"Ortolani","given":"Elena","non-dropping-particle":"","parse-names":false,"suffix":""},{"dropping-particle":"","family":"Salini","given":"Sara","non-dropping-particle":"","parse-names":false,"suffix":""},{"dropping-particle":"","family":"dell’Aquila","given":"Giuseppina","non-dropping-particle":"","parse-names":false,"suffix":""},{"dropping-particle":"","family":"Carrier","given":"Barbara","non-dropping-particle":"","parse-names":false,"suffix":""}],"container-title":"Aging Clinical and Experimental Research","id":"ITEM-2","issue":"4","issued":{"date-parts":[["2019"]]},"page":"557-559","publisher":"Springer International Publishing","title":"Polypharmacy and sarcopenia in hospitalized older patients: results of the GLISTEN study","type":"article-journal","volume":"31"},"uris":["http://www.mendeley.com/documents/?uuid=fae36c7a-e568-43f3-91f6-0a2012055e7c"]},{"id":"ITEM-3","itemData":{"DOI":"10.2147/CLEP.S153458","ISSN":"11791349","abstract":"Objective: Polypharmacy is the concomitant use of several drugs by a single person, and it increases the risk of adverse drug-related events in older adults. Little is known about the epidemiology of polypharmacy at the population level. We aimed to measure the prevalence and incidence of polypharmacy and to investigate the associated factors. Methods: A prospective cohort study was conducted using regi</w:instrText>
      </w:r>
      <w:r>
        <w:rPr>
          <w:rFonts w:hint="eastAsia"/>
          <w:sz w:val="18"/>
          <w:szCs w:val="18"/>
        </w:rPr>
        <w:instrText xml:space="preserve">ster data with national coverage in Sweden. A total of 1,742,336 individuals aged </w:instrText>
      </w:r>
      <w:r>
        <w:rPr>
          <w:rFonts w:hint="eastAsia"/>
          <w:sz w:val="18"/>
          <w:szCs w:val="18"/>
        </w:rPr>
        <w:instrText>≥</w:instrText>
      </w:r>
      <w:r>
        <w:rPr>
          <w:rFonts w:hint="eastAsia"/>
          <w:sz w:val="18"/>
          <w:szCs w:val="18"/>
        </w:rPr>
        <w:instrText>65 years at baseline (November 1, 2010) were included and followed until death or the end of the study (December 20, 2013). Results: On average, individuals were exposed to</w:instrText>
      </w:r>
      <w:r>
        <w:rPr>
          <w:sz w:val="18"/>
          <w:szCs w:val="18"/>
        </w:rPr>
        <w:instrText xml:space="preserve"> 4.6 (SD =4.0) drugs at baseline. The prevalence of polypharmacy (5+ drugs) was 44.0%, and the prevalence of excessive polypharmacy (10+ drugs) was 11.7%. The incidence rate of polypharmacy among individuals without polypharmacy at baseline was 19.9 per 1</w:instrText>
      </w:r>
      <w:r>
        <w:rPr>
          <w:rFonts w:hint="eastAsia"/>
          <w:sz w:val="18"/>
          <w:szCs w:val="18"/>
        </w:rPr>
        <w:instrText>00 person-years, ranging from 16.8% in individuals aged 65</w:instrText>
      </w:r>
      <w:r>
        <w:rPr>
          <w:rFonts w:hint="eastAsia"/>
          <w:sz w:val="18"/>
          <w:szCs w:val="18"/>
        </w:rPr>
        <w:instrText>–</w:instrText>
      </w:r>
      <w:r>
        <w:rPr>
          <w:rFonts w:hint="eastAsia"/>
          <w:sz w:val="18"/>
          <w:szCs w:val="18"/>
        </w:rPr>
        <w:instrText xml:space="preserve">74 years to 33.2% in those aged </w:instrText>
      </w:r>
      <w:r>
        <w:rPr>
          <w:rFonts w:hint="eastAsia"/>
          <w:sz w:val="18"/>
          <w:szCs w:val="18"/>
        </w:rPr>
        <w:instrText>≥</w:instrText>
      </w:r>
      <w:r>
        <w:rPr>
          <w:rFonts w:hint="eastAsia"/>
          <w:sz w:val="18"/>
          <w:szCs w:val="18"/>
        </w:rPr>
        <w:instrText>95 years (adjusted hazard ratio [HR] =1.49, 95% confidence interval [CI] 1.42</w:instrText>
      </w:r>
      <w:r>
        <w:rPr>
          <w:rFonts w:hint="eastAsia"/>
          <w:sz w:val="18"/>
          <w:szCs w:val="18"/>
        </w:rPr>
        <w:instrText>–</w:instrText>
      </w:r>
      <w:r>
        <w:rPr>
          <w:rFonts w:hint="eastAsia"/>
          <w:sz w:val="18"/>
          <w:szCs w:val="18"/>
        </w:rPr>
        <w:instrText>1.56). The incidence rate of excessive polypharmacy was 8.0 per 100 person-years. Old</w:instrText>
      </w:r>
      <w:r>
        <w:rPr>
          <w:sz w:val="18"/>
          <w:szCs w:val="18"/>
        </w:rPr>
        <w:instrText>er adults using multi-dose dispensing were at significantly higher risk of developing incident polypharmacy compared with those receiving ordinary prescriptions (HR =1.51, 95% CI 1.47–1.55). When adjusting for confounders, living in nursing home was found to be associated with lower risks of incident polypharmacy and incident excessive polypharmacy (HR =0.79 and HR =0.86, p&lt;0.001, respectively). Conclusion: The prevalence and incidence of polypharmacy are high among older adults in Sweden. Interventions aimed at reducing the prevalence of polypharmacy should also target potential incident polypharmacy users as they are the ones who fuel future polypharmacy.","author":[{"dropping-particle":"","family":"Morin","given":"Lucas","non-dropping-particle":"","parse-names":false,"suffix":""},{"dropping-particle":"","family":"Johnell","given":"Kristina","non-dropping-particle":"","parse-names":false,"suffix":""},{"dropping-particle":"","family":"Laroche","given":"Marie Laure","non-dropping-particle":"","parse-names":false,"suffix":""},{"dropping-particle":"","family":"Fastbom","given":"Johan","non-dropping-particle":"","parse-names":false,"suffix":""},{"dropping-particle":"","family":"Wastesson","given":"Jonas W.","non-dropping-particle":"","parse-names":false,"suffix":""}],"container-title":"Clinical Epidemiology","id":"ITEM-3","issued":{"date-parts":[["2018"]]},"page":"289-298","title":"The epidemiology of polypharmacy in older adults: Register-based prospective cohort study","type":"article-journal","volume":"10"},"uris":["http://www.mendeley.com/documents/?uuid=53e23901-5c31-4bb7-9700-0288c4798bf0"]},{"id":"ITEM-4","itemData":{"DOI":"10.1007/s00228-013-1639-9","ISBN":"0022801316","ISSN":"14321041","PMID":"24487416","abstract":"Purpose: Polypharmacy - the use of multiple medications by a single patient - is an important issue associated with various adverse clinical outcomes and rising costs. It is also a topic rarely addressed by clinical guidelines. We used routine Scottish health records to address the lack of data on the prevalence of polypharmacy in the broader, adult primary care population, particularly in relation to long-term conditions. Methods: We conducted a cross-sectional analysis of adult electronic primary healthcare records and used linear regression models to examine the association between the number of medicines prescribed regularly and both multimorbidity and specific clinical conditions, adjusting for age, gender and socioeconomic deprivation. Results: Overall, 16.9 % of the adults assessed were receiving four to nine medications, and 4.6 % were receiving ten or more medications, increasing with age (28.6 and 7.4 %, respectively, in those aged 60-69 years; 51.8 and 18.6 %, respectively, in those aged 80 years), but relatively unaffected by gender or deprivation. Of those patients with two clinical conditions, 20.8 % were receiving four to nine medications, and 1.1 % were receiving ten or more medications; in those patients with six or more comorbidities, these values were 47.7 and 41.7 %, respectively. The number of medications varied considerably between clinical conditions, with cardiovascular conditions associated with the greatest number of additional medications. The accumulation of additional medicines was less with concordant conditions. Conclusions: Polypharmacy is common in UK primary care. The main factor associated with this is multimorbidity, although considerable variation exists between different conditions. The impact of clinical conditions on the number of medicines is generally less in the presence of co-existing concordant conditions. © 2014 Springer-Verlag Berlin Heidelberg.","author":[{"dropping-particle":"","family":"Payne","given":"R. A.","non-dropping-particle":"","parse-names":false,"suffix":""},{"dropping-particle":"","family":"Avery","given":"A. J.","non-dropping-particle":"","parse-names":false,"suffix":""},{"dropping-particle":"","family":"Duerden","given":"M.","non-dropping-particle":"","parse-names":false,"suffix":""},{"dropping-particle":"","family":"Saunders","given":"C. L.","non-dropping-particle":"","parse-names":false,"suffix":""},{"dropping-particle":"","family":"Simpson","given":"C. R.","non-dropping-particle":"","parse-names":false,"suffix":""},{"dropping-particle":"","family":"Abel","given":"G. A.","non-dropping-particle":"","parse-names":false,"suffix":""}],"container-title":"European Journal of Clinical Pharmacology","id":"ITEM-4","issue":"5","issued":{"date-parts":[["2014"]]},"page":"575-581","title":"Prevalence of polypharmacy in a Scottish primary care population","type":"article-journal","volume":"70"},"uris":["http://www.mendeley.com/documents/?uuid=693caf74-2f47-4d60-85ce-387a43918dc9"]},{"id":"ITEM-5","itemData":{"ISBN":"978-989-207482","author":[{"dropping-particle":"al","family":"Mair","given":"Alpana et","non-dropping-particle":"","parse-names":false,"suffix":""}],"container-title":"The SIMPATHY consortium.","id":"ITEM-5","issued":{"date-parts":[["2017"]]},"publisher":"The SIMPATHY consortium.","title":"Polypharmacy Management by 2030: a patient safety challenge","type":"report"},"uris":["http://www.mendeley.com/documents/?uuid=417647e9-6b55-4dee-a6da-8579db724b76"]},{"id":"ITEM-6","itemData":{"DOI":"10.1007/s11739-016-1451-5","ISSN":"19709366","PMID":"27075646","abstract":"This study aimed</w:instrText>
      </w:r>
      <w:r>
        <w:rPr>
          <w:rFonts w:hint="eastAsia"/>
          <w:sz w:val="18"/>
          <w:szCs w:val="18"/>
        </w:rPr>
        <w:instrText xml:space="preserve"> at verifying the role of polypharmacy as an independent risk factor for adverse health outcomes in older emergency department (ED) patients. This was a large (n = 2057) sample of older ED patients (</w:instrText>
      </w:r>
      <w:r>
        <w:rPr>
          <w:rFonts w:hint="eastAsia"/>
          <w:sz w:val="18"/>
          <w:szCs w:val="18"/>
        </w:rPr>
        <w:instrText>≥</w:instrText>
      </w:r>
      <w:r>
        <w:rPr>
          <w:rFonts w:hint="eastAsia"/>
          <w:sz w:val="18"/>
          <w:szCs w:val="18"/>
        </w:rPr>
        <w:instrText>65 years) participating in an observational cohort stud</w:instrText>
      </w:r>
      <w:r>
        <w:rPr>
          <w:sz w:val="18"/>
          <w:szCs w:val="18"/>
        </w:rPr>
        <w:instrText xml:space="preserve">y. Polypharmacy and excessive polypharmacy were defined as having 6–9 drug prescriptions and 10 or more drug prescriptions in the last 3 months, respectively. The total number of medication prescriptions was also available. Outcome measures were in-hospital mortality; 30-day ED return; ED revisit, hospital admission, and mortality at 6 months. Logistic and Cox regression models as well as receiver operating characteristic curves using the Youden index and the area under the curve were calculated. Polypharmacy and excessive polypharmacy were present in 624 (30.3 %) and 367 (17.8 %) subjects, respectively. The mean number of prescriptions in the last 3 months was 5.7 (range 0–25) drugs. Polypharmacy and, particularly, excessive polypharmacy were constantly and independently associated with worse outcomes. A cut-off of 6 had the highest value of the Youden Index in predicting the majority of the adverse outcomes considered. Polypharmacy and excessive polypharmacy are independent risk factors for adverse health outcomes after an ED visit. Further studies are needed to clarify whether drug related issues (such as non-compliance, inappropriate or suboptimal prescribing, adverse drug reactions, and drug–drug or drug–disease interactions) or underlying multimorbidity and disease severity, as well as clinical complexity and frailty, are responsible for the negative outcomes associated with polypharmacy.","author":[{"dropping-particle":"","family":"Salvi","given":"Fabio","non-dropping-particle":"","parse-names":false,"suffix":""},{"dropping-particle":"","family":"Rossi","given":"Lorena","non-dropping-particle":"","parse-names":false,"suffix":""},{"dropping-particle":"","family":"Lattanzio","given":"Fabrizia","non-dropping-particle":"","parse-names":false,"suffix":""},{"dropping-particle":"","family":"Cherubini","given":"Antonio","non-dropping-particle":"","parse-names":false,"suffix":""}],"container-title":"Internal and Emergency Medicine","id":"ITEM-6","issue":"2","issued":{"date-parts":[["2017"]]},"page":"213-220","publisher":"Springer Milan","title":"Is polypharmacy an independent risk factor for adverse outcomes after an emergency department visit?","type":"article-journal","volume":"12"},"uris":["http://www.mendeley.com/documents/?uuid=777c2f10-a9df-47b0-ae8d-c0aa3924a966"]},{"id":"ITEM-7","itemData":{"DOI":"10.3389/fphar.2021.655364","ISSN":"16639812","abstract":"Introduction: Polypharmacy is a risk factor for adverse health outcomes, higher use of medical services and additional costs. The problem has gained attention as a consequence of aging and related multimorbidity. Therefore, there is an urgent need to adopt effective interventions aimed at reducing its burden. In order to achieve this, in-depth understanding of the prevalence of polypharmacy is required. Of particular interest is, however, assessing prevalence of polypharmacy in various age groups, to reach the right target for these interventions. So far, only limited data on polypharmacy among non-elderly individuals have been available. Aim of study: To assess overall prevalence of polypharmacy in Poland as well as its distribution in various age groups using real-world data. Methodology: A retrospective analysis of complete dispensation data of national payer organization for the years 2018–2019. </w:instrText>
      </w:r>
      <w:r>
        <w:rPr>
          <w:rFonts w:hint="eastAsia"/>
          <w:sz w:val="18"/>
          <w:szCs w:val="18"/>
        </w:rPr>
        <w:instrText xml:space="preserve">The analyzed dataset included data on dispensation of reimbursed drugs, and exclusively for 2019, also non-reimbursed drugs. Polypharmacy was defined as dispensation of </w:instrText>
      </w:r>
      <w:r>
        <w:rPr>
          <w:rFonts w:hint="eastAsia"/>
          <w:sz w:val="18"/>
          <w:szCs w:val="18"/>
        </w:rPr>
        <w:instrText>≥</w:instrText>
      </w:r>
      <w:r>
        <w:rPr>
          <w:rFonts w:hint="eastAsia"/>
          <w:sz w:val="18"/>
          <w:szCs w:val="18"/>
        </w:rPr>
        <w:instrText>5 prescription medications within six months. Results: In the analyzed national cohor</w:instrText>
      </w:r>
      <w:r>
        <w:rPr>
          <w:sz w:val="18"/>
          <w:szCs w:val="18"/>
        </w:rPr>
        <w:instrText>t of 38 million Polish citizens, the prevalence of polypharmacy was found to be 11.7% in 2018 and 11.6% in 2019. With age, the prevalence of polypharmacy increased, reaching the value of 56.0% in those aged 80+ in 2018, and 55.0% in 2019. Altogether, among those aged 65+, the polypharmacy was present in 43.1% in 2018, and 42.1% in 2019. In the youngest group of citizens, i.e., among those aged below 20 years, polypharmacy was found in 0.9%, and 0.8% in 2018 and 2019, respectively. Prevalence of polypharmacy, calculated for 2019 according to dispensation of five or more reimbursed and non-reimbursed drugs for the whole Polish population, was 21.8% for January-June, and 22.4% for July-December 2019. Among those aged 65+, the relevant numbers were 62.3%, and 62.9%, respectively. Conclusion: This study, being the first nationwide assessment of polypharmacy in Poland, confirmed its high prevalence. We found polypharmacy present in over one fifth of Polish society. Peaking in the elderly, polypharmacy occurred in each age group. These results lay the foundations for future interventions focused on reducing the scope of this problem in Poland.","author":[{"dropping-particle":"","family":"Kardas","given":"Przemysław","non-dropping-particle":"","parse-names":false,"suffix":""},{"dropping-particle":"","family":"Urbański","given":"Filip","non-dropping-particle":"","parse-names":false,"suffix":""},{"dropping-particle":"","family":"Lichwierowicz","given":"Aneta","non-dropping-particle":"","parse-names":false,"suffix":""},{"dropping-particle":"","family":"Chudzyńska","given":"Ewa","non-dropping-particle":"","parse-names":false,"suffix":""},{"dropping-particle":"","family":"Kardas","given":"Grzegorz","non-dropping-particle":"","parse-names":false,"suffix":""},{"dropping-particle":"","family":"Czech","given":"Marcin","non-dropping-particle":"","parse-names":false,"suffix":""}],"container-title":"Frontiers in Pharmacology","id":"ITEM-7","issue":"December 2019","issued":{"date-parts":[["2021"]]},"page":"1-9","title":"Prevalence and Age Structure of Polypharmacy in Poland: Results of the Analysis of the National Real-World Database of 38 Million Citizens","type":"article-journal","volume":"12"},"uris":["http://www.mendeley.com/documents/?uuid=3aaf5fb6-3ce9-4b1f-b0c7-b209d6ddc825"]}],"mendeley":{"formattedCitation":"[29–35]","plainTextFormattedCitation":"[29–35]","previouslyFormattedCitation":"[29–35]"},"properties":{"noteIndex":0},"schema":"https://github.com/citation-style-language/schema/raw/master/csl-citation.json"}</w:instrText>
      </w:r>
      <w:r>
        <w:rPr>
          <w:sz w:val="18"/>
          <w:szCs w:val="18"/>
        </w:rPr>
        <w:fldChar w:fldCharType="separate"/>
      </w:r>
      <w:r w:rsidRPr="006D44B0">
        <w:rPr>
          <w:noProof/>
          <w:sz w:val="18"/>
          <w:szCs w:val="18"/>
        </w:rPr>
        <w:t>[29–35]</w:t>
      </w:r>
      <w:r>
        <w:rPr>
          <w:sz w:val="18"/>
          <w:szCs w:val="18"/>
        </w:rPr>
        <w:fldChar w:fldCharType="end"/>
      </w:r>
    </w:p>
    <w:tbl>
      <w:tblPr>
        <w:tblW w:w="9639"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1418"/>
        <w:gridCol w:w="1984"/>
        <w:gridCol w:w="2977"/>
        <w:gridCol w:w="1843"/>
        <w:gridCol w:w="1417"/>
      </w:tblGrid>
      <w:tr w:rsidR="00F400A4" w:rsidRPr="00B23B38" w14:paraId="50F7DADA" w14:textId="77777777" w:rsidTr="00D36E22">
        <w:trPr>
          <w:jc w:val="center"/>
        </w:trPr>
        <w:tc>
          <w:tcPr>
            <w:tcW w:w="1418" w:type="dxa"/>
            <w:tcBorders>
              <w:top w:val="single" w:sz="8" w:space="0" w:color="auto"/>
              <w:bottom w:val="single" w:sz="4" w:space="0" w:color="auto"/>
            </w:tcBorders>
            <w:shd w:val="clear" w:color="auto" w:fill="auto"/>
            <w:vAlign w:val="center"/>
          </w:tcPr>
          <w:p w14:paraId="5DC5723D" w14:textId="77777777" w:rsidR="00F400A4" w:rsidRPr="00B23B38" w:rsidRDefault="00F400A4" w:rsidP="00D36E22">
            <w:pPr>
              <w:pStyle w:val="MDPI42tablebody"/>
              <w:rPr>
                <w:b/>
                <w:bCs/>
                <w:sz w:val="18"/>
                <w:szCs w:val="18"/>
              </w:rPr>
            </w:pPr>
            <w:r w:rsidRPr="00B23B38">
              <w:rPr>
                <w:b/>
                <w:bCs/>
                <w:sz w:val="18"/>
                <w:szCs w:val="18"/>
              </w:rPr>
              <w:t>Prevalence of Polypharmacy</w:t>
            </w:r>
          </w:p>
        </w:tc>
        <w:tc>
          <w:tcPr>
            <w:tcW w:w="1984" w:type="dxa"/>
            <w:tcBorders>
              <w:top w:val="single" w:sz="8" w:space="0" w:color="auto"/>
              <w:bottom w:val="single" w:sz="4" w:space="0" w:color="auto"/>
            </w:tcBorders>
            <w:shd w:val="clear" w:color="auto" w:fill="auto"/>
            <w:vAlign w:val="center"/>
          </w:tcPr>
          <w:p w14:paraId="7ABC8405" w14:textId="77777777" w:rsidR="00F400A4" w:rsidRPr="00B23B38" w:rsidRDefault="00F400A4" w:rsidP="00D36E22">
            <w:pPr>
              <w:pStyle w:val="MDPI42tablebody"/>
              <w:rPr>
                <w:b/>
                <w:bCs/>
                <w:sz w:val="18"/>
                <w:szCs w:val="18"/>
              </w:rPr>
            </w:pPr>
            <w:r w:rsidRPr="00B23B38">
              <w:rPr>
                <w:b/>
                <w:bCs/>
                <w:sz w:val="18"/>
                <w:szCs w:val="18"/>
              </w:rPr>
              <w:t>Classification of Polypharmacy</w:t>
            </w:r>
          </w:p>
        </w:tc>
        <w:tc>
          <w:tcPr>
            <w:tcW w:w="2977" w:type="dxa"/>
            <w:tcBorders>
              <w:top w:val="single" w:sz="8" w:space="0" w:color="auto"/>
              <w:bottom w:val="single" w:sz="4" w:space="0" w:color="auto"/>
            </w:tcBorders>
          </w:tcPr>
          <w:p w14:paraId="2D21A94E" w14:textId="77777777" w:rsidR="00F400A4" w:rsidRPr="00B23B38" w:rsidRDefault="00F400A4" w:rsidP="00D36E22">
            <w:pPr>
              <w:pStyle w:val="MDPI42tablebody"/>
              <w:rPr>
                <w:b/>
                <w:bCs/>
                <w:sz w:val="18"/>
                <w:szCs w:val="18"/>
              </w:rPr>
            </w:pPr>
            <w:r w:rsidRPr="00B23B38">
              <w:rPr>
                <w:b/>
                <w:bCs/>
                <w:sz w:val="18"/>
                <w:szCs w:val="18"/>
              </w:rPr>
              <w:t>Population</w:t>
            </w:r>
          </w:p>
        </w:tc>
        <w:tc>
          <w:tcPr>
            <w:tcW w:w="1843" w:type="dxa"/>
            <w:tcBorders>
              <w:top w:val="single" w:sz="8" w:space="0" w:color="auto"/>
              <w:bottom w:val="single" w:sz="4" w:space="0" w:color="auto"/>
            </w:tcBorders>
          </w:tcPr>
          <w:p w14:paraId="7F68E7FA" w14:textId="77777777" w:rsidR="00F400A4" w:rsidRPr="00B23B38" w:rsidRDefault="00F400A4" w:rsidP="00D36E22">
            <w:pPr>
              <w:pStyle w:val="MDPI42tablebody"/>
              <w:rPr>
                <w:b/>
                <w:bCs/>
                <w:sz w:val="18"/>
                <w:szCs w:val="18"/>
              </w:rPr>
            </w:pPr>
            <w:r w:rsidRPr="00B23B38">
              <w:rPr>
                <w:b/>
                <w:bCs/>
                <w:sz w:val="18"/>
                <w:szCs w:val="18"/>
              </w:rPr>
              <w:t>Country</w:t>
            </w:r>
          </w:p>
        </w:tc>
        <w:tc>
          <w:tcPr>
            <w:tcW w:w="1417" w:type="dxa"/>
            <w:tcBorders>
              <w:top w:val="single" w:sz="8" w:space="0" w:color="auto"/>
              <w:bottom w:val="single" w:sz="4" w:space="0" w:color="auto"/>
            </w:tcBorders>
          </w:tcPr>
          <w:p w14:paraId="76986F6F" w14:textId="77777777" w:rsidR="00F400A4" w:rsidRPr="00B23B38" w:rsidRDefault="00F400A4" w:rsidP="00D36E22">
            <w:pPr>
              <w:pStyle w:val="MDPI42tablebody"/>
              <w:rPr>
                <w:b/>
                <w:bCs/>
                <w:sz w:val="18"/>
                <w:szCs w:val="18"/>
              </w:rPr>
            </w:pPr>
            <w:r w:rsidRPr="00B23B38">
              <w:rPr>
                <w:b/>
                <w:bCs/>
                <w:sz w:val="18"/>
                <w:szCs w:val="18"/>
              </w:rPr>
              <w:t>References</w:t>
            </w:r>
          </w:p>
        </w:tc>
      </w:tr>
      <w:tr w:rsidR="00F400A4" w:rsidRPr="00B23B38" w14:paraId="3C7C283D" w14:textId="77777777" w:rsidTr="00D36E22">
        <w:trPr>
          <w:jc w:val="center"/>
        </w:trPr>
        <w:tc>
          <w:tcPr>
            <w:tcW w:w="1418" w:type="dxa"/>
            <w:tcBorders>
              <w:top w:val="single" w:sz="4" w:space="0" w:color="auto"/>
            </w:tcBorders>
            <w:shd w:val="clear" w:color="auto" w:fill="auto"/>
            <w:vAlign w:val="center"/>
          </w:tcPr>
          <w:p w14:paraId="4F93BBD4" w14:textId="77777777" w:rsidR="00F400A4" w:rsidRPr="00B23B38" w:rsidRDefault="00F400A4" w:rsidP="00D36E22">
            <w:pPr>
              <w:pStyle w:val="MDPI42tablebody"/>
              <w:rPr>
                <w:sz w:val="18"/>
                <w:szCs w:val="18"/>
              </w:rPr>
            </w:pPr>
            <w:r w:rsidRPr="00B23B38">
              <w:rPr>
                <w:sz w:val="18"/>
                <w:szCs w:val="18"/>
              </w:rPr>
              <w:t>25,5%</w:t>
            </w:r>
          </w:p>
        </w:tc>
        <w:tc>
          <w:tcPr>
            <w:tcW w:w="1984" w:type="dxa"/>
            <w:tcBorders>
              <w:top w:val="single" w:sz="4" w:space="0" w:color="auto"/>
              <w:bottom w:val="nil"/>
            </w:tcBorders>
            <w:shd w:val="clear" w:color="auto" w:fill="auto"/>
            <w:vAlign w:val="center"/>
          </w:tcPr>
          <w:p w14:paraId="71999DA9" w14:textId="77777777" w:rsidR="00F400A4" w:rsidRPr="00B23B38" w:rsidRDefault="00F400A4" w:rsidP="00D36E22">
            <w:pPr>
              <w:pStyle w:val="MDPI42tablebody"/>
              <w:rPr>
                <w:sz w:val="18"/>
                <w:szCs w:val="18"/>
              </w:rPr>
            </w:pPr>
            <w:r w:rsidRPr="00B23B38">
              <w:rPr>
                <w:rFonts w:cstheme="minorHAnsi"/>
                <w:sz w:val="18"/>
                <w:szCs w:val="18"/>
                <w:lang w:val="en-GB"/>
              </w:rPr>
              <w:t>five or more medications</w:t>
            </w:r>
          </w:p>
        </w:tc>
        <w:tc>
          <w:tcPr>
            <w:tcW w:w="2977" w:type="dxa"/>
            <w:tcBorders>
              <w:top w:val="single" w:sz="4" w:space="0" w:color="auto"/>
              <w:bottom w:val="nil"/>
            </w:tcBorders>
            <w:vAlign w:val="center"/>
          </w:tcPr>
          <w:p w14:paraId="2D4260F2" w14:textId="77777777" w:rsidR="00F400A4" w:rsidRPr="00B23B38" w:rsidRDefault="00F400A4" w:rsidP="00D36E22">
            <w:pPr>
              <w:pStyle w:val="MDPI42tablebody"/>
              <w:rPr>
                <w:sz w:val="18"/>
                <w:szCs w:val="18"/>
              </w:rPr>
            </w:pPr>
            <w:r w:rsidRPr="00B23B38">
              <w:rPr>
                <w:rFonts w:cstheme="minorHAnsi"/>
                <w:sz w:val="18"/>
                <w:szCs w:val="18"/>
                <w:lang w:val="en-GB"/>
              </w:rPr>
              <w:t>people aged from 65 to 81 years with cardiovascular disease in the population of Lausanne</w:t>
            </w:r>
          </w:p>
        </w:tc>
        <w:tc>
          <w:tcPr>
            <w:tcW w:w="1843" w:type="dxa"/>
            <w:tcBorders>
              <w:top w:val="single" w:sz="4" w:space="0" w:color="auto"/>
              <w:bottom w:val="nil"/>
            </w:tcBorders>
            <w:vAlign w:val="center"/>
          </w:tcPr>
          <w:p w14:paraId="668DE3D3" w14:textId="77777777" w:rsidR="00F400A4" w:rsidRPr="00B23B38" w:rsidRDefault="00F400A4" w:rsidP="00D36E22">
            <w:pPr>
              <w:pStyle w:val="MDPI42tablebody"/>
              <w:rPr>
                <w:sz w:val="18"/>
                <w:szCs w:val="18"/>
              </w:rPr>
            </w:pPr>
            <w:r w:rsidRPr="00B23B38">
              <w:rPr>
                <w:rFonts w:cstheme="minorHAnsi"/>
                <w:sz w:val="18"/>
                <w:szCs w:val="18"/>
                <w:lang w:val="en-GB"/>
              </w:rPr>
              <w:t>Switzerland</w:t>
            </w:r>
          </w:p>
        </w:tc>
        <w:tc>
          <w:tcPr>
            <w:tcW w:w="1417" w:type="dxa"/>
            <w:tcBorders>
              <w:top w:val="single" w:sz="4" w:space="0" w:color="auto"/>
              <w:bottom w:val="nil"/>
            </w:tcBorders>
            <w:vAlign w:val="center"/>
          </w:tcPr>
          <w:p w14:paraId="6C6A1388" w14:textId="77777777" w:rsidR="00F400A4" w:rsidRPr="00B23B38" w:rsidRDefault="00F400A4" w:rsidP="00D36E22">
            <w:pPr>
              <w:pStyle w:val="MDPI42tablebody"/>
              <w:rPr>
                <w:sz w:val="18"/>
                <w:szCs w:val="18"/>
              </w:rPr>
            </w:pPr>
            <w:proofErr w:type="spellStart"/>
            <w:r w:rsidRPr="00B23B38">
              <w:rPr>
                <w:rFonts w:cstheme="minorHAnsi"/>
                <w:sz w:val="18"/>
                <w:szCs w:val="18"/>
                <w:lang w:val="en-GB"/>
              </w:rPr>
              <w:t>CoLaus</w:t>
            </w:r>
            <w:proofErr w:type="spellEnd"/>
            <w:r w:rsidRPr="00B23B38">
              <w:rPr>
                <w:rFonts w:cstheme="minorHAnsi"/>
                <w:sz w:val="18"/>
                <w:szCs w:val="18"/>
                <w:lang w:val="en-GB"/>
              </w:rPr>
              <w:t xml:space="preserve"> study</w:t>
            </w:r>
            <w:r w:rsidRPr="00B23B38">
              <w:rPr>
                <w:sz w:val="18"/>
                <w:szCs w:val="18"/>
              </w:rPr>
              <w:t xml:space="preserve">, 2017 </w:t>
            </w:r>
            <w:r>
              <w:rPr>
                <w:sz w:val="18"/>
                <w:szCs w:val="18"/>
              </w:rPr>
              <w:fldChar w:fldCharType="begin" w:fldLock="1"/>
            </w:r>
            <w:r>
              <w:rPr>
                <w:sz w:val="18"/>
                <w:szCs w:val="18"/>
              </w:rPr>
              <w:instrText>ADDIN CSL_CITATION {"citationItems":[{"id":"ITEM-1","itemData":{"DOI":"10.1186/s12913-017-2793-z","ISSN":"14726963","PMID":"29268737","abstract":"Background: Polypharmacy is a frequent condition, but its prevalence and determinants in the Swiss mid-aged population are unknown. We aimed to evaluate the prevalence and determinants of polypharmacy in a large Swiss mid-aged population-based sample. Methods: Data from 4938 participants of the CoLaus study (53% women, age range 40-81 years) were collected between 2009 and 2012. Polypharmacy was defined by the regular use of five or more drugs. Results: Polypharmacy was reported by 580 participants [11.8%, 95% confidence interval (10.9; 12.6)]. Participants on polypharmacy were significantly older (mean ± standard deviation: 66.0 ± 9.1 vs. 56.6 ± 10.1 years), more frequently obese (35.9% vs. 14.7%), of lower education (66.6% vs. 50.7%) and former smokers (46.7% vs. 36.4%) than participants not on polypharmacy. These findings were confirmed by multivariate analysis: odds ratio and (95% confidence interval) for age groups 50-64 and 65-81 relative to 40-49 years: 2.90 (2.04; 4.12) and 10.3 (7.26; 14.5), respectively, p for trend &lt; 0.001; for low relative to high education: 1.56 (1.17; 2.07); for overweight and obese relative to normal weight participants: 2.09 (1.65; 2.66) and 4.38 (3.39; 5.66), respectively, p for trend &lt; 0.001; for former and current relative to never smokers: 1.42 (1.14, 1.75) and 1.63 (1.25, 2.12), respectively, p for trend &lt; 0.001. Conclusion: One out of nine participants of our sample is on polypharmacy. Increasing age, body mass index, smoking and lower education independently increase the likelihood of being on polypharmacy.","author":[{"dropping-particle":"","family":"Castioni","given":"Julien","non-dropping-particle":"","parse-names":false,"suffix":""},{"dropping-particle":"","family":"Marques-Vidal","given":"Pedro","non-dropping-particle":"","parse-names":false,"suffix":""},{"dropping-particle":"","family":"Abolhassani","given":"Nazanin","non-dropping-particle":"","parse-names":false,"suffix":""},{"dropping-particle":"","family":"Vollenweider","given":"Peter","non-dropping-particle":"","parse-names":false,"suffix":""},{"dropping-particle":"","family":"Waeber","given":"Gérard","non-dropping-particle":"","parse-names":false,"suffix":""}],"container-title":"BMC Health Services Research","id":"ITEM-1","issue":"1","issued":{"date-parts":[["2017"]]},"page":"1-9","publisher":"BMC Health Services Research","title":"Prevalence and determinants of polypharmacy in Switzerland: Data from the CoLaus study","type":"article-journal","volume":"17"},"uris":["http://www.mendeley.com/documents/?uuid=c17e6375-b37c-43c8-99dc-ed9037909317"]}],"mendeley":{"formattedCitation":"[29]","plainTextFormattedCitation":"[29]","previouslyFormattedCitation":"[29]"},"properties":{"noteIndex":0},"schema":"https://github.com/citation-style-language/schema/raw/master/csl-citation.json"}</w:instrText>
            </w:r>
            <w:r>
              <w:rPr>
                <w:sz w:val="18"/>
                <w:szCs w:val="18"/>
              </w:rPr>
              <w:fldChar w:fldCharType="separate"/>
            </w:r>
            <w:r w:rsidRPr="006D44B0">
              <w:rPr>
                <w:noProof/>
                <w:sz w:val="18"/>
                <w:szCs w:val="18"/>
              </w:rPr>
              <w:t>[29]</w:t>
            </w:r>
            <w:r>
              <w:rPr>
                <w:sz w:val="18"/>
                <w:szCs w:val="18"/>
              </w:rPr>
              <w:fldChar w:fldCharType="end"/>
            </w:r>
          </w:p>
        </w:tc>
      </w:tr>
      <w:tr w:rsidR="00F400A4" w:rsidRPr="00B23B38" w14:paraId="6BD3DC18" w14:textId="77777777" w:rsidTr="00D36E22">
        <w:trPr>
          <w:jc w:val="center"/>
        </w:trPr>
        <w:tc>
          <w:tcPr>
            <w:tcW w:w="1418" w:type="dxa"/>
            <w:vMerge w:val="restart"/>
            <w:tcBorders>
              <w:top w:val="single" w:sz="4" w:space="0" w:color="auto"/>
              <w:bottom w:val="nil"/>
            </w:tcBorders>
            <w:shd w:val="clear" w:color="auto" w:fill="auto"/>
            <w:vAlign w:val="center"/>
          </w:tcPr>
          <w:p w14:paraId="0220924B" w14:textId="77777777" w:rsidR="00F400A4" w:rsidRPr="00B23B38" w:rsidRDefault="00F400A4" w:rsidP="00D36E22">
            <w:pPr>
              <w:pStyle w:val="MDPI42tablebody"/>
              <w:rPr>
                <w:sz w:val="18"/>
                <w:szCs w:val="18"/>
              </w:rPr>
            </w:pPr>
            <w:r w:rsidRPr="00B23B38">
              <w:rPr>
                <w:sz w:val="18"/>
                <w:szCs w:val="18"/>
              </w:rPr>
              <w:t>70,22%</w:t>
            </w:r>
          </w:p>
        </w:tc>
        <w:tc>
          <w:tcPr>
            <w:tcW w:w="1984" w:type="dxa"/>
            <w:tcBorders>
              <w:top w:val="single" w:sz="4" w:space="0" w:color="auto"/>
              <w:bottom w:val="nil"/>
            </w:tcBorders>
            <w:shd w:val="clear" w:color="auto" w:fill="auto"/>
            <w:vAlign w:val="center"/>
          </w:tcPr>
          <w:p w14:paraId="3698EA77" w14:textId="77777777" w:rsidR="00F400A4" w:rsidRPr="00B23B38" w:rsidRDefault="00F400A4" w:rsidP="00D36E22">
            <w:pPr>
              <w:pStyle w:val="MDPI42tablebody"/>
              <w:rPr>
                <w:sz w:val="18"/>
                <w:szCs w:val="18"/>
              </w:rPr>
            </w:pPr>
            <w:r w:rsidRPr="00B23B38">
              <w:rPr>
                <w:rFonts w:cstheme="minorHAnsi"/>
                <w:sz w:val="18"/>
                <w:szCs w:val="18"/>
                <w:lang w:val="en-GB"/>
              </w:rPr>
              <w:t>five or more medications daily</w:t>
            </w:r>
          </w:p>
        </w:tc>
        <w:tc>
          <w:tcPr>
            <w:tcW w:w="2977" w:type="dxa"/>
            <w:tcBorders>
              <w:top w:val="single" w:sz="4" w:space="0" w:color="auto"/>
              <w:bottom w:val="nil"/>
            </w:tcBorders>
            <w:vAlign w:val="center"/>
          </w:tcPr>
          <w:p w14:paraId="236798F2" w14:textId="77777777" w:rsidR="00F400A4" w:rsidRPr="00B23B38" w:rsidRDefault="00F400A4" w:rsidP="00D36E22">
            <w:pPr>
              <w:pStyle w:val="MDPI42tablebody"/>
              <w:rPr>
                <w:sz w:val="18"/>
                <w:szCs w:val="18"/>
              </w:rPr>
            </w:pPr>
            <w:r w:rsidRPr="00B23B38">
              <w:rPr>
                <w:rFonts w:cstheme="minorHAnsi"/>
                <w:sz w:val="18"/>
                <w:szCs w:val="18"/>
                <w:lang w:val="en-GB"/>
              </w:rPr>
              <w:t>patients admitted to geriatric and internal medicine acute care ward</w:t>
            </w:r>
            <w:r>
              <w:rPr>
                <w:rFonts w:cstheme="minorHAnsi"/>
                <w:sz w:val="18"/>
                <w:szCs w:val="18"/>
                <w:lang w:val="en-GB"/>
              </w:rPr>
              <w:t>s</w:t>
            </w:r>
            <w:r w:rsidRPr="00B23B38">
              <w:rPr>
                <w:rFonts w:cstheme="minorHAnsi"/>
                <w:sz w:val="18"/>
                <w:szCs w:val="18"/>
                <w:lang w:val="en-GB"/>
              </w:rPr>
              <w:t xml:space="preserve"> of 12 Italian hospitals</w:t>
            </w:r>
          </w:p>
        </w:tc>
        <w:tc>
          <w:tcPr>
            <w:tcW w:w="1843" w:type="dxa"/>
            <w:tcBorders>
              <w:top w:val="single" w:sz="4" w:space="0" w:color="auto"/>
              <w:bottom w:val="nil"/>
            </w:tcBorders>
            <w:vAlign w:val="center"/>
          </w:tcPr>
          <w:p w14:paraId="586351DB" w14:textId="77777777" w:rsidR="00F400A4" w:rsidRPr="00B23B38" w:rsidRDefault="00F400A4" w:rsidP="00D36E22">
            <w:pPr>
              <w:pStyle w:val="MDPI42tablebody"/>
              <w:rPr>
                <w:sz w:val="18"/>
                <w:szCs w:val="18"/>
              </w:rPr>
            </w:pPr>
            <w:r w:rsidRPr="00B23B38">
              <w:rPr>
                <w:sz w:val="18"/>
                <w:szCs w:val="18"/>
              </w:rPr>
              <w:t>Italy</w:t>
            </w:r>
          </w:p>
        </w:tc>
        <w:tc>
          <w:tcPr>
            <w:tcW w:w="1417" w:type="dxa"/>
            <w:tcBorders>
              <w:top w:val="single" w:sz="4" w:space="0" w:color="auto"/>
              <w:bottom w:val="nil"/>
            </w:tcBorders>
            <w:vAlign w:val="center"/>
          </w:tcPr>
          <w:p w14:paraId="75482582" w14:textId="77777777" w:rsidR="00F400A4" w:rsidRPr="00B23B38" w:rsidRDefault="00F400A4" w:rsidP="00D36E22">
            <w:pPr>
              <w:pStyle w:val="MDPI42tablebody"/>
              <w:rPr>
                <w:sz w:val="18"/>
                <w:szCs w:val="18"/>
              </w:rPr>
            </w:pPr>
            <w:r w:rsidRPr="00B23B38">
              <w:rPr>
                <w:rFonts w:cstheme="minorHAnsi"/>
                <w:sz w:val="18"/>
                <w:szCs w:val="18"/>
                <w:lang w:val="en-GB"/>
              </w:rPr>
              <w:t xml:space="preserve">GLISTEN, 2019 </w:t>
            </w:r>
            <w:r>
              <w:rPr>
                <w:rFonts w:cstheme="minorHAnsi"/>
                <w:sz w:val="18"/>
                <w:szCs w:val="18"/>
                <w:lang w:val="en-GB"/>
              </w:rPr>
              <w:fldChar w:fldCharType="begin" w:fldLock="1"/>
            </w:r>
            <w:r>
              <w:rPr>
                <w:rFonts w:cstheme="minorHAnsi"/>
                <w:sz w:val="18"/>
                <w:szCs w:val="18"/>
                <w:lang w:val="en-GB"/>
              </w:rPr>
              <w:instrText>ADDIN CSL_CITATION {"citationItems":[{"id":"ITEM-1","itemData":{"DOI":"10.1007/s40520-019-01136-3","ISBN":"0123456789","ISSN":"17208319","PMID":"30778874","abstract":"Background: Recently the Berlin Aging Study II (BASE-II) showed that polypharmacy is associated with clinically relevant sarcopenia among community-dwelling older persons. Here we report findings from the GLISTEN study about the association of polypharmacy with sarcopenia among older medical in-patients. Methods: The GLISTEN study investigated prevalence and clinical correlates of sarcopenia in older patients admitted to geriatric and internal medicine acute care wards of 12 Italian hospitals. Results: In this sample of older medical in-patients with high prevalence of sarcopenia (34.7%) and polypharmacy (70.2%) we did not observe a significant association of polypharmacy with sarcopenia. Conclusions: Present findings demonstrate that the association of polypharmacy with sarcopenia, observed in the BASE-II study, is not evident in the GLISTEN sample, being our patients significantly older, more multi-morbid, with high prevalence of sarcopenia and polypharmacy, suggesting that this association might vary according to the heterogeneous health, functional, and nutritional characteristics of older people.","author":[{"dropping-particle":"","family":"Agosta","given":"Luca","non-dropping-particle":"","parse-names":false,"suffix":""},{"dropping-particle":"","family":"Bo","given":"Mario","non-dropping-particle":"","parse-names":false,"suffix":""},{"dropping-particle":"","family":"Bianchi","given":"Lara","non-dropping-particle":"","parse-names":false,"suffix":""},{"dropping-particle":"","family":"Abete","given":"Pasquale","non-dropping-particle":"","parse-names":false,"suffix":""},{"dropping-particle":"","family":"Belelli","given":"Giuseppe","non-dropping-particle":"","parse-names":false,"suffix":""},{"dropping-particle":"","family":"Cherubini","given":"Antonio","non-dropping-particle":"","parse-names":false,"suffix":""},{"dropping-particle":"","family":"Corica","given":"Francesco","non-dropping-particle":"","parse-names":false,"suffix":""},{"dropping-particle":"","family":"Bari","given":"Mauro","non-dropping-particle":"Di","parse-names":false,"suffix":""},{"dropping-particle":"","family":"Maggio","given":"Marcello","non-dropping-particle":"","parse-names":false,"suffix":""},{"dropping-particle":"","family":"Manca","given":"Giovanna Maria","non-dropping-particle":"","parse-names":false,"suffix":""},{"dropping-particle":"","family":"Rizzo","given":"Maria Rosaria","non-dropping-particle":"","parse-names":false,"suffix":""},{"dropping-particle":"","family":"Rossi","given":"Andrea","non-dropping-particle":"","parse-names":false,"suffix":""},{"dropping-particle":"","family":"Landi","given":"Francesco","non-dropping-particle":"","parse-names":false,"suffix":""},{"dropping-particle":"","family":"Volpato","given":"Stefano","non-dropping-particle":"","parse-names":false,"suffix":""},{"dropping-particle":"","family":"Brombo","given":"Gloria","non-dropping-particle":"","parse-names":false,"suffix":""},{"dropping-particle":"","family":"Ortolani","given":"Beatrice","non-dropping-particle":"","parse-names":false,"suffix":""},{"dropping-particle":"","family":"Savino","given":"Elisabetta","non-dropping-particle":"","parse-names":false,"suffix":""},{"dropping-particle":"","family":"Maietti","given":"Elisa","non-dropping-particle":"","parse-names":false,"suffix":""},{"dropping-particle":"","family":"Fisichella","given":"Alberto","non-dropping-particle":"","parse-names":false,"suffix":""},{"dropping-particle":"","family":"Buttò","given":"Valeria","non-dropping-particle":"","parse-names":false,"suffix":""},{"dropping-particle":"","family":"Zamboni","given":"Mauro","non-dropping-particle":"","parse-names":false,"suffix":""},{"dropping-particle":"","family":"Caliari","given":"Cesare","non-dropping-particle":"","parse-names":false,"suffix":""},{"dropping-particle":"","family":"Ferrari","given":"Elena","non-dropping-particle":"","parse-names":false,"suffix":""},{"dropping-particle":"","family":"Orso","given":"Francesco","non-dropping-particle":"","parse-names":false,"suffix":""},{"dropping-particle":"","family":"Sacco","given":"Flavia","non-dropping-particle":"","parse-names":false,"suffix":""},{"dropping-particle":"","family":"Di Meo","given":"Laura","non-dropping-particle":"","parse-names":false,"suffix":""},{"dropping-particle":"","family":"Cerri","given":"Anna Paola","non-dropping-particle":"","parse-names":false,"suffix":""},{"dropping-particle":"","family":"Motta","given":"Marco","non-dropping-particle":"","parse-names":false,"suffix":""},{"dropping-particle":"","family":"Pittella","given":"Francesca","non-dropping-particle":"","parse-names":false,"suffix":""},{"dropping-particle":"","family":"Bonfanti","given":"Alessandra","non-dropping-particle":"","parse-names":false,"suffix":""},{"dropping-particle":"","family":"Fusco","given":"Sergio","non-dropping-particle":"","parse-names":false,"suffix":""},{"dropping-particle":"","family":"Prestipino Giarritta","given":"Valeria","non-dropping-particle":"","parse-names":false,"suffix":""},{"dropping-particle":"","family":"Soraci","given":"Luca","non-dropping-particle":"","parse-names":false,"suffix":""},{"dropping-particle":"","family":"Pili","given":"Fausto Giordano","non-dropping-particle":"","parse-names":false,"suffix":""},{"dropping-particle":"","family":"Basile","given":"Claudia","non-dropping-particle":"","parse-names":false,"suffix":""},{"dropping-particle":"","family":"Coppola","given":"Carla","non-dropping-particle":"","parse-names":false,"suffix":""},{"dropping-particle":"","family":"Dalise","given":"Anna Maria","non-dropping-particle":"","parse-names":false,"suffix":""},{"dropping-particle":"","family":"Fava","given":"Ilaria","non-dropping-particle":"","parse-names":false,"suffix":""},{"dropping-particle":"","family":"Catte","given":"Olga","non-dropping-particle":"","parse-names":false,"suffix":""},{"dropping-particle":"","family":"Orrù","given":"Maura","non-dropping-particle":"","parse-names":false,"suffix":""},{"dropping-particle":"","family":"Salaris","given":"Paolo","non-dropping-particle":"","parse-names":false,"suffix":""},{"dropping-particle":"","family":"Martone","given":"Anna Maria","non-dropping-particle":"","parse-names":false,"suffix":""},{"dropping-particle":"","family":"Ortolani","given":"Elena","non-dropping-particle":"","parse-names":false,"suffix":""},{"dropping-particle":"","family":"Salini","given":"Sara","non-dropping-particle":"","parse-names":false,"suffix":""},{"dropping-particle":"","family":"dell’Aquila","given":"Giuseppina","non-dropping-particle":"","parse-names":false,"suffix":""},{"dropping-particle":"","family":"Carrier","given":"Barbara","non-dropping-particle":"","parse-names":false,"suffix":""}],"container-title":"Aging Clinical and Experimental Research","id":"ITEM-1","issue":"4","issued":{"date-parts":[["2019"]]},"page":"557-559","publisher":"Springer International Publishing","title":"Polypharmacy and sarcopenia in hospitalized older patients: results of the GLISTEN study","type":"article-journal","volume":"31"},"uris":["http://www.mendeley.com/documents/?uuid=fae36c7a-e568-43f3-91f6-0a2012055e7c"]}],"mendeley":{"formattedCitation":"[30]","plainTextFormattedCitation":"[30]","previouslyFormattedCitation":"[30]"},"properties":{"noteIndex":0},"schema":"https://github.com/citation-style-language/schema/raw/master/csl-citation.json"}</w:instrText>
            </w:r>
            <w:r>
              <w:rPr>
                <w:rFonts w:cstheme="minorHAnsi"/>
                <w:sz w:val="18"/>
                <w:szCs w:val="18"/>
                <w:lang w:val="en-GB"/>
              </w:rPr>
              <w:fldChar w:fldCharType="separate"/>
            </w:r>
            <w:r w:rsidRPr="006D44B0">
              <w:rPr>
                <w:rFonts w:cstheme="minorHAnsi"/>
                <w:noProof/>
                <w:sz w:val="18"/>
                <w:szCs w:val="18"/>
                <w:lang w:val="en-GB"/>
              </w:rPr>
              <w:t>[30]</w:t>
            </w:r>
            <w:r>
              <w:rPr>
                <w:rFonts w:cstheme="minorHAnsi"/>
                <w:sz w:val="18"/>
                <w:szCs w:val="18"/>
                <w:lang w:val="en-GB"/>
              </w:rPr>
              <w:fldChar w:fldCharType="end"/>
            </w:r>
          </w:p>
        </w:tc>
      </w:tr>
      <w:tr w:rsidR="00F400A4" w:rsidRPr="00B23B38" w14:paraId="601FF797" w14:textId="77777777" w:rsidTr="00D36E22">
        <w:trPr>
          <w:jc w:val="center"/>
        </w:trPr>
        <w:tc>
          <w:tcPr>
            <w:tcW w:w="1418" w:type="dxa"/>
            <w:vMerge/>
            <w:tcBorders>
              <w:top w:val="nil"/>
              <w:bottom w:val="single" w:sz="4" w:space="0" w:color="auto"/>
            </w:tcBorders>
            <w:shd w:val="clear" w:color="auto" w:fill="auto"/>
            <w:vAlign w:val="center"/>
          </w:tcPr>
          <w:p w14:paraId="39AF65E7" w14:textId="77777777" w:rsidR="00F400A4" w:rsidRPr="00B23B38" w:rsidRDefault="00F400A4" w:rsidP="00D36E22">
            <w:pPr>
              <w:pStyle w:val="MDPI42tablebody"/>
              <w:rPr>
                <w:sz w:val="18"/>
                <w:szCs w:val="18"/>
              </w:rPr>
            </w:pPr>
          </w:p>
        </w:tc>
        <w:tc>
          <w:tcPr>
            <w:tcW w:w="1984" w:type="dxa"/>
            <w:tcBorders>
              <w:top w:val="nil"/>
              <w:bottom w:val="single" w:sz="4" w:space="0" w:color="auto"/>
            </w:tcBorders>
            <w:shd w:val="clear" w:color="auto" w:fill="auto"/>
            <w:vAlign w:val="center"/>
          </w:tcPr>
          <w:p w14:paraId="18E51906" w14:textId="77777777" w:rsidR="00F400A4" w:rsidRPr="00B23B38" w:rsidRDefault="00F400A4" w:rsidP="00D36E22">
            <w:pPr>
              <w:pStyle w:val="MDPI42tablebody"/>
              <w:rPr>
                <w:sz w:val="18"/>
                <w:szCs w:val="18"/>
              </w:rPr>
            </w:pPr>
          </w:p>
        </w:tc>
        <w:tc>
          <w:tcPr>
            <w:tcW w:w="2977" w:type="dxa"/>
            <w:tcBorders>
              <w:top w:val="nil"/>
              <w:bottom w:val="single" w:sz="4" w:space="0" w:color="auto"/>
            </w:tcBorders>
            <w:vAlign w:val="center"/>
          </w:tcPr>
          <w:p w14:paraId="27FDC74F" w14:textId="77777777" w:rsidR="00F400A4" w:rsidRPr="00B23B38" w:rsidRDefault="00F400A4" w:rsidP="00D36E22">
            <w:pPr>
              <w:pStyle w:val="MDPI42tablebody"/>
              <w:jc w:val="both"/>
              <w:rPr>
                <w:sz w:val="18"/>
                <w:szCs w:val="18"/>
              </w:rPr>
            </w:pPr>
            <w:r>
              <w:rPr>
                <w:sz w:val="18"/>
                <w:szCs w:val="18"/>
              </w:rPr>
              <w:t xml:space="preserve">          (</w:t>
            </w:r>
            <w:r w:rsidRPr="00322AD2">
              <w:rPr>
                <w:sz w:val="18"/>
                <w:szCs w:val="18"/>
              </w:rPr>
              <w:t>mean age 81 years</w:t>
            </w:r>
            <w:r>
              <w:rPr>
                <w:sz w:val="18"/>
                <w:szCs w:val="18"/>
              </w:rPr>
              <w:t>)</w:t>
            </w:r>
          </w:p>
        </w:tc>
        <w:tc>
          <w:tcPr>
            <w:tcW w:w="1843" w:type="dxa"/>
            <w:tcBorders>
              <w:top w:val="nil"/>
              <w:bottom w:val="single" w:sz="4" w:space="0" w:color="auto"/>
            </w:tcBorders>
            <w:vAlign w:val="center"/>
          </w:tcPr>
          <w:p w14:paraId="4DD3EA28" w14:textId="77777777" w:rsidR="00F400A4" w:rsidRPr="00B23B38" w:rsidRDefault="00F400A4" w:rsidP="00D36E22">
            <w:pPr>
              <w:pStyle w:val="MDPI42tablebody"/>
              <w:jc w:val="both"/>
              <w:rPr>
                <w:sz w:val="18"/>
                <w:szCs w:val="18"/>
              </w:rPr>
            </w:pPr>
          </w:p>
        </w:tc>
        <w:tc>
          <w:tcPr>
            <w:tcW w:w="1417" w:type="dxa"/>
            <w:tcBorders>
              <w:top w:val="nil"/>
              <w:bottom w:val="single" w:sz="4" w:space="0" w:color="auto"/>
            </w:tcBorders>
            <w:vAlign w:val="center"/>
          </w:tcPr>
          <w:p w14:paraId="55CACCCF" w14:textId="77777777" w:rsidR="00F400A4" w:rsidRPr="00B23B38" w:rsidRDefault="00F400A4" w:rsidP="00D36E22">
            <w:pPr>
              <w:pStyle w:val="MDPI42tablebody"/>
              <w:rPr>
                <w:sz w:val="18"/>
                <w:szCs w:val="18"/>
              </w:rPr>
            </w:pPr>
          </w:p>
        </w:tc>
      </w:tr>
      <w:tr w:rsidR="00F400A4" w:rsidRPr="00B23B38" w14:paraId="2B7D32A8" w14:textId="77777777" w:rsidTr="00D36E22">
        <w:trPr>
          <w:jc w:val="center"/>
        </w:trPr>
        <w:tc>
          <w:tcPr>
            <w:tcW w:w="1418" w:type="dxa"/>
            <w:tcBorders>
              <w:top w:val="single" w:sz="4" w:space="0" w:color="auto"/>
              <w:bottom w:val="nil"/>
            </w:tcBorders>
            <w:shd w:val="clear" w:color="auto" w:fill="auto"/>
            <w:vAlign w:val="center"/>
          </w:tcPr>
          <w:p w14:paraId="456A4641" w14:textId="77777777" w:rsidR="00F400A4" w:rsidRPr="00B23B38" w:rsidRDefault="00F400A4" w:rsidP="00D36E22">
            <w:pPr>
              <w:pStyle w:val="MDPI42tablebody"/>
              <w:rPr>
                <w:sz w:val="18"/>
                <w:szCs w:val="18"/>
              </w:rPr>
            </w:pPr>
            <w:r w:rsidRPr="00B23B38">
              <w:rPr>
                <w:sz w:val="18"/>
                <w:szCs w:val="18"/>
              </w:rPr>
              <w:t>44%</w:t>
            </w:r>
          </w:p>
        </w:tc>
        <w:tc>
          <w:tcPr>
            <w:tcW w:w="1984" w:type="dxa"/>
            <w:tcBorders>
              <w:top w:val="single" w:sz="4" w:space="0" w:color="auto"/>
              <w:bottom w:val="nil"/>
            </w:tcBorders>
            <w:shd w:val="clear" w:color="auto" w:fill="auto"/>
            <w:vAlign w:val="center"/>
          </w:tcPr>
          <w:p w14:paraId="191602C2" w14:textId="77777777" w:rsidR="00F400A4" w:rsidRPr="00B23B38" w:rsidRDefault="00F400A4" w:rsidP="00D36E22">
            <w:pPr>
              <w:pStyle w:val="MDPI42tablebody"/>
              <w:rPr>
                <w:sz w:val="18"/>
                <w:szCs w:val="18"/>
                <w:lang w:val="en-GB"/>
              </w:rPr>
            </w:pPr>
            <w:r w:rsidRPr="00B23B38">
              <w:rPr>
                <w:rFonts w:cstheme="minorHAnsi"/>
                <w:sz w:val="18"/>
                <w:szCs w:val="18"/>
                <w:lang w:val="en-GB"/>
              </w:rPr>
              <w:t>plus 5 drugs</w:t>
            </w:r>
          </w:p>
        </w:tc>
        <w:tc>
          <w:tcPr>
            <w:tcW w:w="2977" w:type="dxa"/>
            <w:tcBorders>
              <w:top w:val="single" w:sz="4" w:space="0" w:color="auto"/>
              <w:bottom w:val="nil"/>
            </w:tcBorders>
            <w:vAlign w:val="center"/>
          </w:tcPr>
          <w:p w14:paraId="7C748977" w14:textId="77777777" w:rsidR="00F400A4" w:rsidRDefault="00F400A4" w:rsidP="00D36E22">
            <w:pPr>
              <w:pStyle w:val="MDPI42tablebody"/>
              <w:rPr>
                <w:rFonts w:cstheme="minorHAnsi"/>
                <w:sz w:val="18"/>
                <w:szCs w:val="18"/>
                <w:lang w:val="en-GB"/>
              </w:rPr>
            </w:pPr>
            <w:r w:rsidRPr="00B23B38">
              <w:rPr>
                <w:rFonts w:cstheme="minorHAnsi"/>
                <w:sz w:val="18"/>
                <w:szCs w:val="18"/>
                <w:lang w:val="en-GB"/>
              </w:rPr>
              <w:t>older adults between 2010 and 2013</w:t>
            </w:r>
          </w:p>
          <w:p w14:paraId="1DCA94E4" w14:textId="77777777" w:rsidR="00F400A4" w:rsidRPr="00B23B38" w:rsidRDefault="00F400A4" w:rsidP="00D36E22">
            <w:pPr>
              <w:pStyle w:val="MDPI42tablebody"/>
              <w:rPr>
                <w:sz w:val="18"/>
                <w:szCs w:val="18"/>
                <w:lang w:val="en-GB"/>
              </w:rPr>
            </w:pPr>
            <w:r>
              <w:rPr>
                <w:sz w:val="18"/>
                <w:szCs w:val="18"/>
                <w:lang w:val="en-GB"/>
              </w:rPr>
              <w:t>(</w:t>
            </w:r>
            <w:r w:rsidRPr="00322AD2">
              <w:rPr>
                <w:rFonts w:hint="eastAsia"/>
                <w:sz w:val="18"/>
                <w:szCs w:val="18"/>
                <w:lang w:val="en-GB"/>
              </w:rPr>
              <w:t>aged</w:t>
            </w:r>
            <w:r>
              <w:rPr>
                <w:sz w:val="18"/>
                <w:szCs w:val="18"/>
                <w:lang w:val="en-GB"/>
              </w:rPr>
              <w:t xml:space="preserve"> </w:t>
            </w:r>
            <w:r w:rsidRPr="00322AD2">
              <w:rPr>
                <w:rFonts w:hint="eastAsia"/>
                <w:sz w:val="18"/>
                <w:szCs w:val="18"/>
                <w:lang w:val="en-GB"/>
              </w:rPr>
              <w:t>65</w:t>
            </w:r>
            <w:r>
              <w:rPr>
                <w:sz w:val="18"/>
                <w:szCs w:val="18"/>
                <w:lang w:val="en-GB"/>
              </w:rPr>
              <w:t>+</w:t>
            </w:r>
            <w:r w:rsidRPr="00322AD2">
              <w:rPr>
                <w:rFonts w:hint="eastAsia"/>
                <w:sz w:val="18"/>
                <w:szCs w:val="18"/>
                <w:lang w:val="en-GB"/>
              </w:rPr>
              <w:t xml:space="preserve"> years at baseline</w:t>
            </w:r>
            <w:r>
              <w:rPr>
                <w:sz w:val="18"/>
                <w:szCs w:val="18"/>
                <w:lang w:val="en-GB"/>
              </w:rPr>
              <w:t>)</w:t>
            </w:r>
          </w:p>
        </w:tc>
        <w:tc>
          <w:tcPr>
            <w:tcW w:w="1843" w:type="dxa"/>
            <w:tcBorders>
              <w:top w:val="single" w:sz="4" w:space="0" w:color="auto"/>
              <w:bottom w:val="nil"/>
            </w:tcBorders>
            <w:vAlign w:val="center"/>
          </w:tcPr>
          <w:p w14:paraId="7FBEAFA3" w14:textId="77777777" w:rsidR="00F400A4" w:rsidRPr="00B23B38" w:rsidRDefault="00F400A4" w:rsidP="00D36E22">
            <w:pPr>
              <w:pStyle w:val="MDPI42tablebody"/>
              <w:rPr>
                <w:sz w:val="18"/>
                <w:szCs w:val="18"/>
                <w:lang w:val="en-GB"/>
              </w:rPr>
            </w:pPr>
            <w:r w:rsidRPr="00B23B38">
              <w:rPr>
                <w:sz w:val="18"/>
                <w:szCs w:val="18"/>
                <w:lang w:val="en-GB"/>
              </w:rPr>
              <w:t>Sweden</w:t>
            </w:r>
          </w:p>
        </w:tc>
        <w:tc>
          <w:tcPr>
            <w:tcW w:w="1417" w:type="dxa"/>
            <w:tcBorders>
              <w:top w:val="single" w:sz="4" w:space="0" w:color="auto"/>
              <w:bottom w:val="nil"/>
            </w:tcBorders>
            <w:vAlign w:val="center"/>
          </w:tcPr>
          <w:p w14:paraId="516504FD" w14:textId="77777777" w:rsidR="00F400A4" w:rsidRPr="00B23B38" w:rsidRDefault="00F400A4" w:rsidP="00D36E22">
            <w:pPr>
              <w:pStyle w:val="MDPI42tablebody"/>
              <w:rPr>
                <w:sz w:val="18"/>
                <w:szCs w:val="18"/>
                <w:lang w:val="en-GB"/>
              </w:rPr>
            </w:pPr>
            <w:r w:rsidRPr="00B23B38">
              <w:rPr>
                <w:sz w:val="18"/>
                <w:szCs w:val="18"/>
                <w:lang w:val="en-GB"/>
              </w:rPr>
              <w:t xml:space="preserve">2013 </w:t>
            </w:r>
            <w:r>
              <w:rPr>
                <w:sz w:val="18"/>
                <w:szCs w:val="18"/>
                <w:lang w:val="en-GB"/>
              </w:rPr>
              <w:fldChar w:fldCharType="begin" w:fldLock="1"/>
            </w:r>
            <w:r>
              <w:rPr>
                <w:sz w:val="18"/>
                <w:szCs w:val="18"/>
                <w:lang w:val="en-GB"/>
              </w:rPr>
              <w:instrText>ADDIN CSL_CITATION {"citationItems":[{"id":"ITEM-1","itemData":{"DOI":"10.2147/CLEP.S153458","ISSN":"11791349","abstract":"Objective: Polypharmacy is the concomitant use of several drugs by a single person, and it increases the risk of adverse drug-related events in older adults. Little is known about the epidemiology of polypharmacy at the population level. We aimed to measure the prevalence and incidence of polypharmacy and to investigate the associated factors. Methods: A prospective cohort study was conducted using register data with national coverage in Sweden. A total of 1,742,336 individuals aged ≥65 years at baseline (November 1, 2010) were included and followed until death or the end of the study (December 20, 2013). Results: On average, individuals were exposed to 4.6 (SD =4.0) drugs at baseline. The prevalence of polypharmacy (5+ drugs) was 44.0%, and the prevalence of excessive polypharmacy (10+ drugs) was 11.7%. The incidence rate of polypharmacy among individuals without polypharmacy at baseline was 19.9 per 100 person-years, ranging from 16.8% in individuals aged 65–74 years to 33.2% in those aged ≥95 years (adjusted hazard ratio [HR] =1.49, 95% confidence interval [CI] 1.42–1.56). The incidence rate of excessive polypharmacy was 8.0 per 100 person-years. Older adults using multi-dose dispensing were at significantly higher risk of developing incident polypharmacy compared with those receiving ordinary prescriptions (HR =1.51, 95% CI 1.47–1.55). When adjusting for confounders, living in nursing home was found to be associated with lower risks of incident polypharmacy and incident excessive polypharmacy (HR =0.79 and HR =0.86, p&lt;0.001, respectively). Conclusion: The prevalence and incidence of polypharmacy are high among older adults in Sweden. Interventions aimed at reducing the prevalence of polypharmacy should also target potential incident polypharmacy users as they are the ones who fuel future polypharmacy.","author":[{"dropping-particle":"","family":"Morin","given":"Lucas","non-dropping-particle":"","parse-names":false,"suffix":""},{"dropping-particle":"","family":"Johnell","given":"Kristina","non-dropping-particle":"","parse-names":false,"suffix":""},{"dropping-particle":"","family":"Laroche","given":"Marie Laure","non-dropping-particle":"","parse-names":false,"suffix":""},{"dropping-particle":"","family":"Fastbom","given":"Johan","non-dropping-particle":"","parse-names":false,"suffix":""},{"dropping-particle":"","family":"Wastesson","given":"Jonas W.","non-dropping-particle":"","parse-names":false,"suffix":""}],"container-title":"Clinical Epidemiology","id":"ITEM-1","issued":{"date-parts":[["2018"]]},"page":"289-298","title":"The epidemiology of polypharmacy in older adults: Register-based prospective cohort study","type":"article-journal","volume":"10"},"uris":["http://www.mendeley.com/documents/?uuid=53e23901-5c31-4bb7-9700-0288c4798bf0"]}],"mendeley":{"formattedCitation":"[31]","plainTextFormattedCitation":"[31]","previouslyFormattedCitation":"[31]"},"properties":{"noteIndex":0},"schema":"https://github.com/citation-style-language/schema/raw/master/csl-citation.json"}</w:instrText>
            </w:r>
            <w:r>
              <w:rPr>
                <w:sz w:val="18"/>
                <w:szCs w:val="18"/>
                <w:lang w:val="en-GB"/>
              </w:rPr>
              <w:fldChar w:fldCharType="separate"/>
            </w:r>
            <w:r w:rsidRPr="006D44B0">
              <w:rPr>
                <w:noProof/>
                <w:sz w:val="18"/>
                <w:szCs w:val="18"/>
                <w:lang w:val="en-GB"/>
              </w:rPr>
              <w:t>[31]</w:t>
            </w:r>
            <w:r>
              <w:rPr>
                <w:sz w:val="18"/>
                <w:szCs w:val="18"/>
                <w:lang w:val="en-GB"/>
              </w:rPr>
              <w:fldChar w:fldCharType="end"/>
            </w:r>
          </w:p>
        </w:tc>
      </w:tr>
      <w:tr w:rsidR="00F400A4" w:rsidRPr="00B23B38" w14:paraId="5F292996" w14:textId="77777777" w:rsidTr="00D36E22">
        <w:trPr>
          <w:jc w:val="center"/>
        </w:trPr>
        <w:tc>
          <w:tcPr>
            <w:tcW w:w="1418" w:type="dxa"/>
            <w:tcBorders>
              <w:top w:val="single" w:sz="4" w:space="0" w:color="auto"/>
              <w:bottom w:val="nil"/>
            </w:tcBorders>
            <w:shd w:val="clear" w:color="auto" w:fill="auto"/>
            <w:vAlign w:val="center"/>
          </w:tcPr>
          <w:p w14:paraId="7D0D1B36" w14:textId="77777777" w:rsidR="00F400A4" w:rsidRPr="00B23B38" w:rsidRDefault="00F400A4" w:rsidP="00D36E22">
            <w:pPr>
              <w:pStyle w:val="MDPI42tablebody"/>
              <w:rPr>
                <w:sz w:val="18"/>
                <w:szCs w:val="18"/>
              </w:rPr>
            </w:pPr>
            <w:r w:rsidRPr="00B23B38">
              <w:rPr>
                <w:sz w:val="18"/>
                <w:szCs w:val="18"/>
              </w:rPr>
              <w:t xml:space="preserve">28,6% </w:t>
            </w:r>
          </w:p>
        </w:tc>
        <w:tc>
          <w:tcPr>
            <w:tcW w:w="1984" w:type="dxa"/>
            <w:tcBorders>
              <w:top w:val="single" w:sz="4" w:space="0" w:color="auto"/>
              <w:bottom w:val="nil"/>
            </w:tcBorders>
            <w:shd w:val="clear" w:color="auto" w:fill="auto"/>
            <w:vAlign w:val="center"/>
          </w:tcPr>
          <w:p w14:paraId="7AD9F20E" w14:textId="77777777" w:rsidR="00F400A4" w:rsidRPr="00B23B38" w:rsidRDefault="00F400A4" w:rsidP="00D36E22">
            <w:pPr>
              <w:pStyle w:val="MDPI42tablebody"/>
              <w:rPr>
                <w:sz w:val="18"/>
                <w:szCs w:val="18"/>
              </w:rPr>
            </w:pPr>
            <w:r w:rsidRPr="00B23B38">
              <w:rPr>
                <w:rFonts w:cstheme="minorHAnsi"/>
                <w:sz w:val="18"/>
                <w:szCs w:val="18"/>
                <w:lang w:val="en-GB"/>
              </w:rPr>
              <w:t>4–9 medications</w:t>
            </w:r>
          </w:p>
        </w:tc>
        <w:tc>
          <w:tcPr>
            <w:tcW w:w="2977" w:type="dxa"/>
            <w:tcBorders>
              <w:top w:val="single" w:sz="4" w:space="0" w:color="auto"/>
              <w:bottom w:val="nil"/>
            </w:tcBorders>
            <w:vAlign w:val="center"/>
          </w:tcPr>
          <w:p w14:paraId="162804A4" w14:textId="77777777" w:rsidR="00F400A4" w:rsidRPr="00B23B38" w:rsidRDefault="00F400A4" w:rsidP="00D36E22">
            <w:pPr>
              <w:pStyle w:val="MDPI42tablebody"/>
              <w:rPr>
                <w:sz w:val="18"/>
                <w:szCs w:val="18"/>
              </w:rPr>
            </w:pPr>
            <w:r w:rsidRPr="00B23B38">
              <w:rPr>
                <w:rFonts w:cstheme="minorHAnsi"/>
                <w:sz w:val="18"/>
                <w:szCs w:val="18"/>
                <w:lang w:val="en-GB"/>
              </w:rPr>
              <w:t>adult electronic primary healthcare records from Scotland, adults aged 60–69 years</w:t>
            </w:r>
          </w:p>
        </w:tc>
        <w:tc>
          <w:tcPr>
            <w:tcW w:w="1843" w:type="dxa"/>
            <w:tcBorders>
              <w:top w:val="single" w:sz="4" w:space="0" w:color="auto"/>
              <w:bottom w:val="nil"/>
            </w:tcBorders>
            <w:vAlign w:val="center"/>
          </w:tcPr>
          <w:p w14:paraId="1846BD4E" w14:textId="77777777" w:rsidR="00F400A4" w:rsidRPr="00B23B38" w:rsidRDefault="00F400A4" w:rsidP="00D36E22">
            <w:pPr>
              <w:pStyle w:val="MDPI42tablebody"/>
              <w:rPr>
                <w:sz w:val="18"/>
                <w:szCs w:val="18"/>
              </w:rPr>
            </w:pPr>
            <w:r w:rsidRPr="00B23B38">
              <w:rPr>
                <w:sz w:val="18"/>
                <w:szCs w:val="18"/>
              </w:rPr>
              <w:t>Scotland</w:t>
            </w:r>
          </w:p>
        </w:tc>
        <w:tc>
          <w:tcPr>
            <w:tcW w:w="1417" w:type="dxa"/>
            <w:tcBorders>
              <w:top w:val="single" w:sz="4" w:space="0" w:color="auto"/>
              <w:bottom w:val="nil"/>
            </w:tcBorders>
            <w:vAlign w:val="center"/>
          </w:tcPr>
          <w:p w14:paraId="6CD915E0" w14:textId="77777777" w:rsidR="00F400A4" w:rsidRPr="00B23B38" w:rsidRDefault="00F400A4" w:rsidP="00D36E22">
            <w:pPr>
              <w:pStyle w:val="MDPI42tablebody"/>
              <w:rPr>
                <w:sz w:val="18"/>
                <w:szCs w:val="18"/>
              </w:rPr>
            </w:pPr>
            <w:r>
              <w:rPr>
                <w:sz w:val="18"/>
                <w:szCs w:val="18"/>
              </w:rPr>
              <w:t xml:space="preserve">2014 </w:t>
            </w:r>
            <w:r>
              <w:rPr>
                <w:sz w:val="18"/>
                <w:szCs w:val="18"/>
              </w:rPr>
              <w:fldChar w:fldCharType="begin" w:fldLock="1"/>
            </w:r>
            <w:r>
              <w:rPr>
                <w:sz w:val="18"/>
                <w:szCs w:val="18"/>
              </w:rPr>
              <w:instrText>ADDIN CSL_CITATION {"citationItems":[{"id":"ITEM-1","itemData":{"DOI":"10.1007/s00228-013-1639-9","ISBN":"0022801316","ISSN":"14321041","PMID":"24487416","abstract":"Purpose: Polypharmacy - the use of multiple medications by a single patient - is an important issue associated with various adverse clinical outcomes and rising costs. It is also a topic rarely addressed by clinical guidelines. We used routine Scottish health records to address the lack of data on the prevalence of polypharmacy in the broader, adult primary care population, particularly in relation to long-term conditions. Methods: We conducted a cross-sectional analysis of adult electronic primary healthcare records and used linear regression models to examine the association between the number of medicines prescribed regularly and both multimorbidity and specific clinical conditions, adjusting for age, gender and socioeconomic deprivation. Results: Overall, 16.9 % of the adults assessed were receiving four to nine medications, and 4.6 % were receiving ten or more medications, increasing with age (28.6 and 7.4 %, respectively, in those aged 60-69 years; 51.8 and 18.6 %, respectively, in those aged 80 years), but relatively unaffected by gender or deprivation. Of those patients with two clinical conditions, 20.8 % were receiving four to nine medications, and 1.1 % were receiving ten or more medications; in those patients with six or more comorbidities, these values were 47.7 and 41.7 %, respectively. The number of medications varied considerably between clinical conditions, with cardiovascular conditions associated with the greatest number of additional medications. The accumulation of additional medicines was less with concordant conditions. Conclusions: Polypharmacy is common in UK primary care. The main factor associated with this is multimorbidity, although considerable variation exists between different conditions. The impact of clinical conditions on the number of medicines is generally less in the presence of co-existing concordant conditions. © 2014 Springer-Verlag Berlin Heidelberg.","author":[{"dropping-particle":"","family":"Payne","given":"R. A.","non-dropping-particle":"","parse-names":false,"suffix":""},{"dropping-particle":"","family":"Avery","given":"A. J.","non-dropping-particle":"","parse-names":false,"suffix":""},{"dropping-particle":"","family":"Duerden","given":"M.","non-dropping-particle":"","parse-names":false,"suffix":""},{"dropping-particle":"","family":"Saunders","given":"C. L.","non-dropping-particle":"","parse-names":false,"suffix":""},{"dropping-particle":"","family":"Simpson","given":"C. R.","non-dropping-particle":"","parse-names":false,"suffix":""},{"dropping-particle":"","family":"Abel","given":"G. A.","non-dropping-particle":"","parse-names":false,"suffix":""}],"container-title":"European Journal of Clinical Pharmacology","id":"ITEM-1","issue":"5","issued":{"date-parts":[["2014"]]},"page":"575-581","title":"Prevalence of polypharmacy in a Scottish primary care population","type":"article-journal","volume":"70"},"uris":["http://www.mendeley.com/documents/?uuid=693caf74-2f47-4d60-85ce-387a43918dc9"]}],"mendeley":{"formattedCitation":"[32]","plainTextFormattedCitation":"[32]","previouslyFormattedCitation":"[32]"},"properties":{"noteIndex":0},"schema":"https://github.com/citation-style-language/schema/raw/master/csl-citation.json"}</w:instrText>
            </w:r>
            <w:r>
              <w:rPr>
                <w:sz w:val="18"/>
                <w:szCs w:val="18"/>
              </w:rPr>
              <w:fldChar w:fldCharType="separate"/>
            </w:r>
            <w:r w:rsidRPr="006D44B0">
              <w:rPr>
                <w:noProof/>
                <w:sz w:val="18"/>
                <w:szCs w:val="18"/>
              </w:rPr>
              <w:t>[32]</w:t>
            </w:r>
            <w:r>
              <w:rPr>
                <w:sz w:val="18"/>
                <w:szCs w:val="18"/>
              </w:rPr>
              <w:fldChar w:fldCharType="end"/>
            </w:r>
          </w:p>
        </w:tc>
      </w:tr>
      <w:tr w:rsidR="00F400A4" w:rsidRPr="00B23B38" w14:paraId="3D816912" w14:textId="77777777" w:rsidTr="00D36E22">
        <w:trPr>
          <w:jc w:val="center"/>
        </w:trPr>
        <w:tc>
          <w:tcPr>
            <w:tcW w:w="1418" w:type="dxa"/>
            <w:tcBorders>
              <w:top w:val="single" w:sz="4" w:space="0" w:color="auto"/>
            </w:tcBorders>
            <w:shd w:val="clear" w:color="auto" w:fill="auto"/>
            <w:vAlign w:val="center"/>
          </w:tcPr>
          <w:p w14:paraId="492D3908" w14:textId="77777777" w:rsidR="00F400A4" w:rsidRPr="00B23B38" w:rsidRDefault="00F400A4" w:rsidP="00D36E22">
            <w:pPr>
              <w:pStyle w:val="MDPI42tablebody"/>
              <w:rPr>
                <w:sz w:val="18"/>
                <w:szCs w:val="18"/>
              </w:rPr>
            </w:pPr>
            <w:r w:rsidRPr="00B23B38">
              <w:rPr>
                <w:sz w:val="18"/>
                <w:szCs w:val="18"/>
              </w:rPr>
              <w:t>51,8%</w:t>
            </w:r>
          </w:p>
        </w:tc>
        <w:tc>
          <w:tcPr>
            <w:tcW w:w="1984" w:type="dxa"/>
            <w:tcBorders>
              <w:top w:val="single" w:sz="4" w:space="0" w:color="auto"/>
              <w:bottom w:val="nil"/>
            </w:tcBorders>
            <w:shd w:val="clear" w:color="auto" w:fill="auto"/>
            <w:vAlign w:val="center"/>
          </w:tcPr>
          <w:p w14:paraId="66F1C411" w14:textId="77777777" w:rsidR="00F400A4" w:rsidRPr="00B23B38" w:rsidRDefault="00F400A4" w:rsidP="00D36E22">
            <w:pPr>
              <w:pStyle w:val="MDPI42tablebody"/>
              <w:rPr>
                <w:sz w:val="18"/>
                <w:szCs w:val="18"/>
              </w:rPr>
            </w:pPr>
            <w:r w:rsidRPr="00B23B38">
              <w:rPr>
                <w:rFonts w:cstheme="minorHAnsi"/>
                <w:sz w:val="18"/>
                <w:szCs w:val="18"/>
                <w:lang w:val="en-GB"/>
              </w:rPr>
              <w:t>4–9 medications</w:t>
            </w:r>
          </w:p>
        </w:tc>
        <w:tc>
          <w:tcPr>
            <w:tcW w:w="2977" w:type="dxa"/>
            <w:tcBorders>
              <w:top w:val="single" w:sz="4" w:space="0" w:color="auto"/>
              <w:bottom w:val="nil"/>
            </w:tcBorders>
            <w:vAlign w:val="center"/>
          </w:tcPr>
          <w:p w14:paraId="63FBAA0C" w14:textId="77777777" w:rsidR="00F400A4" w:rsidRPr="00B23B38" w:rsidRDefault="00F400A4" w:rsidP="00D36E22">
            <w:pPr>
              <w:pStyle w:val="MDPI42tablebody"/>
              <w:rPr>
                <w:sz w:val="18"/>
                <w:szCs w:val="18"/>
              </w:rPr>
            </w:pPr>
            <w:r w:rsidRPr="00B23B38">
              <w:rPr>
                <w:rFonts w:cstheme="minorHAnsi"/>
                <w:sz w:val="18"/>
                <w:szCs w:val="18"/>
                <w:lang w:val="en-GB"/>
              </w:rPr>
              <w:t>people aged 80+ years with cardiovascular disease in the population of Lausanne</w:t>
            </w:r>
          </w:p>
        </w:tc>
        <w:tc>
          <w:tcPr>
            <w:tcW w:w="1843" w:type="dxa"/>
            <w:tcBorders>
              <w:top w:val="single" w:sz="4" w:space="0" w:color="auto"/>
              <w:bottom w:val="nil"/>
            </w:tcBorders>
            <w:vAlign w:val="center"/>
          </w:tcPr>
          <w:p w14:paraId="48B78173" w14:textId="77777777" w:rsidR="00F400A4" w:rsidRPr="00B23B38" w:rsidRDefault="00F400A4" w:rsidP="00D36E22">
            <w:pPr>
              <w:pStyle w:val="MDPI42tablebody"/>
              <w:rPr>
                <w:sz w:val="18"/>
                <w:szCs w:val="18"/>
              </w:rPr>
            </w:pPr>
            <w:r w:rsidRPr="00B23B38">
              <w:rPr>
                <w:rFonts w:cstheme="minorHAnsi"/>
                <w:sz w:val="18"/>
                <w:szCs w:val="18"/>
                <w:lang w:val="en-GB"/>
              </w:rPr>
              <w:t>Scotland</w:t>
            </w:r>
          </w:p>
        </w:tc>
        <w:tc>
          <w:tcPr>
            <w:tcW w:w="1417" w:type="dxa"/>
            <w:tcBorders>
              <w:top w:val="single" w:sz="4" w:space="0" w:color="auto"/>
              <w:bottom w:val="nil"/>
            </w:tcBorders>
            <w:vAlign w:val="center"/>
          </w:tcPr>
          <w:p w14:paraId="42EDF29E" w14:textId="77777777" w:rsidR="00F400A4" w:rsidRPr="00B23B38" w:rsidRDefault="00F400A4" w:rsidP="00D36E22">
            <w:pPr>
              <w:pStyle w:val="MDPI42tablebody"/>
              <w:rPr>
                <w:sz w:val="18"/>
                <w:szCs w:val="18"/>
              </w:rPr>
            </w:pPr>
            <w:r>
              <w:rPr>
                <w:sz w:val="18"/>
                <w:szCs w:val="18"/>
              </w:rPr>
              <w:t xml:space="preserve">2014 </w:t>
            </w:r>
            <w:r>
              <w:rPr>
                <w:sz w:val="18"/>
                <w:szCs w:val="18"/>
              </w:rPr>
              <w:fldChar w:fldCharType="begin" w:fldLock="1"/>
            </w:r>
            <w:r>
              <w:rPr>
                <w:sz w:val="18"/>
                <w:szCs w:val="18"/>
              </w:rPr>
              <w:instrText>ADDIN CSL_CITATION {"citationItems":[{"id":"ITEM-1","itemData":{"DOI":"10.1007/s00228-013-1639-9","ISBN":"0022801316","ISSN":"14321041","PMID":"24487416","abstract":"Purpose: Polypharmacy - the use of multiple medications by a single patient - is an important issue associated with various adverse clinical outcomes and rising costs. It is also a topic rarely addressed by clinical guidelines. We used routine Scottish health records to address the lack of data on the prevalence of polypharmacy in the broader, adult primary care population, particularly in relation to long-term conditions. Methods: We conducted a cross-sectional analysis of adult electronic primary healthcare records and used linear regression models to examine the association between the number of medicines prescribed regularly and both multimorbidity and specific clinical conditions, adjusting for age, gender and socioeconomic deprivation. Results: Overall, 16.9 % of the adults assessed were receiving four to nine medications, and 4.6 % were receiving ten or more medications, increasing with age (28.6 and 7.4 %, respectively, in those aged 60-69 years; 51.8 and 18.6 %, respectively, in those aged 80 years), but relatively unaffected by gender or deprivation. Of those patients with two clinical conditions, 20.8 % were receiving four to nine medications, and 1.1 % were receiving ten or more medications; in those patients with six or more comorbidities, these values were 47.7 and 41.7 %, respectively. The number of medications varied considerably between clinical conditions, with cardiovascular conditions associated with the greatest number of additional medications. The accumulation of additional medicines was less with concordant conditions. Conclusions: Polypharmacy is common in UK primary care. The main factor associated with this is multimorbidity, although considerable variation exists between different conditions. The impact of clinical conditions on the number of medicines is generally less in the presence of co-existing concordant conditions. © 2014 Springer-Verlag Berlin Heidelberg.","author":[{"dropping-particle":"","family":"Payne","given":"R. A.","non-dropping-particle":"","parse-names":false,"suffix":""},{"dropping-particle":"","family":"Avery","given":"A. J.","non-dropping-particle":"","parse-names":false,"suffix":""},{"dropping-particle":"","family":"Duerden","given":"M.","non-dropping-particle":"","parse-names":false,"suffix":""},{"dropping-particle":"","family":"Saunders","given":"C. L.","non-dropping-particle":"","parse-names":false,"suffix":""},{"dropping-particle":"","family":"Simpson","given":"C. R.","non-dropping-particle":"","parse-names":false,"suffix":""},{"dropping-particle":"","family":"Abel","given":"G. A.","non-dropping-particle":"","parse-names":false,"suffix":""}],"container-title":"European Journal of Clinical Pharmacology","id":"ITEM-1","issue":"5","issued":{"date-parts":[["2014"]]},"page":"575-581","title":"Prevalence of polypharmacy in a Scottish primary care population","type":"article-journal","volume":"70"},"uris":["http://www.mendeley.com/documents/?uuid=693caf74-2f47-4d60-85ce-387a43918dc9"]}],"mendeley":{"formattedCitation":"[32]","plainTextFormattedCitation":"[32]","previouslyFormattedCitation":"[32]"},"properties":{"noteIndex":0},"schema":"https://github.com/citation-style-language/schema/raw/master/csl-citation.json"}</w:instrText>
            </w:r>
            <w:r>
              <w:rPr>
                <w:sz w:val="18"/>
                <w:szCs w:val="18"/>
              </w:rPr>
              <w:fldChar w:fldCharType="separate"/>
            </w:r>
            <w:r w:rsidRPr="006D44B0">
              <w:rPr>
                <w:noProof/>
                <w:sz w:val="18"/>
                <w:szCs w:val="18"/>
              </w:rPr>
              <w:t>[32]</w:t>
            </w:r>
            <w:r>
              <w:rPr>
                <w:sz w:val="18"/>
                <w:szCs w:val="18"/>
              </w:rPr>
              <w:fldChar w:fldCharType="end"/>
            </w:r>
          </w:p>
        </w:tc>
      </w:tr>
      <w:tr w:rsidR="00F400A4" w:rsidRPr="00B23B38" w14:paraId="21E07DBA" w14:textId="77777777" w:rsidTr="00D36E22">
        <w:trPr>
          <w:jc w:val="center"/>
        </w:trPr>
        <w:tc>
          <w:tcPr>
            <w:tcW w:w="1418" w:type="dxa"/>
            <w:tcBorders>
              <w:top w:val="single" w:sz="4" w:space="0" w:color="auto"/>
              <w:bottom w:val="nil"/>
            </w:tcBorders>
            <w:shd w:val="clear" w:color="auto" w:fill="auto"/>
            <w:vAlign w:val="center"/>
          </w:tcPr>
          <w:p w14:paraId="28A8B0EE" w14:textId="77777777" w:rsidR="00F400A4" w:rsidRPr="00B23B38" w:rsidRDefault="00F400A4" w:rsidP="00D36E22">
            <w:pPr>
              <w:pStyle w:val="MDPI42tablebody"/>
              <w:rPr>
                <w:sz w:val="18"/>
                <w:szCs w:val="18"/>
              </w:rPr>
            </w:pPr>
            <w:r w:rsidRPr="00B23B38">
              <w:rPr>
                <w:sz w:val="18"/>
                <w:szCs w:val="18"/>
              </w:rPr>
              <w:t>6-36%</w:t>
            </w:r>
          </w:p>
        </w:tc>
        <w:tc>
          <w:tcPr>
            <w:tcW w:w="1984" w:type="dxa"/>
            <w:tcBorders>
              <w:top w:val="single" w:sz="4" w:space="0" w:color="auto"/>
              <w:bottom w:val="nil"/>
            </w:tcBorders>
            <w:shd w:val="clear" w:color="auto" w:fill="auto"/>
            <w:vAlign w:val="center"/>
          </w:tcPr>
          <w:p w14:paraId="6A9868AF" w14:textId="77777777" w:rsidR="00F400A4" w:rsidRPr="00B23B38" w:rsidRDefault="00F400A4" w:rsidP="00D36E22">
            <w:pPr>
              <w:pStyle w:val="MDPI42tablebody"/>
              <w:rPr>
                <w:sz w:val="18"/>
                <w:szCs w:val="18"/>
              </w:rPr>
            </w:pPr>
            <w:r w:rsidRPr="00B23B38">
              <w:rPr>
                <w:rFonts w:cstheme="minorHAnsi"/>
                <w:sz w:val="18"/>
                <w:szCs w:val="18"/>
                <w:lang w:val="en-GB"/>
              </w:rPr>
              <w:t>ten or more medications</w:t>
            </w:r>
          </w:p>
        </w:tc>
        <w:tc>
          <w:tcPr>
            <w:tcW w:w="2977" w:type="dxa"/>
            <w:tcBorders>
              <w:top w:val="single" w:sz="4" w:space="0" w:color="auto"/>
              <w:bottom w:val="nil"/>
            </w:tcBorders>
            <w:vAlign w:val="center"/>
          </w:tcPr>
          <w:p w14:paraId="73F4F3B0" w14:textId="77777777" w:rsidR="00F400A4" w:rsidRDefault="00F400A4" w:rsidP="00D36E22">
            <w:pPr>
              <w:pStyle w:val="MDPI42tablebody"/>
              <w:rPr>
                <w:rFonts w:cstheme="minorHAnsi"/>
                <w:sz w:val="18"/>
                <w:szCs w:val="18"/>
                <w:lang w:val="en-GB"/>
              </w:rPr>
            </w:pPr>
            <w:r w:rsidRPr="00B23B38">
              <w:rPr>
                <w:rFonts w:cstheme="minorHAnsi"/>
                <w:sz w:val="18"/>
                <w:szCs w:val="18"/>
                <w:lang w:val="en-GB"/>
              </w:rPr>
              <w:t>older adults</w:t>
            </w:r>
          </w:p>
          <w:p w14:paraId="17359948" w14:textId="77777777" w:rsidR="00F400A4" w:rsidRPr="00B23B38" w:rsidRDefault="00F400A4" w:rsidP="00D36E22">
            <w:pPr>
              <w:pStyle w:val="MDPI42tablebody"/>
              <w:rPr>
                <w:sz w:val="18"/>
                <w:szCs w:val="18"/>
              </w:rPr>
            </w:pPr>
            <w:r>
              <w:rPr>
                <w:sz w:val="18"/>
                <w:szCs w:val="18"/>
              </w:rPr>
              <w:t>(</w:t>
            </w:r>
            <w:r w:rsidRPr="00322AD2">
              <w:rPr>
                <w:rFonts w:hint="eastAsia"/>
                <w:sz w:val="18"/>
                <w:szCs w:val="18"/>
                <w:lang w:val="en-GB"/>
              </w:rPr>
              <w:t>65</w:t>
            </w:r>
            <w:r>
              <w:rPr>
                <w:sz w:val="18"/>
                <w:szCs w:val="18"/>
                <w:lang w:val="en-GB"/>
              </w:rPr>
              <w:t>+</w:t>
            </w:r>
            <w:r w:rsidRPr="00322AD2">
              <w:rPr>
                <w:rFonts w:hint="eastAsia"/>
                <w:sz w:val="18"/>
                <w:szCs w:val="18"/>
                <w:lang w:val="en-GB"/>
              </w:rPr>
              <w:t xml:space="preserve"> years</w:t>
            </w:r>
            <w:r>
              <w:rPr>
                <w:sz w:val="18"/>
                <w:szCs w:val="18"/>
                <w:lang w:val="en-GB"/>
              </w:rPr>
              <w:t>)</w:t>
            </w:r>
          </w:p>
        </w:tc>
        <w:tc>
          <w:tcPr>
            <w:tcW w:w="1843" w:type="dxa"/>
            <w:tcBorders>
              <w:top w:val="single" w:sz="4" w:space="0" w:color="auto"/>
              <w:bottom w:val="nil"/>
            </w:tcBorders>
            <w:vAlign w:val="center"/>
          </w:tcPr>
          <w:p w14:paraId="7E4619D2" w14:textId="77777777" w:rsidR="00F400A4" w:rsidRPr="00B23B38" w:rsidRDefault="00F400A4" w:rsidP="00D36E22">
            <w:pPr>
              <w:pStyle w:val="MDPI42tablebody"/>
              <w:rPr>
                <w:sz w:val="18"/>
                <w:szCs w:val="18"/>
              </w:rPr>
            </w:pPr>
            <w:r w:rsidRPr="00B23B38">
              <w:rPr>
                <w:sz w:val="18"/>
                <w:szCs w:val="18"/>
              </w:rPr>
              <w:t>EU</w:t>
            </w:r>
          </w:p>
        </w:tc>
        <w:tc>
          <w:tcPr>
            <w:tcW w:w="1417" w:type="dxa"/>
            <w:tcBorders>
              <w:top w:val="single" w:sz="4" w:space="0" w:color="auto"/>
              <w:bottom w:val="nil"/>
            </w:tcBorders>
            <w:vAlign w:val="center"/>
          </w:tcPr>
          <w:p w14:paraId="6259961B" w14:textId="77777777" w:rsidR="00F400A4" w:rsidRPr="00B23B38" w:rsidRDefault="00F400A4" w:rsidP="00D36E22">
            <w:pPr>
              <w:pStyle w:val="MDPI42tablebody"/>
              <w:rPr>
                <w:sz w:val="18"/>
                <w:szCs w:val="18"/>
              </w:rPr>
            </w:pPr>
            <w:r w:rsidRPr="00B23B38">
              <w:rPr>
                <w:rFonts w:cstheme="minorHAnsi"/>
                <w:sz w:val="18"/>
                <w:szCs w:val="18"/>
                <w:lang w:val="en-GB"/>
              </w:rPr>
              <w:t>SIMPATHY project, 2017</w:t>
            </w:r>
            <w:r>
              <w:rPr>
                <w:rFonts w:cstheme="minorHAnsi"/>
                <w:sz w:val="18"/>
                <w:szCs w:val="18"/>
                <w:lang w:val="en-GB"/>
              </w:rPr>
              <w:t xml:space="preserve"> </w:t>
            </w:r>
            <w:r>
              <w:rPr>
                <w:rFonts w:cstheme="minorHAnsi"/>
                <w:sz w:val="18"/>
                <w:szCs w:val="18"/>
                <w:lang w:val="en-GB"/>
              </w:rPr>
              <w:fldChar w:fldCharType="begin" w:fldLock="1"/>
            </w:r>
            <w:r>
              <w:rPr>
                <w:rFonts w:cstheme="minorHAnsi"/>
                <w:sz w:val="18"/>
                <w:szCs w:val="18"/>
                <w:lang w:val="en-GB"/>
              </w:rPr>
              <w:instrText>ADDIN CSL_CITATION {"citationItems":[{"id":"ITEM-1","itemData":{"ISBN":"978-989-207482","author":[{"dropping-particle":"al","family":"Mair","given":"Alpana et","non-dropping-particle":"","parse-names":false,"suffix":""}],"container-title":"The SIMPATHY consortium.","id":"ITEM-1","issued":{"date-parts":[["2017"]]},"publisher":"The SIMPATHY consortium.","title":"Polypharmacy Management by 2030: a patient safety challenge","type":"report"},"uris":["http://www.mendeley.com/documents/?uuid=417647e9-6b55-4dee-a6da-8579db724b76"]}],"mendeley":{"formattedCitation":"[33]","plainTextFormattedCitation":"[33]","previouslyFormattedCitation":"[33]"},"properties":{"noteIndex":0},"schema":"https://github.com/citation-style-language/schema/raw/master/csl-citation.json"}</w:instrText>
            </w:r>
            <w:r>
              <w:rPr>
                <w:rFonts w:cstheme="minorHAnsi"/>
                <w:sz w:val="18"/>
                <w:szCs w:val="18"/>
                <w:lang w:val="en-GB"/>
              </w:rPr>
              <w:fldChar w:fldCharType="separate"/>
            </w:r>
            <w:r w:rsidRPr="006D44B0">
              <w:rPr>
                <w:rFonts w:cstheme="minorHAnsi"/>
                <w:noProof/>
                <w:sz w:val="18"/>
                <w:szCs w:val="18"/>
                <w:lang w:val="en-GB"/>
              </w:rPr>
              <w:t>[33]</w:t>
            </w:r>
            <w:r>
              <w:rPr>
                <w:rFonts w:cstheme="minorHAnsi"/>
                <w:sz w:val="18"/>
                <w:szCs w:val="18"/>
                <w:lang w:val="en-GB"/>
              </w:rPr>
              <w:fldChar w:fldCharType="end"/>
            </w:r>
          </w:p>
        </w:tc>
      </w:tr>
      <w:tr w:rsidR="00F400A4" w:rsidRPr="00B23B38" w14:paraId="526D6501" w14:textId="77777777" w:rsidTr="00D36E22">
        <w:trPr>
          <w:jc w:val="center"/>
        </w:trPr>
        <w:tc>
          <w:tcPr>
            <w:tcW w:w="1418" w:type="dxa"/>
            <w:tcBorders>
              <w:top w:val="single" w:sz="4" w:space="0" w:color="auto"/>
              <w:bottom w:val="single" w:sz="4" w:space="0" w:color="auto"/>
            </w:tcBorders>
            <w:shd w:val="clear" w:color="auto" w:fill="auto"/>
            <w:vAlign w:val="center"/>
          </w:tcPr>
          <w:p w14:paraId="3C43FBF9" w14:textId="77777777" w:rsidR="00F400A4" w:rsidRPr="00B23B38" w:rsidRDefault="00F400A4" w:rsidP="00D36E22">
            <w:pPr>
              <w:pStyle w:val="MDPI42tablebody"/>
              <w:rPr>
                <w:sz w:val="18"/>
                <w:szCs w:val="18"/>
              </w:rPr>
            </w:pPr>
            <w:r w:rsidRPr="00B23B38">
              <w:rPr>
                <w:sz w:val="18"/>
                <w:szCs w:val="18"/>
              </w:rPr>
              <w:t>30,3%</w:t>
            </w:r>
          </w:p>
        </w:tc>
        <w:tc>
          <w:tcPr>
            <w:tcW w:w="1984" w:type="dxa"/>
            <w:tcBorders>
              <w:top w:val="single" w:sz="4" w:space="0" w:color="auto"/>
              <w:bottom w:val="single" w:sz="4" w:space="0" w:color="auto"/>
            </w:tcBorders>
            <w:shd w:val="clear" w:color="auto" w:fill="auto"/>
            <w:vAlign w:val="center"/>
          </w:tcPr>
          <w:p w14:paraId="17264A2A" w14:textId="77777777" w:rsidR="00F400A4" w:rsidRPr="00B23B38" w:rsidRDefault="00F400A4" w:rsidP="00D36E22">
            <w:pPr>
              <w:pStyle w:val="MDPI42tablebody"/>
              <w:rPr>
                <w:sz w:val="18"/>
                <w:szCs w:val="18"/>
                <w:lang w:val="en-GB"/>
              </w:rPr>
            </w:pPr>
            <w:r w:rsidRPr="00B23B38">
              <w:rPr>
                <w:rFonts w:cstheme="minorHAnsi"/>
                <w:sz w:val="18"/>
                <w:szCs w:val="18"/>
                <w:lang w:val="en-GB"/>
              </w:rPr>
              <w:t>6-9 drugs</w:t>
            </w:r>
          </w:p>
        </w:tc>
        <w:tc>
          <w:tcPr>
            <w:tcW w:w="2977" w:type="dxa"/>
            <w:tcBorders>
              <w:top w:val="single" w:sz="4" w:space="0" w:color="auto"/>
              <w:bottom w:val="single" w:sz="4" w:space="0" w:color="auto"/>
            </w:tcBorders>
            <w:vAlign w:val="center"/>
          </w:tcPr>
          <w:p w14:paraId="32F7E468" w14:textId="77777777" w:rsidR="00F400A4" w:rsidRDefault="00F400A4" w:rsidP="00D36E22">
            <w:pPr>
              <w:pStyle w:val="MDPI42tablebody"/>
              <w:rPr>
                <w:rFonts w:cstheme="minorHAnsi"/>
                <w:sz w:val="18"/>
                <w:szCs w:val="18"/>
                <w:lang w:val="en-GB"/>
              </w:rPr>
            </w:pPr>
            <w:r w:rsidRPr="00B23B38">
              <w:rPr>
                <w:rFonts w:cstheme="minorHAnsi"/>
                <w:sz w:val="18"/>
                <w:szCs w:val="18"/>
                <w:lang w:val="en-GB"/>
              </w:rPr>
              <w:t>2057 older emergency department</w:t>
            </w:r>
          </w:p>
          <w:p w14:paraId="6B0237A1" w14:textId="77777777" w:rsidR="00F400A4" w:rsidRPr="00B23B38" w:rsidRDefault="00F400A4" w:rsidP="00D36E22">
            <w:pPr>
              <w:pStyle w:val="MDPI42tablebody"/>
              <w:rPr>
                <w:sz w:val="18"/>
                <w:szCs w:val="18"/>
                <w:lang w:val="en-GB"/>
              </w:rPr>
            </w:pPr>
            <w:r>
              <w:rPr>
                <w:sz w:val="18"/>
                <w:szCs w:val="18"/>
              </w:rPr>
              <w:t>(</w:t>
            </w:r>
            <w:r w:rsidRPr="00322AD2">
              <w:rPr>
                <w:rFonts w:hint="eastAsia"/>
                <w:sz w:val="18"/>
                <w:szCs w:val="18"/>
                <w:lang w:val="en-GB"/>
              </w:rPr>
              <w:t>65</w:t>
            </w:r>
            <w:r>
              <w:rPr>
                <w:sz w:val="18"/>
                <w:szCs w:val="18"/>
                <w:lang w:val="en-GB"/>
              </w:rPr>
              <w:t>+</w:t>
            </w:r>
            <w:r w:rsidRPr="00322AD2">
              <w:rPr>
                <w:rFonts w:hint="eastAsia"/>
                <w:sz w:val="18"/>
                <w:szCs w:val="18"/>
                <w:lang w:val="en-GB"/>
              </w:rPr>
              <w:t xml:space="preserve"> years</w:t>
            </w:r>
            <w:r>
              <w:rPr>
                <w:sz w:val="18"/>
                <w:szCs w:val="18"/>
                <w:lang w:val="en-GB"/>
              </w:rPr>
              <w:t>)</w:t>
            </w:r>
          </w:p>
        </w:tc>
        <w:tc>
          <w:tcPr>
            <w:tcW w:w="1843" w:type="dxa"/>
            <w:tcBorders>
              <w:top w:val="single" w:sz="4" w:space="0" w:color="auto"/>
              <w:bottom w:val="single" w:sz="4" w:space="0" w:color="auto"/>
            </w:tcBorders>
            <w:vAlign w:val="center"/>
          </w:tcPr>
          <w:p w14:paraId="4F1D1120" w14:textId="77777777" w:rsidR="00F400A4" w:rsidRPr="00B23B38" w:rsidRDefault="00F400A4" w:rsidP="00D36E22">
            <w:pPr>
              <w:pStyle w:val="MDPI42tablebody"/>
              <w:rPr>
                <w:sz w:val="18"/>
                <w:szCs w:val="18"/>
                <w:lang w:val="en-GB"/>
              </w:rPr>
            </w:pPr>
            <w:r w:rsidRPr="00B23B38">
              <w:rPr>
                <w:sz w:val="18"/>
                <w:szCs w:val="18"/>
                <w:lang w:val="en-GB"/>
              </w:rPr>
              <w:t>Italy</w:t>
            </w:r>
          </w:p>
        </w:tc>
        <w:tc>
          <w:tcPr>
            <w:tcW w:w="1417" w:type="dxa"/>
            <w:tcBorders>
              <w:top w:val="single" w:sz="4" w:space="0" w:color="auto"/>
              <w:bottom w:val="single" w:sz="4" w:space="0" w:color="auto"/>
            </w:tcBorders>
            <w:vAlign w:val="center"/>
          </w:tcPr>
          <w:p w14:paraId="2926D95C" w14:textId="77777777" w:rsidR="00F400A4" w:rsidRPr="00B23B38" w:rsidRDefault="00F400A4" w:rsidP="00D36E22">
            <w:pPr>
              <w:pStyle w:val="MDPI42tablebody"/>
              <w:rPr>
                <w:sz w:val="18"/>
                <w:szCs w:val="18"/>
                <w:lang w:val="en-GB"/>
              </w:rPr>
            </w:pPr>
            <w:r w:rsidRPr="00B23B38">
              <w:rPr>
                <w:sz w:val="18"/>
                <w:szCs w:val="18"/>
                <w:lang w:val="en-GB"/>
              </w:rPr>
              <w:t xml:space="preserve">2013 </w:t>
            </w:r>
            <w:r>
              <w:rPr>
                <w:sz w:val="18"/>
                <w:szCs w:val="18"/>
                <w:lang w:val="en-GB"/>
              </w:rPr>
              <w:fldChar w:fldCharType="begin" w:fldLock="1"/>
            </w:r>
            <w:r>
              <w:rPr>
                <w:sz w:val="18"/>
                <w:szCs w:val="18"/>
                <w:lang w:val="en-GB"/>
              </w:rPr>
              <w:instrText>ADDIN CSL_CITATION {"citationItems":[{"id":"ITEM-1","itemData":{"DOI":"10.1007/s11739-016-1451-5","ISSN":"19709366","PMID":"27075646","abstract":"This study aimed at verifying the role of polypharmacy as an independent risk factor for adverse health outcomes in older emergency department (ED) patients. This was a large (n = 2057) sample of older ED patients (≥65 years) participating in an observational cohort study. Polypharmacy and excessive polypharmacy were defined as having 6–9 drug prescriptions and 10 or more drug prescriptions in the last 3 months, respectively. The total number of medication prescriptions was also available. Outcome measures were in-hospital mortality; 30-day ED return; ED revisit, hospital admission, and mortality at 6 months. Logistic and Cox regression models as well as receiver operating characteristic curves using the Youden index and the area under the curve were calculated. Polypharmacy and excessive polypharmacy were present in 624 (30.3 %) and 367 (17.8 %) subjects, respectively. The mean number of prescriptions in the last 3 months was 5.7 (range 0–25) drugs. Polypharmacy and, particularly, excessive polypharmacy were constantly and independently associated with worse outcomes. A cut-off of 6 had the highest value of the Youden Index in predicting the majority of the adverse outcomes considered. Polypharmacy and excessive polypharmacy are independent risk factors for adverse health outcomes after an ED visit. Further studies are needed to clarify whether drug related issues (such as non-compliance, inappropriate or suboptimal prescribing, adverse drug reactions, and drug–drug or drug–disease interactions) or underlying multimorbidity and disease severity, as well as clinical complexity and frailty, are responsible for the negative outcomes associated with polypharmacy.","author":[{"dropping-particle":"","family":"Salvi","given":"Fabio","non-dropping-particle":"","parse-names":false,"suffix":""},{"dropping-particle":"","family":"Rossi","given":"Lorena","non-dropping-particle":"","parse-names":false,"suffix":""},{"dropping-particle":"","family":"Lattanzio","given":"Fabrizia","non-dropping-particle":"","parse-names":false,"suffix":""},{"dropping-particle":"","family":"Cherubini","given":"Antonio","non-dropping-particle":"","parse-names":false,"suffix":""}],"container-title":"Internal and Emergency Medicine","id":"ITEM-1","issue":"2","issued":{"date-parts":[["2017"]]},"page":"213-220","publisher":"Springer Milan","title":"Is polypharmacy an independent risk factor for adverse outcomes after an emergency department visit?","type":"article-journal","volume":"12"},"uris":["http://www.mendeley.com/documents/?uuid=777c2f10-a9df-47b0-ae8d-c0aa3924a966"]}],"mendeley":{"formattedCitation":"[34]","plainTextFormattedCitation":"[34]","previouslyFormattedCitation":"[34]"},"properties":{"noteIndex":0},"schema":"https://github.com/citation-style-language/schema/raw/master/csl-citation.json"}</w:instrText>
            </w:r>
            <w:r>
              <w:rPr>
                <w:sz w:val="18"/>
                <w:szCs w:val="18"/>
                <w:lang w:val="en-GB"/>
              </w:rPr>
              <w:fldChar w:fldCharType="separate"/>
            </w:r>
            <w:r w:rsidRPr="006D44B0">
              <w:rPr>
                <w:noProof/>
                <w:sz w:val="18"/>
                <w:szCs w:val="18"/>
                <w:lang w:val="en-GB"/>
              </w:rPr>
              <w:t>[34]</w:t>
            </w:r>
            <w:r>
              <w:rPr>
                <w:sz w:val="18"/>
                <w:szCs w:val="18"/>
                <w:lang w:val="en-GB"/>
              </w:rPr>
              <w:fldChar w:fldCharType="end"/>
            </w:r>
          </w:p>
        </w:tc>
      </w:tr>
      <w:tr w:rsidR="00F400A4" w:rsidRPr="00B23B38" w14:paraId="793A0ED5" w14:textId="77777777" w:rsidTr="00D36E22">
        <w:trPr>
          <w:jc w:val="center"/>
        </w:trPr>
        <w:tc>
          <w:tcPr>
            <w:tcW w:w="1418" w:type="dxa"/>
            <w:tcBorders>
              <w:top w:val="single" w:sz="4" w:space="0" w:color="auto"/>
              <w:bottom w:val="nil"/>
            </w:tcBorders>
            <w:shd w:val="clear" w:color="auto" w:fill="auto"/>
            <w:vAlign w:val="center"/>
          </w:tcPr>
          <w:p w14:paraId="49C8B540" w14:textId="77777777" w:rsidR="00F400A4" w:rsidRPr="00B23B38" w:rsidRDefault="00F400A4" w:rsidP="00D36E22">
            <w:pPr>
              <w:pStyle w:val="MDPI42tablebody"/>
              <w:rPr>
                <w:sz w:val="18"/>
                <w:szCs w:val="18"/>
              </w:rPr>
            </w:pPr>
            <w:r w:rsidRPr="0011005A">
              <w:rPr>
                <w:rFonts w:cstheme="minorHAnsi"/>
                <w:sz w:val="18"/>
                <w:szCs w:val="18"/>
                <w:lang w:val="en-GB"/>
              </w:rPr>
              <w:t>56%</w:t>
            </w:r>
          </w:p>
        </w:tc>
        <w:tc>
          <w:tcPr>
            <w:tcW w:w="1984" w:type="dxa"/>
            <w:tcBorders>
              <w:top w:val="single" w:sz="4" w:space="0" w:color="auto"/>
              <w:bottom w:val="nil"/>
            </w:tcBorders>
            <w:shd w:val="clear" w:color="auto" w:fill="auto"/>
            <w:vAlign w:val="center"/>
          </w:tcPr>
          <w:p w14:paraId="33DE2294" w14:textId="77777777" w:rsidR="00F400A4" w:rsidRPr="00B23B38" w:rsidRDefault="00F400A4" w:rsidP="00D36E22">
            <w:pPr>
              <w:pStyle w:val="MDPI42tablebody"/>
              <w:rPr>
                <w:rFonts w:cstheme="minorHAnsi"/>
                <w:sz w:val="18"/>
                <w:szCs w:val="18"/>
                <w:lang w:val="en-GB"/>
              </w:rPr>
            </w:pPr>
            <w:r w:rsidRPr="0011005A">
              <w:rPr>
                <w:rFonts w:cstheme="minorHAnsi" w:hint="eastAsia"/>
                <w:sz w:val="18"/>
                <w:szCs w:val="18"/>
                <w:lang w:val="en-GB"/>
              </w:rPr>
              <w:t>≥5 prescription</w:t>
            </w:r>
            <w:r>
              <w:rPr>
                <w:rFonts w:cstheme="minorHAnsi"/>
                <w:sz w:val="18"/>
                <w:szCs w:val="18"/>
                <w:lang w:val="en-GB"/>
              </w:rPr>
              <w:t>s</w:t>
            </w:r>
            <w:r w:rsidRPr="0011005A">
              <w:rPr>
                <w:rFonts w:cstheme="minorHAnsi" w:hint="eastAsia"/>
                <w:sz w:val="18"/>
                <w:szCs w:val="18"/>
                <w:lang w:val="en-GB"/>
              </w:rPr>
              <w:t xml:space="preserve"> within six months</w:t>
            </w:r>
          </w:p>
        </w:tc>
        <w:tc>
          <w:tcPr>
            <w:tcW w:w="2977" w:type="dxa"/>
            <w:tcBorders>
              <w:top w:val="single" w:sz="4" w:space="0" w:color="auto"/>
              <w:bottom w:val="nil"/>
            </w:tcBorders>
            <w:vAlign w:val="center"/>
          </w:tcPr>
          <w:p w14:paraId="6BE168CC" w14:textId="77777777" w:rsidR="00F400A4" w:rsidRPr="00B23B38" w:rsidRDefault="00F400A4" w:rsidP="00D36E22">
            <w:pPr>
              <w:pStyle w:val="MDPI42tablebody"/>
              <w:rPr>
                <w:rFonts w:cstheme="minorHAnsi"/>
                <w:sz w:val="18"/>
                <w:szCs w:val="18"/>
                <w:lang w:val="en-GB"/>
              </w:rPr>
            </w:pPr>
            <w:r>
              <w:rPr>
                <w:rFonts w:cstheme="minorHAnsi"/>
                <w:sz w:val="18"/>
                <w:szCs w:val="18"/>
                <w:lang w:val="en-GB"/>
              </w:rPr>
              <w:t>elderly 80+years</w:t>
            </w:r>
          </w:p>
        </w:tc>
        <w:tc>
          <w:tcPr>
            <w:tcW w:w="1843" w:type="dxa"/>
            <w:tcBorders>
              <w:top w:val="single" w:sz="4" w:space="0" w:color="auto"/>
              <w:bottom w:val="nil"/>
            </w:tcBorders>
            <w:vAlign w:val="center"/>
          </w:tcPr>
          <w:p w14:paraId="417E3C91" w14:textId="77777777" w:rsidR="00F400A4" w:rsidRPr="00B23B38" w:rsidRDefault="00F400A4" w:rsidP="00D36E22">
            <w:pPr>
              <w:pStyle w:val="MDPI42tablebody"/>
              <w:rPr>
                <w:sz w:val="18"/>
                <w:szCs w:val="18"/>
                <w:lang w:val="en-GB"/>
              </w:rPr>
            </w:pPr>
            <w:r w:rsidRPr="0011005A">
              <w:rPr>
                <w:rFonts w:cstheme="minorHAnsi"/>
                <w:sz w:val="18"/>
                <w:szCs w:val="18"/>
                <w:lang w:val="en-GB"/>
              </w:rPr>
              <w:t>Poland</w:t>
            </w:r>
          </w:p>
        </w:tc>
        <w:tc>
          <w:tcPr>
            <w:tcW w:w="1417" w:type="dxa"/>
            <w:tcBorders>
              <w:top w:val="single" w:sz="4" w:space="0" w:color="auto"/>
              <w:bottom w:val="nil"/>
            </w:tcBorders>
            <w:vAlign w:val="center"/>
          </w:tcPr>
          <w:p w14:paraId="22E6543B" w14:textId="77777777" w:rsidR="00F400A4" w:rsidRPr="00B23B38" w:rsidRDefault="00F400A4" w:rsidP="00D36E22">
            <w:pPr>
              <w:pStyle w:val="MDPI42tablebody"/>
              <w:rPr>
                <w:sz w:val="18"/>
                <w:szCs w:val="18"/>
                <w:lang w:val="en-GB"/>
              </w:rPr>
            </w:pPr>
            <w:r w:rsidRPr="0011005A">
              <w:rPr>
                <w:rFonts w:cstheme="minorHAnsi"/>
                <w:sz w:val="18"/>
                <w:szCs w:val="18"/>
                <w:lang w:val="en-GB"/>
              </w:rPr>
              <w:t>Kardas et al. 2018</w:t>
            </w:r>
            <w:r>
              <w:rPr>
                <w:rFonts w:cstheme="minorHAnsi"/>
                <w:sz w:val="18"/>
                <w:szCs w:val="18"/>
                <w:lang w:val="en-GB"/>
              </w:rPr>
              <w:t xml:space="preserve"> </w:t>
            </w:r>
            <w:r>
              <w:rPr>
                <w:rFonts w:cstheme="minorHAnsi"/>
                <w:sz w:val="18"/>
                <w:szCs w:val="18"/>
                <w:lang w:val="en-GB"/>
              </w:rPr>
              <w:fldChar w:fldCharType="begin" w:fldLock="1"/>
            </w:r>
            <w:r>
              <w:rPr>
                <w:rFonts w:cstheme="minorHAnsi"/>
                <w:sz w:val="18"/>
                <w:szCs w:val="18"/>
                <w:lang w:val="en-GB"/>
              </w:rPr>
              <w:instrText>ADDIN CSL_CITATION {"citationItems":[{"id":"ITEM-1","itemData":{"DOI":"10.3389/fphar.2021.655364","ISSN":"16639812","abstract":"Introduction: Polypharmacy is a risk factor for adverse health outcomes, higher use of medical services and additional costs. The problem has gained attention as a consequence of aging and related multimorbidity. Therefore, there is an urgent need to adopt effective interventions aimed at reducing its burden. In order to achieve this, in-depth understanding of the prevalence of polypharmacy is required. Of particular interest is, however, assessing prevalence of polypharmacy in various age groups, to reach the right target for these interventions. So far, only limited data on polypharmacy among non-elderly individuals have been available. Aim of study: To assess overall prevalence of polypharmacy in Poland as well as its distribution in various age groups using real-world data. Methodology: A retrospective analysis of complete dispensation data of national payer organization for the years 2018–2019. The analyzed dataset included data on dispensation of reimbursed drugs, and exclusively for 2019, also non-reimbursed drugs. Polypharmacy was defined as dispensation of ≥5 prescription medications within six months. Results: In the analyzed national cohort of 38 million Polish citizens, the prevalence of polypharmacy was found to be 11.7% in 2018 and 11.6% in 2019. With age, the prevalence of polypharmacy increased, reaching the value of 56.0% in those aged 80+ in 2018, and 55.0% in 2019. Altogether, among those aged 65+, the polypharmacy was present in 43.1% in 2018, and 42.1% in 2019. In the youngest group of citizens, i.e., among those aged below 20 years, polypharmacy was found in 0.9%, and 0.8% in 2018 and 2019, respectively. Prevalence of polypharmacy, calculated for 2019 according to dispensation of five or more reimbursed and non-reimbursed drugs for the whole Polish population, was 21.8% for January-June, and 22.4% for July-December 2019. Among those aged 65+, the relevant numbers were 62.3%, and 62.9%, respectively. Conclusion: This study, being the first nationwide assessment of polypharmacy in Poland, confirmed its high prevalence. We found polypharmacy present in over one fifth of Polish society. Peaking in the elderly, polypharmacy occurred in each age group. These results lay the foundations for future interventions focused on reducing the scope of this problem in Poland.","author":[{"dropping-particle":"","family":"Kardas","given":"Przemysław","non-dropping-particle":"","parse-names":false,"suffix":""},{"dropping-particle":"","family":"Urbański","given":"Filip","non-dropping-particle":"","parse-names":false,"suffix":""},{"dropping-particle":"","family":"Lichwierowicz","given":"Aneta","non-dropping-particle":"","parse-names":false,"suffix":""},{"dropping-particle":"","family":"Chudzyńska","given":"Ewa","non-dropping-particle":"","parse-names":false,"suffix":""},{"dropping-particle":"","family":"Kardas","given":"Grzegorz","non-dropping-particle":"","parse-names":false,"suffix":""},{"dropping-particle":"","family":"Czech","given":"Marcin","non-dropping-particle":"","parse-names":false,"suffix":""}],"container-title":"Frontiers in Pharmacology","id":"ITEM-1","issue":"December 2019","issued":{"date-parts":[["2021"]]},"page":"1-9","title":"Prevalence and Age Structure of Polypharmacy in Poland: Results of the Analysis of the National Real-World Database of 38 Million Citizens","type":"article-journal","volume":"12"},"uris":["http://www.mendeley.com/documents/?uuid=3aaf5fb6-3ce9-4b1f-b0c7-b209d6ddc825"]}],"mendeley":{"formattedCitation":"[35]","plainTextFormattedCitation":"[35]","previouslyFormattedCitation":"[35]"},"properties":{"noteIndex":0},"schema":"https://github.com/citation-style-language/schema/raw/master/csl-citation.json"}</w:instrText>
            </w:r>
            <w:r>
              <w:rPr>
                <w:rFonts w:cstheme="minorHAnsi"/>
                <w:sz w:val="18"/>
                <w:szCs w:val="18"/>
                <w:lang w:val="en-GB"/>
              </w:rPr>
              <w:fldChar w:fldCharType="separate"/>
            </w:r>
            <w:r w:rsidRPr="006D44B0">
              <w:rPr>
                <w:rFonts w:cstheme="minorHAnsi"/>
                <w:noProof/>
                <w:sz w:val="18"/>
                <w:szCs w:val="18"/>
                <w:lang w:val="en-GB"/>
              </w:rPr>
              <w:t>[35]</w:t>
            </w:r>
            <w:r>
              <w:rPr>
                <w:rFonts w:cstheme="minorHAnsi"/>
                <w:sz w:val="18"/>
                <w:szCs w:val="18"/>
                <w:lang w:val="en-GB"/>
              </w:rPr>
              <w:fldChar w:fldCharType="end"/>
            </w:r>
          </w:p>
        </w:tc>
      </w:tr>
    </w:tbl>
    <w:p w14:paraId="6EDA049C" w14:textId="77777777" w:rsidR="00000000" w:rsidRDefault="00000000"/>
    <w:p w14:paraId="2534E437" w14:textId="77777777" w:rsidR="00F400A4" w:rsidRDefault="00F400A4"/>
    <w:p w14:paraId="09539819" w14:textId="77777777" w:rsidR="00F400A4" w:rsidRPr="00FA04F1" w:rsidRDefault="00F400A4" w:rsidP="00F400A4">
      <w:pPr>
        <w:pStyle w:val="MDPI41tablecaption"/>
        <w:ind w:left="0"/>
      </w:pPr>
      <w:r w:rsidRPr="00B07E0E">
        <w:rPr>
          <w:b/>
        </w:rPr>
        <w:t xml:space="preserve">Table </w:t>
      </w:r>
      <w:r>
        <w:rPr>
          <w:b/>
        </w:rPr>
        <w:t>2</w:t>
      </w:r>
      <w:r w:rsidRPr="00B07E0E">
        <w:rPr>
          <w:b/>
        </w:rPr>
        <w:t xml:space="preserve">. </w:t>
      </w:r>
      <w:r w:rsidRPr="008F1B69">
        <w:rPr>
          <w:rFonts w:cstheme="minorHAnsi"/>
          <w:shd w:val="clear" w:color="auto" w:fill="FFFFFF"/>
          <w:lang w:val="en-GB"/>
        </w:rPr>
        <w:t>SWOT analysis on "Food supplements and elderly people – challenges and risks</w:t>
      </w:r>
      <w:r>
        <w:rPr>
          <w:rFonts w:cstheme="minorHAnsi"/>
          <w:shd w:val="clear" w:color="auto" w:fill="FFFFFF"/>
          <w:lang w:val="en-GB"/>
        </w:rPr>
        <w:t>”</w:t>
      </w:r>
    </w:p>
    <w:tbl>
      <w:tblPr>
        <w:tblW w:w="9639"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1843"/>
        <w:gridCol w:w="7796"/>
      </w:tblGrid>
      <w:tr w:rsidR="00F400A4" w:rsidRPr="00655E61" w14:paraId="25684FEA" w14:textId="77777777" w:rsidTr="00D36E22">
        <w:trPr>
          <w:jc w:val="center"/>
        </w:trPr>
        <w:tc>
          <w:tcPr>
            <w:tcW w:w="1843" w:type="dxa"/>
            <w:tcBorders>
              <w:top w:val="single" w:sz="8" w:space="0" w:color="auto"/>
              <w:bottom w:val="single" w:sz="4" w:space="0" w:color="auto"/>
            </w:tcBorders>
            <w:shd w:val="clear" w:color="auto" w:fill="auto"/>
            <w:vAlign w:val="center"/>
          </w:tcPr>
          <w:p w14:paraId="66FEBC8A" w14:textId="77777777" w:rsidR="00F400A4" w:rsidRPr="00196D5A" w:rsidRDefault="00F400A4" w:rsidP="00D36E22">
            <w:pPr>
              <w:pStyle w:val="MDPI42tablebody"/>
              <w:rPr>
                <w:b/>
                <w:bCs/>
              </w:rPr>
            </w:pPr>
            <w:r>
              <w:rPr>
                <w:b/>
                <w:bCs/>
              </w:rPr>
              <w:t xml:space="preserve">Frames of Swot Analysis </w:t>
            </w:r>
          </w:p>
        </w:tc>
        <w:tc>
          <w:tcPr>
            <w:tcW w:w="7796" w:type="dxa"/>
            <w:tcBorders>
              <w:top w:val="single" w:sz="8" w:space="0" w:color="auto"/>
              <w:bottom w:val="single" w:sz="4" w:space="0" w:color="auto"/>
            </w:tcBorders>
            <w:shd w:val="clear" w:color="auto" w:fill="auto"/>
            <w:vAlign w:val="center"/>
          </w:tcPr>
          <w:p w14:paraId="5593E295" w14:textId="77777777" w:rsidR="00F400A4" w:rsidRPr="00196D5A" w:rsidRDefault="00F400A4" w:rsidP="00D36E22">
            <w:pPr>
              <w:pStyle w:val="MDPI42tablebody"/>
              <w:rPr>
                <w:b/>
                <w:bCs/>
              </w:rPr>
            </w:pPr>
            <w:r>
              <w:rPr>
                <w:b/>
                <w:bCs/>
              </w:rPr>
              <w:t>Points of reflection</w:t>
            </w:r>
          </w:p>
        </w:tc>
      </w:tr>
      <w:tr w:rsidR="00F400A4" w:rsidRPr="00655E61" w14:paraId="6C83BAEA" w14:textId="77777777" w:rsidTr="00D36E22">
        <w:trPr>
          <w:jc w:val="center"/>
        </w:trPr>
        <w:tc>
          <w:tcPr>
            <w:tcW w:w="1843" w:type="dxa"/>
            <w:tcBorders>
              <w:top w:val="single" w:sz="4" w:space="0" w:color="auto"/>
            </w:tcBorders>
            <w:shd w:val="clear" w:color="auto" w:fill="auto"/>
            <w:vAlign w:val="center"/>
            <w:hideMark/>
          </w:tcPr>
          <w:p w14:paraId="2DCE790F" w14:textId="77777777" w:rsidR="00F400A4" w:rsidRPr="00174262" w:rsidRDefault="00F400A4" w:rsidP="00D36E22">
            <w:pPr>
              <w:pStyle w:val="MDPI42tablebody"/>
              <w:rPr>
                <w:sz w:val="18"/>
                <w:szCs w:val="18"/>
              </w:rPr>
            </w:pPr>
            <w:r w:rsidRPr="00174262">
              <w:rPr>
                <w:rFonts w:cstheme="minorHAnsi"/>
                <w:sz w:val="18"/>
                <w:szCs w:val="18"/>
                <w:lang w:val="en-GB"/>
              </w:rPr>
              <w:t>Strengths</w:t>
            </w:r>
          </w:p>
          <w:p w14:paraId="6506FF00" w14:textId="77777777" w:rsidR="00F400A4" w:rsidRPr="00174262" w:rsidRDefault="00F400A4" w:rsidP="00D36E22">
            <w:pPr>
              <w:pStyle w:val="MDPI42tablebody"/>
              <w:rPr>
                <w:sz w:val="18"/>
                <w:szCs w:val="18"/>
              </w:rPr>
            </w:pPr>
          </w:p>
        </w:tc>
        <w:tc>
          <w:tcPr>
            <w:tcW w:w="7796" w:type="dxa"/>
            <w:tcBorders>
              <w:top w:val="single" w:sz="4" w:space="0" w:color="auto"/>
              <w:bottom w:val="nil"/>
            </w:tcBorders>
            <w:shd w:val="clear" w:color="auto" w:fill="auto"/>
            <w:hideMark/>
          </w:tcPr>
          <w:p w14:paraId="587198F0" w14:textId="77777777" w:rsidR="00F400A4" w:rsidRPr="00174262" w:rsidRDefault="00F400A4" w:rsidP="00D36E22">
            <w:pPr>
              <w:rPr>
                <w:rFonts w:cstheme="minorHAnsi"/>
                <w:sz w:val="18"/>
                <w:szCs w:val="18"/>
                <w:lang w:val="en-GB"/>
              </w:rPr>
            </w:pPr>
            <w:r w:rsidRPr="00174262">
              <w:rPr>
                <w:rFonts w:cstheme="minorHAnsi"/>
                <w:sz w:val="18"/>
                <w:szCs w:val="18"/>
                <w:lang w:val="en-GB"/>
              </w:rPr>
              <w:t xml:space="preserve">- Awareness and information </w:t>
            </w:r>
            <w:r w:rsidRPr="00252F6C">
              <w:rPr>
                <w:rFonts w:cstheme="minorHAnsi"/>
                <w:sz w:val="18"/>
                <w:szCs w:val="18"/>
                <w:lang w:val="en-GB"/>
              </w:rPr>
              <w:t>of misguided FS u</w:t>
            </w:r>
            <w:r w:rsidRPr="00174262">
              <w:rPr>
                <w:rFonts w:cstheme="minorHAnsi"/>
                <w:sz w:val="18"/>
                <w:szCs w:val="18"/>
                <w:lang w:val="en-GB"/>
              </w:rPr>
              <w:t>se</w:t>
            </w:r>
            <w:r>
              <w:rPr>
                <w:rFonts w:cstheme="minorHAnsi"/>
                <w:sz w:val="18"/>
                <w:szCs w:val="18"/>
                <w:lang w:val="en-GB"/>
              </w:rPr>
              <w:t>.</w:t>
            </w:r>
            <w:r w:rsidRPr="00174262" w:rsidDel="003616D2">
              <w:rPr>
                <w:rFonts w:cstheme="minorHAnsi"/>
                <w:sz w:val="18"/>
                <w:szCs w:val="18"/>
                <w:lang w:val="en-GB"/>
              </w:rPr>
              <w:t xml:space="preserve"> </w:t>
            </w:r>
          </w:p>
          <w:p w14:paraId="19050548" w14:textId="77777777" w:rsidR="00F400A4" w:rsidRPr="00174262" w:rsidRDefault="00F400A4" w:rsidP="00D36E22">
            <w:pPr>
              <w:rPr>
                <w:rFonts w:cstheme="minorHAnsi"/>
                <w:sz w:val="18"/>
                <w:szCs w:val="18"/>
                <w:lang w:val="en-GB"/>
              </w:rPr>
            </w:pPr>
            <w:r w:rsidRPr="00174262">
              <w:rPr>
                <w:rFonts w:cstheme="minorHAnsi"/>
                <w:sz w:val="18"/>
                <w:szCs w:val="18"/>
                <w:lang w:val="en-GB"/>
              </w:rPr>
              <w:t>-Eliminate adverse health effects/risks with FS</w:t>
            </w:r>
            <w:r>
              <w:rPr>
                <w:rFonts w:cstheme="minorHAnsi"/>
                <w:sz w:val="18"/>
                <w:szCs w:val="18"/>
                <w:lang w:val="en-GB"/>
              </w:rPr>
              <w:t>.</w:t>
            </w:r>
            <w:r w:rsidRPr="00174262">
              <w:rPr>
                <w:rFonts w:cstheme="minorHAnsi"/>
                <w:sz w:val="18"/>
                <w:szCs w:val="18"/>
                <w:lang w:val="en-GB"/>
              </w:rPr>
              <w:t xml:space="preserve"> </w:t>
            </w:r>
          </w:p>
          <w:p w14:paraId="70A869AE" w14:textId="77777777" w:rsidR="00F400A4" w:rsidRPr="00174262" w:rsidRDefault="00F400A4" w:rsidP="00D36E22">
            <w:pPr>
              <w:rPr>
                <w:rFonts w:cstheme="minorHAnsi"/>
                <w:sz w:val="18"/>
                <w:szCs w:val="18"/>
                <w:lang w:val="en-GB"/>
              </w:rPr>
            </w:pPr>
            <w:r w:rsidRPr="00174262">
              <w:rPr>
                <w:rFonts w:cstheme="minorHAnsi"/>
                <w:sz w:val="18"/>
                <w:szCs w:val="18"/>
                <w:lang w:val="en-GB"/>
              </w:rPr>
              <w:t>-Contribute to the success of pharmacological therapies</w:t>
            </w:r>
            <w:r>
              <w:rPr>
                <w:rFonts w:cstheme="minorHAnsi"/>
                <w:sz w:val="18"/>
                <w:szCs w:val="18"/>
                <w:lang w:val="en-GB"/>
              </w:rPr>
              <w:t>.</w:t>
            </w:r>
          </w:p>
          <w:p w14:paraId="07EB1FD7" w14:textId="77777777" w:rsidR="00F400A4" w:rsidRPr="00174262" w:rsidRDefault="00F400A4" w:rsidP="00D36E22">
            <w:pPr>
              <w:rPr>
                <w:rFonts w:cstheme="minorHAnsi"/>
                <w:sz w:val="18"/>
                <w:szCs w:val="18"/>
                <w:lang w:val="en-GB"/>
              </w:rPr>
            </w:pPr>
            <w:r w:rsidRPr="00174262">
              <w:rPr>
                <w:rFonts w:cstheme="minorHAnsi"/>
                <w:sz w:val="18"/>
                <w:szCs w:val="18"/>
                <w:lang w:val="en-GB"/>
              </w:rPr>
              <w:t xml:space="preserve">-Promoting the safety of </w:t>
            </w:r>
            <w:proofErr w:type="spellStart"/>
            <w:r w:rsidRPr="00174262">
              <w:rPr>
                <w:rFonts w:cstheme="minorHAnsi"/>
                <w:sz w:val="18"/>
                <w:szCs w:val="18"/>
                <w:lang w:val="en-GB"/>
              </w:rPr>
              <w:t>polymedicated</w:t>
            </w:r>
            <w:proofErr w:type="spellEnd"/>
            <w:r w:rsidRPr="00174262">
              <w:rPr>
                <w:rFonts w:cstheme="minorHAnsi"/>
                <w:sz w:val="18"/>
                <w:szCs w:val="18"/>
                <w:lang w:val="en-GB"/>
              </w:rPr>
              <w:t xml:space="preserve"> older patients and healthy ageing</w:t>
            </w:r>
            <w:r>
              <w:rPr>
                <w:rFonts w:cstheme="minorHAnsi"/>
                <w:sz w:val="18"/>
                <w:szCs w:val="18"/>
                <w:lang w:val="en-GB"/>
              </w:rPr>
              <w:t>.</w:t>
            </w:r>
          </w:p>
          <w:p w14:paraId="623136AC" w14:textId="77777777" w:rsidR="00F400A4" w:rsidRDefault="00F400A4" w:rsidP="00D36E22">
            <w:pPr>
              <w:rPr>
                <w:rFonts w:cstheme="minorHAnsi"/>
                <w:sz w:val="18"/>
                <w:szCs w:val="18"/>
                <w:lang w:val="en-GB"/>
              </w:rPr>
            </w:pPr>
            <w:r w:rsidRPr="00174262">
              <w:rPr>
                <w:rFonts w:cstheme="minorHAnsi"/>
                <w:sz w:val="18"/>
                <w:szCs w:val="18"/>
                <w:lang w:val="en-GB"/>
              </w:rPr>
              <w:t xml:space="preserve">-Healthcare professional intervention </w:t>
            </w:r>
            <w:r>
              <w:rPr>
                <w:rFonts w:cstheme="minorHAnsi"/>
                <w:sz w:val="18"/>
                <w:szCs w:val="18"/>
                <w:lang w:val="en-GB"/>
              </w:rPr>
              <w:t xml:space="preserve">is </w:t>
            </w:r>
            <w:r w:rsidRPr="00174262">
              <w:rPr>
                <w:rFonts w:cstheme="minorHAnsi"/>
                <w:sz w:val="18"/>
                <w:szCs w:val="18"/>
                <w:lang w:val="en-GB"/>
              </w:rPr>
              <w:t>crucial for patient education</w:t>
            </w:r>
            <w:r>
              <w:rPr>
                <w:rFonts w:cstheme="minorHAnsi"/>
                <w:sz w:val="18"/>
                <w:szCs w:val="18"/>
                <w:lang w:val="en-GB"/>
              </w:rPr>
              <w:t>.</w:t>
            </w:r>
          </w:p>
          <w:p w14:paraId="150B4DD6" w14:textId="77777777" w:rsidR="00F400A4" w:rsidRPr="00174262" w:rsidRDefault="00F400A4" w:rsidP="00D36E22">
            <w:pPr>
              <w:rPr>
                <w:rFonts w:cstheme="minorHAnsi"/>
                <w:sz w:val="18"/>
                <w:szCs w:val="18"/>
                <w:lang w:val="en-GB"/>
              </w:rPr>
            </w:pPr>
            <w:r>
              <w:rPr>
                <w:rFonts w:cstheme="minorHAnsi"/>
                <w:sz w:val="18"/>
                <w:szCs w:val="18"/>
                <w:lang w:val="en-GB"/>
              </w:rPr>
              <w:t>- Educate or inform patients and families of patient safety incidents that cause (or could have caused) inadvertent harm.</w:t>
            </w:r>
          </w:p>
          <w:p w14:paraId="6DB5CD0D" w14:textId="77777777" w:rsidR="00F400A4" w:rsidRPr="00174262" w:rsidRDefault="00F400A4" w:rsidP="00D36E22">
            <w:pPr>
              <w:autoSpaceDE w:val="0"/>
              <w:autoSpaceDN w:val="0"/>
              <w:adjustRightInd w:val="0"/>
              <w:rPr>
                <w:rFonts w:cstheme="minorHAnsi"/>
                <w:sz w:val="18"/>
                <w:szCs w:val="18"/>
                <w:lang w:val="en-GB"/>
              </w:rPr>
            </w:pPr>
            <w:r w:rsidRPr="00174262">
              <w:rPr>
                <w:rFonts w:cstheme="minorHAnsi"/>
                <w:sz w:val="18"/>
                <w:szCs w:val="18"/>
                <w:lang w:val="en-GB"/>
              </w:rPr>
              <w:t>-Strengthening high-quality integrated healthcare</w:t>
            </w:r>
            <w:r>
              <w:rPr>
                <w:rFonts w:cstheme="minorHAnsi"/>
                <w:sz w:val="18"/>
                <w:szCs w:val="18"/>
                <w:lang w:val="en-GB"/>
              </w:rPr>
              <w:t>.</w:t>
            </w:r>
          </w:p>
          <w:p w14:paraId="72886268" w14:textId="77777777" w:rsidR="00F400A4" w:rsidRPr="00174262" w:rsidRDefault="00F400A4" w:rsidP="00D36E22">
            <w:pPr>
              <w:rPr>
                <w:rFonts w:cstheme="minorHAnsi"/>
                <w:sz w:val="18"/>
                <w:szCs w:val="18"/>
                <w:lang w:val="en-GB"/>
              </w:rPr>
            </w:pPr>
            <w:r w:rsidRPr="00174262">
              <w:rPr>
                <w:rFonts w:cstheme="minorHAnsi"/>
                <w:sz w:val="18"/>
                <w:szCs w:val="18"/>
                <w:lang w:val="en-GB"/>
              </w:rPr>
              <w:t>-Contributing to cost-effective treatment of older persons</w:t>
            </w:r>
            <w:r>
              <w:rPr>
                <w:rFonts w:cstheme="minorHAnsi"/>
                <w:sz w:val="18"/>
                <w:szCs w:val="18"/>
                <w:lang w:val="en-GB"/>
              </w:rPr>
              <w:t>.</w:t>
            </w:r>
            <w:r w:rsidRPr="00174262" w:rsidDel="003616D2">
              <w:rPr>
                <w:rFonts w:cstheme="minorHAnsi"/>
                <w:sz w:val="18"/>
                <w:szCs w:val="18"/>
                <w:lang w:val="en-GB"/>
              </w:rPr>
              <w:t xml:space="preserve"> </w:t>
            </w:r>
          </w:p>
          <w:p w14:paraId="75342531" w14:textId="77777777" w:rsidR="00F400A4" w:rsidRPr="00174262" w:rsidRDefault="00F400A4" w:rsidP="00D36E22">
            <w:pPr>
              <w:pStyle w:val="MDPI42tablebody"/>
              <w:jc w:val="left"/>
              <w:rPr>
                <w:sz w:val="18"/>
                <w:szCs w:val="18"/>
              </w:rPr>
            </w:pPr>
            <w:r w:rsidRPr="00174262">
              <w:rPr>
                <w:rFonts w:cstheme="minorHAnsi"/>
                <w:sz w:val="18"/>
                <w:szCs w:val="18"/>
                <w:lang w:val="en-GB"/>
              </w:rPr>
              <w:t>-Support health services</w:t>
            </w:r>
            <w:r>
              <w:rPr>
                <w:rFonts w:cstheme="minorHAnsi"/>
                <w:sz w:val="18"/>
                <w:szCs w:val="18"/>
                <w:lang w:val="en-GB"/>
              </w:rPr>
              <w:t>.</w:t>
            </w:r>
          </w:p>
        </w:tc>
      </w:tr>
      <w:tr w:rsidR="00F400A4" w:rsidRPr="00655E61" w14:paraId="643AA185" w14:textId="77777777" w:rsidTr="00D36E22">
        <w:trPr>
          <w:jc w:val="center"/>
        </w:trPr>
        <w:tc>
          <w:tcPr>
            <w:tcW w:w="1843" w:type="dxa"/>
            <w:tcBorders>
              <w:top w:val="single" w:sz="4" w:space="0" w:color="auto"/>
              <w:bottom w:val="nil"/>
            </w:tcBorders>
            <w:shd w:val="clear" w:color="auto" w:fill="auto"/>
            <w:vAlign w:val="center"/>
            <w:hideMark/>
          </w:tcPr>
          <w:p w14:paraId="14A6956D" w14:textId="77777777" w:rsidR="00F400A4" w:rsidRPr="00174262" w:rsidRDefault="00F400A4" w:rsidP="00D36E22">
            <w:pPr>
              <w:pStyle w:val="MDPI42tablebody"/>
              <w:rPr>
                <w:sz w:val="18"/>
                <w:szCs w:val="18"/>
              </w:rPr>
            </w:pPr>
            <w:r w:rsidRPr="00174262">
              <w:rPr>
                <w:rFonts w:cstheme="minorHAnsi"/>
                <w:sz w:val="18"/>
                <w:szCs w:val="18"/>
                <w:lang w:val="en-GB"/>
              </w:rPr>
              <w:t>Weakness</w:t>
            </w:r>
          </w:p>
          <w:p w14:paraId="55BF3829" w14:textId="77777777" w:rsidR="00F400A4" w:rsidRPr="00174262" w:rsidRDefault="00F400A4" w:rsidP="00D36E22">
            <w:pPr>
              <w:pStyle w:val="MDPI42tablebody"/>
              <w:rPr>
                <w:sz w:val="18"/>
                <w:szCs w:val="18"/>
              </w:rPr>
            </w:pPr>
          </w:p>
        </w:tc>
        <w:tc>
          <w:tcPr>
            <w:tcW w:w="7796" w:type="dxa"/>
            <w:tcBorders>
              <w:top w:val="single" w:sz="4" w:space="0" w:color="auto"/>
              <w:bottom w:val="nil"/>
            </w:tcBorders>
            <w:shd w:val="clear" w:color="auto" w:fill="auto"/>
            <w:hideMark/>
          </w:tcPr>
          <w:p w14:paraId="23DA5443" w14:textId="77777777" w:rsidR="00F400A4" w:rsidRPr="00174262" w:rsidRDefault="00F400A4" w:rsidP="00D36E22">
            <w:pPr>
              <w:rPr>
                <w:rFonts w:cstheme="minorHAnsi"/>
                <w:sz w:val="18"/>
                <w:szCs w:val="18"/>
                <w:lang w:val="en-GB"/>
              </w:rPr>
            </w:pPr>
            <w:r w:rsidRPr="00174262">
              <w:rPr>
                <w:rFonts w:cstheme="minorHAnsi"/>
                <w:sz w:val="18"/>
                <w:szCs w:val="18"/>
                <w:lang w:val="en-GB"/>
              </w:rPr>
              <w:t>-Gaps in the FS regulatory framework</w:t>
            </w:r>
            <w:r>
              <w:rPr>
                <w:rFonts w:cstheme="minorHAnsi"/>
                <w:sz w:val="18"/>
                <w:szCs w:val="18"/>
                <w:lang w:val="en-GB"/>
              </w:rPr>
              <w:t>.</w:t>
            </w:r>
            <w:r w:rsidRPr="00174262">
              <w:rPr>
                <w:rFonts w:cstheme="minorHAnsi"/>
                <w:sz w:val="18"/>
                <w:szCs w:val="18"/>
                <w:lang w:val="en-GB"/>
              </w:rPr>
              <w:t xml:space="preserve"> </w:t>
            </w:r>
          </w:p>
          <w:p w14:paraId="09DF603D" w14:textId="77777777" w:rsidR="00F400A4" w:rsidRPr="00174262" w:rsidRDefault="00F400A4" w:rsidP="00D36E22">
            <w:pPr>
              <w:rPr>
                <w:rFonts w:cstheme="minorHAnsi"/>
                <w:sz w:val="18"/>
                <w:szCs w:val="18"/>
                <w:lang w:val="en-GB"/>
              </w:rPr>
            </w:pPr>
            <w:r w:rsidRPr="00174262">
              <w:rPr>
                <w:rFonts w:cstheme="minorHAnsi"/>
                <w:sz w:val="18"/>
                <w:szCs w:val="18"/>
                <w:lang w:val="en-GB"/>
              </w:rPr>
              <w:t>-Lack of rigour in the distinction between FS and oral nutritional supplements.</w:t>
            </w:r>
          </w:p>
          <w:p w14:paraId="597BCC17" w14:textId="77777777" w:rsidR="00F400A4" w:rsidRPr="00174262" w:rsidRDefault="00F400A4" w:rsidP="00D36E22">
            <w:pPr>
              <w:rPr>
                <w:rFonts w:cstheme="minorHAnsi"/>
                <w:sz w:val="18"/>
                <w:szCs w:val="18"/>
                <w:lang w:val="en-GB"/>
              </w:rPr>
            </w:pPr>
            <w:r w:rsidRPr="00174262">
              <w:rPr>
                <w:rFonts w:cstheme="minorHAnsi"/>
                <w:sz w:val="18"/>
                <w:szCs w:val="18"/>
                <w:lang w:val="en-GB"/>
              </w:rPr>
              <w:t>-Inadequate safety evaluation/ Quality control of FS</w:t>
            </w:r>
            <w:r>
              <w:rPr>
                <w:rFonts w:cstheme="minorHAnsi"/>
                <w:sz w:val="18"/>
                <w:szCs w:val="18"/>
                <w:lang w:val="en-GB"/>
              </w:rPr>
              <w:t>.</w:t>
            </w:r>
          </w:p>
          <w:p w14:paraId="7D517694" w14:textId="77777777" w:rsidR="00F400A4" w:rsidRPr="00174262" w:rsidRDefault="00F400A4" w:rsidP="00D36E22">
            <w:pPr>
              <w:rPr>
                <w:rFonts w:cstheme="minorHAnsi"/>
                <w:sz w:val="18"/>
                <w:szCs w:val="18"/>
                <w:lang w:val="en-GB"/>
              </w:rPr>
            </w:pPr>
            <w:r w:rsidRPr="00174262">
              <w:rPr>
                <w:rFonts w:cstheme="minorHAnsi"/>
                <w:sz w:val="18"/>
                <w:szCs w:val="18"/>
                <w:lang w:val="en-GB"/>
              </w:rPr>
              <w:t>-Gaps between evidence-based knowledge</w:t>
            </w:r>
            <w:r>
              <w:rPr>
                <w:rFonts w:cstheme="minorHAnsi"/>
                <w:sz w:val="18"/>
                <w:szCs w:val="18"/>
                <w:lang w:val="en-GB"/>
              </w:rPr>
              <w:t>.</w:t>
            </w:r>
          </w:p>
          <w:p w14:paraId="393EFF02" w14:textId="77777777" w:rsidR="00F400A4" w:rsidRPr="00174262" w:rsidRDefault="00F400A4" w:rsidP="00D36E22">
            <w:pPr>
              <w:rPr>
                <w:rFonts w:cstheme="minorHAnsi"/>
                <w:sz w:val="18"/>
                <w:szCs w:val="18"/>
                <w:lang w:val="en-GB"/>
              </w:rPr>
            </w:pPr>
            <w:r w:rsidRPr="00174262">
              <w:rPr>
                <w:rFonts w:cstheme="minorHAnsi"/>
                <w:sz w:val="18"/>
                <w:szCs w:val="18"/>
                <w:lang w:val="en-GB"/>
              </w:rPr>
              <w:t>-Lack of information on drug use</w:t>
            </w:r>
            <w:r>
              <w:rPr>
                <w:rFonts w:cstheme="minorHAnsi"/>
                <w:sz w:val="18"/>
                <w:szCs w:val="18"/>
                <w:lang w:val="en-GB"/>
              </w:rPr>
              <w:t>.</w:t>
            </w:r>
          </w:p>
          <w:p w14:paraId="40C9B14A" w14:textId="77777777" w:rsidR="00F400A4" w:rsidRPr="00174262" w:rsidRDefault="00F400A4" w:rsidP="00D36E22">
            <w:pPr>
              <w:rPr>
                <w:rFonts w:cstheme="minorHAnsi"/>
                <w:sz w:val="18"/>
                <w:szCs w:val="18"/>
                <w:lang w:val="en-GB"/>
              </w:rPr>
            </w:pPr>
            <w:r w:rsidRPr="00174262">
              <w:rPr>
                <w:rFonts w:cstheme="minorHAnsi"/>
                <w:sz w:val="18"/>
                <w:szCs w:val="18"/>
                <w:lang w:val="en-GB"/>
              </w:rPr>
              <w:t>-Lack of communication between patients and physicians</w:t>
            </w:r>
            <w:r>
              <w:rPr>
                <w:rFonts w:cstheme="minorHAnsi"/>
                <w:sz w:val="18"/>
                <w:szCs w:val="18"/>
                <w:lang w:val="en-GB"/>
              </w:rPr>
              <w:t>.</w:t>
            </w:r>
          </w:p>
          <w:p w14:paraId="14A33B41" w14:textId="77777777" w:rsidR="00F400A4" w:rsidRPr="00174262" w:rsidRDefault="00F400A4" w:rsidP="00D36E22">
            <w:pPr>
              <w:rPr>
                <w:rFonts w:cstheme="minorHAnsi"/>
                <w:sz w:val="18"/>
                <w:szCs w:val="18"/>
                <w:lang w:val="en-GB"/>
              </w:rPr>
            </w:pPr>
            <w:r w:rsidRPr="00174262">
              <w:rPr>
                <w:rFonts w:cstheme="minorHAnsi"/>
                <w:sz w:val="18"/>
                <w:szCs w:val="18"/>
                <w:lang w:val="en-GB"/>
              </w:rPr>
              <w:t>-Lack of data on FS consumption in the EU</w:t>
            </w:r>
            <w:r>
              <w:rPr>
                <w:rFonts w:cstheme="minorHAnsi"/>
                <w:sz w:val="18"/>
                <w:szCs w:val="18"/>
                <w:lang w:val="en-GB"/>
              </w:rPr>
              <w:t>.</w:t>
            </w:r>
          </w:p>
          <w:p w14:paraId="5524D825" w14:textId="77777777" w:rsidR="00F400A4" w:rsidRPr="00174262" w:rsidRDefault="00F400A4" w:rsidP="00D36E22">
            <w:pPr>
              <w:rPr>
                <w:rFonts w:cstheme="minorHAnsi"/>
                <w:sz w:val="18"/>
                <w:szCs w:val="18"/>
                <w:lang w:val="en-GB"/>
              </w:rPr>
            </w:pPr>
            <w:r w:rsidRPr="00174262">
              <w:rPr>
                <w:rFonts w:cstheme="minorHAnsi"/>
                <w:sz w:val="18"/>
                <w:szCs w:val="18"/>
                <w:lang w:val="en-GB"/>
              </w:rPr>
              <w:t>-More in-depth research is needed to assess the safety and confirm the efficacy of DS use among older adults.</w:t>
            </w:r>
          </w:p>
          <w:p w14:paraId="0184F1BD" w14:textId="77777777" w:rsidR="00F400A4" w:rsidRPr="00174262" w:rsidRDefault="00F400A4" w:rsidP="00D36E22">
            <w:pPr>
              <w:pStyle w:val="MDPI42tablebody"/>
              <w:spacing w:line="240" w:lineRule="auto"/>
              <w:jc w:val="left"/>
              <w:rPr>
                <w:sz w:val="18"/>
                <w:szCs w:val="18"/>
              </w:rPr>
            </w:pPr>
            <w:r w:rsidRPr="00174262">
              <w:rPr>
                <w:rFonts w:cstheme="minorHAnsi"/>
                <w:sz w:val="18"/>
                <w:szCs w:val="18"/>
                <w:lang w:val="en-GB"/>
              </w:rPr>
              <w:t>-High complexity in establishing FS consumption patterns in older people</w:t>
            </w:r>
            <w:r>
              <w:rPr>
                <w:rFonts w:cstheme="minorHAnsi"/>
                <w:sz w:val="18"/>
                <w:szCs w:val="18"/>
                <w:lang w:val="en-GB"/>
              </w:rPr>
              <w:t>.</w:t>
            </w:r>
          </w:p>
        </w:tc>
      </w:tr>
      <w:tr w:rsidR="00F400A4" w:rsidRPr="00655E61" w14:paraId="277720B2" w14:textId="77777777" w:rsidTr="00D36E22">
        <w:trPr>
          <w:jc w:val="center"/>
        </w:trPr>
        <w:tc>
          <w:tcPr>
            <w:tcW w:w="1843" w:type="dxa"/>
            <w:tcBorders>
              <w:top w:val="single" w:sz="4" w:space="0" w:color="auto"/>
              <w:bottom w:val="nil"/>
            </w:tcBorders>
            <w:shd w:val="clear" w:color="auto" w:fill="auto"/>
            <w:vAlign w:val="center"/>
            <w:hideMark/>
          </w:tcPr>
          <w:p w14:paraId="38535E8F" w14:textId="77777777" w:rsidR="00F400A4" w:rsidRPr="00174262" w:rsidRDefault="00F400A4" w:rsidP="00D36E22">
            <w:pPr>
              <w:pStyle w:val="MDPI42tablebody"/>
              <w:rPr>
                <w:sz w:val="18"/>
                <w:szCs w:val="18"/>
              </w:rPr>
            </w:pPr>
            <w:r w:rsidRPr="00174262">
              <w:rPr>
                <w:rFonts w:cstheme="minorHAnsi"/>
                <w:sz w:val="18"/>
                <w:szCs w:val="18"/>
                <w:lang w:val="en-GB"/>
              </w:rPr>
              <w:t>Opportunities</w:t>
            </w:r>
          </w:p>
          <w:p w14:paraId="715F60D3" w14:textId="77777777" w:rsidR="00F400A4" w:rsidRPr="00174262" w:rsidRDefault="00F400A4" w:rsidP="00D36E22">
            <w:pPr>
              <w:pStyle w:val="MDPI42tablebody"/>
              <w:rPr>
                <w:sz w:val="18"/>
                <w:szCs w:val="18"/>
              </w:rPr>
            </w:pPr>
          </w:p>
        </w:tc>
        <w:tc>
          <w:tcPr>
            <w:tcW w:w="7796" w:type="dxa"/>
            <w:tcBorders>
              <w:top w:val="single" w:sz="4" w:space="0" w:color="auto"/>
              <w:bottom w:val="nil"/>
            </w:tcBorders>
            <w:shd w:val="clear" w:color="auto" w:fill="auto"/>
            <w:vAlign w:val="center"/>
            <w:hideMark/>
          </w:tcPr>
          <w:p w14:paraId="7312666D" w14:textId="77777777" w:rsidR="00F400A4" w:rsidRDefault="00F400A4" w:rsidP="00D36E22">
            <w:pPr>
              <w:rPr>
                <w:rFonts w:cstheme="minorHAnsi"/>
                <w:sz w:val="18"/>
                <w:szCs w:val="18"/>
                <w:lang w:val="en-GB"/>
              </w:rPr>
            </w:pPr>
            <w:r w:rsidRPr="00174262">
              <w:rPr>
                <w:rFonts w:cstheme="minorHAnsi"/>
                <w:sz w:val="18"/>
                <w:szCs w:val="18"/>
                <w:lang w:val="en-GB"/>
              </w:rPr>
              <w:t>-Inclusion in the review of the guidelines on malnutrition and the use of FS.</w:t>
            </w:r>
          </w:p>
          <w:p w14:paraId="23F05378" w14:textId="77777777" w:rsidR="00F400A4" w:rsidRDefault="00F400A4" w:rsidP="00D36E22">
            <w:pPr>
              <w:rPr>
                <w:rFonts w:cstheme="minorHAnsi"/>
                <w:sz w:val="18"/>
                <w:szCs w:val="18"/>
                <w:lang w:val="en-GB"/>
              </w:rPr>
            </w:pPr>
            <w:r>
              <w:rPr>
                <w:rFonts w:cstheme="minorHAnsi"/>
                <w:sz w:val="18"/>
                <w:szCs w:val="18"/>
                <w:lang w:val="en-GB"/>
              </w:rPr>
              <w:t>- Improvement of safe health care.</w:t>
            </w:r>
          </w:p>
          <w:p w14:paraId="55BEDD69" w14:textId="77777777" w:rsidR="00F400A4" w:rsidRDefault="00F400A4" w:rsidP="00D36E22">
            <w:pPr>
              <w:rPr>
                <w:rFonts w:cstheme="minorHAnsi"/>
                <w:sz w:val="18"/>
                <w:szCs w:val="18"/>
                <w:lang w:val="en-GB"/>
              </w:rPr>
            </w:pPr>
            <w:r>
              <w:rPr>
                <w:rFonts w:cstheme="minorHAnsi"/>
                <w:sz w:val="18"/>
                <w:szCs w:val="18"/>
                <w:lang w:val="en-GB"/>
              </w:rPr>
              <w:lastRenderedPageBreak/>
              <w:t>- Improvement of patient safety.</w:t>
            </w:r>
          </w:p>
          <w:p w14:paraId="1640F58A" w14:textId="77777777" w:rsidR="00F400A4" w:rsidRDefault="00F400A4" w:rsidP="00D36E22">
            <w:pPr>
              <w:rPr>
                <w:rFonts w:cstheme="minorHAnsi"/>
                <w:sz w:val="18"/>
                <w:szCs w:val="18"/>
                <w:lang w:val="en-GB"/>
              </w:rPr>
            </w:pPr>
            <w:r>
              <w:rPr>
                <w:rFonts w:cstheme="minorHAnsi"/>
                <w:sz w:val="18"/>
                <w:szCs w:val="18"/>
                <w:lang w:val="en-GB"/>
              </w:rPr>
              <w:t>- Eliminate avoidable harm in health care.</w:t>
            </w:r>
          </w:p>
          <w:p w14:paraId="5518744A" w14:textId="77777777" w:rsidR="00F400A4" w:rsidRDefault="00F400A4" w:rsidP="00D36E22">
            <w:pPr>
              <w:rPr>
                <w:rFonts w:cstheme="minorHAnsi"/>
                <w:sz w:val="18"/>
                <w:szCs w:val="18"/>
                <w:lang w:val="en-GB"/>
              </w:rPr>
            </w:pPr>
            <w:r>
              <w:rPr>
                <w:rFonts w:cstheme="minorHAnsi"/>
                <w:sz w:val="18"/>
                <w:szCs w:val="18"/>
                <w:lang w:val="en-GB"/>
              </w:rPr>
              <w:t>- Improvement of teamwork and communication in protecting patients from harm.</w:t>
            </w:r>
          </w:p>
          <w:p w14:paraId="26322DD3" w14:textId="77777777" w:rsidR="00F400A4" w:rsidRPr="00174262" w:rsidRDefault="00F400A4" w:rsidP="00D36E22">
            <w:pPr>
              <w:rPr>
                <w:rFonts w:cstheme="minorHAnsi"/>
                <w:sz w:val="18"/>
                <w:szCs w:val="18"/>
                <w:lang w:val="en-GB"/>
              </w:rPr>
            </w:pPr>
            <w:r>
              <w:rPr>
                <w:rFonts w:cstheme="minorHAnsi"/>
                <w:sz w:val="18"/>
                <w:szCs w:val="18"/>
                <w:lang w:val="en-GB"/>
              </w:rPr>
              <w:t xml:space="preserve">- Develop a </w:t>
            </w:r>
            <w:proofErr w:type="gramStart"/>
            <w:r>
              <w:rPr>
                <w:rFonts w:cstheme="minorHAnsi"/>
                <w:sz w:val="18"/>
                <w:szCs w:val="18"/>
                <w:lang w:val="en-GB"/>
              </w:rPr>
              <w:t>trainers</w:t>
            </w:r>
            <w:proofErr w:type="gramEnd"/>
            <w:r>
              <w:rPr>
                <w:rFonts w:cstheme="minorHAnsi"/>
                <w:sz w:val="18"/>
                <w:szCs w:val="18"/>
                <w:lang w:val="en-GB"/>
              </w:rPr>
              <w:t xml:space="preserve">´ programme for patient safety educational faculty.   </w:t>
            </w:r>
          </w:p>
          <w:p w14:paraId="6E14C38D" w14:textId="77777777" w:rsidR="00F400A4" w:rsidRPr="00174262" w:rsidRDefault="00F400A4" w:rsidP="00D36E22">
            <w:pPr>
              <w:rPr>
                <w:rFonts w:cstheme="minorHAnsi"/>
                <w:sz w:val="18"/>
                <w:szCs w:val="18"/>
                <w:lang w:val="en-GB"/>
              </w:rPr>
            </w:pPr>
            <w:r w:rsidRPr="00174262">
              <w:rPr>
                <w:rFonts w:cstheme="minorHAnsi"/>
                <w:sz w:val="18"/>
                <w:szCs w:val="18"/>
                <w:lang w:val="en-GB"/>
              </w:rPr>
              <w:t>-Assure elderly health and economic benefits</w:t>
            </w:r>
            <w:r>
              <w:rPr>
                <w:rFonts w:cstheme="minorHAnsi"/>
                <w:sz w:val="18"/>
                <w:szCs w:val="18"/>
                <w:lang w:val="en-GB"/>
              </w:rPr>
              <w:t>.</w:t>
            </w:r>
          </w:p>
          <w:p w14:paraId="2D9EF880" w14:textId="77777777" w:rsidR="00F400A4" w:rsidRPr="00174262" w:rsidRDefault="00F400A4" w:rsidP="00D36E22">
            <w:pPr>
              <w:rPr>
                <w:rFonts w:cstheme="minorHAnsi"/>
                <w:sz w:val="18"/>
                <w:szCs w:val="18"/>
                <w:lang w:val="en-GB"/>
              </w:rPr>
            </w:pPr>
            <w:r w:rsidRPr="00174262">
              <w:rPr>
                <w:rFonts w:cstheme="minorHAnsi"/>
                <w:sz w:val="18"/>
                <w:szCs w:val="18"/>
                <w:lang w:val="en-GB"/>
              </w:rPr>
              <w:t>-Mitigate adverse health effects due to FS</w:t>
            </w:r>
            <w:r>
              <w:rPr>
                <w:rFonts w:cstheme="minorHAnsi"/>
                <w:sz w:val="18"/>
                <w:szCs w:val="18"/>
                <w:lang w:val="en-GB"/>
              </w:rPr>
              <w:t>.</w:t>
            </w:r>
          </w:p>
          <w:p w14:paraId="46B01F24" w14:textId="77777777" w:rsidR="00F400A4" w:rsidRPr="00174262" w:rsidRDefault="00F400A4" w:rsidP="00D36E22">
            <w:pPr>
              <w:rPr>
                <w:rFonts w:cstheme="minorHAnsi"/>
                <w:sz w:val="18"/>
                <w:szCs w:val="18"/>
                <w:lang w:val="en-GB"/>
              </w:rPr>
            </w:pPr>
            <w:r w:rsidRPr="00174262">
              <w:rPr>
                <w:rFonts w:cstheme="minorHAnsi"/>
                <w:sz w:val="18"/>
                <w:szCs w:val="18"/>
                <w:lang w:val="en-GB"/>
              </w:rPr>
              <w:t>-Create a database on food supplements to support health professionals' advice.</w:t>
            </w:r>
          </w:p>
          <w:p w14:paraId="6DA77D58" w14:textId="77777777" w:rsidR="00F400A4" w:rsidRPr="00174262" w:rsidRDefault="00F400A4" w:rsidP="00D36E22">
            <w:pPr>
              <w:rPr>
                <w:rFonts w:cstheme="minorHAnsi"/>
                <w:sz w:val="18"/>
                <w:szCs w:val="18"/>
                <w:lang w:val="en-GB"/>
              </w:rPr>
            </w:pPr>
            <w:r w:rsidRPr="00174262">
              <w:rPr>
                <w:rFonts w:cstheme="minorHAnsi"/>
                <w:sz w:val="18"/>
                <w:szCs w:val="18"/>
                <w:lang w:val="en-GB"/>
              </w:rPr>
              <w:t>-</w:t>
            </w:r>
            <w:r w:rsidRPr="00174262">
              <w:rPr>
                <w:sz w:val="18"/>
                <w:szCs w:val="18"/>
                <w:lang w:val="en-GB"/>
              </w:rPr>
              <w:t xml:space="preserve"> P</w:t>
            </w:r>
            <w:r w:rsidRPr="00174262">
              <w:rPr>
                <w:rFonts w:cstheme="minorHAnsi"/>
                <w:sz w:val="18"/>
                <w:szCs w:val="18"/>
                <w:lang w:val="en-GB"/>
              </w:rPr>
              <w:t>romote a digital informative system accessible and cost-effective</w:t>
            </w:r>
            <w:r>
              <w:rPr>
                <w:rFonts w:cstheme="minorHAnsi"/>
                <w:sz w:val="18"/>
                <w:szCs w:val="18"/>
                <w:lang w:val="en-GB"/>
              </w:rPr>
              <w:t>.</w:t>
            </w:r>
          </w:p>
          <w:p w14:paraId="4D808DEE" w14:textId="77777777" w:rsidR="00F400A4" w:rsidRPr="00174262" w:rsidRDefault="00F400A4" w:rsidP="00D36E22">
            <w:pPr>
              <w:rPr>
                <w:sz w:val="18"/>
                <w:szCs w:val="18"/>
                <w:highlight w:val="yellow"/>
                <w:lang w:val="en-GB"/>
              </w:rPr>
            </w:pPr>
            <w:r w:rsidRPr="00174262">
              <w:rPr>
                <w:rFonts w:cstheme="minorHAnsi"/>
                <w:sz w:val="18"/>
                <w:szCs w:val="18"/>
                <w:lang w:val="en-GB"/>
              </w:rPr>
              <w:t>-</w:t>
            </w:r>
            <w:r w:rsidRPr="00174262">
              <w:rPr>
                <w:sz w:val="18"/>
                <w:szCs w:val="18"/>
                <w:lang w:val="en-GB"/>
              </w:rPr>
              <w:t>Improve communication between health professionals</w:t>
            </w:r>
            <w:r>
              <w:rPr>
                <w:sz w:val="18"/>
                <w:szCs w:val="18"/>
                <w:lang w:val="en-GB"/>
              </w:rPr>
              <w:t>.</w:t>
            </w:r>
          </w:p>
          <w:p w14:paraId="57D1D221" w14:textId="77777777" w:rsidR="00F400A4" w:rsidRPr="00174262" w:rsidRDefault="00F400A4" w:rsidP="00D36E22">
            <w:pPr>
              <w:pStyle w:val="MDPI42tablebody"/>
              <w:jc w:val="both"/>
              <w:rPr>
                <w:sz w:val="18"/>
                <w:szCs w:val="18"/>
                <w:lang w:val="en-GB"/>
              </w:rPr>
            </w:pPr>
            <w:r w:rsidRPr="00174262">
              <w:rPr>
                <w:rFonts w:cstheme="minorHAnsi"/>
                <w:sz w:val="18"/>
                <w:szCs w:val="18"/>
                <w:lang w:val="en-GB"/>
              </w:rPr>
              <w:t>-New opportunities for collaboration between Academia, health professionals and industry</w:t>
            </w:r>
            <w:r>
              <w:rPr>
                <w:rFonts w:cstheme="minorHAnsi"/>
                <w:sz w:val="18"/>
                <w:szCs w:val="18"/>
                <w:lang w:val="en-GB"/>
              </w:rPr>
              <w:t>.</w:t>
            </w:r>
          </w:p>
        </w:tc>
      </w:tr>
      <w:tr w:rsidR="00F400A4" w:rsidRPr="00655E61" w14:paraId="57D9C625" w14:textId="77777777" w:rsidTr="00D36E22">
        <w:trPr>
          <w:jc w:val="center"/>
        </w:trPr>
        <w:tc>
          <w:tcPr>
            <w:tcW w:w="1843" w:type="dxa"/>
            <w:tcBorders>
              <w:top w:val="single" w:sz="4" w:space="0" w:color="auto"/>
              <w:bottom w:val="nil"/>
            </w:tcBorders>
            <w:shd w:val="clear" w:color="auto" w:fill="auto"/>
            <w:vAlign w:val="center"/>
          </w:tcPr>
          <w:p w14:paraId="202E04F0" w14:textId="77777777" w:rsidR="00F400A4" w:rsidRPr="00174262" w:rsidRDefault="00F400A4" w:rsidP="00D36E22">
            <w:pPr>
              <w:pStyle w:val="MDPI42tablebody"/>
              <w:rPr>
                <w:rFonts w:cstheme="minorHAnsi"/>
                <w:sz w:val="18"/>
                <w:szCs w:val="18"/>
                <w:lang w:val="en-GB"/>
              </w:rPr>
            </w:pPr>
            <w:r w:rsidRPr="00174262">
              <w:rPr>
                <w:rFonts w:cstheme="minorHAnsi"/>
                <w:sz w:val="18"/>
                <w:szCs w:val="18"/>
                <w:lang w:val="en-GB"/>
              </w:rPr>
              <w:lastRenderedPageBreak/>
              <w:t>Threatens</w:t>
            </w:r>
          </w:p>
        </w:tc>
        <w:tc>
          <w:tcPr>
            <w:tcW w:w="7796" w:type="dxa"/>
            <w:tcBorders>
              <w:top w:val="single" w:sz="4" w:space="0" w:color="auto"/>
              <w:bottom w:val="nil"/>
            </w:tcBorders>
            <w:shd w:val="clear" w:color="auto" w:fill="auto"/>
            <w:vAlign w:val="center"/>
          </w:tcPr>
          <w:p w14:paraId="20802E7A" w14:textId="77777777" w:rsidR="00F400A4" w:rsidRPr="00174262" w:rsidRDefault="00F400A4" w:rsidP="00D36E22">
            <w:pPr>
              <w:rPr>
                <w:rFonts w:cstheme="minorHAnsi"/>
                <w:sz w:val="18"/>
                <w:szCs w:val="18"/>
                <w:lang w:val="en-GB"/>
              </w:rPr>
            </w:pPr>
            <w:r w:rsidRPr="00174262">
              <w:rPr>
                <w:rFonts w:cstheme="minorHAnsi"/>
                <w:sz w:val="18"/>
                <w:szCs w:val="18"/>
                <w:lang w:val="en-GB"/>
              </w:rPr>
              <w:t>-Lack of robust FS legislation</w:t>
            </w:r>
            <w:r>
              <w:rPr>
                <w:rFonts w:cstheme="minorHAnsi"/>
                <w:sz w:val="18"/>
                <w:szCs w:val="18"/>
                <w:lang w:val="en-GB"/>
              </w:rPr>
              <w:t>.</w:t>
            </w:r>
          </w:p>
          <w:p w14:paraId="7083B624" w14:textId="77777777" w:rsidR="00F400A4" w:rsidRDefault="00F400A4" w:rsidP="00D36E22">
            <w:pPr>
              <w:rPr>
                <w:rFonts w:cstheme="minorHAnsi"/>
                <w:sz w:val="18"/>
                <w:szCs w:val="18"/>
                <w:lang w:val="en-GB"/>
              </w:rPr>
            </w:pPr>
            <w:r w:rsidRPr="00174262">
              <w:rPr>
                <w:rFonts w:cstheme="minorHAnsi"/>
                <w:sz w:val="18"/>
                <w:szCs w:val="18"/>
                <w:lang w:val="en-GB"/>
              </w:rPr>
              <w:t>-Lack of a harmoni</w:t>
            </w:r>
            <w:r>
              <w:rPr>
                <w:rFonts w:cstheme="minorHAnsi"/>
                <w:sz w:val="18"/>
                <w:szCs w:val="18"/>
                <w:lang w:val="en-GB"/>
              </w:rPr>
              <w:t>s</w:t>
            </w:r>
            <w:r w:rsidRPr="00174262">
              <w:rPr>
                <w:rFonts w:cstheme="minorHAnsi"/>
                <w:sz w:val="18"/>
                <w:szCs w:val="18"/>
                <w:lang w:val="en-GB"/>
              </w:rPr>
              <w:t>ed definition of polypharmacy</w:t>
            </w:r>
            <w:r>
              <w:rPr>
                <w:rFonts w:cstheme="minorHAnsi"/>
                <w:sz w:val="18"/>
                <w:szCs w:val="18"/>
                <w:lang w:val="en-GB"/>
              </w:rPr>
              <w:t>.</w:t>
            </w:r>
          </w:p>
          <w:p w14:paraId="07EF6949" w14:textId="77777777" w:rsidR="00F400A4" w:rsidRPr="00174262" w:rsidRDefault="00F400A4" w:rsidP="00D36E22">
            <w:pPr>
              <w:rPr>
                <w:rFonts w:cstheme="minorHAnsi"/>
                <w:sz w:val="18"/>
                <w:szCs w:val="18"/>
                <w:lang w:val="en-GB"/>
              </w:rPr>
            </w:pPr>
            <w:r>
              <w:rPr>
                <w:rFonts w:cstheme="minorHAnsi"/>
                <w:sz w:val="18"/>
                <w:szCs w:val="18"/>
                <w:lang w:val="en-GB"/>
              </w:rPr>
              <w:t>- Unsafe health care is a large and growing public health change.</w:t>
            </w:r>
            <w:r w:rsidRPr="00174262">
              <w:rPr>
                <w:rFonts w:cstheme="minorHAnsi"/>
                <w:sz w:val="18"/>
                <w:szCs w:val="18"/>
                <w:lang w:val="en-GB"/>
              </w:rPr>
              <w:t xml:space="preserve"> </w:t>
            </w:r>
          </w:p>
          <w:p w14:paraId="06A6BFB5" w14:textId="77777777" w:rsidR="00F400A4" w:rsidRPr="00174262" w:rsidRDefault="00F400A4" w:rsidP="00D36E22">
            <w:pPr>
              <w:rPr>
                <w:rFonts w:cstheme="minorHAnsi"/>
                <w:sz w:val="18"/>
                <w:szCs w:val="18"/>
                <w:lang w:val="en-GB"/>
              </w:rPr>
            </w:pPr>
            <w:r w:rsidRPr="00174262">
              <w:rPr>
                <w:rFonts w:cstheme="minorHAnsi"/>
                <w:sz w:val="18"/>
                <w:szCs w:val="18"/>
                <w:lang w:val="en-GB"/>
              </w:rPr>
              <w:t xml:space="preserve">-Unclear if polypharmacy includes or does not FS or oral nutritional supplements. </w:t>
            </w:r>
          </w:p>
          <w:p w14:paraId="46154058" w14:textId="77777777" w:rsidR="00F400A4" w:rsidRPr="00174262" w:rsidRDefault="00F400A4" w:rsidP="00D36E22">
            <w:pPr>
              <w:rPr>
                <w:rFonts w:ascii="Times New Roman" w:hAnsi="Times New Roman"/>
                <w:sz w:val="18"/>
                <w:szCs w:val="18"/>
                <w:lang w:val="en-GB" w:eastAsia="pt-PT"/>
              </w:rPr>
            </w:pPr>
            <w:r w:rsidRPr="00174262">
              <w:rPr>
                <w:rFonts w:cstheme="minorHAnsi"/>
                <w:sz w:val="18"/>
                <w:szCs w:val="18"/>
                <w:lang w:val="en-GB"/>
              </w:rPr>
              <w:t>-Limitations in data analysis</w:t>
            </w:r>
            <w:r>
              <w:rPr>
                <w:rFonts w:cstheme="minorHAnsi"/>
                <w:sz w:val="18"/>
                <w:szCs w:val="18"/>
                <w:lang w:val="en-GB"/>
              </w:rPr>
              <w:t>.</w:t>
            </w:r>
            <w:r w:rsidRPr="00174262">
              <w:rPr>
                <w:rFonts w:cstheme="minorHAnsi"/>
                <w:sz w:val="18"/>
                <w:szCs w:val="18"/>
                <w:lang w:val="en-GB"/>
              </w:rPr>
              <w:t xml:space="preserve"> </w:t>
            </w:r>
          </w:p>
          <w:p w14:paraId="385255A6" w14:textId="77777777" w:rsidR="00F400A4" w:rsidRPr="00174262" w:rsidRDefault="00F400A4" w:rsidP="00D36E22">
            <w:pPr>
              <w:rPr>
                <w:rFonts w:cstheme="minorHAnsi"/>
                <w:sz w:val="18"/>
                <w:szCs w:val="18"/>
                <w:lang w:val="en-GB"/>
              </w:rPr>
            </w:pPr>
            <w:r w:rsidRPr="00174262">
              <w:rPr>
                <w:rFonts w:cstheme="minorHAnsi"/>
                <w:sz w:val="18"/>
                <w:szCs w:val="18"/>
                <w:lang w:val="en-GB"/>
              </w:rPr>
              <w:t>-Difficulty of comparable prevalence data</w:t>
            </w:r>
            <w:r>
              <w:rPr>
                <w:rFonts w:cstheme="minorHAnsi"/>
                <w:sz w:val="18"/>
                <w:szCs w:val="18"/>
                <w:lang w:val="en-GB"/>
              </w:rPr>
              <w:t>.</w:t>
            </w:r>
          </w:p>
          <w:p w14:paraId="49AC8770" w14:textId="77777777" w:rsidR="00F400A4" w:rsidRPr="00174262" w:rsidRDefault="00F400A4" w:rsidP="00D36E22">
            <w:pPr>
              <w:rPr>
                <w:rFonts w:cstheme="minorHAnsi"/>
                <w:sz w:val="18"/>
                <w:szCs w:val="18"/>
                <w:lang w:val="en-GB"/>
              </w:rPr>
            </w:pPr>
            <w:r w:rsidRPr="00174262">
              <w:rPr>
                <w:rFonts w:cstheme="minorHAnsi"/>
                <w:sz w:val="18"/>
                <w:szCs w:val="18"/>
                <w:lang w:val="en-GB"/>
              </w:rPr>
              <w:t xml:space="preserve">-Hinders the definition of guidelines and health policies. </w:t>
            </w:r>
          </w:p>
          <w:p w14:paraId="7AD4AE1F" w14:textId="77777777" w:rsidR="00F400A4" w:rsidRPr="00174262" w:rsidRDefault="00F400A4" w:rsidP="00D36E22">
            <w:pPr>
              <w:rPr>
                <w:rFonts w:cstheme="minorHAnsi"/>
                <w:sz w:val="18"/>
                <w:szCs w:val="18"/>
                <w:lang w:val="en-GB"/>
              </w:rPr>
            </w:pPr>
            <w:r w:rsidRPr="00174262">
              <w:rPr>
                <w:rFonts w:cstheme="minorHAnsi"/>
                <w:sz w:val="18"/>
                <w:szCs w:val="18"/>
                <w:lang w:val="en-GB"/>
              </w:rPr>
              <w:t>-Supply chain of FS</w:t>
            </w:r>
            <w:r>
              <w:rPr>
                <w:rFonts w:cstheme="minorHAnsi"/>
                <w:sz w:val="18"/>
                <w:szCs w:val="18"/>
                <w:lang w:val="en-GB"/>
              </w:rPr>
              <w:t>.</w:t>
            </w:r>
          </w:p>
          <w:p w14:paraId="4C28E4AE" w14:textId="77777777" w:rsidR="00F400A4" w:rsidRPr="00174262" w:rsidRDefault="00F400A4" w:rsidP="00D36E22">
            <w:pPr>
              <w:rPr>
                <w:rFonts w:cstheme="minorHAnsi"/>
                <w:sz w:val="18"/>
                <w:szCs w:val="18"/>
                <w:lang w:val="en-GB"/>
              </w:rPr>
            </w:pPr>
            <w:r w:rsidRPr="00174262">
              <w:rPr>
                <w:rFonts w:cstheme="minorHAnsi"/>
                <w:sz w:val="18"/>
                <w:szCs w:val="18"/>
                <w:lang w:val="en-GB"/>
              </w:rPr>
              <w:t>-Unsafety and lack of</w:t>
            </w:r>
            <w:r>
              <w:rPr>
                <w:rFonts w:cstheme="minorHAnsi"/>
                <w:sz w:val="18"/>
                <w:szCs w:val="18"/>
                <w:lang w:val="en-GB"/>
              </w:rPr>
              <w:t xml:space="preserve"> </w:t>
            </w:r>
            <w:r w:rsidRPr="00174262">
              <w:rPr>
                <w:rFonts w:cstheme="minorHAnsi"/>
                <w:sz w:val="18"/>
                <w:szCs w:val="18"/>
                <w:lang w:val="en-GB"/>
              </w:rPr>
              <w:t>quality of FS</w:t>
            </w:r>
            <w:r>
              <w:rPr>
                <w:rFonts w:cstheme="minorHAnsi"/>
                <w:sz w:val="18"/>
                <w:szCs w:val="18"/>
                <w:lang w:val="en-GB"/>
              </w:rPr>
              <w:t>.</w:t>
            </w:r>
          </w:p>
        </w:tc>
      </w:tr>
    </w:tbl>
    <w:p w14:paraId="70DB9750" w14:textId="77777777" w:rsidR="00F400A4" w:rsidRDefault="00F400A4"/>
    <w:sectPr w:rsidR="00F400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0A4"/>
    <w:rsid w:val="0005255A"/>
    <w:rsid w:val="00921D1A"/>
    <w:rsid w:val="0094014D"/>
    <w:rsid w:val="00D508EA"/>
    <w:rsid w:val="00F151BC"/>
    <w:rsid w:val="00F400A4"/>
    <w:rsid w:val="00FA2D3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D58A8"/>
  <w15:chartTrackingRefBased/>
  <w15:docId w15:val="{DDC1A0CF-0414-4F6C-9E0C-56E78058A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0A4"/>
    <w:pPr>
      <w:spacing w:after="0" w:line="260" w:lineRule="atLeast"/>
      <w:jc w:val="both"/>
    </w:pPr>
    <w:rPr>
      <w:rFonts w:ascii="Palatino Linotype" w:eastAsia="SimSun" w:hAnsi="Palatino Linotype" w:cs="Times New Roman"/>
      <w:color w:val="000000"/>
      <w:kern w:val="0"/>
      <w:sz w:val="20"/>
      <w:szCs w:val="20"/>
      <w:lang w:val="en-US" w:eastAsia="zh-CN"/>
      <w14:ligatures w14:val="non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DPI42tablebody">
    <w:name w:val="MDPI_4.2_table_body"/>
    <w:qFormat/>
    <w:rsid w:val="00F400A4"/>
    <w:pPr>
      <w:adjustRightInd w:val="0"/>
      <w:snapToGrid w:val="0"/>
      <w:spacing w:after="0" w:line="260" w:lineRule="atLeast"/>
      <w:jc w:val="center"/>
    </w:pPr>
    <w:rPr>
      <w:rFonts w:ascii="Palatino Linotype" w:eastAsia="Times New Roman" w:hAnsi="Palatino Linotype" w:cs="Times New Roman"/>
      <w:snapToGrid w:val="0"/>
      <w:color w:val="000000"/>
      <w:kern w:val="0"/>
      <w:sz w:val="20"/>
      <w:szCs w:val="20"/>
      <w:lang w:val="en-US" w:eastAsia="de-DE" w:bidi="en-US"/>
      <w14:ligatures w14:val="none"/>
    </w:rPr>
  </w:style>
  <w:style w:type="paragraph" w:customStyle="1" w:styleId="MDPI41tablecaption">
    <w:name w:val="MDPI_4.1_table_caption"/>
    <w:qFormat/>
    <w:rsid w:val="00F400A4"/>
    <w:pPr>
      <w:adjustRightInd w:val="0"/>
      <w:snapToGrid w:val="0"/>
      <w:spacing w:before="240" w:after="120" w:line="228" w:lineRule="auto"/>
      <w:ind w:left="2608"/>
      <w:jc w:val="both"/>
    </w:pPr>
    <w:rPr>
      <w:rFonts w:ascii="Palatino Linotype" w:eastAsia="Times New Roman" w:hAnsi="Palatino Linotype" w:cs="Cordia New"/>
      <w:color w:val="000000"/>
      <w:kern w:val="0"/>
      <w:sz w:val="18"/>
      <w:lang w:val="en-US" w:eastAsia="de-DE"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D8B86-BE27-4EF7-9516-6EE49DB06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2962</Characters>
  <Application>Microsoft Office Word</Application>
  <DocSecurity>0</DocSecurity>
  <Lines>125</Lines>
  <Paragraphs>96</Paragraphs>
  <ScaleCrop>false</ScaleCrop>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dc:creator>
  <cp:keywords/>
  <dc:description/>
  <cp:lastModifiedBy>Revisor</cp:lastModifiedBy>
  <cp:revision>1</cp:revision>
  <dcterms:created xsi:type="dcterms:W3CDTF">2024-02-06T09:12:00Z</dcterms:created>
  <dcterms:modified xsi:type="dcterms:W3CDTF">2024-02-06T09:14:00Z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9942ffb3-f2c0-4137-8502-67abf1e1461a</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http://www.zotero.org/styles/ieee</vt:lpwstr>
  </property>
  <property fmtid="{D5CDD505-2E9C-101B-9397-08002B2CF9AE}" pid="12" name="Mendeley Recent Style Name 4_1">
    <vt:lpwstr>IEEE</vt:lpwstr>
  </property>
  <property fmtid="{D5CDD505-2E9C-101B-9397-08002B2CF9AE}" pid="13" name="Mendeley Recent Style Id 5_1">
    <vt:lpwstr>http://www.zotero.org/styles/modern-humanities-research-association</vt:lpwstr>
  </property>
  <property fmtid="{D5CDD505-2E9C-101B-9397-08002B2CF9AE}" pid="14" name="Mendeley Recent Style Name 5_1">
    <vt:lpwstr>Modern Humanities Research Association 3rd edition (note with bibliography)</vt:lpwstr>
  </property>
  <property fmtid="{D5CDD505-2E9C-101B-9397-08002B2CF9AE}" pid="15" name="Mendeley Recent Style Id 6_1">
    <vt:lpwstr>http://www.zotero.org/styles/modern-language-association</vt:lpwstr>
  </property>
  <property fmtid="{D5CDD505-2E9C-101B-9397-08002B2CF9AE}" pid="16" name="Mendeley Recent Style Name 6_1">
    <vt:lpwstr>Modern Language Association 8th edition</vt:lpwstr>
  </property>
  <property fmtid="{D5CDD505-2E9C-101B-9397-08002B2CF9AE}" pid="17" name="Mendeley Recent Style Id 7_1">
    <vt:lpwstr>http://www.zotero.org/styles/multidisciplinary-digital-publishing-institute</vt:lpwstr>
  </property>
  <property fmtid="{D5CDD505-2E9C-101B-9397-08002B2CF9AE}" pid="18" name="Mendeley Recent Style Name 7_1">
    <vt:lpwstr>Multidisciplinary Digital Publishing Institute</vt:lpwstr>
  </property>
  <property fmtid="{D5CDD505-2E9C-101B-9397-08002B2CF9AE}" pid="19" name="Mendeley Recent Style Id 8_1">
    <vt:lpwstr>http://www.zotero.org/styles/norma-portuguesa-405</vt:lpwstr>
  </property>
  <property fmtid="{D5CDD505-2E9C-101B-9397-08002B2CF9AE}" pid="20" name="Mendeley Recent Style Name 8_1">
    <vt:lpwstr>Norma Portuguesa 405 (Portuguese)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ies>
</file>