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2102"/>
        <w:gridCol w:w="1958"/>
      </w:tblGrid>
      <w:tr w:rsidR="009B6AA8" w:rsidRPr="009B6AA8" w:rsidTr="009B6AA8">
        <w:trPr>
          <w:trHeight w:val="52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Physicochemical Properties 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AA8">
              <w:rPr>
                <w:rFonts w:ascii="Times New Roman" w:eastAsia="Times New Roman" w:hAnsi="Times New Roman" w:cs="Times New Roman"/>
                <w:sz w:val="20"/>
                <w:szCs w:val="20"/>
              </w:rPr>
              <w:t>Compound K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Standard Range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Molecular weight (g/</w:t>
            </w:r>
            <w:proofErr w:type="spellStart"/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mol</w:t>
            </w:r>
            <w:proofErr w:type="spellEnd"/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)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622.9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 &lt; 500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Num. rotatable bonds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</w:p>
        </w:tc>
        <w:bookmarkStart w:id="0" w:name="_GoBack"/>
        <w:bookmarkEnd w:id="0"/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Num. H-bond acceptors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 ≤ 10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Hydrogen bond donor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 ≤ 5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Molar Refractivity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172.26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40–130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TPSA (Å2)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139.84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 &lt; 140 Å2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Lipinski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</w:rPr>
              <w:t>Yes; 2 violation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 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Bioavailability Score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ind w:right="320"/>
              <w:jc w:val="center"/>
              <w:rPr>
                <w:rFonts w:ascii="Times New Roman" w:eastAsia="Times New Roman" w:hAnsi="Times New Roman" w:cs="Times New Roman"/>
                <w:color w:val="626262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626262"/>
                <w:sz w:val="16"/>
                <w:szCs w:val="20"/>
              </w:rPr>
              <w:t>0.17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˃0.1</w:t>
            </w:r>
          </w:p>
        </w:tc>
      </w:tr>
      <w:tr w:rsidR="009B6AA8" w:rsidRPr="009B6AA8" w:rsidTr="009B6AA8">
        <w:trPr>
          <w:trHeight w:val="390"/>
        </w:trPr>
        <w:tc>
          <w:tcPr>
            <w:tcW w:w="6920" w:type="dxa"/>
            <w:gridSpan w:val="3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9B6AA8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ADME</w:t>
            </w: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Human Intestinal Absorption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</w:rPr>
              <w:t>54.344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GI absorption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26262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626262"/>
                <w:sz w:val="16"/>
                <w:szCs w:val="20"/>
              </w:rPr>
              <w:t>Low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Blood-brain Barrier Permeability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</w:rPr>
              <w:t>-1.038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0–1</w:t>
            </w:r>
          </w:p>
        </w:tc>
      </w:tr>
      <w:tr w:rsidR="009B6AA8" w:rsidRPr="009B6AA8" w:rsidTr="009B6AA8">
        <w:trPr>
          <w:trHeight w:val="46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Volume distribution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212529"/>
                <w:sz w:val="16"/>
                <w:szCs w:val="20"/>
              </w:rPr>
              <w:t>1.061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0.04-20L/Kg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Plasma-protein binding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212529"/>
                <w:sz w:val="16"/>
                <w:szCs w:val="20"/>
              </w:rPr>
              <w:t>93.57%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&lt;90%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Total Clearance (log ml/min/kg)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</w:rPr>
              <w:t>0.46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CYP1A2 inhibitor 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</w:rPr>
              <w:t>No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0–1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CYP2C19 inhibitor 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</w:rPr>
              <w:t>No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0–1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CYP2C9 inhibitor 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</w:rPr>
              <w:t>No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0–1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CYP2D6 inhibitor 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</w:rPr>
              <w:t>No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0–1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CYP3A4 inhibitor 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</w:rPr>
              <w:t>No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0–1</w:t>
            </w:r>
          </w:p>
        </w:tc>
      </w:tr>
      <w:tr w:rsidR="009B6AA8" w:rsidRPr="009B6AA8" w:rsidTr="009B6AA8">
        <w:trPr>
          <w:trHeight w:val="315"/>
        </w:trPr>
        <w:tc>
          <w:tcPr>
            <w:tcW w:w="6920" w:type="dxa"/>
            <w:gridSpan w:val="3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</w:pPr>
            <w:r w:rsidRPr="009B6AA8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Toxicity</w:t>
            </w: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Hepatotoxicity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</w:rPr>
              <w:t>Active (0.69)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0–1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Carcinogenesis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</w:rPr>
              <w:t>Inactive (0.62)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0–1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Immunotoxicity</w:t>
            </w:r>
            <w:proofErr w:type="spellEnd"/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</w:rPr>
              <w:t>Active (0.96)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0–1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Mutagenicity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</w:rPr>
              <w:t>Inactive (0.97)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0–1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Cytotoxicity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</w:rPr>
              <w:t>Inactive (0.93)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0–1</w:t>
            </w:r>
          </w:p>
        </w:tc>
      </w:tr>
      <w:tr w:rsidR="009B6AA8" w:rsidRPr="009B6AA8" w:rsidTr="009B6AA8">
        <w:trPr>
          <w:trHeight w:val="315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Mitochondrial Membrane Potential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20"/>
              </w:rPr>
              <w:t>Inactive (0.70)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9B6AA8" w:rsidRPr="009B6AA8" w:rsidRDefault="009B6AA8" w:rsidP="009B6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9B6A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0–1</w:t>
            </w:r>
          </w:p>
        </w:tc>
      </w:tr>
    </w:tbl>
    <w:p w:rsidR="00433874" w:rsidRDefault="00433874"/>
    <w:sectPr w:rsidR="00433874" w:rsidSect="006F6C20">
      <w:pgSz w:w="12240" w:h="15840"/>
      <w:pgMar w:top="1701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vOT3c2d9f1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6A"/>
    <w:rsid w:val="00326B6A"/>
    <w:rsid w:val="00433874"/>
    <w:rsid w:val="006F6C20"/>
    <w:rsid w:val="008A0C0D"/>
    <w:rsid w:val="009B6AA8"/>
    <w:rsid w:val="00A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AC6CE-05DB-4E83-9FB3-3172E9A5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aj">
    <w:name w:val="niaj"/>
    <w:basedOn w:val="Normal"/>
    <w:link w:val="niajChar"/>
    <w:qFormat/>
    <w:rsid w:val="008A0C0D"/>
    <w:pPr>
      <w:widowControl w:val="0"/>
      <w:wordWrap w:val="0"/>
      <w:autoSpaceDE w:val="0"/>
      <w:autoSpaceDN w:val="0"/>
      <w:spacing w:after="0" w:line="240" w:lineRule="auto"/>
      <w:contextualSpacing/>
      <w:jc w:val="both"/>
    </w:pPr>
    <w:rPr>
      <w:rFonts w:asciiTheme="majorHAnsi" w:eastAsiaTheme="majorEastAsia" w:hAnsiTheme="majorHAnsi" w:cs="AdvOT3c2d9f11"/>
      <w:b/>
      <w:color w:val="000000" w:themeColor="text1"/>
      <w:spacing w:val="-10"/>
      <w:kern w:val="28"/>
      <w:sz w:val="20"/>
      <w:szCs w:val="19"/>
    </w:rPr>
  </w:style>
  <w:style w:type="character" w:customStyle="1" w:styleId="niajChar">
    <w:name w:val="niaj Char"/>
    <w:basedOn w:val="DefaultParagraphFont"/>
    <w:link w:val="niaj"/>
    <w:rsid w:val="008A0C0D"/>
    <w:rPr>
      <w:rFonts w:asciiTheme="majorHAnsi" w:eastAsiaTheme="majorEastAsia" w:hAnsiTheme="majorHAnsi" w:cs="AdvOT3c2d9f11"/>
      <w:b/>
      <w:color w:val="000000" w:themeColor="text1"/>
      <w:spacing w:val="-10"/>
      <w:kern w:val="28"/>
      <w:sz w:val="20"/>
      <w:szCs w:val="19"/>
    </w:rPr>
  </w:style>
  <w:style w:type="paragraph" w:customStyle="1" w:styleId="niaj2">
    <w:name w:val="niaj2"/>
    <w:basedOn w:val="niaj"/>
    <w:link w:val="niaj2Char"/>
    <w:qFormat/>
    <w:rsid w:val="00AC04E7"/>
    <w:rPr>
      <w:b w:val="0"/>
    </w:rPr>
  </w:style>
  <w:style w:type="character" w:customStyle="1" w:styleId="niaj2Char">
    <w:name w:val="niaj2 Char"/>
    <w:basedOn w:val="niajChar"/>
    <w:link w:val="niaj2"/>
    <w:rsid w:val="00AC04E7"/>
    <w:rPr>
      <w:rFonts w:asciiTheme="majorHAnsi" w:eastAsiaTheme="majorEastAsia" w:hAnsiTheme="majorHAnsi" w:cs="AdvOT3c2d9f11"/>
      <w:b w:val="0"/>
      <w:bCs w:val="0"/>
      <w:color w:val="000000" w:themeColor="text1"/>
      <w:spacing w:val="-10"/>
      <w:kern w:val="28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pdwrd</dc:creator>
  <cp:keywords/>
  <dc:description/>
  <cp:lastModifiedBy>pdwrd</cp:lastModifiedBy>
  <cp:revision>2</cp:revision>
  <dcterms:created xsi:type="dcterms:W3CDTF">2024-01-23T07:26:00Z</dcterms:created>
  <dcterms:modified xsi:type="dcterms:W3CDTF">2024-01-23T07:31:00Z</dcterms:modified>
</cp:coreProperties>
</file>