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3C95" w14:textId="69BCEE0B" w:rsidR="00580868" w:rsidRDefault="00332C5D" w:rsidP="00984FA1">
      <w:pPr>
        <w:jc w:val="center"/>
        <w:rPr>
          <w:rFonts w:ascii="Times New Roman" w:hAnsi="Times New Roman" w:cs="Times New Roman"/>
          <w:b/>
          <w:bCs/>
          <w:sz w:val="28"/>
          <w:szCs w:val="28"/>
        </w:rPr>
      </w:pPr>
      <w:r w:rsidRPr="00984FA1">
        <w:rPr>
          <w:rFonts w:ascii="Times New Roman" w:hAnsi="Times New Roman" w:cs="Times New Roman"/>
          <w:b/>
          <w:bCs/>
          <w:sz w:val="28"/>
          <w:szCs w:val="28"/>
        </w:rPr>
        <w:t>Supporting information</w:t>
      </w:r>
    </w:p>
    <w:p w14:paraId="17648684" w14:textId="0D81D0BA" w:rsidR="004F304E" w:rsidRPr="00477D24" w:rsidRDefault="008C649F" w:rsidP="004F304E">
      <w:pPr>
        <w:spacing w:after="0" w:line="360" w:lineRule="auto"/>
        <w:jc w:val="center"/>
        <w:rPr>
          <w:rFonts w:asciiTheme="majorBidi" w:hAnsiTheme="majorBidi" w:cstheme="majorBidi"/>
          <w:b/>
          <w:bCs/>
          <w:sz w:val="25"/>
          <w:szCs w:val="25"/>
        </w:rPr>
      </w:pPr>
      <w:proofErr w:type="spellStart"/>
      <w:r w:rsidRPr="00477D24">
        <w:rPr>
          <w:rFonts w:asciiTheme="majorBidi" w:hAnsiTheme="majorBidi" w:cstheme="majorBidi"/>
          <w:b/>
          <w:bCs/>
          <w:sz w:val="25"/>
          <w:szCs w:val="25"/>
        </w:rPr>
        <w:t>O</w:t>
      </w:r>
      <w:r w:rsidR="004F304E" w:rsidRPr="00477D24">
        <w:rPr>
          <w:rFonts w:asciiTheme="majorBidi" w:hAnsiTheme="majorBidi" w:cstheme="majorBidi"/>
          <w:b/>
          <w:bCs/>
          <w:sz w:val="25"/>
          <w:szCs w:val="25"/>
        </w:rPr>
        <w:t>leogel</w:t>
      </w:r>
      <w:proofErr w:type="spellEnd"/>
      <w:r w:rsidR="004F304E" w:rsidRPr="00477D24">
        <w:rPr>
          <w:rFonts w:asciiTheme="majorBidi" w:hAnsiTheme="majorBidi" w:cstheme="majorBidi"/>
          <w:b/>
          <w:bCs/>
          <w:sz w:val="25"/>
          <w:szCs w:val="25"/>
        </w:rPr>
        <w:t xml:space="preserve">-based </w:t>
      </w:r>
      <w:proofErr w:type="spellStart"/>
      <w:r w:rsidR="004F304E" w:rsidRPr="00477D24">
        <w:rPr>
          <w:rFonts w:asciiTheme="majorBidi" w:hAnsiTheme="majorBidi" w:cstheme="majorBidi"/>
          <w:b/>
          <w:bCs/>
          <w:sz w:val="25"/>
          <w:szCs w:val="25"/>
        </w:rPr>
        <w:t>nanoemulsions</w:t>
      </w:r>
      <w:proofErr w:type="spellEnd"/>
      <w:r w:rsidR="004F304E" w:rsidRPr="00477D24">
        <w:rPr>
          <w:rFonts w:asciiTheme="majorBidi" w:hAnsiTheme="majorBidi" w:cstheme="majorBidi"/>
          <w:b/>
          <w:bCs/>
          <w:sz w:val="25"/>
          <w:szCs w:val="25"/>
        </w:rPr>
        <w:t xml:space="preserve"> for beverages: Effect of self-assembled fibrillar networks on stability and release properties of emulsions</w:t>
      </w:r>
    </w:p>
    <w:p w14:paraId="0689368C" w14:textId="77777777" w:rsidR="004F304E" w:rsidRPr="00EB2E84" w:rsidRDefault="004F304E" w:rsidP="004F304E">
      <w:pPr>
        <w:spacing w:after="0" w:line="360" w:lineRule="auto"/>
        <w:jc w:val="center"/>
        <w:rPr>
          <w:rFonts w:asciiTheme="majorBidi" w:hAnsiTheme="majorBidi" w:cstheme="majorBidi"/>
          <w:sz w:val="24"/>
          <w:szCs w:val="24"/>
          <w:vertAlign w:val="superscript"/>
        </w:rPr>
      </w:pPr>
      <w:r w:rsidRPr="00EB2E84">
        <w:rPr>
          <w:rFonts w:asciiTheme="majorBidi" w:hAnsiTheme="majorBidi" w:cstheme="majorBidi"/>
          <w:sz w:val="24"/>
          <w:szCs w:val="24"/>
        </w:rPr>
        <w:t>Sai Sateesh Sagiri</w:t>
      </w:r>
      <w:r w:rsidRPr="00EB2E84">
        <w:rPr>
          <w:rFonts w:asciiTheme="majorBidi" w:hAnsiTheme="majorBidi" w:cstheme="majorBidi"/>
          <w:sz w:val="24"/>
          <w:szCs w:val="24"/>
          <w:vertAlign w:val="superscript"/>
        </w:rPr>
        <w:t>1</w:t>
      </w:r>
      <w:r w:rsidRPr="00EB2E84">
        <w:rPr>
          <w:rFonts w:asciiTheme="majorBidi" w:hAnsiTheme="majorBidi" w:cstheme="majorBidi"/>
          <w:sz w:val="24"/>
          <w:szCs w:val="24"/>
        </w:rPr>
        <w:t xml:space="preserve"> and Elena Poverenov</w:t>
      </w:r>
      <w:r w:rsidRPr="00EB2E84">
        <w:rPr>
          <w:rFonts w:asciiTheme="majorBidi" w:hAnsiTheme="majorBidi" w:cstheme="majorBidi"/>
          <w:sz w:val="24"/>
          <w:szCs w:val="24"/>
          <w:vertAlign w:val="superscript"/>
        </w:rPr>
        <w:t>1*</w:t>
      </w:r>
    </w:p>
    <w:p w14:paraId="58FE3C00" w14:textId="77777777" w:rsidR="004F304E" w:rsidRPr="00A91A36" w:rsidRDefault="004F304E" w:rsidP="004F304E">
      <w:pPr>
        <w:spacing w:after="0" w:line="360" w:lineRule="auto"/>
        <w:rPr>
          <w:rFonts w:asciiTheme="majorBidi" w:hAnsiTheme="majorBidi" w:cstheme="majorBidi"/>
          <w:sz w:val="20"/>
          <w:szCs w:val="20"/>
        </w:rPr>
      </w:pPr>
      <w:r w:rsidRPr="00A91A36">
        <w:rPr>
          <w:rFonts w:asciiTheme="majorBidi" w:hAnsiTheme="majorBidi" w:cstheme="majorBidi"/>
          <w:sz w:val="20"/>
          <w:szCs w:val="20"/>
          <w:vertAlign w:val="superscript"/>
        </w:rPr>
        <w:t>1</w:t>
      </w:r>
      <w:r w:rsidRPr="00A91A36">
        <w:rPr>
          <w:rFonts w:asciiTheme="majorBidi" w:hAnsiTheme="majorBidi" w:cstheme="majorBidi"/>
          <w:sz w:val="20"/>
          <w:szCs w:val="20"/>
        </w:rPr>
        <w:t xml:space="preserve">Agro-Nanotechnology and Advanced Materials Center, Institute of Postharvest and Food Sciences Agriculture Research Organization, The </w:t>
      </w:r>
      <w:proofErr w:type="spellStart"/>
      <w:r w:rsidRPr="00A91A36">
        <w:rPr>
          <w:rFonts w:asciiTheme="majorBidi" w:hAnsiTheme="majorBidi" w:cstheme="majorBidi"/>
          <w:sz w:val="20"/>
          <w:szCs w:val="20"/>
        </w:rPr>
        <w:t>Volcani</w:t>
      </w:r>
      <w:proofErr w:type="spellEnd"/>
      <w:r w:rsidRPr="00A91A36">
        <w:rPr>
          <w:rFonts w:asciiTheme="majorBidi" w:hAnsiTheme="majorBidi" w:cstheme="majorBidi"/>
          <w:sz w:val="20"/>
          <w:szCs w:val="20"/>
        </w:rPr>
        <w:t xml:space="preserve"> Center 68 </w:t>
      </w:r>
      <w:proofErr w:type="spellStart"/>
      <w:r w:rsidRPr="00A91A36">
        <w:rPr>
          <w:rFonts w:asciiTheme="majorBidi" w:hAnsiTheme="majorBidi" w:cstheme="majorBidi"/>
          <w:sz w:val="20"/>
          <w:szCs w:val="20"/>
        </w:rPr>
        <w:t>HaMacabim</w:t>
      </w:r>
      <w:proofErr w:type="spellEnd"/>
      <w:r w:rsidRPr="00A91A36">
        <w:rPr>
          <w:rFonts w:asciiTheme="majorBidi" w:hAnsiTheme="majorBidi" w:cstheme="majorBidi"/>
          <w:sz w:val="20"/>
          <w:szCs w:val="20"/>
        </w:rPr>
        <w:t xml:space="preserve"> Road, Rishon LeZion 7505101, Israel</w:t>
      </w:r>
    </w:p>
    <w:p w14:paraId="2C50AD1C" w14:textId="77777777" w:rsidR="004F304E" w:rsidRDefault="004F304E" w:rsidP="004F304E">
      <w:pPr>
        <w:spacing w:after="0" w:line="360" w:lineRule="auto"/>
        <w:rPr>
          <w:rFonts w:asciiTheme="majorBidi" w:hAnsiTheme="majorBidi" w:cstheme="majorBidi"/>
          <w:sz w:val="20"/>
          <w:szCs w:val="20"/>
        </w:rPr>
      </w:pPr>
      <w:r w:rsidRPr="00A91A36">
        <w:rPr>
          <w:rFonts w:asciiTheme="majorBidi" w:hAnsiTheme="majorBidi" w:cstheme="majorBidi"/>
          <w:sz w:val="20"/>
          <w:szCs w:val="20"/>
        </w:rPr>
        <w:t xml:space="preserve">*E-mail: </w:t>
      </w:r>
      <w:hyperlink r:id="rId4" w:history="1">
        <w:r w:rsidRPr="00DA1838">
          <w:rPr>
            <w:rStyle w:val="Hyperlink"/>
            <w:rFonts w:asciiTheme="majorBidi" w:hAnsiTheme="majorBidi" w:cstheme="majorBidi"/>
            <w:sz w:val="20"/>
            <w:szCs w:val="20"/>
          </w:rPr>
          <w:t>elenap@volcani.agri.gov.il</w:t>
        </w:r>
      </w:hyperlink>
    </w:p>
    <w:p w14:paraId="250935F2" w14:textId="77777777" w:rsidR="00104775" w:rsidRPr="00115FD7" w:rsidRDefault="00104775" w:rsidP="00BC1F9C">
      <w:pPr>
        <w:spacing w:line="360" w:lineRule="auto"/>
        <w:ind w:firstLine="426"/>
        <w:jc w:val="both"/>
        <w:rPr>
          <w:rFonts w:asciiTheme="majorBidi" w:hAnsiTheme="majorBidi" w:cstheme="majorBidi"/>
          <w:sz w:val="24"/>
          <w:szCs w:val="24"/>
        </w:rPr>
      </w:pPr>
    </w:p>
    <w:p w14:paraId="1B77B9F3" w14:textId="40CB01E7" w:rsidR="00236E35" w:rsidRPr="00236E35" w:rsidRDefault="00236E35" w:rsidP="00BC1F9C">
      <w:pPr>
        <w:spacing w:before="160" w:line="360" w:lineRule="auto"/>
        <w:jc w:val="both"/>
        <w:rPr>
          <w:rFonts w:asciiTheme="majorBidi" w:hAnsiTheme="majorBidi" w:cstheme="majorBidi"/>
          <w:b/>
          <w:bCs/>
          <w:sz w:val="24"/>
          <w:szCs w:val="24"/>
        </w:rPr>
      </w:pPr>
      <w:r>
        <w:rPr>
          <w:rFonts w:asciiTheme="majorBidi" w:hAnsiTheme="majorBidi" w:cstheme="majorBidi"/>
          <w:b/>
          <w:bCs/>
          <w:sz w:val="24"/>
          <w:szCs w:val="24"/>
        </w:rPr>
        <w:t>Optimization of process</w:t>
      </w:r>
      <w:r w:rsidRPr="00236E35">
        <w:rPr>
          <w:rFonts w:asciiTheme="majorBidi" w:hAnsiTheme="majorBidi" w:cstheme="majorBidi"/>
          <w:b/>
          <w:bCs/>
          <w:sz w:val="24"/>
          <w:szCs w:val="24"/>
        </w:rPr>
        <w:t xml:space="preserve"> parameters</w:t>
      </w:r>
    </w:p>
    <w:p w14:paraId="623AB588" w14:textId="0807BE3D" w:rsidR="00BC1F9C" w:rsidRPr="006B0091" w:rsidRDefault="00BC1F9C" w:rsidP="00BC1F9C">
      <w:pPr>
        <w:spacing w:before="160" w:line="360" w:lineRule="auto"/>
        <w:jc w:val="both"/>
        <w:rPr>
          <w:rFonts w:asciiTheme="majorBidi" w:hAnsiTheme="majorBidi" w:cstheme="majorBidi"/>
          <w:i/>
          <w:iCs/>
          <w:sz w:val="24"/>
          <w:szCs w:val="24"/>
        </w:rPr>
      </w:pPr>
      <w:r w:rsidRPr="006B0091">
        <w:rPr>
          <w:rFonts w:asciiTheme="majorBidi" w:hAnsiTheme="majorBidi" w:cstheme="majorBidi"/>
          <w:i/>
          <w:iCs/>
          <w:sz w:val="24"/>
          <w:szCs w:val="24"/>
        </w:rPr>
        <w:t>Optimizing sonication amplitude and time</w:t>
      </w:r>
    </w:p>
    <w:p w14:paraId="01531F3E" w14:textId="1553AFFE" w:rsidR="00BC1F9C" w:rsidRPr="00115FD7" w:rsidRDefault="00BC1F9C" w:rsidP="00A26554">
      <w:pPr>
        <w:spacing w:line="360" w:lineRule="auto"/>
        <w:ind w:firstLine="426"/>
        <w:jc w:val="both"/>
        <w:rPr>
          <w:rFonts w:asciiTheme="majorBidi" w:hAnsiTheme="majorBidi" w:cstheme="majorBidi"/>
          <w:sz w:val="24"/>
          <w:szCs w:val="24"/>
        </w:rPr>
      </w:pPr>
      <w:r w:rsidRPr="00115FD7">
        <w:rPr>
          <w:rFonts w:asciiTheme="majorBidi" w:hAnsiTheme="majorBidi" w:cstheme="majorBidi"/>
          <w:sz w:val="24"/>
          <w:szCs w:val="24"/>
        </w:rPr>
        <w:t xml:space="preserve">An increase in amplitude from 30 to 50 % produced an exponential decrease in </w:t>
      </w:r>
      <w:r>
        <w:rPr>
          <w:rFonts w:asciiTheme="majorBidi" w:hAnsiTheme="majorBidi" w:cstheme="majorBidi"/>
          <w:sz w:val="24"/>
          <w:szCs w:val="24"/>
        </w:rPr>
        <w:t>size (</w:t>
      </w:r>
      <w:proofErr w:type="spellStart"/>
      <w:r w:rsidRPr="00115FD7">
        <w:rPr>
          <w:rFonts w:asciiTheme="majorBidi" w:hAnsiTheme="majorBidi" w:cstheme="majorBidi"/>
          <w:sz w:val="24"/>
          <w:szCs w:val="24"/>
        </w:rPr>
        <w:t>D</w:t>
      </w:r>
      <w:r w:rsidRPr="00115FD7">
        <w:rPr>
          <w:rFonts w:asciiTheme="majorBidi" w:hAnsiTheme="majorBidi" w:cstheme="majorBidi"/>
          <w:sz w:val="24"/>
          <w:szCs w:val="24"/>
          <w:vertAlign w:val="subscript"/>
        </w:rPr>
        <w:t>avg</w:t>
      </w:r>
      <w:proofErr w:type="spellEnd"/>
      <w:r>
        <w:rPr>
          <w:rFonts w:asciiTheme="majorBidi" w:hAnsiTheme="majorBidi" w:cstheme="majorBidi"/>
          <w:sz w:val="24"/>
          <w:szCs w:val="24"/>
        </w:rPr>
        <w:t>)</w:t>
      </w:r>
      <w:r w:rsidRPr="00115FD7">
        <w:rPr>
          <w:rFonts w:asciiTheme="majorBidi" w:hAnsiTheme="majorBidi" w:cstheme="majorBidi"/>
          <w:sz w:val="24"/>
          <w:szCs w:val="24"/>
        </w:rPr>
        <w:t xml:space="preserve"> and PDI of the particles in both the NEs (Fig. </w:t>
      </w:r>
      <w:r w:rsidR="00236E35">
        <w:rPr>
          <w:rFonts w:asciiTheme="majorBidi" w:hAnsiTheme="majorBidi" w:cstheme="majorBidi"/>
          <w:sz w:val="24"/>
          <w:szCs w:val="24"/>
        </w:rPr>
        <w:t>S1</w:t>
      </w:r>
      <w:r w:rsidRPr="00115FD7">
        <w:rPr>
          <w:rFonts w:asciiTheme="majorBidi" w:hAnsiTheme="majorBidi" w:cstheme="majorBidi"/>
          <w:sz w:val="24"/>
          <w:szCs w:val="24"/>
        </w:rPr>
        <w:t xml:space="preserve">a and b). Upon further increase in amplitude to 70 %, the decline had a minimum effect i.e., relative saturation was observed. This kind of saturation was also observed during the development of paraffin wax NEs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{"citationID":"2PlI6ltC","properties":{"formattedCitation":"(1)","plainCitation":"(1)","noteIndex":0},"citationItems":[{"id":245,"uris":["http://zotero.org/users/9236227/items/KDC2Y3MG"],"itemData":{"id":245,"type":"article-journal","abstract":"This work reports on the process optimization of ultrasound-assisted, paraffin wax in water nanoemulsions, stabilized by modified sodium dodecyl sulfate (SDS). This work focuses on the optimization of major emulsification process variables including sonication time, applied power and surfactant concentration. The effects of these variables were investigated on the basis of mean droplet diameter and stability of the prepared emulsion. It was found that the stable emulsion with droplet diameters about 160.9nm could be formed with the surfactant concentration of 10mg/ml and treated at 40% of applied power (power density: 0.61W/ml) for 15min. Scanning electron microscopy (SEM) was used to study the morphology of the emulsion droplets. The droplets were solid at room temperature, showing bright spots under polarized light and a spherical shape under SEM. The electrophoretic properties of emulsion droplets showed a negative zeta potential due to the adsorption of head sulfate groups of the SDS surfactant. For the sake of comparison, paraffin wax emulsion was prepared via emulsion inversion point method and was checked its intrinsic stability. Visually, it was found that the emulsion get separated/creamed within 30min. while the emulsion prepared via ultrasonically is stable for more than 3 months. From this study, it was found that the ultrasound-assisted emulsification process could be successfully used for the preparation of stable paraffin wax nanoemulsions.","container-title":"Ultrasonics Sonochemistry","DOI":"10.1016/j.ultsonch.2014.10.024","ISSN":"1350-4177","journalAbbreviation":"Ultrasonics Sonochemistry","language":"en","page":"201-207","source":"ScienceDirect","title":"Ultrasound assisted manufacturing of paraffin wax nanoemulsions: Process optimization","title-short":"Ultrasound assisted manufacturing of paraffin wax nanoemulsions","volume":"23","author":[{"family":"Jadhav","given":"A. J."},{"family":"Holkar","given":"C. R."},{"family":"Karekar","given":"S. E."},{"family":"Pinjari","given":"D. V."},{"family":"Pandit","given":"A. B."}],"issued":{"date-parts":[["2015",3,1]]}}}],"schema":"https://github.com/citation-style-language/schema/raw/master/csl-citation.json"}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(1)</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xml:space="preserve">. The lowered effect can be attributed to the loss of emulsifier activity due to the increase in temperature from the high collision frequency between the dispersed droplets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{"citationID":"7lr6ApLM","properties":{"formattedCitation":"(2)","plainCitation":"(2)","noteIndex":0},"citationItems":[{"id":247,"uris":["http://zotero.org/users/9236227/items/9ZPNGJRE"],"itemData":{"id":247,"type":"chapter","abstract":"Ultrasonication is one of the most efficient high-energy homogenization techniques currently used to produce nanoemulsions (NEs). Some of the potential advantages of ultrasonic homogenizers for commercial applications are their ability to produce small droplets, their relatively low operating costs, their relatively low energy consumption, their ease of cleaning, and their potential for aseptic processing. The cavitation forces produced by high-intensity ultrasonic waves lead to the formation of microbubbles in the liquids that oscillate rapidly and eventually implode, thereby generating intense disruptive forces that lead to the formation of small emulsion droplets. Ultrasonic homogenizers can be used to produce NEs at the laboratory, pilot plant, or industrial scale. The present chapter provides an outline of recent advances in the application of ultrasonic homogenization, with an emphasis on the optimization of the equipment and operating conditions required to produce NEs.","container-title":"Nanoemulsions","ISBN":"978-0-12-811838-2","language":"en","note":"DOI: 10.1016/B978-0-12-811838-2.00009-6","page":"233-285","publisher":"Academic Press","source":"ScienceDirect","title":"Chapter 9 - Fabrication of Nanoemulsions by Ultrasonication","URL":"https://www.sciencedirect.com/science/article/pii/B9780128118382000096","author":[{"family":"Gharibzahedi","given":"Seyed M. T."},{"family":"Jafari","given":"Seid Mahdi"}],"editor":[{"family":"Jafari","given":"Seid Mahdi"},{"family":"McClements","given":"David Julian"}],"accessed":{"date-parts":[["2022",7,15]]},"issued":{"date-parts":[["2018",1,1]]}}}],"schema":"https://github.com/citation-style-language/schema/raw/master/csl-citation.json"}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(2)</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This is evident with the phase separation</w:t>
      </w:r>
      <w:r w:rsidR="00A26554">
        <w:rPr>
          <w:rFonts w:asciiTheme="majorBidi" w:hAnsiTheme="majorBidi" w:cstheme="majorBidi"/>
          <w:sz w:val="24"/>
          <w:szCs w:val="24"/>
        </w:rPr>
        <w:t xml:space="preserve"> </w:t>
      </w:r>
      <w:r w:rsidRPr="00115FD7">
        <w:rPr>
          <w:rFonts w:asciiTheme="majorBidi" w:hAnsiTheme="majorBidi" w:cstheme="majorBidi"/>
          <w:sz w:val="24"/>
          <w:szCs w:val="24"/>
        </w:rPr>
        <w:t xml:space="preserve">(vial inserts in Fig. </w:t>
      </w:r>
      <w:r w:rsidR="00236E35">
        <w:rPr>
          <w:rFonts w:asciiTheme="majorBidi" w:hAnsiTheme="majorBidi" w:cstheme="majorBidi"/>
          <w:sz w:val="24"/>
          <w:szCs w:val="24"/>
        </w:rPr>
        <w:t>S1</w:t>
      </w:r>
      <w:r w:rsidRPr="00115FD7">
        <w:rPr>
          <w:rFonts w:asciiTheme="majorBidi" w:hAnsiTheme="majorBidi" w:cstheme="majorBidi"/>
          <w:sz w:val="24"/>
          <w:szCs w:val="24"/>
        </w:rPr>
        <w:t>a and b). At lower amplitudes (30 % and 50 %), optimal acoustic cavitation is created which in turn reduced the dispersion size. Relatively, more stable emulsions were formed when the sonication amplitude was at 50 %.</w:t>
      </w:r>
    </w:p>
    <w:p w14:paraId="6CE23229" w14:textId="77777777" w:rsidR="00BC1F9C" w:rsidRPr="00115FD7" w:rsidRDefault="00BC1F9C" w:rsidP="00BC1F9C">
      <w:pPr>
        <w:spacing w:line="360" w:lineRule="auto"/>
        <w:jc w:val="center"/>
        <w:rPr>
          <w:rFonts w:asciiTheme="majorBidi" w:hAnsiTheme="majorBidi" w:cstheme="majorBidi"/>
          <w:sz w:val="24"/>
          <w:szCs w:val="24"/>
        </w:rPr>
      </w:pPr>
      <w:r>
        <w:rPr>
          <w:rFonts w:asciiTheme="majorBidi" w:hAnsiTheme="majorBidi" w:cstheme="majorBidi"/>
          <w:noProof/>
          <w:sz w:val="24"/>
          <w:szCs w:val="24"/>
          <w:lang w:bidi="he-IL"/>
        </w:rPr>
        <w:lastRenderedPageBreak/>
        <w:drawing>
          <wp:inline distT="0" distB="0" distL="0" distR="0" wp14:anchorId="13E45B99" wp14:editId="36B5A4A3">
            <wp:extent cx="5055195" cy="72907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g NEs_Fig.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5195" cy="7290734"/>
                    </a:xfrm>
                    <a:prstGeom prst="rect">
                      <a:avLst/>
                    </a:prstGeom>
                  </pic:spPr>
                </pic:pic>
              </a:graphicData>
            </a:graphic>
          </wp:inline>
        </w:drawing>
      </w:r>
    </w:p>
    <w:p w14:paraId="3CAB4848" w14:textId="11EE3BCA" w:rsidR="00BC1F9C" w:rsidRPr="00115FD7" w:rsidRDefault="00BC1F9C" w:rsidP="00AC3222">
      <w:pPr>
        <w:jc w:val="both"/>
        <w:rPr>
          <w:rFonts w:asciiTheme="majorBidi" w:hAnsiTheme="majorBidi" w:cstheme="majorBidi"/>
          <w:sz w:val="24"/>
          <w:szCs w:val="24"/>
        </w:rPr>
      </w:pPr>
      <w:r w:rsidRPr="00115FD7">
        <w:rPr>
          <w:rFonts w:asciiTheme="majorBidi" w:hAnsiTheme="majorBidi" w:cstheme="majorBidi"/>
          <w:b/>
          <w:bCs/>
          <w:sz w:val="24"/>
          <w:szCs w:val="24"/>
        </w:rPr>
        <w:t>Fig.</w:t>
      </w:r>
      <w:r w:rsidR="00E766DD">
        <w:rPr>
          <w:rFonts w:asciiTheme="majorBidi" w:hAnsiTheme="majorBidi" w:cstheme="majorBidi"/>
          <w:b/>
          <w:bCs/>
          <w:sz w:val="24"/>
          <w:szCs w:val="24"/>
        </w:rPr>
        <w:t xml:space="preserve"> </w:t>
      </w:r>
      <w:r w:rsidR="00236E35">
        <w:rPr>
          <w:rFonts w:asciiTheme="majorBidi" w:hAnsiTheme="majorBidi" w:cstheme="majorBidi"/>
          <w:b/>
          <w:bCs/>
          <w:sz w:val="24"/>
          <w:szCs w:val="24"/>
        </w:rPr>
        <w:t>S1</w:t>
      </w:r>
      <w:r w:rsidRPr="00115FD7">
        <w:rPr>
          <w:rFonts w:asciiTheme="majorBidi" w:hAnsiTheme="majorBidi" w:cstheme="majorBidi"/>
          <w:b/>
          <w:bCs/>
          <w:sz w:val="24"/>
          <w:szCs w:val="24"/>
        </w:rPr>
        <w:t xml:space="preserve">. </w:t>
      </w:r>
      <w:r w:rsidRPr="00115FD7">
        <w:rPr>
          <w:rFonts w:asciiTheme="majorBidi" w:hAnsiTheme="majorBidi" w:cstheme="majorBidi"/>
          <w:sz w:val="24"/>
          <w:szCs w:val="24"/>
        </w:rPr>
        <w:t xml:space="preserve">Optimizing the (a, b) sonication amplitude; (c, d) sonication time, (e, f) gelator concentration and (g, h) aqueous fraction </w:t>
      </w:r>
      <w:r>
        <w:rPr>
          <w:rFonts w:asciiTheme="majorBidi" w:hAnsiTheme="majorBidi" w:cstheme="majorBidi"/>
          <w:sz w:val="24"/>
          <w:szCs w:val="24"/>
        </w:rPr>
        <w:t>to form</w:t>
      </w:r>
      <w:r w:rsidRPr="00115FD7">
        <w:rPr>
          <w:rFonts w:asciiTheme="majorBidi" w:hAnsiTheme="majorBidi" w:cstheme="majorBidi"/>
          <w:sz w:val="24"/>
          <w:szCs w:val="24"/>
        </w:rPr>
        <w:t xml:space="preserve"> stable NEs.</w:t>
      </w:r>
    </w:p>
    <w:p w14:paraId="1200BB11" w14:textId="5C1205B0" w:rsidR="00BC1F9C" w:rsidRPr="00115FD7" w:rsidRDefault="00BC1F9C" w:rsidP="00E04148">
      <w:pPr>
        <w:spacing w:line="360" w:lineRule="auto"/>
        <w:ind w:firstLine="426"/>
        <w:jc w:val="both"/>
        <w:rPr>
          <w:rFonts w:asciiTheme="majorBidi" w:hAnsiTheme="majorBidi" w:cstheme="majorBidi"/>
          <w:sz w:val="24"/>
          <w:szCs w:val="24"/>
        </w:rPr>
      </w:pPr>
      <w:r w:rsidRPr="00115FD7">
        <w:rPr>
          <w:rFonts w:asciiTheme="majorBidi" w:hAnsiTheme="majorBidi" w:cstheme="majorBidi"/>
          <w:sz w:val="24"/>
          <w:szCs w:val="24"/>
        </w:rPr>
        <w:lastRenderedPageBreak/>
        <w:t xml:space="preserve">At the optimal amplitude (50 %), three sonication times (5, 10 and 15 min) were </w:t>
      </w:r>
      <w:r>
        <w:rPr>
          <w:rFonts w:asciiTheme="majorBidi" w:hAnsiTheme="majorBidi" w:cstheme="majorBidi"/>
          <w:sz w:val="24"/>
          <w:szCs w:val="24"/>
        </w:rPr>
        <w:t>tested</w:t>
      </w:r>
      <w:r w:rsidRPr="00115FD7">
        <w:rPr>
          <w:rFonts w:asciiTheme="majorBidi" w:hAnsiTheme="majorBidi" w:cstheme="majorBidi"/>
          <w:sz w:val="24"/>
          <w:szCs w:val="24"/>
        </w:rPr>
        <w:t xml:space="preserve"> (Fig. </w:t>
      </w:r>
      <w:r w:rsidR="00236E35">
        <w:rPr>
          <w:rFonts w:asciiTheme="majorBidi" w:hAnsiTheme="majorBidi" w:cstheme="majorBidi"/>
          <w:sz w:val="24"/>
          <w:szCs w:val="24"/>
        </w:rPr>
        <w:t>S1</w:t>
      </w:r>
      <w:r w:rsidRPr="00115FD7">
        <w:rPr>
          <w:rFonts w:asciiTheme="majorBidi" w:hAnsiTheme="majorBidi" w:cstheme="majorBidi"/>
          <w:sz w:val="24"/>
          <w:szCs w:val="24"/>
        </w:rPr>
        <w:t xml:space="preserve">c and d). The </w:t>
      </w:r>
      <w:proofErr w:type="spellStart"/>
      <w:r w:rsidRPr="00115FD7">
        <w:rPr>
          <w:rFonts w:asciiTheme="majorBidi" w:hAnsiTheme="majorBidi" w:cstheme="majorBidi"/>
          <w:sz w:val="24"/>
          <w:szCs w:val="24"/>
        </w:rPr>
        <w:t>D</w:t>
      </w:r>
      <w:r w:rsidRPr="00115FD7">
        <w:rPr>
          <w:rFonts w:asciiTheme="majorBidi" w:hAnsiTheme="majorBidi" w:cstheme="majorBidi"/>
          <w:sz w:val="24"/>
          <w:szCs w:val="24"/>
          <w:vertAlign w:val="subscript"/>
        </w:rPr>
        <w:t>avg</w:t>
      </w:r>
      <w:proofErr w:type="spellEnd"/>
      <w:r w:rsidRPr="00115FD7">
        <w:rPr>
          <w:rFonts w:asciiTheme="majorBidi" w:hAnsiTheme="majorBidi" w:cstheme="majorBidi"/>
          <w:sz w:val="24"/>
          <w:szCs w:val="24"/>
        </w:rPr>
        <w:t xml:space="preserve"> decreased with the increase in time to 10 min, beyond which an exponential increase in size was observed in both the emulsions. Creaming was noticed in all the samples when 10 or 15 min of sonication was done (insert vials in Fig. </w:t>
      </w:r>
      <w:r w:rsidR="00236E35">
        <w:rPr>
          <w:rFonts w:asciiTheme="majorBidi" w:hAnsiTheme="majorBidi" w:cstheme="majorBidi"/>
          <w:sz w:val="24"/>
          <w:szCs w:val="24"/>
        </w:rPr>
        <w:t>S1</w:t>
      </w:r>
      <w:r w:rsidRPr="00115FD7">
        <w:rPr>
          <w:rFonts w:asciiTheme="majorBidi" w:hAnsiTheme="majorBidi" w:cstheme="majorBidi"/>
          <w:sz w:val="24"/>
          <w:szCs w:val="24"/>
        </w:rPr>
        <w:t xml:space="preserve">c and d). Homogenization for excess period of time could result in creaming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{"citationID":"oXuDqkEa","properties":{"formattedCitation":"(3)","plainCitation":"(3)","noteIndex":0},"citationItems":[{"id":747,"uris":["http://zotero.org/users/9236227/items/4YBCQMGM"],"itemData":{"id":747,"type":"article-journal","abstract":"The present study aims to investigate the impact of ultrasonic treatment on the emulsifying property and emulsion stability of an emulsion system stabilized with soybean protein isolate (SPI) and lecithin. Ultrasonic parameters used were ultrasonic powers of 150, 300, and 450 W and ultrasonic durations of 12 and 24 min. Emulsifying properties of emulsions were all improved with different extents after ultrasonic treatments. The emulsion treated at 150 W &amp; 24 min showing the best emulsifying property and emulsion stability than the rest. However, the higher ultrasonic power of 450 W gave negative effects on emulsion stability, with increased particle size and decreased absolute ζ-potential values due to protein aggregation. Prolonged ultrasonic duration from 12 to 24 min resulted in a more stable emulsion under the ultrasonic power of 150 W. However, for ultrasonic powers of 300 and 450 W, the additional ultrasonic energy from prolonging ultrasonic duration from 12 to 24 min generated negative effects to emulsion stability.","container-title":"Food Hydrocolloids","DOI":"10.1016/j.foodhyd.2016.10.024","ISSN":"0268-005X","journalAbbreviation":"Food Hydrocolloids","language":"en","page":"727-734","source":"ScienceDirect","title":"Impact of ultrasonic treatment on an emulsion system stabilized with soybean protein isolate and lecithin: Its emulsifying property and emulsion stability","title-short":"Impact of ultrasonic treatment on an emulsion system stabilized with soybean protein isolate and lecithin","volume":"63","author":[{"family":"Sui","given":"Xiaonan"},{"family":"Bi","given":"Shuang"},{"family":"Qi","given":"Baokun"},{"family":"Wang","given":"Zhongjiang"},{"family":"Zhang","given":"Min"},{"family":"Li","given":"Yang"},{"family":"Jiang","given":"Lianzhou"}],"issued":{"date-parts":[["2017",2,1]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(3)</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xml:space="preserve">. On the other hand, PDI did not follow the similar pattern, although an overall increase was observed in both the emulsions. In general, it is expected to have narrow size distribution of the dispersed phase with increasing sonication time. Longer sonication times allow the droplets to pass through the disruption zone to facilitate higher fragmentation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{"citationID":"gobiOFhu","properties":{"formattedCitation":"(2,4)","plainCitation":"(2,4)","noteIndex":0},"citationItems":[{"id":247,"uris":["http://zotero.org/users/9236227/items/9ZPNGJRE"],"itemData":{"id":247,"type":"chapter","abstract":"Ultrasonication is one of the most efficient high-energy homogenization techniques currently used to produce nanoemulsions (NEs). Some of the potential advantages of ultrasonic homogenizers for commercial applications are their ability to produce small droplets, their relatively low operating costs, their relatively low energy consumption, their ease of cleaning, and their potential for aseptic processing. The cavitation forces produced by high-intensity ultrasonic waves lead to the formation of microbubbles in the liquids that oscillate rapidly and eventually implode, thereby generating intense disruptive forces that lead to the formation of small emulsion droplets. Ultrasonic homogenizers can be used to produce NEs at the laboratory, pilot plant, or industrial scale. The present chapter provides an outline of recent advances in the application of ultrasonic homogenization, with an emphasis on the optimization of the equipment and operating conditions required to produce NEs.","container-title":"Nanoemulsions","ISBN":"978-0-12-811838-2","language":"en","note":"DOI: 10.1016/B978-0-12-811838-2.00009-6","page":"233-285","publisher":"Academic Press","source":"ScienceDirect","title":"Chapter 9 - Fabrication of Nanoemulsions by Ultrasonication","URL":"https://www.sciencedirect.com/science/article/pii/B9780128118382000096","author":[{"family":"Gharibzahedi","given":"Seyed M. T."},{"family":"Jafari","given":"Seid Mahdi"}],"editor":[{"family":"Jafari","given":"Seid Mahdi"},{"family":"McClements","given":"David Julian"}],"accessed":{"date-parts":[["2022",7,15]]},"issued":{"date-parts":[["2018",1,1]]}}},{"id":251,"uris":["http://zotero.org/users/9236227/items/Q2YIXZGM"],"itemData":{"id":251,"type":"article-journal","abstract":"In this work, the effects of various factors, including the ultrasonic duty cycle and intensity of ultrasonic irradiation, ultrasonication and clove oil content in production of clove oil nanoemulsion were investigated. In preparation of nanoemulsion Tween® 80/Span® 80 as nonionic surfactants via ultrasonic emulsification method was used. The average droplets size of clove oil nanoemulsion decreased with an increase in duty cycle; whereas pulsed ultrasound with proper intervals was more efficient than continuous ultrasonication. In order to replace the use of organic solvent and increase the dispersity of active ingredient, suitable emulsifiers were used. The nanopesticides made by ultrasound at optimum formula conditions were defined at ultrasonication time of 300s, surfactants concentration of 5wt%, hydrophilic–lipophilic balance number of 9, duty cycle 0.75% and ultrasonic intensity 208W/cm2. The stability of droplets size of nanoemulsions for duration of 6months was evaluated. Stable nanoemulsion clove oil with 10wt% of clove oil content was formulated at optimum conditions with average droplets size around 43nm at the beginning and after 6months nanoemulsions re-sized and it was around 100nm. A stable nanoemulsion of clove oil in water with suitable droplets size as a nanopesticide was prepared.","container-title":"Arabian Journal of Chemistry","DOI":"10.1016/j.arabjc.2015.08.024","ISSN":"1878-5352","issue":"8","journalAbbreviation":"Arabian Journal of Chemistry","language":"en","page":"3225-3230","source":"ScienceDirect","title":"Evaluation of critical parameters for preparation of stable clove oil nanoemulsion","volume":"12","author":[{"family":"Shahavi","given":"Mohammad Hassan"},{"family":"Hosseini","given":"Morteza"},{"family":"Jahanshahi","given":"Mohsen"},{"family":"Meyer","given":"Rikke Louise"},{"family":"Darzi","given":"Ghasem Najafpour"}],"issued":{"date-parts":[["2019",12,1]]}}}],"schema":"https://github.com/citation-style-language/schema/raw/master/csl-citation.json"}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(2,4)</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xml:space="preserve">. However, this behavior </w:t>
      </w:r>
      <w:r>
        <w:rPr>
          <w:rFonts w:asciiTheme="majorBidi" w:hAnsiTheme="majorBidi" w:cstheme="majorBidi"/>
          <w:sz w:val="24"/>
          <w:szCs w:val="24"/>
        </w:rPr>
        <w:t>holds</w:t>
      </w:r>
      <w:r w:rsidRPr="00115FD7">
        <w:rPr>
          <w:rFonts w:asciiTheme="majorBidi" w:hAnsiTheme="majorBidi" w:cstheme="majorBidi"/>
          <w:sz w:val="24"/>
          <w:szCs w:val="24"/>
        </w:rPr>
        <w:t xml:space="preserve"> true up to a certain limit of sonication time. As observed with amplitude, prolonged sonication times also damage the efficiency of emulsifiers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{"citationID":"OTqxdwJ2","properties":{"formattedCitation":"(5)","plainCitation":"(5)","noteIndex":0},"citationItems":[{"id":249,"uris":["http://zotero.org/users/9236227/items/2NT34CQD"],"itemData":{"id":249,"type":"article-journal","abstract":"Emulsion droplet size plays a key role in many emulsion properties such as stability, color, appearance, texture, and rheology. Accordingly, different emulsions have been classified based on emulsion size including microemulsions and submicron (nano) emulsions. The aim of emulsification is usually to produce emulsion droplets as small as possible, and various emulsification techniques can be used in this regard. One of the main problems of producing very fine emulsions with high-energy emulsification techniques such as microfluidization is the occurrence of “over-processing”, which is increase in emulsion size by supplying more energy due to a high rate of re-coalescence of new droplets. Different reasons have been mentioned for “over-processing”, including low adsorption rate of the surface-active agent, low residence time of the emulsion in the emulsification zone, high rate of coalescence frequency, and extreme amount of energy density. This review highlights re-coalescence of new droplets during high-energy emulsification along with some common and important emulsification techniques and different factors affecting emulsion droplet size, and thereby re-coalescence.","container-title":"Food Hydrocolloids","DOI":"10.1016/j.foodhyd.2007.09.006","ISSN":"0268-005X","issue":"7","journalAbbreviation":"Food Hydrocolloids","language":"en","page":"1191-1202","source":"ScienceDirect","title":"Re-coalescence of emulsion droplets during high-energy emulsification","volume":"22","author":[{"family":"Jafari","given":"Seid Mahdi"},{"family":"Assadpoor","given":"Elham"},{"family":"He","given":"Yinghe"},{"family":"Bhandari","given":"Bhesh"}],"issued":{"date-parts":[["2008",10,1]]}}}],"schema":"https://github.com/citation-style-language/schema/raw/master/csl-citation.json"}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(5)</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xml:space="preserve">. Here, both the </w:t>
      </w:r>
      <w:proofErr w:type="spellStart"/>
      <w:r w:rsidRPr="00115FD7">
        <w:rPr>
          <w:rFonts w:asciiTheme="majorBidi" w:hAnsiTheme="majorBidi" w:cstheme="majorBidi"/>
          <w:sz w:val="24"/>
          <w:szCs w:val="24"/>
        </w:rPr>
        <w:t>gelator</w:t>
      </w:r>
      <w:proofErr w:type="spellEnd"/>
      <w:r w:rsidRPr="00115FD7">
        <w:rPr>
          <w:rFonts w:asciiTheme="majorBidi" w:hAnsiTheme="majorBidi" w:cstheme="majorBidi"/>
          <w:sz w:val="24"/>
          <w:szCs w:val="24"/>
        </w:rPr>
        <w:t xml:space="preserve"> networks are thermosensitive; henceforth unstable emulsions were formed </w:t>
      </w:r>
      <w:r w:rsidR="00E04148">
        <w:rPr>
          <w:rFonts w:asciiTheme="majorBidi" w:hAnsiTheme="majorBidi" w:cstheme="majorBidi"/>
          <w:sz w:val="24"/>
          <w:szCs w:val="24"/>
        </w:rPr>
        <w:t>at higher sonication amplitude and time</w:t>
      </w:r>
      <w:r w:rsidRPr="00115FD7">
        <w:rPr>
          <w:rFonts w:asciiTheme="majorBidi" w:hAnsiTheme="majorBidi" w:cstheme="majorBidi"/>
          <w:sz w:val="24"/>
          <w:szCs w:val="24"/>
        </w:rPr>
        <w:t>. Along with the higher amplitude, signs of were seen when 50 % amplitude was applied for either 10 or 15 min. This study proves that sonication must be done at 50 % amplitude for 5 min to achieve stable NEs.</w:t>
      </w:r>
    </w:p>
    <w:p w14:paraId="41152489" w14:textId="2C19E8CD" w:rsidR="00BC1F9C" w:rsidRPr="006B0091" w:rsidRDefault="00BC1F9C" w:rsidP="00BC1F9C">
      <w:pPr>
        <w:spacing w:line="360" w:lineRule="auto"/>
        <w:jc w:val="both"/>
        <w:rPr>
          <w:rFonts w:asciiTheme="majorBidi" w:hAnsiTheme="majorBidi" w:cstheme="majorBidi"/>
          <w:i/>
          <w:iCs/>
          <w:sz w:val="24"/>
          <w:szCs w:val="24"/>
        </w:rPr>
      </w:pPr>
      <w:r w:rsidRPr="006B0091">
        <w:rPr>
          <w:rFonts w:asciiTheme="majorBidi" w:hAnsiTheme="majorBidi" w:cstheme="majorBidi"/>
          <w:i/>
          <w:iCs/>
          <w:sz w:val="24"/>
          <w:szCs w:val="24"/>
        </w:rPr>
        <w:t>Optimizing the gelator concentration</w:t>
      </w:r>
    </w:p>
    <w:p w14:paraId="63277FCC" w14:textId="33A207ED" w:rsidR="00BC1F9C" w:rsidRDefault="00BC1F9C" w:rsidP="00236E35">
      <w:pPr>
        <w:spacing w:line="360" w:lineRule="auto"/>
        <w:ind w:firstLine="426"/>
        <w:jc w:val="both"/>
        <w:rPr>
          <w:rFonts w:asciiTheme="majorBidi" w:hAnsiTheme="majorBidi" w:cstheme="majorBidi"/>
          <w:sz w:val="24"/>
          <w:szCs w:val="24"/>
        </w:rPr>
      </w:pPr>
      <w:r w:rsidRPr="00115FD7">
        <w:rPr>
          <w:rFonts w:asciiTheme="majorBidi" w:hAnsiTheme="majorBidi" w:cstheme="majorBidi"/>
          <w:sz w:val="24"/>
          <w:szCs w:val="24"/>
        </w:rPr>
        <w:t>Although 5LSt is unstable, its emulsification ability was tested along with the stable oleogels by incorporating 70 % w/w water. After sonication under the optimized conditions, phase separation was noticed in 5LSa- and 5LSt-based emulsions (Fig. S</w:t>
      </w:r>
      <w:r w:rsidR="00236E35">
        <w:rPr>
          <w:rFonts w:asciiTheme="majorBidi" w:hAnsiTheme="majorBidi" w:cstheme="majorBidi"/>
          <w:sz w:val="24"/>
          <w:szCs w:val="24"/>
        </w:rPr>
        <w:t>2</w:t>
      </w:r>
      <w:r w:rsidRPr="00115FD7">
        <w:rPr>
          <w:rFonts w:asciiTheme="majorBidi" w:hAnsiTheme="majorBidi" w:cstheme="majorBidi"/>
          <w:sz w:val="24"/>
          <w:szCs w:val="24"/>
        </w:rPr>
        <w:t>). Though 5LSa is a stable oleogel, its emulsification ability happened to be poor. Lack of sufficient gelator networks and poor emulsification seem responsible for the instability of emulsions. Larger standard deviation in size and PDI of the emulsions with higher gelator concentration</w:t>
      </w:r>
      <w:r>
        <w:rPr>
          <w:rFonts w:asciiTheme="majorBidi" w:hAnsiTheme="majorBidi" w:cstheme="majorBidi"/>
          <w:sz w:val="24"/>
          <w:szCs w:val="24"/>
        </w:rPr>
        <w:t xml:space="preserve"> (15 % w/w)</w:t>
      </w:r>
      <w:r w:rsidRPr="00115FD7">
        <w:rPr>
          <w:rFonts w:asciiTheme="majorBidi" w:hAnsiTheme="majorBidi" w:cstheme="majorBidi"/>
          <w:sz w:val="24"/>
          <w:szCs w:val="24"/>
        </w:rPr>
        <w:t xml:space="preserve"> indicate non-uniform mixing (Fig. </w:t>
      </w:r>
      <w:r w:rsidR="00236E35">
        <w:rPr>
          <w:rFonts w:asciiTheme="majorBidi" w:hAnsiTheme="majorBidi" w:cstheme="majorBidi"/>
          <w:sz w:val="24"/>
          <w:szCs w:val="24"/>
        </w:rPr>
        <w:t>S1</w:t>
      </w:r>
      <w:r w:rsidRPr="00115FD7">
        <w:rPr>
          <w:rFonts w:asciiTheme="majorBidi" w:hAnsiTheme="majorBidi" w:cstheme="majorBidi"/>
          <w:sz w:val="24"/>
          <w:szCs w:val="24"/>
        </w:rPr>
        <w:t xml:space="preserve">e and f). Observing oil syneresis upon vial inversion further confirms the poor homogenization in both 15LSaW70 and 15LStW70 (vial inserts in Fig. </w:t>
      </w:r>
      <w:r w:rsidR="00236E35">
        <w:rPr>
          <w:rFonts w:asciiTheme="majorBidi" w:hAnsiTheme="majorBidi" w:cstheme="majorBidi"/>
          <w:sz w:val="24"/>
          <w:szCs w:val="24"/>
        </w:rPr>
        <w:t>S1</w:t>
      </w:r>
      <w:r w:rsidRPr="00115FD7">
        <w:rPr>
          <w:rFonts w:asciiTheme="majorBidi" w:hAnsiTheme="majorBidi" w:cstheme="majorBidi"/>
          <w:sz w:val="24"/>
          <w:szCs w:val="24"/>
        </w:rPr>
        <w:t>e and f). Higher gelator fraction enhance</w:t>
      </w:r>
      <w:r>
        <w:rPr>
          <w:rFonts w:asciiTheme="majorBidi" w:hAnsiTheme="majorBidi" w:cstheme="majorBidi"/>
          <w:sz w:val="24"/>
          <w:szCs w:val="24"/>
        </w:rPr>
        <w:t>d</w:t>
      </w:r>
      <w:r w:rsidRPr="00115FD7">
        <w:rPr>
          <w:rFonts w:asciiTheme="majorBidi" w:hAnsiTheme="majorBidi" w:cstheme="majorBidi"/>
          <w:sz w:val="24"/>
          <w:szCs w:val="24"/>
        </w:rPr>
        <w:t xml:space="preserve"> the viscoelasticity of these emulsions; thereby droplets disruption</w:t>
      </w:r>
      <w:r>
        <w:rPr>
          <w:rFonts w:asciiTheme="majorBidi" w:hAnsiTheme="majorBidi" w:cstheme="majorBidi"/>
          <w:sz w:val="24"/>
          <w:szCs w:val="24"/>
        </w:rPr>
        <w:t xml:space="preserve"> was hindered</w:t>
      </w:r>
      <w:r w:rsidRPr="00115FD7">
        <w:rPr>
          <w:rFonts w:asciiTheme="majorBidi" w:hAnsiTheme="majorBidi" w:cstheme="majorBidi"/>
          <w:sz w:val="24"/>
          <w:szCs w:val="24"/>
        </w:rPr>
        <w:t xml:space="preserve">. Another possible reason for the increment in particle size with 15LSaW70 and 15LStW70 would be that the rate of collision frequency might be higher with higher dispersion volume and thus coalescence rate was increased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{"citationID":"B5LbUgHb","properties":{"formattedCitation":"(5)","plainCitation":"(5)","noteIndex":0},"citationItems":[{"id":249,"uris":["http://zotero.org/users/9236227/items/2NT34CQD"],"itemData":{"id":249,"type":"article-journal","abstract":"Emulsion droplet size plays a key role in many emulsion properties such as stability, color, appearance, texture, and rheology. Accordingly, different emulsions have been classified based on emulsion size including microemulsions and submicron (nano) emulsions. The aim of emulsification is usually to produce emulsion droplets as small as possible, and various emulsification techniques can be used in this regard. One of the main problems of producing very fine emulsions with high-energy emulsification techniques such as microfluidization is the occurrence of “over-processing”, which is increase in emulsion size by supplying more energy due to a high rate of re-coalescence of new droplets. Different reasons have been mentioned for “over-processing”, including low adsorption rate of the surface-active agent, low residence time of the emulsion in the emulsification zone, high rate of coalescence frequency, and extreme amount of energy density. This review highlights re-coalescence of new droplets during high-energy emulsification along with some common and important emulsification techniques and different factors affecting emulsion droplet size, and thereby re-coalescence.","container-title":"Food Hydrocolloids","DOI":"10.1016/j.foodhyd.2007.09.006","ISSN":"0268-005X","issue":"7","journalAbbreviation":"Food Hydrocolloids","language":"en","page":"1191-1202","source":"ScienceDirect","title":"Re-coalescence of emulsion droplets during high-energy emulsification","volume":"22","author":[{"family":"Jafari","given":"Seid Mahdi"},{"family":"Assadpoor","given":"Elham"},{"family":"He","given":"Yinghe"},{"family":"Bhandari","given":"Bhesh"}],"issued":{"date-parts":[["2008",10,1]]}}}],"schema":"https://github.com/citation-style-language/schema/raw/master/csl-citation.json"}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(5)</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In this regard, 10LSa and 10LSt oleogels were chosen to study the effect of water concentration during emulsification.</w:t>
      </w:r>
    </w:p>
    <w:p w14:paraId="1CA11185" w14:textId="77777777" w:rsidR="005208B5" w:rsidRPr="00115FD7" w:rsidRDefault="005208B5" w:rsidP="00236E35">
      <w:pPr>
        <w:spacing w:line="360" w:lineRule="auto"/>
        <w:ind w:firstLine="426"/>
        <w:jc w:val="both"/>
        <w:rPr>
          <w:rFonts w:asciiTheme="majorBidi" w:hAnsiTheme="majorBidi" w:cstheme="majorBidi"/>
          <w:sz w:val="24"/>
          <w:szCs w:val="24"/>
        </w:rPr>
      </w:pPr>
    </w:p>
    <w:p w14:paraId="7D5EA1C1" w14:textId="440CEC52" w:rsidR="00BC1F9C" w:rsidRPr="006B0091" w:rsidRDefault="00BC1F9C" w:rsidP="00BC1F9C">
      <w:pPr>
        <w:spacing w:line="360" w:lineRule="auto"/>
        <w:jc w:val="both"/>
        <w:rPr>
          <w:rFonts w:asciiTheme="majorBidi" w:hAnsiTheme="majorBidi" w:cstheme="majorBidi"/>
          <w:i/>
          <w:iCs/>
          <w:sz w:val="24"/>
          <w:szCs w:val="24"/>
        </w:rPr>
      </w:pPr>
      <w:r w:rsidRPr="006B0091">
        <w:rPr>
          <w:rFonts w:asciiTheme="majorBidi" w:hAnsiTheme="majorBidi" w:cstheme="majorBidi"/>
          <w:i/>
          <w:iCs/>
          <w:sz w:val="24"/>
          <w:szCs w:val="24"/>
        </w:rPr>
        <w:lastRenderedPageBreak/>
        <w:t>Optimizing the aqueous fraction</w:t>
      </w:r>
    </w:p>
    <w:p w14:paraId="3270517D" w14:textId="1E077CAA" w:rsidR="00BC1F9C" w:rsidRDefault="00BC1F9C" w:rsidP="0052067D">
      <w:pPr>
        <w:spacing w:line="360" w:lineRule="auto"/>
        <w:ind w:firstLine="426"/>
        <w:jc w:val="both"/>
        <w:rPr>
          <w:rFonts w:asciiTheme="majorBidi" w:hAnsiTheme="majorBidi" w:cstheme="majorBidi"/>
          <w:sz w:val="24"/>
          <w:szCs w:val="24"/>
        </w:rPr>
      </w:pPr>
      <w:r w:rsidRPr="00115FD7">
        <w:rPr>
          <w:rFonts w:asciiTheme="majorBidi" w:hAnsiTheme="majorBidi" w:cstheme="majorBidi"/>
          <w:bCs/>
          <w:sz w:val="24"/>
          <w:szCs w:val="24"/>
        </w:rPr>
        <w:t>When water fraction was varied under the optimized sonication conditions (amplitude</w:t>
      </w:r>
      <w:r w:rsidRPr="00115FD7">
        <w:rPr>
          <w:rFonts w:asciiTheme="majorBidi" w:hAnsiTheme="majorBidi" w:cstheme="majorBidi"/>
          <w:sz w:val="24"/>
          <w:szCs w:val="24"/>
        </w:rPr>
        <w:t>: 50 %; time: 5 min</w:t>
      </w:r>
      <w:r w:rsidRPr="00115FD7">
        <w:rPr>
          <w:rFonts w:asciiTheme="majorBidi" w:hAnsiTheme="majorBidi" w:cstheme="majorBidi"/>
          <w:bCs/>
          <w:sz w:val="24"/>
          <w:szCs w:val="24"/>
        </w:rPr>
        <w:t xml:space="preserve">), </w:t>
      </w:r>
      <w:r w:rsidRPr="00115FD7">
        <w:rPr>
          <w:rFonts w:asciiTheme="majorBidi" w:hAnsiTheme="majorBidi" w:cstheme="majorBidi"/>
          <w:sz w:val="24"/>
          <w:szCs w:val="24"/>
        </w:rPr>
        <w:t>stable liquid emulsions were formed at 70 and 90 %</w:t>
      </w:r>
      <w:r>
        <w:rPr>
          <w:rFonts w:asciiTheme="majorBidi" w:hAnsiTheme="majorBidi" w:cstheme="majorBidi"/>
          <w:sz w:val="24"/>
          <w:szCs w:val="24"/>
        </w:rPr>
        <w:t xml:space="preserve"> (w/w)</w:t>
      </w:r>
      <w:r w:rsidRPr="00115FD7">
        <w:rPr>
          <w:rFonts w:asciiTheme="majorBidi" w:hAnsiTheme="majorBidi" w:cstheme="majorBidi"/>
          <w:sz w:val="24"/>
          <w:szCs w:val="24"/>
        </w:rPr>
        <w:t xml:space="preserve"> in both the types of oleogels (Fig. 1b). When water fraction was low (30 and 50 %</w:t>
      </w:r>
      <w:r>
        <w:rPr>
          <w:rFonts w:asciiTheme="majorBidi" w:hAnsiTheme="majorBidi" w:cstheme="majorBidi"/>
          <w:sz w:val="24"/>
          <w:szCs w:val="24"/>
        </w:rPr>
        <w:t xml:space="preserve"> w/w</w:t>
      </w:r>
      <w:r w:rsidRPr="00115FD7">
        <w:rPr>
          <w:rFonts w:asciiTheme="majorBidi" w:hAnsiTheme="majorBidi" w:cstheme="majorBidi"/>
          <w:sz w:val="24"/>
          <w:szCs w:val="24"/>
        </w:rPr>
        <w:t xml:space="preserve">), non-uniform, semi-solid emulsions were formed, except 10LStW50 (Fig. 1b). Colloidal stability of the emulsions is given in Table </w:t>
      </w:r>
      <w:r w:rsidR="0052067D">
        <w:rPr>
          <w:rFonts w:asciiTheme="majorBidi" w:hAnsiTheme="majorBidi" w:cstheme="majorBidi"/>
          <w:sz w:val="24"/>
          <w:szCs w:val="24"/>
        </w:rPr>
        <w:t>2</w:t>
      </w:r>
      <w:r w:rsidRPr="00115FD7">
        <w:rPr>
          <w:rFonts w:asciiTheme="majorBidi" w:hAnsiTheme="majorBidi" w:cstheme="majorBidi"/>
          <w:sz w:val="24"/>
          <w:szCs w:val="24"/>
        </w:rPr>
        <w:t>. Gel-like aggregates or clumps in emulsion gels (</w:t>
      </w:r>
      <w:proofErr w:type="spellStart"/>
      <w:r w:rsidRPr="00115FD7">
        <w:rPr>
          <w:rFonts w:asciiTheme="majorBidi" w:hAnsiTheme="majorBidi" w:cstheme="majorBidi"/>
          <w:sz w:val="24"/>
          <w:szCs w:val="24"/>
        </w:rPr>
        <w:t>emulgels</w:t>
      </w:r>
      <w:proofErr w:type="spellEnd"/>
      <w:r w:rsidRPr="00115FD7">
        <w:rPr>
          <w:rFonts w:asciiTheme="majorBidi" w:hAnsiTheme="majorBidi" w:cstheme="majorBidi"/>
          <w:sz w:val="24"/>
          <w:szCs w:val="24"/>
        </w:rPr>
        <w:t xml:space="preserve">) can be attributed to the formation of aggregated particles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{"citationID":"4jz0O7uc","properties":{"formattedCitation":"(6)","plainCitation":"(6)","noteIndex":0},"citationItems":[{"id":227,"uris":["http://zotero.org/users/9236227/items/4BE2XBSG"],"itemData":{"id":227,"type":"article-journal","abstract":"The main objective of this work was to develop an aqueous dispersion of gelled-oil nanoparticles as a novel carrier for cuminaldehyde. A hot emulsification process followed by cooling to room temperature was used to prepare gelled-oil nanoparticles in the presence of monoglyceride as organogelator. The effects of monoglyceride (10% and 15% w/w of the total lipid phase) and cuminaldehyde (0, 500 and 1000 mg/L) concentrations on different characteristics (e.g. droplet size, zeta potential, physical stability, rheology, encapsulation efficiency, release behavior and morphology) of the colloidal dispersions were studied during 28-d storage. The average droplet size of freshly prepared samples was within the range of 117–138 nm with a relatively narrow distribution. Large negative ζ-potential values (−38 to −55 mV) were a proof for the kinetic stability of the colloidal dispersions. Samples which were prepared with 10% monoglyceride showed a higher physical stability over a period of 90 d. Non-Newtonian (shear-thinning) and solid-like viscoelastic properties were observed due to particle-particle interactions. The results of the temperature ramp test confirmed that the droplets were in the gelled state. An increase in the organogelator concentration decreased the interfacial tension and contact angle. Transmission electron microscopy micrographs confirmed the formation of spherical nanoparticles. The encapsulation efficiency of cuminaldehyde in gelled-oil nanoparticles was 73–87%. In-vitro release profiles exhibited that the release of cuminaldehyde from gelled-oil nanoparticles in the simulated gastric fluid was lower than its release in the simulated intestinal fluid. Moreover, the release was increased by decreasing the concentration of organogelator. The obtained colloidal dispersions have the potential to be utilized as effective encapsulation systems for poorly water-soluble nutraceuticals.","container-title":"Journal of Colloid and Interface Science","DOI":"10.1016/j.jcis.2019.01.010","ISSN":"0021-9797","journalAbbreviation":"Journal of Colloid and Interface Science","language":"en","page":"65-74","source":"ScienceDirect","title":"Development of highly stable colloidal dispersions of gelled-oil nanoparticles loaded with cuminaldehyde","volume":"541","author":[{"family":"Ghiasi","given":"Fatemeh"},{"family":"Eskandari","given":"Mohammad Hadi"},{"family":"Golmakani","given":"Mohammad-Taghi"},{"family":"Hosseini","given":"Seyed Mohammad Hashem"}],"issued":{"date-parts":[["2019",4,1]]}}}],"schema":"https://github.com/citation-style-language/schema/raw/master/csl-citation.json"}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(6)</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xml:space="preserve">. For better comparison, NEs with higher water fraction (70 and 90 % w/w) were chosen. The particle size and PDI were found to be high in emulsions with higher (90 % w/w) aqueous fraction (P &gt; 0.05) (Fig. </w:t>
      </w:r>
      <w:r w:rsidR="008A0B28">
        <w:rPr>
          <w:rFonts w:asciiTheme="majorBidi" w:hAnsiTheme="majorBidi" w:cstheme="majorBidi"/>
          <w:sz w:val="24"/>
          <w:szCs w:val="24"/>
        </w:rPr>
        <w:t>S1</w:t>
      </w:r>
      <w:r w:rsidRPr="00115FD7">
        <w:rPr>
          <w:rFonts w:asciiTheme="majorBidi" w:hAnsiTheme="majorBidi" w:cstheme="majorBidi"/>
          <w:sz w:val="24"/>
          <w:szCs w:val="24"/>
        </w:rPr>
        <w:t>g and h). The lower gelator fraction in 10LSaW90 and 10LStW90 might have allowed droplets coalescence and resulted in larger size and PDI. Smaller standard deviation in samples containing 70 % (w/w) water indicate the occurrence of better emulsification. This study indicates that 10LSaW70 and 10LStW70 NEs are more stable by having better size and PDI compared to the NEs with 90 % (w/w) aqueous fraction.</w:t>
      </w:r>
    </w:p>
    <w:p w14:paraId="19F3034D" w14:textId="0C057C0B" w:rsidR="00BC1F9C" w:rsidRDefault="00BC1F9C" w:rsidP="008A0B28">
      <w:pPr>
        <w:spacing w:line="360" w:lineRule="auto"/>
        <w:ind w:firstLine="426"/>
        <w:jc w:val="both"/>
        <w:rPr>
          <w:rFonts w:asciiTheme="majorBidi" w:hAnsiTheme="majorBidi" w:cstheme="majorBidi"/>
          <w:sz w:val="24"/>
          <w:szCs w:val="24"/>
        </w:rPr>
      </w:pPr>
      <w:r w:rsidRPr="00115FD7">
        <w:rPr>
          <w:rFonts w:asciiTheme="majorBidi" w:hAnsiTheme="majorBidi" w:cstheme="majorBidi"/>
          <w:sz w:val="24"/>
          <w:szCs w:val="24"/>
        </w:rPr>
        <w:t>The stability of NEs was further determined by measuring ζ potential (Fig. S</w:t>
      </w:r>
      <w:r w:rsidR="008A0B28">
        <w:rPr>
          <w:rFonts w:asciiTheme="majorBidi" w:hAnsiTheme="majorBidi" w:cstheme="majorBidi"/>
          <w:sz w:val="24"/>
          <w:szCs w:val="24"/>
        </w:rPr>
        <w:t>3</w:t>
      </w:r>
      <w:r w:rsidRPr="00115FD7">
        <w:rPr>
          <w:rFonts w:asciiTheme="majorBidi" w:hAnsiTheme="majorBidi" w:cstheme="majorBidi"/>
          <w:sz w:val="24"/>
          <w:szCs w:val="24"/>
        </w:rPr>
        <w:t xml:space="preserve">). Lower ζ potential in 10LSaW90 and 10LStW90 confirm the presence of less amount of </w:t>
      </w:r>
      <w:proofErr w:type="spellStart"/>
      <w:r w:rsidRPr="00115FD7">
        <w:rPr>
          <w:rFonts w:asciiTheme="majorBidi" w:hAnsiTheme="majorBidi" w:cstheme="majorBidi"/>
          <w:sz w:val="24"/>
          <w:szCs w:val="24"/>
        </w:rPr>
        <w:t>SAFiNs</w:t>
      </w:r>
      <w:proofErr w:type="spellEnd"/>
      <w:r w:rsidRPr="00115FD7">
        <w:rPr>
          <w:rFonts w:asciiTheme="majorBidi" w:hAnsiTheme="majorBidi" w:cstheme="majorBidi"/>
          <w:sz w:val="24"/>
          <w:szCs w:val="24"/>
        </w:rPr>
        <w:t xml:space="preserve"> around the dispersed oil fraction. The increase in gelator concentration has increased the ζ potential, suggesting the prevalence of more gelator networks at the interface. This also indicate that gelator networks are stabilizing the gelled-oil dispersion by creating stearic hindrance </w:t>
      </w:r>
      <w:r w:rsidRPr="00115FD7">
        <w:rPr>
          <w:rFonts w:asciiTheme="majorBidi" w:hAnsiTheme="majorBidi" w:cstheme="majorBidi"/>
          <w:sz w:val="24"/>
          <w:szCs w:val="24"/>
        </w:rPr>
        <w:fldChar w:fldCharType="begin"/>
      </w:r>
      <w:r w:rsidR="005C05C1">
        <w:rPr>
          <w:rFonts w:asciiTheme="majorBidi" w:hAnsiTheme="majorBidi" w:cstheme="majorBidi"/>
          <w:sz w:val="24"/>
          <w:szCs w:val="24"/>
        </w:rPr>
        <w:instrText xml:space="preserve"> ADDIN ZOTERO_ITEM CSL_CITATION {"citationID":"wtQddnAy","properties":{"formattedCitation":"(7)","plainCitation":"(7)","noteIndex":0},"citationItems":[{"id":809,"uris":["http://zotero.org/users/9236227/items/8GWB8SB8"],"itemData":{"id":809,"type":"article-journal","abstract":"Lipids play an important role in human nutrition. Several foodstuffs can be manufactured from the simple, compound and derived lipids. In particular, the use of self-assembled lipids (SLs, e.g. self-assembled L-α-lecithin) has brought great attention for the development of tailored, tuned and targeted colloidal structures loading degradation-sensitive substances with valuable antimicrobial, antioxidant and nutraceutical properties for food applications. For example, polyunsaturated fatty acids (PUFAs) and essential oils can be protected from degradation, thus improving their bioavailability in general terms in consumers. From a nanotechnological point of view, SLs allow the development of advanced and multifaceted architectures, in which each molecule of them are used as building blocks to obtain designed and ordered structures. It is important to note before beginning this review, that simple and compound lipids are the main SLs, while essential fatty acids and derived lipids in general have been considered by many research groups as the bulk loaded substances within several structures from self-assembled carbohydrates, proteins and lipids. However, this review paper is addressed on the analysis of the lipid-lipid self-assembly. Lipids can be self-assembled into various structures (micelles, vesicular systems, lyotropic liquid crystals, oleogels and films) to be used in different food applications: coatings, controlled and sustained release materials, emulsions, functional foods, etc. SLs can be obtained via non-covalent chemical interactions, primarily by hydrogen, hydrophilic and ionic bonding, which are influenced by the conditions of ionic strength, pH, temperature, among others. This manuscript aims to give an analysis of the specific state-of-the-art of SLs for food applications, based primarily on the literature reported in the past five years.","container-title":"Advances in Colloid and Interface Science","DOI":"10.1016/j.cis.2020.102279","ISSN":"0001-8686","journalAbbreviation":"Advances in Colloid and Interface Science","language":"en","page":"102279","source":"ScienceDirect","title":"Self-assembled lipids for food applications: A review","title-short":"Self-assembled lipids for food applications","volume":"285","author":[{"family":"Magri","given":"Anna"},{"family":"Petriccione","given":"Milena"},{"family":"Cerqueira","given":"Miguel A."},{"family":"Gutiérrez","given":"Tomy J."}],"issued":{"date-parts":[["2020",11,1]]}}}],"schema":"https://github.com/citation-style-language/schema/raw/master/csl-citation.json"} </w:instrText>
      </w:r>
      <w:r w:rsidRPr="00115FD7">
        <w:rPr>
          <w:rFonts w:asciiTheme="majorBidi" w:hAnsiTheme="majorBidi" w:cstheme="majorBidi"/>
          <w:sz w:val="24"/>
          <w:szCs w:val="24"/>
        </w:rPr>
        <w:fldChar w:fldCharType="separate"/>
      </w:r>
      <w:r w:rsidR="005C05C1" w:rsidRPr="005C05C1">
        <w:rPr>
          <w:rFonts w:ascii="Times New Roman" w:hAnsi="Times New Roman" w:cs="Times New Roman"/>
          <w:sz w:val="24"/>
        </w:rPr>
        <w:t>(7)</w:t>
      </w:r>
      <w:r w:rsidRPr="00115FD7">
        <w:rPr>
          <w:rFonts w:asciiTheme="majorBidi" w:hAnsiTheme="majorBidi" w:cstheme="majorBidi"/>
          <w:sz w:val="24"/>
          <w:szCs w:val="24"/>
        </w:rPr>
        <w:fldChar w:fldCharType="end"/>
      </w:r>
      <w:r w:rsidRPr="00115FD7">
        <w:rPr>
          <w:rFonts w:asciiTheme="majorBidi" w:hAnsiTheme="majorBidi" w:cstheme="majorBidi"/>
          <w:sz w:val="24"/>
          <w:szCs w:val="24"/>
        </w:rPr>
        <w:t>. The observed negative charge can be attributed to lecithin. The sorbitol moiety of STS also contributed to the negative charge</w:t>
      </w:r>
      <w:r>
        <w:rPr>
          <w:rFonts w:asciiTheme="majorBidi" w:hAnsiTheme="majorBidi" w:cstheme="majorBidi"/>
          <w:sz w:val="24"/>
          <w:szCs w:val="24"/>
        </w:rPr>
        <w:t>, henceforth</w:t>
      </w:r>
      <w:r w:rsidRPr="00115FD7">
        <w:rPr>
          <w:rFonts w:asciiTheme="majorBidi" w:hAnsiTheme="majorBidi" w:cstheme="majorBidi"/>
          <w:sz w:val="24"/>
          <w:szCs w:val="24"/>
        </w:rPr>
        <w:t xml:space="preserve"> </w:t>
      </w:r>
      <w:proofErr w:type="spellStart"/>
      <w:r w:rsidRPr="00115FD7">
        <w:rPr>
          <w:rFonts w:asciiTheme="majorBidi" w:hAnsiTheme="majorBidi" w:cstheme="majorBidi"/>
          <w:sz w:val="24"/>
          <w:szCs w:val="24"/>
        </w:rPr>
        <w:t>LSt</w:t>
      </w:r>
      <w:proofErr w:type="spellEnd"/>
      <w:r w:rsidRPr="00115FD7">
        <w:rPr>
          <w:rFonts w:asciiTheme="majorBidi" w:hAnsiTheme="majorBidi" w:cstheme="majorBidi"/>
          <w:sz w:val="24"/>
          <w:szCs w:val="24"/>
        </w:rPr>
        <w:t xml:space="preserve"> </w:t>
      </w:r>
      <w:r>
        <w:rPr>
          <w:rFonts w:asciiTheme="majorBidi" w:hAnsiTheme="majorBidi" w:cstheme="majorBidi"/>
          <w:sz w:val="24"/>
          <w:szCs w:val="24"/>
        </w:rPr>
        <w:t xml:space="preserve">NEs showed better </w:t>
      </w:r>
      <w:r w:rsidRPr="00115FD7">
        <w:rPr>
          <w:rFonts w:asciiTheme="majorBidi" w:hAnsiTheme="majorBidi" w:cstheme="majorBidi"/>
          <w:sz w:val="24"/>
          <w:szCs w:val="24"/>
        </w:rPr>
        <w:t>ζ potential.</w:t>
      </w:r>
    </w:p>
    <w:p w14:paraId="1AD2611D" w14:textId="4FE51F1C" w:rsidR="00BC1F9C" w:rsidRDefault="00BC1F9C" w:rsidP="00BC1F9C">
      <w:pPr>
        <w:spacing w:line="360" w:lineRule="auto"/>
        <w:ind w:firstLine="426"/>
        <w:jc w:val="both"/>
        <w:rPr>
          <w:rFonts w:asciiTheme="majorBidi" w:hAnsiTheme="majorBidi" w:cstheme="majorBidi"/>
          <w:sz w:val="24"/>
          <w:szCs w:val="24"/>
        </w:rPr>
      </w:pPr>
      <w:r w:rsidRPr="008A0B28">
        <w:rPr>
          <w:rFonts w:asciiTheme="majorBidi" w:hAnsiTheme="majorBidi" w:cstheme="majorBidi"/>
          <w:sz w:val="24"/>
          <w:szCs w:val="24"/>
        </w:rPr>
        <w:t>Based on this study, the optimized sonication and formulation condition for stable 10LSa and 10LSt NEs is 50 % amplitude for 5 min of time in the emulsion containing 70 % (w/w) water fraction.</w:t>
      </w:r>
    </w:p>
    <w:p w14:paraId="23E7425A" w14:textId="77777777" w:rsidR="00E04148" w:rsidRPr="00115FD7" w:rsidRDefault="00E04148" w:rsidP="00BC1F9C">
      <w:pPr>
        <w:spacing w:line="360" w:lineRule="auto"/>
        <w:ind w:firstLine="426"/>
        <w:jc w:val="both"/>
        <w:rPr>
          <w:rFonts w:asciiTheme="majorBidi" w:hAnsiTheme="majorBidi" w:cstheme="majorBidi"/>
          <w:sz w:val="24"/>
          <w:szCs w:val="24"/>
        </w:rPr>
      </w:pPr>
    </w:p>
    <w:p w14:paraId="00D364B1" w14:textId="1F8827A1" w:rsidR="0013695A" w:rsidRDefault="0013695A" w:rsidP="003422E0">
      <w:pPr>
        <w:jc w:val="center"/>
        <w:rPr>
          <w:rFonts w:ascii="Times New Roman" w:hAnsi="Times New Roman" w:cs="Times New Roman"/>
          <w:sz w:val="24"/>
          <w:szCs w:val="24"/>
        </w:rPr>
      </w:pPr>
      <w:r>
        <w:rPr>
          <w:rFonts w:ascii="Times New Roman" w:hAnsi="Times New Roman" w:cs="Times New Roman"/>
          <w:noProof/>
          <w:sz w:val="24"/>
          <w:szCs w:val="24"/>
          <w:lang w:bidi="he-IL"/>
        </w:rPr>
        <w:lastRenderedPageBreak/>
        <w:drawing>
          <wp:inline distT="0" distB="0" distL="0" distR="0" wp14:anchorId="4565148B" wp14:editId="35B332EE">
            <wp:extent cx="1618488" cy="1731264"/>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g NEs_Fig. S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8488" cy="1731264"/>
                    </a:xfrm>
                    <a:prstGeom prst="rect">
                      <a:avLst/>
                    </a:prstGeom>
                  </pic:spPr>
                </pic:pic>
              </a:graphicData>
            </a:graphic>
          </wp:inline>
        </w:drawing>
      </w:r>
    </w:p>
    <w:p w14:paraId="303B9244" w14:textId="6D6BD0F8" w:rsidR="003422E0" w:rsidRDefault="003422E0" w:rsidP="00236E35">
      <w:pPr>
        <w:jc w:val="center"/>
        <w:rPr>
          <w:rFonts w:ascii="Times New Roman" w:hAnsi="Times New Roman" w:cs="Times New Roman"/>
        </w:rPr>
      </w:pPr>
      <w:r w:rsidRPr="003422E0">
        <w:rPr>
          <w:rFonts w:ascii="Times New Roman" w:hAnsi="Times New Roman" w:cs="Times New Roman"/>
          <w:b/>
          <w:bCs/>
        </w:rPr>
        <w:t>Fig. S</w:t>
      </w:r>
      <w:r w:rsidR="00236E35">
        <w:rPr>
          <w:rFonts w:ascii="Times New Roman" w:hAnsi="Times New Roman" w:cs="Times New Roman"/>
          <w:b/>
          <w:bCs/>
        </w:rPr>
        <w:t>2</w:t>
      </w:r>
      <w:r w:rsidR="00346A98">
        <w:rPr>
          <w:rFonts w:ascii="Times New Roman" w:hAnsi="Times New Roman" w:cs="Times New Roman"/>
          <w:b/>
          <w:bCs/>
        </w:rPr>
        <w:t>.</w:t>
      </w:r>
      <w:r w:rsidRPr="003422E0">
        <w:rPr>
          <w:rFonts w:ascii="Times New Roman" w:hAnsi="Times New Roman" w:cs="Times New Roman"/>
        </w:rPr>
        <w:t xml:space="preserve"> 5LSa and 5LSt oleogel-based unstable emulsions</w:t>
      </w:r>
    </w:p>
    <w:p w14:paraId="223C8D60" w14:textId="08086130" w:rsidR="00F35705" w:rsidRDefault="00F35705" w:rsidP="00332C5D">
      <w:pPr>
        <w:jc w:val="center"/>
        <w:rPr>
          <w:rFonts w:ascii="Times New Roman" w:hAnsi="Times New Roman" w:cs="Times New Roman"/>
          <w:sz w:val="24"/>
          <w:szCs w:val="24"/>
        </w:rPr>
      </w:pPr>
    </w:p>
    <w:p w14:paraId="44852296" w14:textId="761677DC" w:rsidR="00F35705" w:rsidRDefault="00F35705" w:rsidP="00332C5D">
      <w:pPr>
        <w:jc w:val="center"/>
        <w:rPr>
          <w:rFonts w:ascii="Times New Roman" w:hAnsi="Times New Roman" w:cs="Times New Roman"/>
          <w:sz w:val="24"/>
          <w:szCs w:val="24"/>
        </w:rPr>
      </w:pPr>
    </w:p>
    <w:p w14:paraId="570119F2" w14:textId="604D4FD3" w:rsidR="00D177C4" w:rsidRDefault="00D177C4" w:rsidP="00332C5D">
      <w:pPr>
        <w:jc w:val="center"/>
        <w:rPr>
          <w:rFonts w:ascii="Times New Roman" w:hAnsi="Times New Roman" w:cs="Times New Roman"/>
          <w:sz w:val="24"/>
          <w:szCs w:val="24"/>
        </w:rPr>
      </w:pPr>
    </w:p>
    <w:p w14:paraId="71451560" w14:textId="77777777" w:rsidR="00D177C4" w:rsidRDefault="00D177C4" w:rsidP="00332C5D">
      <w:pPr>
        <w:jc w:val="center"/>
        <w:rPr>
          <w:rFonts w:ascii="Times New Roman" w:hAnsi="Times New Roman" w:cs="Times New Roman"/>
          <w:sz w:val="24"/>
          <w:szCs w:val="24"/>
        </w:rPr>
      </w:pPr>
    </w:p>
    <w:p w14:paraId="4383CADA" w14:textId="3E8074EA" w:rsidR="0013695A" w:rsidRDefault="0013695A" w:rsidP="00332C5D">
      <w:pPr>
        <w:jc w:val="center"/>
        <w:rPr>
          <w:rFonts w:ascii="Times New Roman" w:hAnsi="Times New Roman" w:cs="Times New Roman"/>
          <w:sz w:val="24"/>
          <w:szCs w:val="24"/>
        </w:rPr>
      </w:pPr>
      <w:r>
        <w:rPr>
          <w:rFonts w:ascii="Times New Roman" w:hAnsi="Times New Roman" w:cs="Times New Roman"/>
          <w:noProof/>
          <w:sz w:val="24"/>
          <w:szCs w:val="24"/>
          <w:lang w:bidi="he-IL"/>
        </w:rPr>
        <w:drawing>
          <wp:inline distT="0" distB="0" distL="0" distR="0" wp14:anchorId="61120D6C" wp14:editId="015219FD">
            <wp:extent cx="2889993" cy="2645338"/>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 NEs_Fig. 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9993" cy="2645338"/>
                    </a:xfrm>
                    <a:prstGeom prst="rect">
                      <a:avLst/>
                    </a:prstGeom>
                  </pic:spPr>
                </pic:pic>
              </a:graphicData>
            </a:graphic>
          </wp:inline>
        </w:drawing>
      </w:r>
    </w:p>
    <w:p w14:paraId="08F62263" w14:textId="02FB232A" w:rsidR="00CE35EF" w:rsidRDefault="003422E0" w:rsidP="008A0B28">
      <w:pPr>
        <w:jc w:val="center"/>
        <w:rPr>
          <w:rFonts w:ascii="Times New Roman" w:hAnsi="Times New Roman" w:cs="Times New Roman"/>
        </w:rPr>
      </w:pPr>
      <w:r w:rsidRPr="003422E0">
        <w:rPr>
          <w:rFonts w:ascii="Times New Roman" w:hAnsi="Times New Roman" w:cs="Times New Roman"/>
          <w:b/>
          <w:bCs/>
        </w:rPr>
        <w:t>Fig.</w:t>
      </w:r>
      <w:r w:rsidR="00CE35EF" w:rsidRPr="003422E0">
        <w:rPr>
          <w:rFonts w:ascii="Times New Roman" w:hAnsi="Times New Roman" w:cs="Times New Roman"/>
          <w:b/>
          <w:bCs/>
        </w:rPr>
        <w:t xml:space="preserve"> S</w:t>
      </w:r>
      <w:r w:rsidR="008A0B28">
        <w:rPr>
          <w:rFonts w:ascii="Times New Roman" w:hAnsi="Times New Roman" w:cs="Times New Roman"/>
          <w:b/>
          <w:bCs/>
        </w:rPr>
        <w:t>3</w:t>
      </w:r>
      <w:r w:rsidR="00346A98">
        <w:rPr>
          <w:rFonts w:ascii="Times New Roman" w:hAnsi="Times New Roman" w:cs="Times New Roman"/>
          <w:b/>
          <w:bCs/>
        </w:rPr>
        <w:t>.</w:t>
      </w:r>
      <w:r w:rsidR="00CE35EF" w:rsidRPr="003422E0">
        <w:rPr>
          <w:rFonts w:ascii="Times New Roman" w:hAnsi="Times New Roman" w:cs="Times New Roman"/>
        </w:rPr>
        <w:t xml:space="preserve"> </w:t>
      </w:r>
      <w:r w:rsidR="00B27EBA">
        <w:rPr>
          <w:rFonts w:asciiTheme="majorBidi" w:hAnsiTheme="majorBidi" w:cstheme="majorBidi"/>
          <w:sz w:val="24"/>
          <w:szCs w:val="24"/>
        </w:rPr>
        <w:t xml:space="preserve">ζ </w:t>
      </w:r>
      <w:r w:rsidR="00CE35EF" w:rsidRPr="003422E0">
        <w:rPr>
          <w:rFonts w:ascii="Times New Roman" w:hAnsi="Times New Roman" w:cs="Times New Roman"/>
        </w:rPr>
        <w:t>potential of 10LSa and 10LSt-based</w:t>
      </w:r>
      <w:r w:rsidR="00692810" w:rsidRPr="003422E0">
        <w:rPr>
          <w:rFonts w:ascii="Times New Roman" w:hAnsi="Times New Roman" w:cs="Times New Roman"/>
        </w:rPr>
        <w:t xml:space="preserve"> stable</w:t>
      </w:r>
      <w:r w:rsidR="00CE35EF" w:rsidRPr="003422E0">
        <w:rPr>
          <w:rFonts w:ascii="Times New Roman" w:hAnsi="Times New Roman" w:cs="Times New Roman"/>
        </w:rPr>
        <w:t xml:space="preserve"> emulsions</w:t>
      </w:r>
    </w:p>
    <w:p w14:paraId="7780BCC6" w14:textId="20D6F2D1" w:rsidR="007203EC" w:rsidRDefault="007203EC" w:rsidP="008A0B28">
      <w:pPr>
        <w:jc w:val="center"/>
        <w:rPr>
          <w:rFonts w:ascii="Times New Roman" w:hAnsi="Times New Roman" w:cs="Times New Roman"/>
        </w:rPr>
      </w:pPr>
    </w:p>
    <w:p w14:paraId="712E0248" w14:textId="0D1A7381" w:rsidR="007203EC" w:rsidRDefault="007203EC" w:rsidP="008A0B28">
      <w:pPr>
        <w:jc w:val="center"/>
        <w:rPr>
          <w:rFonts w:ascii="Times New Roman" w:hAnsi="Times New Roman" w:cs="Times New Roman"/>
        </w:rPr>
      </w:pPr>
    </w:p>
    <w:p w14:paraId="3604EEF7" w14:textId="0357F191" w:rsidR="007203EC" w:rsidRPr="003422E0" w:rsidRDefault="007203EC" w:rsidP="008A0B28">
      <w:pPr>
        <w:jc w:val="center"/>
        <w:rPr>
          <w:rFonts w:ascii="Times New Roman" w:hAnsi="Times New Roman" w:cs="Times New Roman"/>
          <w:b/>
          <w:bCs/>
        </w:rPr>
      </w:pPr>
    </w:p>
    <w:p w14:paraId="53E4802C" w14:textId="6D40BF81" w:rsidR="004D50A3" w:rsidRDefault="00ED7308" w:rsidP="00332C5D">
      <w:pPr>
        <w:jc w:val="center"/>
        <w:rPr>
          <w:rFonts w:ascii="Times New Roman" w:hAnsi="Times New Roman" w:cs="Times New Roman"/>
          <w:b/>
          <w:bCs/>
          <w:sz w:val="24"/>
          <w:szCs w:val="24"/>
        </w:rPr>
      </w:pPr>
      <w:r>
        <w:rPr>
          <w:rFonts w:ascii="Times New Roman" w:hAnsi="Times New Roman" w:cs="Times New Roman"/>
          <w:b/>
          <w:bCs/>
          <w:noProof/>
          <w:sz w:val="24"/>
          <w:szCs w:val="24"/>
          <w:lang w:bidi="he-IL"/>
        </w:rPr>
        <w:lastRenderedPageBreak/>
        <w:drawing>
          <wp:inline distT="0" distB="0" distL="0" distR="0" wp14:anchorId="67FF9C7D" wp14:editId="0F0745DE">
            <wp:extent cx="4320000" cy="2436923"/>
            <wp:effectExtent l="0" t="0" r="444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vg PDI zet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436923"/>
                    </a:xfrm>
                    <a:prstGeom prst="rect">
                      <a:avLst/>
                    </a:prstGeom>
                  </pic:spPr>
                </pic:pic>
              </a:graphicData>
            </a:graphic>
          </wp:inline>
        </w:drawing>
      </w:r>
    </w:p>
    <w:p w14:paraId="07E4959F" w14:textId="647490AA" w:rsidR="000D0054" w:rsidRDefault="008C7675" w:rsidP="008A0B28">
      <w:pPr>
        <w:jc w:val="center"/>
        <w:rPr>
          <w:rFonts w:asciiTheme="majorBidi" w:hAnsiTheme="majorBidi" w:cstheme="majorBidi"/>
        </w:rPr>
      </w:pPr>
      <w:r w:rsidRPr="003422E0">
        <w:rPr>
          <w:rFonts w:asciiTheme="majorBidi" w:hAnsiTheme="majorBidi" w:cstheme="majorBidi"/>
          <w:b/>
          <w:bCs/>
        </w:rPr>
        <w:t xml:space="preserve">Fig </w:t>
      </w:r>
      <w:r>
        <w:rPr>
          <w:rFonts w:asciiTheme="majorBidi" w:hAnsiTheme="majorBidi" w:cstheme="majorBidi"/>
          <w:b/>
          <w:bCs/>
        </w:rPr>
        <w:t>S</w:t>
      </w:r>
      <w:r w:rsidR="00457563">
        <w:rPr>
          <w:rFonts w:asciiTheme="majorBidi" w:hAnsiTheme="majorBidi" w:cstheme="majorBidi"/>
          <w:b/>
          <w:bCs/>
        </w:rPr>
        <w:t>4</w:t>
      </w:r>
      <w:r>
        <w:rPr>
          <w:rFonts w:asciiTheme="majorBidi" w:hAnsiTheme="majorBidi" w:cstheme="majorBidi"/>
          <w:b/>
          <w:bCs/>
        </w:rPr>
        <w:t>.</w:t>
      </w:r>
      <w:r w:rsidRPr="003422E0">
        <w:rPr>
          <w:rFonts w:asciiTheme="majorBidi" w:hAnsiTheme="majorBidi" w:cstheme="majorBidi"/>
        </w:rPr>
        <w:t xml:space="preserve"> </w:t>
      </w:r>
      <w:proofErr w:type="spellStart"/>
      <w:r>
        <w:rPr>
          <w:rFonts w:asciiTheme="majorBidi" w:hAnsiTheme="majorBidi" w:cstheme="majorBidi"/>
        </w:rPr>
        <w:t>D</w:t>
      </w:r>
      <w:r>
        <w:rPr>
          <w:rFonts w:asciiTheme="majorBidi" w:hAnsiTheme="majorBidi" w:cstheme="majorBidi"/>
          <w:vertAlign w:val="subscript"/>
        </w:rPr>
        <w:t>avg</w:t>
      </w:r>
      <w:proofErr w:type="spellEnd"/>
      <w:r w:rsidRPr="003422E0">
        <w:rPr>
          <w:rFonts w:asciiTheme="majorBidi" w:hAnsiTheme="majorBidi" w:cstheme="majorBidi"/>
        </w:rPr>
        <w:t xml:space="preserve">, PDI and </w:t>
      </w:r>
      <w:r>
        <w:rPr>
          <w:rFonts w:asciiTheme="majorBidi" w:hAnsiTheme="majorBidi" w:cstheme="majorBidi"/>
        </w:rPr>
        <w:t>ζ-</w:t>
      </w:r>
      <w:r w:rsidRPr="003422E0">
        <w:rPr>
          <w:rFonts w:asciiTheme="majorBidi" w:hAnsiTheme="majorBidi" w:cstheme="majorBidi"/>
        </w:rPr>
        <w:t xml:space="preserve">potential of </w:t>
      </w:r>
      <w:r w:rsidR="00B2484F">
        <w:rPr>
          <w:rFonts w:asciiTheme="majorBidi" w:hAnsiTheme="majorBidi" w:cstheme="majorBidi"/>
        </w:rPr>
        <w:t xml:space="preserve">concentrated and diluted </w:t>
      </w:r>
      <w:r w:rsidRPr="003422E0">
        <w:rPr>
          <w:rFonts w:asciiTheme="majorBidi" w:hAnsiTheme="majorBidi" w:cstheme="majorBidi"/>
        </w:rPr>
        <w:t>NEs</w:t>
      </w:r>
      <w:r>
        <w:rPr>
          <w:rFonts w:asciiTheme="majorBidi" w:hAnsiTheme="majorBidi" w:cstheme="majorBidi"/>
        </w:rPr>
        <w:t xml:space="preserve"> after six months of storage</w:t>
      </w:r>
    </w:p>
    <w:p w14:paraId="228F296F" w14:textId="2D6BB67C" w:rsidR="00D177C4" w:rsidRDefault="00D177C4">
      <w:pPr>
        <w:rPr>
          <w:rFonts w:asciiTheme="majorBidi" w:hAnsiTheme="majorBidi" w:cstheme="majorBidi"/>
        </w:rPr>
      </w:pPr>
      <w:r>
        <w:rPr>
          <w:rFonts w:asciiTheme="majorBidi" w:hAnsiTheme="majorBidi" w:cstheme="majorBidi"/>
        </w:rPr>
        <w:br w:type="page"/>
      </w:r>
    </w:p>
    <w:p w14:paraId="430FEA27" w14:textId="33ACEC19" w:rsidR="000E408D" w:rsidRDefault="000E408D" w:rsidP="00332C5D">
      <w:pPr>
        <w:jc w:val="center"/>
        <w:rPr>
          <w:rFonts w:ascii="Times New Roman" w:hAnsi="Times New Roman" w:cs="Times New Roman"/>
          <w:b/>
          <w:bCs/>
          <w:sz w:val="24"/>
          <w:szCs w:val="24"/>
        </w:rPr>
      </w:pPr>
      <w:r>
        <w:rPr>
          <w:rFonts w:ascii="Times New Roman" w:hAnsi="Times New Roman" w:cs="Times New Roman"/>
          <w:b/>
          <w:bCs/>
          <w:noProof/>
          <w:sz w:val="24"/>
          <w:szCs w:val="24"/>
          <w:lang w:bidi="he-IL"/>
        </w:rPr>
        <w:lastRenderedPageBreak/>
        <w:drawing>
          <wp:inline distT="0" distB="0" distL="0" distR="0" wp14:anchorId="0BEA56A6" wp14:editId="3F97981C">
            <wp:extent cx="4319016" cy="375513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g NEs_Fig. S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16" cy="3755136"/>
                    </a:xfrm>
                    <a:prstGeom prst="rect">
                      <a:avLst/>
                    </a:prstGeom>
                  </pic:spPr>
                </pic:pic>
              </a:graphicData>
            </a:graphic>
          </wp:inline>
        </w:drawing>
      </w:r>
    </w:p>
    <w:p w14:paraId="67CF75E7" w14:textId="6F60D9A7" w:rsidR="00D177C4" w:rsidRDefault="00863333" w:rsidP="008A0B28">
      <w:pPr>
        <w:rPr>
          <w:rFonts w:ascii="Times New Roman" w:hAnsi="Times New Roman" w:cs="Times New Roman"/>
        </w:rPr>
      </w:pPr>
      <w:r w:rsidRPr="003422E0">
        <w:rPr>
          <w:rFonts w:ascii="Times New Roman" w:hAnsi="Times New Roman" w:cs="Times New Roman"/>
          <w:b/>
          <w:bCs/>
        </w:rPr>
        <w:t>Fig</w:t>
      </w:r>
      <w:r w:rsidR="003422E0">
        <w:rPr>
          <w:rFonts w:ascii="Times New Roman" w:hAnsi="Times New Roman" w:cs="Times New Roman"/>
          <w:b/>
          <w:bCs/>
        </w:rPr>
        <w:t>.</w:t>
      </w:r>
      <w:r w:rsidRPr="003422E0">
        <w:rPr>
          <w:rFonts w:ascii="Times New Roman" w:hAnsi="Times New Roman" w:cs="Times New Roman"/>
          <w:b/>
          <w:bCs/>
        </w:rPr>
        <w:t xml:space="preserve"> </w:t>
      </w:r>
      <w:r w:rsidR="00B773E4" w:rsidRPr="003422E0">
        <w:rPr>
          <w:rFonts w:ascii="Times New Roman" w:hAnsi="Times New Roman" w:cs="Times New Roman"/>
          <w:b/>
          <w:bCs/>
        </w:rPr>
        <w:t>S</w:t>
      </w:r>
      <w:r w:rsidR="00457563">
        <w:rPr>
          <w:rFonts w:ascii="Times New Roman" w:hAnsi="Times New Roman" w:cs="Times New Roman"/>
          <w:b/>
          <w:bCs/>
        </w:rPr>
        <w:t>5</w:t>
      </w:r>
      <w:r w:rsidR="00346A98">
        <w:rPr>
          <w:rFonts w:ascii="Times New Roman" w:hAnsi="Times New Roman" w:cs="Times New Roman"/>
          <w:b/>
          <w:bCs/>
        </w:rPr>
        <w:t>.</w:t>
      </w:r>
      <w:r w:rsidRPr="003422E0">
        <w:rPr>
          <w:rFonts w:ascii="Times New Roman" w:hAnsi="Times New Roman" w:cs="Times New Roman"/>
        </w:rPr>
        <w:t xml:space="preserve"> Vials of 10LSa (top row) and 10LSt (bottom row) oleogels and the corresponding nanoemulsions after six months of preparation. Top row from left to right: 10LSa, 10LSaW30, 10LSaW50, 10LSaW70, and </w:t>
      </w:r>
      <w:r w:rsidR="00DA385B">
        <w:rPr>
          <w:rFonts w:ascii="Times New Roman" w:hAnsi="Times New Roman" w:cs="Times New Roman"/>
        </w:rPr>
        <w:t xml:space="preserve">diluted </w:t>
      </w:r>
      <w:r w:rsidRPr="003422E0">
        <w:rPr>
          <w:rFonts w:ascii="Times New Roman" w:hAnsi="Times New Roman" w:cs="Times New Roman"/>
        </w:rPr>
        <w:t>10LSaW</w:t>
      </w:r>
      <w:r w:rsidR="00DA385B">
        <w:rPr>
          <w:rFonts w:ascii="Times New Roman" w:hAnsi="Times New Roman" w:cs="Times New Roman"/>
        </w:rPr>
        <w:t>7</w:t>
      </w:r>
      <w:r w:rsidRPr="003422E0">
        <w:rPr>
          <w:rFonts w:ascii="Times New Roman" w:hAnsi="Times New Roman" w:cs="Times New Roman"/>
        </w:rPr>
        <w:t xml:space="preserve">0. </w:t>
      </w:r>
      <w:r w:rsidR="00DA385B">
        <w:rPr>
          <w:rFonts w:ascii="Times New Roman" w:hAnsi="Times New Roman" w:cs="Times New Roman"/>
        </w:rPr>
        <w:t>Bottom</w:t>
      </w:r>
      <w:r w:rsidRPr="003422E0">
        <w:rPr>
          <w:rFonts w:ascii="Times New Roman" w:hAnsi="Times New Roman" w:cs="Times New Roman"/>
        </w:rPr>
        <w:t xml:space="preserve"> row from left to right: 10LSt, 10LStW30, 10LStW50, 10LStW70, and </w:t>
      </w:r>
      <w:r w:rsidR="00DA385B">
        <w:rPr>
          <w:rFonts w:ascii="Times New Roman" w:hAnsi="Times New Roman" w:cs="Times New Roman"/>
        </w:rPr>
        <w:t xml:space="preserve">diluted </w:t>
      </w:r>
      <w:r w:rsidRPr="003422E0">
        <w:rPr>
          <w:rFonts w:ascii="Times New Roman" w:hAnsi="Times New Roman" w:cs="Times New Roman"/>
        </w:rPr>
        <w:t>10LStW</w:t>
      </w:r>
      <w:r w:rsidR="00DA385B">
        <w:rPr>
          <w:rFonts w:ascii="Times New Roman" w:hAnsi="Times New Roman" w:cs="Times New Roman"/>
        </w:rPr>
        <w:t>7</w:t>
      </w:r>
      <w:r w:rsidRPr="003422E0">
        <w:rPr>
          <w:rFonts w:ascii="Times New Roman" w:hAnsi="Times New Roman" w:cs="Times New Roman"/>
        </w:rPr>
        <w:t>0</w:t>
      </w:r>
      <w:r w:rsidR="00D92C71" w:rsidRPr="003422E0">
        <w:rPr>
          <w:rFonts w:ascii="Times New Roman" w:hAnsi="Times New Roman" w:cs="Times New Roman"/>
        </w:rPr>
        <w:t xml:space="preserve">. </w:t>
      </w:r>
      <w:r w:rsidR="00B773E4" w:rsidRPr="003422E0">
        <w:rPr>
          <w:rFonts w:ascii="Times New Roman" w:hAnsi="Times New Roman" w:cs="Times New Roman"/>
        </w:rPr>
        <w:t>The arrow</w:t>
      </w:r>
      <w:r w:rsidR="00D92C71" w:rsidRPr="003422E0">
        <w:rPr>
          <w:rFonts w:ascii="Times New Roman" w:hAnsi="Times New Roman" w:cs="Times New Roman"/>
        </w:rPr>
        <w:t xml:space="preserve"> indicates oil syneresis and </w:t>
      </w:r>
      <w:r w:rsidR="008D0217" w:rsidRPr="003422E0">
        <w:rPr>
          <w:rFonts w:ascii="Times New Roman" w:hAnsi="Times New Roman" w:cs="Times New Roman"/>
        </w:rPr>
        <w:t>the dotted</w:t>
      </w:r>
      <w:r w:rsidR="00D92C71" w:rsidRPr="003422E0">
        <w:rPr>
          <w:rFonts w:ascii="Times New Roman" w:hAnsi="Times New Roman" w:cs="Times New Roman"/>
        </w:rPr>
        <w:t xml:space="preserve"> circle shows the phase separation</w:t>
      </w:r>
      <w:r w:rsidR="00292E15" w:rsidRPr="003422E0">
        <w:rPr>
          <w:rFonts w:ascii="Times New Roman" w:hAnsi="Times New Roman" w:cs="Times New Roman"/>
        </w:rPr>
        <w:t>.</w:t>
      </w:r>
    </w:p>
    <w:p w14:paraId="718AD4E6" w14:textId="77777777" w:rsidR="00D177C4" w:rsidRDefault="00D177C4">
      <w:pPr>
        <w:rPr>
          <w:rFonts w:ascii="Times New Roman" w:hAnsi="Times New Roman" w:cs="Times New Roman"/>
        </w:rPr>
      </w:pPr>
      <w:r>
        <w:rPr>
          <w:rFonts w:ascii="Times New Roman" w:hAnsi="Times New Roman" w:cs="Times New Roman"/>
        </w:rPr>
        <w:br w:type="page"/>
      </w:r>
    </w:p>
    <w:p w14:paraId="048B4EF6" w14:textId="77777777" w:rsidR="00692810" w:rsidRPr="003422E0" w:rsidRDefault="00692810" w:rsidP="008A0B28">
      <w:pPr>
        <w:rPr>
          <w:rFonts w:ascii="Times New Roman" w:hAnsi="Times New Roman" w:cs="Times New Roman"/>
          <w:b/>
          <w:bCs/>
        </w:rPr>
      </w:pPr>
    </w:p>
    <w:p w14:paraId="783416A8" w14:textId="48135F34" w:rsidR="000E408D" w:rsidRDefault="000E408D" w:rsidP="00332C5D">
      <w:pPr>
        <w:jc w:val="center"/>
        <w:rPr>
          <w:rFonts w:ascii="Times New Roman" w:hAnsi="Times New Roman" w:cs="Times New Roman"/>
          <w:b/>
          <w:bCs/>
          <w:sz w:val="24"/>
          <w:szCs w:val="24"/>
        </w:rPr>
      </w:pPr>
      <w:r>
        <w:rPr>
          <w:rFonts w:ascii="Times New Roman" w:hAnsi="Times New Roman" w:cs="Times New Roman"/>
          <w:b/>
          <w:bCs/>
          <w:noProof/>
          <w:sz w:val="24"/>
          <w:szCs w:val="24"/>
          <w:lang w:bidi="he-IL"/>
        </w:rPr>
        <w:drawing>
          <wp:inline distT="0" distB="0" distL="0" distR="0" wp14:anchorId="2A381B98" wp14:editId="75265967">
            <wp:extent cx="3599688" cy="2813304"/>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 NEs_Fig. S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688" cy="2813304"/>
                    </a:xfrm>
                    <a:prstGeom prst="rect">
                      <a:avLst/>
                    </a:prstGeom>
                  </pic:spPr>
                </pic:pic>
              </a:graphicData>
            </a:graphic>
          </wp:inline>
        </w:drawing>
      </w:r>
    </w:p>
    <w:p w14:paraId="07108F7F" w14:textId="0B253982" w:rsidR="003B4F51" w:rsidRPr="003422E0" w:rsidRDefault="003B4F51" w:rsidP="00457563">
      <w:pPr>
        <w:jc w:val="center"/>
        <w:rPr>
          <w:rFonts w:ascii="Times New Roman" w:hAnsi="Times New Roman" w:cs="Times New Roman"/>
          <w:b/>
          <w:bCs/>
        </w:rPr>
      </w:pPr>
      <w:r w:rsidRPr="003422E0">
        <w:rPr>
          <w:rFonts w:ascii="Times New Roman" w:hAnsi="Times New Roman" w:cs="Times New Roman"/>
          <w:b/>
          <w:bCs/>
        </w:rPr>
        <w:t>Fig</w:t>
      </w:r>
      <w:r w:rsidR="003422E0">
        <w:rPr>
          <w:rFonts w:ascii="Times New Roman" w:hAnsi="Times New Roman" w:cs="Times New Roman"/>
          <w:b/>
          <w:bCs/>
        </w:rPr>
        <w:t>.</w:t>
      </w:r>
      <w:r w:rsidRPr="003422E0">
        <w:rPr>
          <w:rFonts w:ascii="Times New Roman" w:hAnsi="Times New Roman" w:cs="Times New Roman"/>
          <w:b/>
          <w:bCs/>
        </w:rPr>
        <w:t xml:space="preserve"> S</w:t>
      </w:r>
      <w:r w:rsidR="00457563">
        <w:rPr>
          <w:rFonts w:ascii="Times New Roman" w:hAnsi="Times New Roman" w:cs="Times New Roman"/>
          <w:b/>
          <w:bCs/>
        </w:rPr>
        <w:t>6</w:t>
      </w:r>
      <w:r w:rsidR="00346A98">
        <w:rPr>
          <w:rFonts w:ascii="Times New Roman" w:hAnsi="Times New Roman" w:cs="Times New Roman"/>
          <w:b/>
          <w:bCs/>
        </w:rPr>
        <w:t>.</w:t>
      </w:r>
      <w:r w:rsidRPr="003422E0">
        <w:rPr>
          <w:rFonts w:ascii="Times New Roman" w:hAnsi="Times New Roman" w:cs="Times New Roman"/>
        </w:rPr>
        <w:t xml:space="preserve"> Quantification of oil syneresis from </w:t>
      </w:r>
      <w:proofErr w:type="spellStart"/>
      <w:r w:rsidRPr="003422E0">
        <w:rPr>
          <w:rFonts w:ascii="Times New Roman" w:hAnsi="Times New Roman" w:cs="Times New Roman"/>
        </w:rPr>
        <w:t>emulgels</w:t>
      </w:r>
      <w:proofErr w:type="spellEnd"/>
    </w:p>
    <w:p w14:paraId="7BCFB928" w14:textId="10F89C85" w:rsidR="007203EC" w:rsidRDefault="007203EC">
      <w:pPr>
        <w:rPr>
          <w:rFonts w:ascii="Times New Roman" w:hAnsi="Times New Roman" w:cs="Times New Roman"/>
          <w:b/>
          <w:bCs/>
          <w:sz w:val="24"/>
          <w:szCs w:val="24"/>
        </w:rPr>
      </w:pPr>
      <w:r>
        <w:rPr>
          <w:rFonts w:ascii="Times New Roman" w:hAnsi="Times New Roman" w:cs="Times New Roman"/>
          <w:b/>
          <w:bCs/>
          <w:sz w:val="24"/>
          <w:szCs w:val="24"/>
        </w:rPr>
        <w:br w:type="page"/>
      </w:r>
    </w:p>
    <w:p w14:paraId="2F7B87D5" w14:textId="7F6CBA79" w:rsidR="000E408D" w:rsidRDefault="003A3994" w:rsidP="00332C5D">
      <w:pPr>
        <w:jc w:val="center"/>
        <w:rPr>
          <w:rFonts w:ascii="Times New Roman" w:hAnsi="Times New Roman" w:cs="Times New Roman"/>
          <w:b/>
          <w:bCs/>
          <w:sz w:val="24"/>
          <w:szCs w:val="24"/>
        </w:rPr>
      </w:pPr>
      <w:r>
        <w:rPr>
          <w:rFonts w:ascii="Times New Roman" w:hAnsi="Times New Roman" w:cs="Times New Roman"/>
          <w:b/>
          <w:bCs/>
          <w:noProof/>
          <w:sz w:val="24"/>
          <w:szCs w:val="24"/>
          <w:lang w:bidi="he-IL"/>
        </w:rPr>
        <w:lastRenderedPageBreak/>
        <w:drawing>
          <wp:inline distT="0" distB="0" distL="0" distR="0" wp14:anchorId="0E74082B" wp14:editId="4F5ECEDB">
            <wp:extent cx="4320000" cy="3707429"/>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707429"/>
                    </a:xfrm>
                    <a:prstGeom prst="rect">
                      <a:avLst/>
                    </a:prstGeom>
                    <a:noFill/>
                  </pic:spPr>
                </pic:pic>
              </a:graphicData>
            </a:graphic>
          </wp:inline>
        </w:drawing>
      </w:r>
    </w:p>
    <w:p w14:paraId="0B65DECD" w14:textId="0332975B" w:rsidR="003D7A1E" w:rsidRPr="003422E0" w:rsidRDefault="003D7A1E" w:rsidP="008A0B28">
      <w:pPr>
        <w:rPr>
          <w:rFonts w:ascii="Times New Roman" w:hAnsi="Times New Roman" w:cs="Times New Roman"/>
          <w:b/>
          <w:bCs/>
        </w:rPr>
      </w:pPr>
      <w:r w:rsidRPr="003422E0">
        <w:rPr>
          <w:rFonts w:ascii="Times New Roman" w:hAnsi="Times New Roman" w:cs="Times New Roman"/>
          <w:b/>
          <w:bCs/>
        </w:rPr>
        <w:t>Fig</w:t>
      </w:r>
      <w:r w:rsidR="003422E0">
        <w:rPr>
          <w:rFonts w:ascii="Times New Roman" w:hAnsi="Times New Roman" w:cs="Times New Roman"/>
          <w:b/>
          <w:bCs/>
        </w:rPr>
        <w:t>.</w:t>
      </w:r>
      <w:r w:rsidRPr="003422E0">
        <w:rPr>
          <w:rFonts w:ascii="Times New Roman" w:hAnsi="Times New Roman" w:cs="Times New Roman"/>
          <w:b/>
          <w:bCs/>
        </w:rPr>
        <w:t xml:space="preserve"> S</w:t>
      </w:r>
      <w:r w:rsidR="00457563">
        <w:rPr>
          <w:rFonts w:ascii="Times New Roman" w:hAnsi="Times New Roman" w:cs="Times New Roman"/>
          <w:b/>
          <w:bCs/>
        </w:rPr>
        <w:t>7</w:t>
      </w:r>
      <w:r w:rsidR="00346A98">
        <w:rPr>
          <w:rFonts w:ascii="Times New Roman" w:hAnsi="Times New Roman" w:cs="Times New Roman"/>
          <w:b/>
          <w:bCs/>
        </w:rPr>
        <w:t>.</w:t>
      </w:r>
      <w:r w:rsidRPr="003422E0">
        <w:rPr>
          <w:rFonts w:ascii="Times New Roman" w:hAnsi="Times New Roman" w:cs="Times New Roman"/>
          <w:b/>
          <w:bCs/>
        </w:rPr>
        <w:t xml:space="preserve"> </w:t>
      </w:r>
      <w:proofErr w:type="spellStart"/>
      <w:r w:rsidRPr="003422E0">
        <w:rPr>
          <w:rFonts w:ascii="Times New Roman" w:hAnsi="Times New Roman" w:cs="Times New Roman"/>
        </w:rPr>
        <w:t>Lumisizer</w:t>
      </w:r>
      <w:proofErr w:type="spellEnd"/>
      <w:r w:rsidRPr="003422E0">
        <w:rPr>
          <w:rFonts w:ascii="Times New Roman" w:hAnsi="Times New Roman" w:cs="Times New Roman"/>
        </w:rPr>
        <w:t xml:space="preserve"> profiles of </w:t>
      </w:r>
      <w:r w:rsidR="005A36B1">
        <w:rPr>
          <w:rFonts w:ascii="Times New Roman" w:hAnsi="Times New Roman" w:cs="Times New Roman"/>
        </w:rPr>
        <w:t>concentra</w:t>
      </w:r>
      <w:r w:rsidR="003A3994">
        <w:rPr>
          <w:rFonts w:ascii="Times New Roman" w:hAnsi="Times New Roman" w:cs="Times New Roman"/>
        </w:rPr>
        <w:t>t</w:t>
      </w:r>
      <w:r w:rsidR="005A36B1">
        <w:rPr>
          <w:rFonts w:ascii="Times New Roman" w:hAnsi="Times New Roman" w:cs="Times New Roman"/>
        </w:rPr>
        <w:t>ed</w:t>
      </w:r>
      <w:r w:rsidR="00FE0234" w:rsidRPr="003422E0">
        <w:rPr>
          <w:rFonts w:ascii="Times New Roman" w:hAnsi="Times New Roman" w:cs="Times New Roman"/>
        </w:rPr>
        <w:t xml:space="preserve"> </w:t>
      </w:r>
      <w:r w:rsidRPr="003422E0">
        <w:rPr>
          <w:rFonts w:ascii="Times New Roman" w:hAnsi="Times New Roman" w:cs="Times New Roman"/>
        </w:rPr>
        <w:t>NEs and the</w:t>
      </w:r>
      <w:r w:rsidR="003A2B87" w:rsidRPr="003422E0">
        <w:rPr>
          <w:rFonts w:ascii="Times New Roman" w:hAnsi="Times New Roman" w:cs="Times New Roman"/>
        </w:rPr>
        <w:t>ir</w:t>
      </w:r>
      <w:r w:rsidRPr="003422E0">
        <w:rPr>
          <w:rFonts w:ascii="Times New Roman" w:hAnsi="Times New Roman" w:cs="Times New Roman"/>
        </w:rPr>
        <w:t xml:space="preserve"> instability index </w:t>
      </w:r>
      <w:r w:rsidR="003A2B87" w:rsidRPr="003422E0">
        <w:rPr>
          <w:rFonts w:ascii="Times New Roman" w:hAnsi="Times New Roman" w:cs="Times New Roman"/>
        </w:rPr>
        <w:t>(</w:t>
      </w:r>
      <w:r w:rsidRPr="003422E0">
        <w:rPr>
          <w:rFonts w:ascii="Times New Roman" w:hAnsi="Times New Roman" w:cs="Times New Roman"/>
        </w:rPr>
        <w:t>EII</w:t>
      </w:r>
      <w:r w:rsidR="003A2B87" w:rsidRPr="003422E0">
        <w:rPr>
          <w:rFonts w:ascii="Times New Roman" w:hAnsi="Times New Roman" w:cs="Times New Roman"/>
        </w:rPr>
        <w:t>) along with the size</w:t>
      </w:r>
      <w:r w:rsidR="00B5511C" w:rsidRPr="003422E0">
        <w:rPr>
          <w:rFonts w:ascii="Times New Roman" w:hAnsi="Times New Roman" w:cs="Times New Roman"/>
        </w:rPr>
        <w:t xml:space="preserve"> of the dispersed phase</w:t>
      </w:r>
    </w:p>
    <w:p w14:paraId="778258D8" w14:textId="77777777" w:rsidR="007203EC" w:rsidRDefault="007203EC">
      <w:pPr>
        <w:rPr>
          <w:rFonts w:asciiTheme="majorBidi" w:hAnsiTheme="majorBidi" w:cstheme="majorBidi"/>
          <w:b/>
          <w:bCs/>
          <w:sz w:val="24"/>
          <w:szCs w:val="24"/>
        </w:rPr>
      </w:pPr>
      <w:r>
        <w:rPr>
          <w:rFonts w:asciiTheme="majorBidi" w:hAnsiTheme="majorBidi" w:cstheme="majorBidi"/>
          <w:b/>
          <w:bCs/>
          <w:sz w:val="24"/>
          <w:szCs w:val="24"/>
        </w:rPr>
        <w:br w:type="page"/>
      </w:r>
    </w:p>
    <w:p w14:paraId="34310A69" w14:textId="532EC2EA" w:rsidR="000E408D" w:rsidRDefault="000E408D" w:rsidP="00332C5D">
      <w:pPr>
        <w:jc w:val="center"/>
        <w:rPr>
          <w:rFonts w:ascii="Times New Roman" w:hAnsi="Times New Roman" w:cs="Times New Roman"/>
          <w:b/>
          <w:bCs/>
          <w:sz w:val="24"/>
          <w:szCs w:val="24"/>
        </w:rPr>
      </w:pPr>
      <w:r>
        <w:rPr>
          <w:rFonts w:ascii="Times New Roman" w:hAnsi="Times New Roman" w:cs="Times New Roman"/>
          <w:b/>
          <w:bCs/>
          <w:noProof/>
          <w:sz w:val="24"/>
          <w:szCs w:val="24"/>
          <w:lang w:bidi="he-IL"/>
        </w:rPr>
        <w:lastRenderedPageBreak/>
        <w:drawing>
          <wp:inline distT="0" distB="0" distL="0" distR="0" wp14:anchorId="43F86898" wp14:editId="002FA9F4">
            <wp:extent cx="4333461" cy="36025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 NEs_Fig. S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3461" cy="3602553"/>
                    </a:xfrm>
                    <a:prstGeom prst="rect">
                      <a:avLst/>
                    </a:prstGeom>
                  </pic:spPr>
                </pic:pic>
              </a:graphicData>
            </a:graphic>
          </wp:inline>
        </w:drawing>
      </w:r>
    </w:p>
    <w:p w14:paraId="35320EC5" w14:textId="2B4505DC" w:rsidR="00101134" w:rsidRDefault="00346A98" w:rsidP="00457563">
      <w:pPr>
        <w:rPr>
          <w:rFonts w:ascii="Times New Roman" w:hAnsi="Times New Roman" w:cs="Times New Roman"/>
        </w:rPr>
      </w:pPr>
      <w:r>
        <w:rPr>
          <w:rFonts w:ascii="Times New Roman" w:hAnsi="Times New Roman" w:cs="Times New Roman"/>
          <w:b/>
          <w:bCs/>
        </w:rPr>
        <w:t>Fig. S</w:t>
      </w:r>
      <w:r w:rsidR="00457563">
        <w:rPr>
          <w:rFonts w:ascii="Times New Roman" w:hAnsi="Times New Roman" w:cs="Times New Roman"/>
          <w:b/>
          <w:bCs/>
        </w:rPr>
        <w:t>8</w:t>
      </w:r>
      <w:r>
        <w:rPr>
          <w:rFonts w:ascii="Times New Roman" w:hAnsi="Times New Roman" w:cs="Times New Roman"/>
          <w:b/>
          <w:bCs/>
        </w:rPr>
        <w:t>.</w:t>
      </w:r>
      <w:r w:rsidR="00101134" w:rsidRPr="00346A98">
        <w:rPr>
          <w:rFonts w:ascii="Times New Roman" w:hAnsi="Times New Roman" w:cs="Times New Roman"/>
        </w:rPr>
        <w:t xml:space="preserve"> Apparent viscosity profiles of (a) 10LSa- and (b) 10LSt-based emulsions. The flow parameters</w:t>
      </w:r>
      <w:r w:rsidR="00FE0234" w:rsidRPr="00346A98">
        <w:rPr>
          <w:rFonts w:ascii="Times New Roman" w:hAnsi="Times New Roman" w:cs="Times New Roman"/>
        </w:rPr>
        <w:t xml:space="preserve"> (K, n)</w:t>
      </w:r>
      <w:r w:rsidR="00101134" w:rsidRPr="00346A98">
        <w:rPr>
          <w:rFonts w:ascii="Times New Roman" w:hAnsi="Times New Roman" w:cs="Times New Roman"/>
        </w:rPr>
        <w:t xml:space="preserve"> after fitting the data in modified power law are shown in (c) and (d).</w:t>
      </w:r>
    </w:p>
    <w:p w14:paraId="42CB9513" w14:textId="65FE1463" w:rsidR="002815A5" w:rsidRDefault="002815A5">
      <w:pPr>
        <w:rPr>
          <w:rFonts w:ascii="Times New Roman" w:hAnsi="Times New Roman" w:cs="Times New Roman"/>
          <w:sz w:val="24"/>
          <w:szCs w:val="24"/>
        </w:rPr>
      </w:pPr>
      <w:r>
        <w:rPr>
          <w:rFonts w:ascii="Times New Roman" w:hAnsi="Times New Roman" w:cs="Times New Roman"/>
          <w:sz w:val="24"/>
          <w:szCs w:val="24"/>
        </w:rPr>
        <w:br w:type="page"/>
      </w:r>
    </w:p>
    <w:p w14:paraId="31EC1BD5" w14:textId="0EF5E25F" w:rsidR="008C3015" w:rsidRPr="002815A5" w:rsidRDefault="008C3015">
      <w:pPr>
        <w:rPr>
          <w:rFonts w:ascii="Times New Roman" w:hAnsi="Times New Roman" w:cs="Times New Roman"/>
          <w:b/>
          <w:bCs/>
          <w:sz w:val="24"/>
          <w:szCs w:val="24"/>
        </w:rPr>
      </w:pPr>
      <w:r w:rsidRPr="002815A5">
        <w:rPr>
          <w:rFonts w:ascii="Times New Roman" w:hAnsi="Times New Roman" w:cs="Times New Roman"/>
          <w:b/>
          <w:bCs/>
          <w:sz w:val="24"/>
          <w:szCs w:val="24"/>
        </w:rPr>
        <w:lastRenderedPageBreak/>
        <w:t>References</w:t>
      </w:r>
    </w:p>
    <w:p w14:paraId="6793BA03" w14:textId="77777777" w:rsidR="005C05C1" w:rsidRPr="005C05C1" w:rsidRDefault="008C3015" w:rsidP="005C05C1">
      <w:pPr>
        <w:pStyle w:val="Bibliography"/>
        <w:spacing w:line="360" w:lineRule="auto"/>
        <w:rPr>
          <w:rFonts w:ascii="Times New Roman" w:hAnsi="Times New Roman" w:cs="Times New Roman"/>
          <w:sz w:val="24"/>
        </w:rPr>
      </w:pPr>
      <w:r>
        <w:fldChar w:fldCharType="begin"/>
      </w:r>
      <w:r w:rsidR="005C05C1">
        <w:instrText xml:space="preserve"> ADDIN ZOTERO_BIBL {"uncited":[],"omitted":[],"custom":[]} CSL_BIBLIOGRAPHY </w:instrText>
      </w:r>
      <w:r>
        <w:fldChar w:fldCharType="separate"/>
      </w:r>
      <w:r w:rsidR="005C05C1" w:rsidRPr="005C05C1">
        <w:rPr>
          <w:rFonts w:ascii="Times New Roman" w:hAnsi="Times New Roman" w:cs="Times New Roman"/>
          <w:sz w:val="24"/>
        </w:rPr>
        <w:t>1.</w:t>
      </w:r>
      <w:r w:rsidR="005C05C1" w:rsidRPr="005C05C1">
        <w:rPr>
          <w:rFonts w:ascii="Times New Roman" w:hAnsi="Times New Roman" w:cs="Times New Roman"/>
          <w:sz w:val="24"/>
        </w:rPr>
        <w:tab/>
        <w:t xml:space="preserve">Jadhav AJ, Holkar CR, Karekar SE, </w:t>
      </w:r>
      <w:proofErr w:type="spellStart"/>
      <w:r w:rsidR="005C05C1" w:rsidRPr="005C05C1">
        <w:rPr>
          <w:rFonts w:ascii="Times New Roman" w:hAnsi="Times New Roman" w:cs="Times New Roman"/>
          <w:sz w:val="24"/>
        </w:rPr>
        <w:t>Pinjari</w:t>
      </w:r>
      <w:proofErr w:type="spellEnd"/>
      <w:r w:rsidR="005C05C1" w:rsidRPr="005C05C1">
        <w:rPr>
          <w:rFonts w:ascii="Times New Roman" w:hAnsi="Times New Roman" w:cs="Times New Roman"/>
          <w:sz w:val="24"/>
        </w:rPr>
        <w:t xml:space="preserve"> DV, Pandit AB. Ultrasound assisted manufacturing of paraffin wax </w:t>
      </w:r>
      <w:proofErr w:type="spellStart"/>
      <w:r w:rsidR="005C05C1" w:rsidRPr="005C05C1">
        <w:rPr>
          <w:rFonts w:ascii="Times New Roman" w:hAnsi="Times New Roman" w:cs="Times New Roman"/>
          <w:sz w:val="24"/>
        </w:rPr>
        <w:t>nanoemulsions</w:t>
      </w:r>
      <w:proofErr w:type="spellEnd"/>
      <w:r w:rsidR="005C05C1" w:rsidRPr="005C05C1">
        <w:rPr>
          <w:rFonts w:ascii="Times New Roman" w:hAnsi="Times New Roman" w:cs="Times New Roman"/>
          <w:sz w:val="24"/>
        </w:rPr>
        <w:t xml:space="preserve">: Process optimization. Ultrasonics Sonochemistry. 2015 Mar </w:t>
      </w:r>
      <w:proofErr w:type="gramStart"/>
      <w:r w:rsidR="005C05C1" w:rsidRPr="005C05C1">
        <w:rPr>
          <w:rFonts w:ascii="Times New Roman" w:hAnsi="Times New Roman" w:cs="Times New Roman"/>
          <w:sz w:val="24"/>
        </w:rPr>
        <w:t>1;23:201</w:t>
      </w:r>
      <w:proofErr w:type="gramEnd"/>
      <w:r w:rsidR="005C05C1" w:rsidRPr="005C05C1">
        <w:rPr>
          <w:rFonts w:ascii="Times New Roman" w:hAnsi="Times New Roman" w:cs="Times New Roman"/>
          <w:sz w:val="24"/>
        </w:rPr>
        <w:t xml:space="preserve">–7. </w:t>
      </w:r>
    </w:p>
    <w:p w14:paraId="2953E73F" w14:textId="77777777" w:rsidR="005C05C1" w:rsidRPr="005C05C1" w:rsidRDefault="005C05C1" w:rsidP="005C05C1">
      <w:pPr>
        <w:pStyle w:val="Bibliography"/>
        <w:spacing w:line="360" w:lineRule="auto"/>
        <w:rPr>
          <w:rFonts w:ascii="Times New Roman" w:hAnsi="Times New Roman" w:cs="Times New Roman"/>
          <w:sz w:val="24"/>
        </w:rPr>
      </w:pPr>
      <w:r w:rsidRPr="005C05C1">
        <w:rPr>
          <w:rFonts w:ascii="Times New Roman" w:hAnsi="Times New Roman" w:cs="Times New Roman"/>
          <w:sz w:val="24"/>
        </w:rPr>
        <w:t>2.</w:t>
      </w:r>
      <w:r w:rsidRPr="005C05C1">
        <w:rPr>
          <w:rFonts w:ascii="Times New Roman" w:hAnsi="Times New Roman" w:cs="Times New Roman"/>
          <w:sz w:val="24"/>
        </w:rPr>
        <w:tab/>
        <w:t xml:space="preserve">Gharibzahedi SMT, Jafari SM. Chapter 9 - Fabrication of </w:t>
      </w:r>
      <w:proofErr w:type="spellStart"/>
      <w:r w:rsidRPr="005C05C1">
        <w:rPr>
          <w:rFonts w:ascii="Times New Roman" w:hAnsi="Times New Roman" w:cs="Times New Roman"/>
          <w:sz w:val="24"/>
        </w:rPr>
        <w:t>Nanoemulsions</w:t>
      </w:r>
      <w:proofErr w:type="spellEnd"/>
      <w:r w:rsidRPr="005C05C1">
        <w:rPr>
          <w:rFonts w:ascii="Times New Roman" w:hAnsi="Times New Roman" w:cs="Times New Roman"/>
          <w:sz w:val="24"/>
        </w:rPr>
        <w:t xml:space="preserve"> by Ultrasonication. In: Jafari SM, McClements DJ, editors. </w:t>
      </w:r>
      <w:proofErr w:type="spellStart"/>
      <w:r w:rsidRPr="005C05C1">
        <w:rPr>
          <w:rFonts w:ascii="Times New Roman" w:hAnsi="Times New Roman" w:cs="Times New Roman"/>
          <w:sz w:val="24"/>
        </w:rPr>
        <w:t>Nanoemulsions</w:t>
      </w:r>
      <w:proofErr w:type="spellEnd"/>
      <w:r w:rsidRPr="005C05C1">
        <w:rPr>
          <w:rFonts w:ascii="Times New Roman" w:hAnsi="Times New Roman" w:cs="Times New Roman"/>
          <w:sz w:val="24"/>
        </w:rPr>
        <w:t xml:space="preserve"> [Internet]. Academic Press; 2018 [cited 2022 Jul 15]. p. 233–85. Available from: https://www.sciencedirect.com/science/article/pii/B9780128118382000096</w:t>
      </w:r>
    </w:p>
    <w:p w14:paraId="12DB33C8" w14:textId="77777777" w:rsidR="005C05C1" w:rsidRPr="005C05C1" w:rsidRDefault="005C05C1" w:rsidP="005C05C1">
      <w:pPr>
        <w:pStyle w:val="Bibliography"/>
        <w:spacing w:line="360" w:lineRule="auto"/>
        <w:rPr>
          <w:rFonts w:ascii="Times New Roman" w:hAnsi="Times New Roman" w:cs="Times New Roman"/>
          <w:sz w:val="24"/>
        </w:rPr>
      </w:pPr>
      <w:r w:rsidRPr="005C05C1">
        <w:rPr>
          <w:rFonts w:ascii="Times New Roman" w:hAnsi="Times New Roman" w:cs="Times New Roman"/>
          <w:sz w:val="24"/>
        </w:rPr>
        <w:t>3.</w:t>
      </w:r>
      <w:r w:rsidRPr="005C05C1">
        <w:rPr>
          <w:rFonts w:ascii="Times New Roman" w:hAnsi="Times New Roman" w:cs="Times New Roman"/>
          <w:sz w:val="24"/>
        </w:rPr>
        <w:tab/>
        <w:t xml:space="preserve">Sui X, Bi S, Qi B, Wang Z, Zhang M, Li Y, et al. Impact of ultrasonic treatment on an emulsion system stabilized with soybean protein isolate and lecithin: Its emulsifying property and emulsion stability. Food Hydrocolloids. 2017 Feb </w:t>
      </w:r>
      <w:proofErr w:type="gramStart"/>
      <w:r w:rsidRPr="005C05C1">
        <w:rPr>
          <w:rFonts w:ascii="Times New Roman" w:hAnsi="Times New Roman" w:cs="Times New Roman"/>
          <w:sz w:val="24"/>
        </w:rPr>
        <w:t>1;63:727</w:t>
      </w:r>
      <w:proofErr w:type="gramEnd"/>
      <w:r w:rsidRPr="005C05C1">
        <w:rPr>
          <w:rFonts w:ascii="Times New Roman" w:hAnsi="Times New Roman" w:cs="Times New Roman"/>
          <w:sz w:val="24"/>
        </w:rPr>
        <w:t xml:space="preserve">–34. </w:t>
      </w:r>
    </w:p>
    <w:p w14:paraId="7E5E359A" w14:textId="77777777" w:rsidR="005C05C1" w:rsidRPr="005C05C1" w:rsidRDefault="005C05C1" w:rsidP="005C05C1">
      <w:pPr>
        <w:pStyle w:val="Bibliography"/>
        <w:spacing w:line="360" w:lineRule="auto"/>
        <w:rPr>
          <w:rFonts w:ascii="Times New Roman" w:hAnsi="Times New Roman" w:cs="Times New Roman"/>
          <w:sz w:val="24"/>
        </w:rPr>
      </w:pPr>
      <w:r w:rsidRPr="005C05C1">
        <w:rPr>
          <w:rFonts w:ascii="Times New Roman" w:hAnsi="Times New Roman" w:cs="Times New Roman"/>
          <w:sz w:val="24"/>
        </w:rPr>
        <w:t>4.</w:t>
      </w:r>
      <w:r w:rsidRPr="005C05C1">
        <w:rPr>
          <w:rFonts w:ascii="Times New Roman" w:hAnsi="Times New Roman" w:cs="Times New Roman"/>
          <w:sz w:val="24"/>
        </w:rPr>
        <w:tab/>
      </w:r>
      <w:proofErr w:type="spellStart"/>
      <w:r w:rsidRPr="005C05C1">
        <w:rPr>
          <w:rFonts w:ascii="Times New Roman" w:hAnsi="Times New Roman" w:cs="Times New Roman"/>
          <w:sz w:val="24"/>
        </w:rPr>
        <w:t>Shahavi</w:t>
      </w:r>
      <w:proofErr w:type="spellEnd"/>
      <w:r w:rsidRPr="005C05C1">
        <w:rPr>
          <w:rFonts w:ascii="Times New Roman" w:hAnsi="Times New Roman" w:cs="Times New Roman"/>
          <w:sz w:val="24"/>
        </w:rPr>
        <w:t xml:space="preserve"> MH, Hosseini M, Jahanshahi M, Meyer RL, Darzi GN. Evaluation of critical parameters for preparation of stable clove oil </w:t>
      </w:r>
      <w:proofErr w:type="spellStart"/>
      <w:r w:rsidRPr="005C05C1">
        <w:rPr>
          <w:rFonts w:ascii="Times New Roman" w:hAnsi="Times New Roman" w:cs="Times New Roman"/>
          <w:sz w:val="24"/>
        </w:rPr>
        <w:t>nanoemulsion</w:t>
      </w:r>
      <w:proofErr w:type="spellEnd"/>
      <w:r w:rsidRPr="005C05C1">
        <w:rPr>
          <w:rFonts w:ascii="Times New Roman" w:hAnsi="Times New Roman" w:cs="Times New Roman"/>
          <w:sz w:val="24"/>
        </w:rPr>
        <w:t xml:space="preserve">. Arabian Journal of Chemistry. 2019 Dec 1;12(8):3225–30. </w:t>
      </w:r>
    </w:p>
    <w:p w14:paraId="7F3B4CC1" w14:textId="77777777" w:rsidR="005C05C1" w:rsidRPr="005C05C1" w:rsidRDefault="005C05C1" w:rsidP="005C05C1">
      <w:pPr>
        <w:pStyle w:val="Bibliography"/>
        <w:spacing w:line="360" w:lineRule="auto"/>
        <w:rPr>
          <w:rFonts w:ascii="Times New Roman" w:hAnsi="Times New Roman" w:cs="Times New Roman"/>
          <w:sz w:val="24"/>
        </w:rPr>
      </w:pPr>
      <w:r w:rsidRPr="005C05C1">
        <w:rPr>
          <w:rFonts w:ascii="Times New Roman" w:hAnsi="Times New Roman" w:cs="Times New Roman"/>
          <w:sz w:val="24"/>
        </w:rPr>
        <w:t>5.</w:t>
      </w:r>
      <w:r w:rsidRPr="005C05C1">
        <w:rPr>
          <w:rFonts w:ascii="Times New Roman" w:hAnsi="Times New Roman" w:cs="Times New Roman"/>
          <w:sz w:val="24"/>
        </w:rPr>
        <w:tab/>
        <w:t xml:space="preserve">Jafari SM, </w:t>
      </w:r>
      <w:proofErr w:type="spellStart"/>
      <w:r w:rsidRPr="005C05C1">
        <w:rPr>
          <w:rFonts w:ascii="Times New Roman" w:hAnsi="Times New Roman" w:cs="Times New Roman"/>
          <w:sz w:val="24"/>
        </w:rPr>
        <w:t>Assadpoor</w:t>
      </w:r>
      <w:proofErr w:type="spellEnd"/>
      <w:r w:rsidRPr="005C05C1">
        <w:rPr>
          <w:rFonts w:ascii="Times New Roman" w:hAnsi="Times New Roman" w:cs="Times New Roman"/>
          <w:sz w:val="24"/>
        </w:rPr>
        <w:t xml:space="preserve"> E, He Y, Bhandari B. Re-coalescence of emulsion droplets during high-energy emulsification. Food Hydrocolloids. 2008 Oct 1;22(7):1191–202. </w:t>
      </w:r>
    </w:p>
    <w:p w14:paraId="20FC730A" w14:textId="77777777" w:rsidR="005C05C1" w:rsidRPr="005C05C1" w:rsidRDefault="005C05C1" w:rsidP="005C05C1">
      <w:pPr>
        <w:pStyle w:val="Bibliography"/>
        <w:spacing w:line="360" w:lineRule="auto"/>
        <w:rPr>
          <w:rFonts w:ascii="Times New Roman" w:hAnsi="Times New Roman" w:cs="Times New Roman"/>
          <w:sz w:val="24"/>
        </w:rPr>
      </w:pPr>
      <w:r w:rsidRPr="005C05C1">
        <w:rPr>
          <w:rFonts w:ascii="Times New Roman" w:hAnsi="Times New Roman" w:cs="Times New Roman"/>
          <w:sz w:val="24"/>
        </w:rPr>
        <w:t>6.</w:t>
      </w:r>
      <w:r w:rsidRPr="005C05C1">
        <w:rPr>
          <w:rFonts w:ascii="Times New Roman" w:hAnsi="Times New Roman" w:cs="Times New Roman"/>
          <w:sz w:val="24"/>
        </w:rPr>
        <w:tab/>
      </w:r>
      <w:proofErr w:type="spellStart"/>
      <w:r w:rsidRPr="005C05C1">
        <w:rPr>
          <w:rFonts w:ascii="Times New Roman" w:hAnsi="Times New Roman" w:cs="Times New Roman"/>
          <w:sz w:val="24"/>
        </w:rPr>
        <w:t>Ghiasi</w:t>
      </w:r>
      <w:proofErr w:type="spellEnd"/>
      <w:r w:rsidRPr="005C05C1">
        <w:rPr>
          <w:rFonts w:ascii="Times New Roman" w:hAnsi="Times New Roman" w:cs="Times New Roman"/>
          <w:sz w:val="24"/>
        </w:rPr>
        <w:t xml:space="preserve"> F, Eskandari MH, </w:t>
      </w:r>
      <w:proofErr w:type="spellStart"/>
      <w:r w:rsidRPr="005C05C1">
        <w:rPr>
          <w:rFonts w:ascii="Times New Roman" w:hAnsi="Times New Roman" w:cs="Times New Roman"/>
          <w:sz w:val="24"/>
        </w:rPr>
        <w:t>Golmakani</w:t>
      </w:r>
      <w:proofErr w:type="spellEnd"/>
      <w:r w:rsidRPr="005C05C1">
        <w:rPr>
          <w:rFonts w:ascii="Times New Roman" w:hAnsi="Times New Roman" w:cs="Times New Roman"/>
          <w:sz w:val="24"/>
        </w:rPr>
        <w:t xml:space="preserve"> MT, Hosseini SMH. Development of highly stable colloidal dispersions of gelled-oil nanoparticles loaded with </w:t>
      </w:r>
      <w:proofErr w:type="spellStart"/>
      <w:r w:rsidRPr="005C05C1">
        <w:rPr>
          <w:rFonts w:ascii="Times New Roman" w:hAnsi="Times New Roman" w:cs="Times New Roman"/>
          <w:sz w:val="24"/>
        </w:rPr>
        <w:t>cuminaldehyde</w:t>
      </w:r>
      <w:proofErr w:type="spellEnd"/>
      <w:r w:rsidRPr="005C05C1">
        <w:rPr>
          <w:rFonts w:ascii="Times New Roman" w:hAnsi="Times New Roman" w:cs="Times New Roman"/>
          <w:sz w:val="24"/>
        </w:rPr>
        <w:t xml:space="preserve">. Journal of Colloid and Interface Science. 2019 Apr </w:t>
      </w:r>
      <w:proofErr w:type="gramStart"/>
      <w:r w:rsidRPr="005C05C1">
        <w:rPr>
          <w:rFonts w:ascii="Times New Roman" w:hAnsi="Times New Roman" w:cs="Times New Roman"/>
          <w:sz w:val="24"/>
        </w:rPr>
        <w:t>1;541:65</w:t>
      </w:r>
      <w:proofErr w:type="gramEnd"/>
      <w:r w:rsidRPr="005C05C1">
        <w:rPr>
          <w:rFonts w:ascii="Times New Roman" w:hAnsi="Times New Roman" w:cs="Times New Roman"/>
          <w:sz w:val="24"/>
        </w:rPr>
        <w:t xml:space="preserve">–74. </w:t>
      </w:r>
    </w:p>
    <w:p w14:paraId="0FD601E8" w14:textId="77777777" w:rsidR="005C05C1" w:rsidRPr="005C05C1" w:rsidRDefault="005C05C1" w:rsidP="005C05C1">
      <w:pPr>
        <w:pStyle w:val="Bibliography"/>
        <w:spacing w:line="360" w:lineRule="auto"/>
        <w:rPr>
          <w:rFonts w:ascii="Times New Roman" w:hAnsi="Times New Roman" w:cs="Times New Roman"/>
          <w:sz w:val="24"/>
        </w:rPr>
      </w:pPr>
      <w:r w:rsidRPr="005C05C1">
        <w:rPr>
          <w:rFonts w:ascii="Times New Roman" w:hAnsi="Times New Roman" w:cs="Times New Roman"/>
          <w:sz w:val="24"/>
        </w:rPr>
        <w:t>7.</w:t>
      </w:r>
      <w:r w:rsidRPr="005C05C1">
        <w:rPr>
          <w:rFonts w:ascii="Times New Roman" w:hAnsi="Times New Roman" w:cs="Times New Roman"/>
          <w:sz w:val="24"/>
        </w:rPr>
        <w:tab/>
        <w:t xml:space="preserve">Magri A, Petriccione M, Cerqueira MA, Gutiérrez TJ. Self-assembled lipids for food applications: A review. Advances in Colloid and Interface Science. 2020 Nov </w:t>
      </w:r>
      <w:proofErr w:type="gramStart"/>
      <w:r w:rsidRPr="005C05C1">
        <w:rPr>
          <w:rFonts w:ascii="Times New Roman" w:hAnsi="Times New Roman" w:cs="Times New Roman"/>
          <w:sz w:val="24"/>
        </w:rPr>
        <w:t>1;285:102279</w:t>
      </w:r>
      <w:proofErr w:type="gramEnd"/>
      <w:r w:rsidRPr="005C05C1">
        <w:rPr>
          <w:rFonts w:ascii="Times New Roman" w:hAnsi="Times New Roman" w:cs="Times New Roman"/>
          <w:sz w:val="24"/>
        </w:rPr>
        <w:t xml:space="preserve">. </w:t>
      </w:r>
    </w:p>
    <w:p w14:paraId="09FA1335" w14:textId="31FB9D7D" w:rsidR="008C3015" w:rsidRDefault="008C3015" w:rsidP="005C05C1">
      <w:pPr>
        <w:pStyle w:val="Bibliography"/>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8C30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GwMLcwMjc0NDIwMTBT0lEKTi0uzszPAykwMq4FAGxHeO0tAAAA"/>
  </w:docVars>
  <w:rsids>
    <w:rsidRoot w:val="00332C5D"/>
    <w:rsid w:val="000266BD"/>
    <w:rsid w:val="000305CF"/>
    <w:rsid w:val="00040245"/>
    <w:rsid w:val="000719BC"/>
    <w:rsid w:val="000C14C1"/>
    <w:rsid w:val="000D0054"/>
    <w:rsid w:val="000E408D"/>
    <w:rsid w:val="00101134"/>
    <w:rsid w:val="00104775"/>
    <w:rsid w:val="00131F52"/>
    <w:rsid w:val="0013695A"/>
    <w:rsid w:val="00172E23"/>
    <w:rsid w:val="00216E83"/>
    <w:rsid w:val="00236E35"/>
    <w:rsid w:val="002815A5"/>
    <w:rsid w:val="00292E15"/>
    <w:rsid w:val="002959C1"/>
    <w:rsid w:val="002A000E"/>
    <w:rsid w:val="002B23AF"/>
    <w:rsid w:val="002D12F5"/>
    <w:rsid w:val="003008EA"/>
    <w:rsid w:val="00332C5D"/>
    <w:rsid w:val="003422E0"/>
    <w:rsid w:val="00346A98"/>
    <w:rsid w:val="003666DC"/>
    <w:rsid w:val="00376845"/>
    <w:rsid w:val="0038097E"/>
    <w:rsid w:val="003A2B87"/>
    <w:rsid w:val="003A3994"/>
    <w:rsid w:val="003B1241"/>
    <w:rsid w:val="003B4F51"/>
    <w:rsid w:val="003D7A1E"/>
    <w:rsid w:val="003E2A0B"/>
    <w:rsid w:val="0040124E"/>
    <w:rsid w:val="00445014"/>
    <w:rsid w:val="00457563"/>
    <w:rsid w:val="00477D24"/>
    <w:rsid w:val="004D50A3"/>
    <w:rsid w:val="004D6033"/>
    <w:rsid w:val="004F304E"/>
    <w:rsid w:val="0052067D"/>
    <w:rsid w:val="005208B5"/>
    <w:rsid w:val="00525B40"/>
    <w:rsid w:val="00565D6F"/>
    <w:rsid w:val="00580868"/>
    <w:rsid w:val="005A36B1"/>
    <w:rsid w:val="005C05C1"/>
    <w:rsid w:val="005C4EA6"/>
    <w:rsid w:val="005F6A68"/>
    <w:rsid w:val="00626ABB"/>
    <w:rsid w:val="00692810"/>
    <w:rsid w:val="006B0091"/>
    <w:rsid w:val="006E38C2"/>
    <w:rsid w:val="007203EC"/>
    <w:rsid w:val="0073525A"/>
    <w:rsid w:val="007879E1"/>
    <w:rsid w:val="007B6579"/>
    <w:rsid w:val="007D495B"/>
    <w:rsid w:val="0080020C"/>
    <w:rsid w:val="0083130A"/>
    <w:rsid w:val="00863333"/>
    <w:rsid w:val="00890DF1"/>
    <w:rsid w:val="008A0B28"/>
    <w:rsid w:val="008C3015"/>
    <w:rsid w:val="008C649F"/>
    <w:rsid w:val="008C7675"/>
    <w:rsid w:val="008D0217"/>
    <w:rsid w:val="008F7BC3"/>
    <w:rsid w:val="00984FA1"/>
    <w:rsid w:val="009B7C8E"/>
    <w:rsid w:val="009D2F37"/>
    <w:rsid w:val="00A061A7"/>
    <w:rsid w:val="00A26554"/>
    <w:rsid w:val="00A921FD"/>
    <w:rsid w:val="00AC3222"/>
    <w:rsid w:val="00AE70DD"/>
    <w:rsid w:val="00B00CEB"/>
    <w:rsid w:val="00B2484F"/>
    <w:rsid w:val="00B27EBA"/>
    <w:rsid w:val="00B5511C"/>
    <w:rsid w:val="00B678A7"/>
    <w:rsid w:val="00B75CBE"/>
    <w:rsid w:val="00B773E4"/>
    <w:rsid w:val="00B86B61"/>
    <w:rsid w:val="00BC1F9C"/>
    <w:rsid w:val="00BC340F"/>
    <w:rsid w:val="00BE79DE"/>
    <w:rsid w:val="00C62BCC"/>
    <w:rsid w:val="00C8690D"/>
    <w:rsid w:val="00CE35EF"/>
    <w:rsid w:val="00D177C4"/>
    <w:rsid w:val="00D2495D"/>
    <w:rsid w:val="00D27F90"/>
    <w:rsid w:val="00D30A79"/>
    <w:rsid w:val="00D86E38"/>
    <w:rsid w:val="00D92C71"/>
    <w:rsid w:val="00DA385B"/>
    <w:rsid w:val="00DE08AB"/>
    <w:rsid w:val="00DF4811"/>
    <w:rsid w:val="00E04148"/>
    <w:rsid w:val="00E766DD"/>
    <w:rsid w:val="00ED7308"/>
    <w:rsid w:val="00F31B96"/>
    <w:rsid w:val="00F35705"/>
    <w:rsid w:val="00FA5292"/>
    <w:rsid w:val="00FD28D0"/>
    <w:rsid w:val="00FE0234"/>
    <w:rsid w:val="00FE50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B8151"/>
  <w15:chartTrackingRefBased/>
  <w15:docId w15:val="{5E51896F-C6CF-4966-9648-ADA93AC6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B96"/>
    <w:pPr>
      <w:spacing w:after="0" w:line="240" w:lineRule="auto"/>
    </w:pPr>
    <w:rPr>
      <w:kern w:val="0"/>
      <w:lang w:bidi="he-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061A7"/>
    <w:pPr>
      <w:tabs>
        <w:tab w:val="left" w:pos="264"/>
      </w:tabs>
      <w:spacing w:after="240" w:line="240" w:lineRule="auto"/>
      <w:ind w:left="264" w:hanging="264"/>
    </w:pPr>
  </w:style>
  <w:style w:type="character" w:styleId="Hyperlink">
    <w:name w:val="Hyperlink"/>
    <w:basedOn w:val="DefaultParagraphFont"/>
    <w:uiPriority w:val="99"/>
    <w:unhideWhenUsed/>
    <w:rsid w:val="004F3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hyperlink" Target="mailto:elenap@volcani.agri.gov.il" TargetMode="Externa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4369</Words>
  <Characters>24907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 Shi Singareesu</dc:creator>
  <cp:keywords/>
  <dc:description/>
  <cp:lastModifiedBy>Soma Shi Singareesu</cp:lastModifiedBy>
  <cp:revision>7</cp:revision>
  <dcterms:created xsi:type="dcterms:W3CDTF">2023-09-07T14:09:00Z</dcterms:created>
  <dcterms:modified xsi:type="dcterms:W3CDTF">2024-01-22T03:09:00Z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id="diIGAGgO"/&gt;&lt;style id="http://www.zotero.org/styles/vancouver" locale="en-US" hasBibliography="1" bibliographyStyleHasBeenSet="1"/&gt;&lt;prefs&gt;&lt;pref name="fieldType" value="Field"/&gt;&lt;/prefs&gt;&lt;/data&gt;</vt:lpwstr>
  </property>
</Properties>
</file>