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0861" w14:textId="77777777" w:rsidR="000B1B3D" w:rsidRDefault="000B1B3D" w:rsidP="000B1B3D">
      <w:pPr>
        <w:pStyle w:val="Heading3"/>
      </w:pPr>
      <w:r w:rsidRPr="00AF090C">
        <w:t>Supplementary Material</w:t>
      </w:r>
    </w:p>
    <w:p w14:paraId="664C2FBA" w14:textId="77777777" w:rsidR="000B1B3D" w:rsidRPr="00AF090C" w:rsidRDefault="000B1B3D" w:rsidP="000B1B3D">
      <w:pPr>
        <w:pStyle w:val="Heading3"/>
      </w:pPr>
      <w:r w:rsidRPr="00AF090C">
        <w:t xml:space="preserve">Table S1. </w:t>
      </w:r>
      <w:r w:rsidRPr="00603C98">
        <w:rPr>
          <w:b w:val="0"/>
          <w:bCs w:val="0"/>
        </w:rPr>
        <w:t xml:space="preserve">Severity grading scale for local reactions and </w:t>
      </w:r>
      <w:r>
        <w:rPr>
          <w:b w:val="0"/>
          <w:bCs w:val="0"/>
        </w:rPr>
        <w:t>systemic</w:t>
      </w:r>
      <w:r w:rsidRPr="00603C98">
        <w:rPr>
          <w:b w:val="0"/>
          <w:bCs w:val="0"/>
        </w:rPr>
        <w:t xml:space="preserve"> events.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840"/>
        <w:gridCol w:w="2729"/>
        <w:gridCol w:w="2729"/>
      </w:tblGrid>
      <w:tr w:rsidR="000B1B3D" w:rsidRPr="00AF090C" w14:paraId="7AEAC1AB" w14:textId="77777777" w:rsidTr="00EF2D73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CFDF25" w14:textId="77777777" w:rsidR="000B1B3D" w:rsidRPr="00AF090C" w:rsidRDefault="000B1B3D" w:rsidP="00EF2D73">
            <w:pPr>
              <w:spacing w:after="0" w:line="271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0497D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090C">
              <w:rPr>
                <w:rFonts w:ascii="Calibri" w:hAnsi="Calibri" w:cs="Calibri"/>
                <w:b/>
                <w:sz w:val="20"/>
                <w:szCs w:val="20"/>
              </w:rPr>
              <w:t>Mild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F8FC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090C">
              <w:rPr>
                <w:rFonts w:ascii="Calibri" w:hAnsi="Calibri" w:cs="Calibri"/>
                <w:b/>
                <w:sz w:val="20"/>
                <w:szCs w:val="20"/>
              </w:rPr>
              <w:t>Moderate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F9458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090C">
              <w:rPr>
                <w:rFonts w:ascii="Calibri" w:hAnsi="Calibri" w:cs="Calibri"/>
                <w:b/>
                <w:sz w:val="20"/>
                <w:szCs w:val="20"/>
              </w:rPr>
              <w:t>Severe</w:t>
            </w:r>
          </w:p>
        </w:tc>
      </w:tr>
      <w:tr w:rsidR="000B1B3D" w:rsidRPr="00AF090C" w14:paraId="38DC41CD" w14:textId="77777777" w:rsidTr="00EF2D73"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B14A4D3" w14:textId="77777777" w:rsidR="000B1B3D" w:rsidRPr="00A54EB7" w:rsidRDefault="000B1B3D" w:rsidP="00EF2D73">
            <w:pPr>
              <w:spacing w:after="0" w:line="271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4EB7">
              <w:rPr>
                <w:rFonts w:ascii="Calibri" w:hAnsi="Calibri" w:cs="Calibri"/>
                <w:bCs/>
                <w:sz w:val="20"/>
                <w:szCs w:val="20"/>
              </w:rPr>
              <w:t>Local reaction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14:paraId="0203F51E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</w:tcPr>
          <w:p w14:paraId="6CDF37CB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</w:tcPr>
          <w:p w14:paraId="4A6C53EB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B3D" w:rsidRPr="00AF090C" w14:paraId="469F84EA" w14:textId="77777777" w:rsidTr="00EF2D73">
        <w:tc>
          <w:tcPr>
            <w:tcW w:w="1530" w:type="dxa"/>
            <w:shd w:val="clear" w:color="auto" w:fill="auto"/>
          </w:tcPr>
          <w:p w14:paraId="74D530BB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Pain</w:t>
            </w:r>
          </w:p>
        </w:tc>
        <w:tc>
          <w:tcPr>
            <w:tcW w:w="2840" w:type="dxa"/>
            <w:shd w:val="clear" w:color="auto" w:fill="auto"/>
          </w:tcPr>
          <w:p w14:paraId="31BB7F47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  <w:shd w:val="clear" w:color="auto" w:fill="auto"/>
          </w:tcPr>
          <w:p w14:paraId="010E9EB0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Interferes with activity</w:t>
            </w:r>
          </w:p>
        </w:tc>
        <w:tc>
          <w:tcPr>
            <w:tcW w:w="2729" w:type="dxa"/>
            <w:shd w:val="clear" w:color="auto" w:fill="auto"/>
          </w:tcPr>
          <w:p w14:paraId="28EA7BE3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activity</w:t>
            </w:r>
          </w:p>
        </w:tc>
      </w:tr>
      <w:tr w:rsidR="000B1B3D" w:rsidRPr="00AF090C" w14:paraId="4EE8C3BC" w14:textId="77777777" w:rsidTr="00EF2D73">
        <w:tc>
          <w:tcPr>
            <w:tcW w:w="1530" w:type="dxa"/>
            <w:shd w:val="clear" w:color="auto" w:fill="auto"/>
          </w:tcPr>
          <w:p w14:paraId="70BAD4FE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Redness</w:t>
            </w:r>
          </w:p>
        </w:tc>
        <w:tc>
          <w:tcPr>
            <w:tcW w:w="2840" w:type="dxa"/>
            <w:shd w:val="clear" w:color="auto" w:fill="auto"/>
          </w:tcPr>
          <w:p w14:paraId="4A89FD79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</w:t>
            </w:r>
            <w:bookmarkStart w:id="0" w:name="OLE_LINK1"/>
            <w:r w:rsidRPr="00AF090C">
              <w:rPr>
                <w:rFonts w:ascii="Calibri" w:hAnsi="Calibri" w:cs="Calibri"/>
                <w:sz w:val="20"/>
                <w:szCs w:val="20"/>
              </w:rPr>
              <w:t>2.0–</w:t>
            </w:r>
            <w:bookmarkEnd w:id="0"/>
            <w:r w:rsidRPr="00AF090C">
              <w:rPr>
                <w:rFonts w:ascii="Calibri" w:hAnsi="Calibri" w:cs="Calibri"/>
                <w:sz w:val="20"/>
                <w:szCs w:val="20"/>
              </w:rPr>
              <w:t>5.0 cm</w:t>
            </w:r>
          </w:p>
        </w:tc>
        <w:tc>
          <w:tcPr>
            <w:tcW w:w="2729" w:type="dxa"/>
            <w:shd w:val="clear" w:color="auto" w:fill="auto"/>
          </w:tcPr>
          <w:p w14:paraId="2ACDE5B2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&gt;5.0–10.0 cm</w:t>
            </w:r>
          </w:p>
        </w:tc>
        <w:tc>
          <w:tcPr>
            <w:tcW w:w="2729" w:type="dxa"/>
            <w:shd w:val="clear" w:color="auto" w:fill="auto"/>
          </w:tcPr>
          <w:p w14:paraId="37F1B63B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&gt;10 cm</w:t>
            </w:r>
          </w:p>
        </w:tc>
      </w:tr>
      <w:tr w:rsidR="000B1B3D" w:rsidRPr="00AF090C" w14:paraId="7D2B0137" w14:textId="77777777" w:rsidTr="00EF2D73">
        <w:tc>
          <w:tcPr>
            <w:tcW w:w="1530" w:type="dxa"/>
            <w:shd w:val="clear" w:color="auto" w:fill="auto"/>
          </w:tcPr>
          <w:p w14:paraId="52A9D604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Swelling</w:t>
            </w:r>
          </w:p>
        </w:tc>
        <w:tc>
          <w:tcPr>
            <w:tcW w:w="2840" w:type="dxa"/>
            <w:shd w:val="clear" w:color="auto" w:fill="auto"/>
          </w:tcPr>
          <w:p w14:paraId="588445AC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&gt;2.0–5.0 cm</w:t>
            </w:r>
          </w:p>
        </w:tc>
        <w:tc>
          <w:tcPr>
            <w:tcW w:w="2729" w:type="dxa"/>
            <w:shd w:val="clear" w:color="auto" w:fill="auto"/>
          </w:tcPr>
          <w:p w14:paraId="6571B8BD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&gt;5.0–10.0 cm</w:t>
            </w:r>
          </w:p>
        </w:tc>
        <w:tc>
          <w:tcPr>
            <w:tcW w:w="2729" w:type="dxa"/>
            <w:shd w:val="clear" w:color="auto" w:fill="auto"/>
          </w:tcPr>
          <w:p w14:paraId="56C92205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&gt;10 cm</w:t>
            </w:r>
          </w:p>
        </w:tc>
      </w:tr>
      <w:tr w:rsidR="000B1B3D" w:rsidRPr="00AF090C" w14:paraId="2F1EEFB2" w14:textId="77777777" w:rsidTr="00EF2D73">
        <w:tc>
          <w:tcPr>
            <w:tcW w:w="1530" w:type="dxa"/>
            <w:shd w:val="clear" w:color="auto" w:fill="auto"/>
            <w:vAlign w:val="center"/>
          </w:tcPr>
          <w:p w14:paraId="75DA8E4B" w14:textId="77777777" w:rsidR="000B1B3D" w:rsidRPr="00AF090C" w:rsidRDefault="000B1B3D" w:rsidP="00EF2D73">
            <w:pPr>
              <w:spacing w:after="0" w:line="271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4EB7">
              <w:rPr>
                <w:rFonts w:ascii="Calibri" w:hAnsi="Calibri" w:cs="Calibri"/>
                <w:bCs/>
                <w:sz w:val="20"/>
                <w:szCs w:val="20"/>
              </w:rPr>
              <w:t>Systemic event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91C210" w14:textId="77777777" w:rsidR="000B1B3D" w:rsidRPr="00AF090C" w:rsidRDefault="000B1B3D" w:rsidP="00EF2D73">
            <w:pPr>
              <w:spacing w:after="0" w:line="271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5ECED287" w14:textId="77777777" w:rsidR="000B1B3D" w:rsidRPr="00AF090C" w:rsidRDefault="000B1B3D" w:rsidP="00EF2D73">
            <w:pPr>
              <w:spacing w:after="0" w:line="271" w:lineRule="auto"/>
              <w:ind w:right="-7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3F6F6267" w14:textId="77777777" w:rsidR="000B1B3D" w:rsidRPr="00AF090C" w:rsidRDefault="000B1B3D" w:rsidP="00EF2D73">
            <w:pPr>
              <w:spacing w:after="0" w:line="271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B3D" w:rsidRPr="00AF090C" w14:paraId="5709F364" w14:textId="77777777" w:rsidTr="00EF2D73">
        <w:tc>
          <w:tcPr>
            <w:tcW w:w="1530" w:type="dxa"/>
            <w:vAlign w:val="center"/>
          </w:tcPr>
          <w:p w14:paraId="50DE572E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Vomiting</w:t>
            </w:r>
          </w:p>
        </w:tc>
        <w:tc>
          <w:tcPr>
            <w:tcW w:w="2840" w:type="dxa"/>
          </w:tcPr>
          <w:p w14:paraId="7CC35F8A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1–2 × in 24 h</w:t>
            </w:r>
          </w:p>
        </w:tc>
        <w:tc>
          <w:tcPr>
            <w:tcW w:w="2729" w:type="dxa"/>
          </w:tcPr>
          <w:p w14:paraId="6E353D8C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&gt;2 × in 24 h</w:t>
            </w:r>
          </w:p>
        </w:tc>
        <w:tc>
          <w:tcPr>
            <w:tcW w:w="2729" w:type="dxa"/>
          </w:tcPr>
          <w:p w14:paraId="0B870CFD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Requires IV hydration</w:t>
            </w:r>
          </w:p>
        </w:tc>
      </w:tr>
      <w:tr w:rsidR="000B1B3D" w:rsidRPr="00AF090C" w14:paraId="4911A137" w14:textId="77777777" w:rsidTr="00EF2D73">
        <w:tc>
          <w:tcPr>
            <w:tcW w:w="1530" w:type="dxa"/>
            <w:vAlign w:val="center"/>
          </w:tcPr>
          <w:p w14:paraId="33CB26FC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Diarrhea</w:t>
            </w:r>
          </w:p>
        </w:tc>
        <w:tc>
          <w:tcPr>
            <w:tcW w:w="2840" w:type="dxa"/>
          </w:tcPr>
          <w:p w14:paraId="13A35B5B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2–3 loose stools in 24 h</w:t>
            </w:r>
          </w:p>
        </w:tc>
        <w:tc>
          <w:tcPr>
            <w:tcW w:w="2729" w:type="dxa"/>
          </w:tcPr>
          <w:p w14:paraId="7CF4624F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4–5 loose stools in 24 h</w:t>
            </w:r>
          </w:p>
        </w:tc>
        <w:tc>
          <w:tcPr>
            <w:tcW w:w="2729" w:type="dxa"/>
          </w:tcPr>
          <w:p w14:paraId="466C7001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≥6 loose stools in 24 h</w:t>
            </w:r>
          </w:p>
        </w:tc>
      </w:tr>
      <w:tr w:rsidR="000B1B3D" w:rsidRPr="00AF090C" w14:paraId="6795FFDB" w14:textId="77777777" w:rsidTr="00EF2D73">
        <w:tc>
          <w:tcPr>
            <w:tcW w:w="1530" w:type="dxa"/>
            <w:vAlign w:val="center"/>
          </w:tcPr>
          <w:p w14:paraId="4462A66D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Headache</w:t>
            </w:r>
          </w:p>
        </w:tc>
        <w:tc>
          <w:tcPr>
            <w:tcW w:w="2840" w:type="dxa"/>
          </w:tcPr>
          <w:p w14:paraId="17978F92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</w:tcPr>
          <w:p w14:paraId="2C6BA410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Some interference with activity</w:t>
            </w:r>
          </w:p>
        </w:tc>
        <w:tc>
          <w:tcPr>
            <w:tcW w:w="2729" w:type="dxa"/>
          </w:tcPr>
          <w:p w14:paraId="3881D35A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routine activity</w:t>
            </w:r>
          </w:p>
        </w:tc>
      </w:tr>
      <w:tr w:rsidR="000B1B3D" w:rsidRPr="00AF090C" w14:paraId="4BA19F0C" w14:textId="77777777" w:rsidTr="00EF2D73">
        <w:tc>
          <w:tcPr>
            <w:tcW w:w="1530" w:type="dxa"/>
            <w:vAlign w:val="center"/>
          </w:tcPr>
          <w:p w14:paraId="00855E70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Fatigue</w:t>
            </w:r>
          </w:p>
        </w:tc>
        <w:tc>
          <w:tcPr>
            <w:tcW w:w="2840" w:type="dxa"/>
          </w:tcPr>
          <w:p w14:paraId="1784950E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</w:tcPr>
          <w:p w14:paraId="5456ED90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Some interference with activity</w:t>
            </w:r>
          </w:p>
        </w:tc>
        <w:tc>
          <w:tcPr>
            <w:tcW w:w="2729" w:type="dxa"/>
          </w:tcPr>
          <w:p w14:paraId="25E48A7D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routine activity</w:t>
            </w:r>
          </w:p>
        </w:tc>
      </w:tr>
      <w:tr w:rsidR="000B1B3D" w:rsidRPr="00AF090C" w14:paraId="19221059" w14:textId="77777777" w:rsidTr="00EF2D73">
        <w:tc>
          <w:tcPr>
            <w:tcW w:w="1530" w:type="dxa"/>
            <w:vAlign w:val="center"/>
          </w:tcPr>
          <w:p w14:paraId="125F6DB2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Chills</w:t>
            </w:r>
          </w:p>
        </w:tc>
        <w:tc>
          <w:tcPr>
            <w:tcW w:w="2840" w:type="dxa"/>
          </w:tcPr>
          <w:p w14:paraId="72001370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</w:tcPr>
          <w:p w14:paraId="07F69E5C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Some interference with activity</w:t>
            </w:r>
          </w:p>
        </w:tc>
        <w:tc>
          <w:tcPr>
            <w:tcW w:w="2729" w:type="dxa"/>
          </w:tcPr>
          <w:p w14:paraId="1B25EDD7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routine activity</w:t>
            </w:r>
          </w:p>
        </w:tc>
      </w:tr>
      <w:tr w:rsidR="000B1B3D" w:rsidRPr="00AF090C" w14:paraId="7634A741" w14:textId="77777777" w:rsidTr="00EF2D73">
        <w:tc>
          <w:tcPr>
            <w:tcW w:w="1530" w:type="dxa"/>
            <w:vAlign w:val="center"/>
          </w:tcPr>
          <w:p w14:paraId="4AD9E57F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Muscle pain</w:t>
            </w:r>
          </w:p>
        </w:tc>
        <w:tc>
          <w:tcPr>
            <w:tcW w:w="2840" w:type="dxa"/>
          </w:tcPr>
          <w:p w14:paraId="244617B3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</w:tcPr>
          <w:p w14:paraId="3007EA59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Some interference with activity</w:t>
            </w:r>
          </w:p>
        </w:tc>
        <w:tc>
          <w:tcPr>
            <w:tcW w:w="2729" w:type="dxa"/>
          </w:tcPr>
          <w:p w14:paraId="3AB61446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routine activity</w:t>
            </w:r>
          </w:p>
        </w:tc>
      </w:tr>
      <w:tr w:rsidR="000B1B3D" w:rsidRPr="00AF090C" w14:paraId="427ED152" w14:textId="77777777" w:rsidTr="00EF2D73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D01630B" w14:textId="77777777" w:rsidR="000B1B3D" w:rsidRPr="00AF090C" w:rsidRDefault="000B1B3D" w:rsidP="00EF2D73">
            <w:pPr>
              <w:spacing w:after="0" w:line="271" w:lineRule="auto"/>
              <w:ind w:left="161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Joint pain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94195B5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Does not interfere with activity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4190C23" w14:textId="77777777" w:rsidR="000B1B3D" w:rsidRPr="00AF090C" w:rsidRDefault="000B1B3D" w:rsidP="00EF2D73">
            <w:pPr>
              <w:spacing w:after="0" w:line="271" w:lineRule="auto"/>
              <w:ind w:right="-7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Some interference with activity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4FF343DA" w14:textId="77777777" w:rsidR="000B1B3D" w:rsidRPr="00AF090C" w:rsidRDefault="000B1B3D" w:rsidP="00EF2D73">
            <w:pPr>
              <w:spacing w:after="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090C">
              <w:rPr>
                <w:rFonts w:ascii="Calibri" w:hAnsi="Calibri" w:cs="Calibri"/>
                <w:sz w:val="20"/>
                <w:szCs w:val="20"/>
              </w:rPr>
              <w:t>Prevents daily routine activity</w:t>
            </w:r>
          </w:p>
        </w:tc>
      </w:tr>
    </w:tbl>
    <w:p w14:paraId="16310970" w14:textId="77777777" w:rsidR="000B1B3D" w:rsidRPr="00AF090C" w:rsidRDefault="000B1B3D" w:rsidP="000B1B3D">
      <w:pPr>
        <w:spacing w:after="0"/>
        <w:rPr>
          <w:rFonts w:ascii="Calibri" w:hAnsi="Calibri" w:cs="Calibri"/>
        </w:rPr>
      </w:pPr>
      <w:r w:rsidRPr="00AF090C">
        <w:rPr>
          <w:rFonts w:ascii="Calibri" w:hAnsi="Calibri" w:cs="Calibri"/>
        </w:rPr>
        <w:t>IV=intravenous.</w:t>
      </w:r>
    </w:p>
    <w:p w14:paraId="7243CE93" w14:textId="77777777" w:rsidR="000B1B3D" w:rsidRPr="00603C98" w:rsidRDefault="000B1B3D" w:rsidP="000B1B3D">
      <w:r w:rsidRPr="00AF090C">
        <w:rPr>
          <w:rFonts w:ascii="Calibri" w:hAnsi="Calibri" w:cs="Calibri"/>
        </w:rPr>
        <w:t xml:space="preserve">For the fever scale, refer to the </w:t>
      </w:r>
      <w:r>
        <w:rPr>
          <w:rFonts w:ascii="Calibri" w:hAnsi="Calibri" w:cs="Calibri"/>
        </w:rPr>
        <w:t xml:space="preserve">key </w:t>
      </w:r>
      <w:proofErr w:type="gramStart"/>
      <w:r w:rsidRPr="00AF090C">
        <w:rPr>
          <w:rFonts w:ascii="Calibri" w:hAnsi="Calibri" w:cs="Calibri"/>
        </w:rPr>
        <w:t>of</w:t>
      </w:r>
      <w:proofErr w:type="gramEnd"/>
      <w:r w:rsidRPr="00AF090C">
        <w:rPr>
          <w:rFonts w:ascii="Calibri" w:hAnsi="Calibri" w:cs="Calibri"/>
          <w:b/>
        </w:rPr>
        <w:t xml:space="preserve"> Figure 3</w:t>
      </w:r>
      <w:r w:rsidRPr="000F1B6D">
        <w:rPr>
          <w:rFonts w:ascii="Calibri" w:hAnsi="Calibri" w:cs="Calibri"/>
          <w:bCs/>
        </w:rPr>
        <w:t>.</w:t>
      </w:r>
      <w:r w:rsidRPr="00AF090C">
        <w:rPr>
          <w:rFonts w:ascii="Times New Roman" w:hAnsi="Times New Roman" w:cs="Times New Roman"/>
        </w:rPr>
        <w:br/>
      </w:r>
    </w:p>
    <w:p w14:paraId="2E58C2C8" w14:textId="77777777" w:rsidR="000B1B3D" w:rsidRDefault="000B1B3D" w:rsidP="000B1B3D">
      <w:pPr>
        <w:pStyle w:val="Heading3"/>
      </w:pPr>
      <w:r>
        <w:br w:type="page"/>
      </w:r>
    </w:p>
    <w:p w14:paraId="1E35435B" w14:textId="77777777" w:rsidR="000B1B3D" w:rsidRDefault="000B1B3D" w:rsidP="000B1B3D">
      <w:pPr>
        <w:pStyle w:val="Heading3"/>
        <w:sectPr w:rsidR="000B1B3D" w:rsidSect="007B242B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65C595" w14:textId="77777777" w:rsidR="000B1B3D" w:rsidRPr="0060550D" w:rsidRDefault="000B1B3D" w:rsidP="000B1B3D">
      <w:pPr>
        <w:pStyle w:val="Heading3"/>
      </w:pPr>
      <w:bookmarkStart w:id="1" w:name="_Hlk151716674"/>
      <w:r w:rsidRPr="00AF090C">
        <w:lastRenderedPageBreak/>
        <w:t xml:space="preserve">Table S2. </w:t>
      </w:r>
      <w:r w:rsidRPr="00603C98">
        <w:rPr>
          <w:b w:val="0"/>
          <w:bCs w:val="0"/>
        </w:rPr>
        <w:t>Participant demographics of the variant neutralization subset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53"/>
        <w:gridCol w:w="1654"/>
        <w:gridCol w:w="1654"/>
        <w:gridCol w:w="1654"/>
        <w:gridCol w:w="1654"/>
        <w:gridCol w:w="1654"/>
      </w:tblGrid>
      <w:tr w:rsidR="000B1B3D" w:rsidRPr="00462297" w14:paraId="7B1FE75A" w14:textId="77777777" w:rsidTr="00EF2D7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759E8ED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49B96A" w14:textId="77777777" w:rsidR="000B1B3D" w:rsidRDefault="000B1B3D" w:rsidP="00EF2D73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Current study: </w:t>
            </w:r>
          </w:p>
          <w:p w14:paraId="4A5B183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XBB.1.5-adapted BNT162b2 30 </w:t>
            </w:r>
            <w:proofErr w:type="spellStart"/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μg</w:t>
            </w:r>
            <w:proofErr w:type="spellEnd"/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D9209" w14:textId="77777777" w:rsidR="000B1B3D" w:rsidRDefault="000B1B3D" w:rsidP="00EF2D73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A8574A">
              <w:rPr>
                <w:rFonts w:eastAsia="Calibri" w:cstheme="minorHAnsi"/>
                <w:b/>
                <w:bCs/>
                <w:sz w:val="20"/>
                <w:szCs w:val="20"/>
              </w:rPr>
              <w:t>omparator group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  <w:p w14:paraId="3A982DC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8574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BA.4</w:t>
            </w:r>
            <w:r w:rsidRPr="007873D9">
              <w:rPr>
                <w:rFonts w:eastAsia="Calibri" w:cstheme="minorHAnsi"/>
                <w:b/>
                <w:bCs/>
                <w:sz w:val="20"/>
                <w:szCs w:val="20"/>
              </w:rPr>
              <w:t>/BA.5-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adapted BNT162b2 30 </w:t>
            </w:r>
            <w:proofErr w:type="spellStart"/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μg</w:t>
            </w:r>
            <w:proofErr w:type="spellEnd"/>
          </w:p>
        </w:tc>
      </w:tr>
      <w:tr w:rsidR="000B1B3D" w:rsidRPr="00462297" w14:paraId="6E022BC6" w14:textId="77777777" w:rsidTr="00EF2D7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1FB6847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74DC1394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18–55 years old</w:t>
            </w:r>
          </w:p>
          <w:p w14:paraId="39E7FFEA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=20)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4518442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&gt;55 years old</w:t>
            </w:r>
          </w:p>
          <w:p w14:paraId="164BA00F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=20)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E482F3F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Total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=40)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2496EE2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18–55 years old</w:t>
            </w:r>
          </w:p>
          <w:p w14:paraId="362FBCA1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=20)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0642EE0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&gt;55 years old</w:t>
            </w:r>
          </w:p>
          <w:p w14:paraId="7E671EAA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=20)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510510C" w14:textId="77777777" w:rsidR="000B1B3D" w:rsidRPr="00462297" w:rsidRDefault="000B1B3D" w:rsidP="00EF2D73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Total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(N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r w:rsidRPr="00462297">
              <w:rPr>
                <w:rFonts w:eastAsia="Calibri" w:cstheme="minorHAnsi"/>
                <w:b/>
                <w:bCs/>
                <w:sz w:val="20"/>
                <w:szCs w:val="20"/>
              </w:rPr>
              <w:t>=40)</w:t>
            </w:r>
          </w:p>
        </w:tc>
      </w:tr>
      <w:tr w:rsidR="000B1B3D" w:rsidRPr="00462297" w14:paraId="6476CDA5" w14:textId="77777777" w:rsidTr="00EF2D73">
        <w:tc>
          <w:tcPr>
            <w:tcW w:w="4111" w:type="dxa"/>
            <w:tcBorders>
              <w:top w:val="single" w:sz="4" w:space="0" w:color="auto"/>
            </w:tcBorders>
          </w:tcPr>
          <w:p w14:paraId="645632C7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 xml:space="preserve">Sex, </w:t>
            </w:r>
            <w:proofErr w:type="spellStart"/>
            <w:r w:rsidRPr="00462297">
              <w:rPr>
                <w:rFonts w:eastAsia="Calibri" w:cstheme="minorHAnsi"/>
                <w:sz w:val="20"/>
                <w:szCs w:val="20"/>
              </w:rPr>
              <w:t>n</w:t>
            </w:r>
            <w:r w:rsidRPr="00462297">
              <w:rPr>
                <w:rFonts w:eastAsia="Calibri"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eastAsia="Calibr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59E6F33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0C0CF5D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6840452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04A988F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76F7399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056A922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1AAAC73A" w14:textId="77777777" w:rsidTr="00EF2D73">
        <w:tc>
          <w:tcPr>
            <w:tcW w:w="4111" w:type="dxa"/>
          </w:tcPr>
          <w:p w14:paraId="3CBC121A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ab/>
              <w:t>Male</w:t>
            </w:r>
          </w:p>
        </w:tc>
        <w:tc>
          <w:tcPr>
            <w:tcW w:w="1653" w:type="dxa"/>
          </w:tcPr>
          <w:p w14:paraId="160F3D2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12 (60.0) </w:t>
            </w:r>
          </w:p>
        </w:tc>
        <w:tc>
          <w:tcPr>
            <w:tcW w:w="1654" w:type="dxa"/>
          </w:tcPr>
          <w:p w14:paraId="61A99C2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(35.0) </w:t>
            </w:r>
          </w:p>
        </w:tc>
        <w:tc>
          <w:tcPr>
            <w:tcW w:w="1654" w:type="dxa"/>
          </w:tcPr>
          <w:p w14:paraId="42D7F9E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19 (47.5) </w:t>
            </w:r>
          </w:p>
        </w:tc>
        <w:tc>
          <w:tcPr>
            <w:tcW w:w="1654" w:type="dxa"/>
          </w:tcPr>
          <w:p w14:paraId="729AF12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12 (60.0) </w:t>
            </w:r>
          </w:p>
        </w:tc>
        <w:tc>
          <w:tcPr>
            <w:tcW w:w="1654" w:type="dxa"/>
          </w:tcPr>
          <w:p w14:paraId="3D233885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(35.0) </w:t>
            </w:r>
          </w:p>
        </w:tc>
        <w:tc>
          <w:tcPr>
            <w:tcW w:w="1654" w:type="dxa"/>
          </w:tcPr>
          <w:p w14:paraId="0B3C12D2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19 (47.5) </w:t>
            </w:r>
          </w:p>
        </w:tc>
      </w:tr>
      <w:tr w:rsidR="000B1B3D" w:rsidRPr="00462297" w14:paraId="56759B95" w14:textId="77777777" w:rsidTr="00EF2D73">
        <w:tc>
          <w:tcPr>
            <w:tcW w:w="4111" w:type="dxa"/>
          </w:tcPr>
          <w:p w14:paraId="24A9B3BE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ab/>
              <w:t>Female</w:t>
            </w:r>
          </w:p>
        </w:tc>
        <w:tc>
          <w:tcPr>
            <w:tcW w:w="1653" w:type="dxa"/>
          </w:tcPr>
          <w:p w14:paraId="1D61584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8 (40.0) </w:t>
            </w:r>
          </w:p>
        </w:tc>
        <w:tc>
          <w:tcPr>
            <w:tcW w:w="1654" w:type="dxa"/>
          </w:tcPr>
          <w:p w14:paraId="3A84E7A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13 (65.0) </w:t>
            </w:r>
          </w:p>
        </w:tc>
        <w:tc>
          <w:tcPr>
            <w:tcW w:w="1654" w:type="dxa"/>
          </w:tcPr>
          <w:p w14:paraId="17B894B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21 (52.5) </w:t>
            </w:r>
          </w:p>
        </w:tc>
        <w:tc>
          <w:tcPr>
            <w:tcW w:w="1654" w:type="dxa"/>
          </w:tcPr>
          <w:p w14:paraId="1F2D10A9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8 (40.0) </w:t>
            </w:r>
          </w:p>
        </w:tc>
        <w:tc>
          <w:tcPr>
            <w:tcW w:w="1654" w:type="dxa"/>
          </w:tcPr>
          <w:p w14:paraId="1EE4EC61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13 (65.0) </w:t>
            </w:r>
          </w:p>
        </w:tc>
        <w:tc>
          <w:tcPr>
            <w:tcW w:w="1654" w:type="dxa"/>
          </w:tcPr>
          <w:p w14:paraId="4F4CF591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21 (52.5) </w:t>
            </w:r>
          </w:p>
        </w:tc>
      </w:tr>
      <w:tr w:rsidR="000B1B3D" w:rsidRPr="00462297" w14:paraId="2F80D1C5" w14:textId="77777777" w:rsidTr="00EF2D73">
        <w:tc>
          <w:tcPr>
            <w:tcW w:w="4111" w:type="dxa"/>
          </w:tcPr>
          <w:p w14:paraId="78DE9025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 xml:space="preserve">Race, </w:t>
            </w:r>
            <w:proofErr w:type="spellStart"/>
            <w:r w:rsidRPr="00462297">
              <w:rPr>
                <w:rFonts w:eastAsia="Calibri" w:cstheme="minorHAnsi"/>
                <w:sz w:val="20"/>
                <w:szCs w:val="20"/>
              </w:rPr>
              <w:t>n</w:t>
            </w:r>
            <w:r w:rsidRPr="00462297">
              <w:rPr>
                <w:rFonts w:eastAsia="Calibri"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eastAsia="Calibr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</w:tcPr>
          <w:p w14:paraId="0D4CE6A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A39A7C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0E5601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AA44F6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C874F2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DF3729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2C9C8D54" w14:textId="77777777" w:rsidTr="00EF2D73">
        <w:tc>
          <w:tcPr>
            <w:tcW w:w="4111" w:type="dxa"/>
          </w:tcPr>
          <w:p w14:paraId="7BFC3938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ab/>
              <w:t>White</w:t>
            </w:r>
          </w:p>
        </w:tc>
        <w:tc>
          <w:tcPr>
            <w:tcW w:w="1653" w:type="dxa"/>
          </w:tcPr>
          <w:p w14:paraId="162C249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18 (90.0) </w:t>
            </w:r>
          </w:p>
        </w:tc>
        <w:tc>
          <w:tcPr>
            <w:tcW w:w="1654" w:type="dxa"/>
          </w:tcPr>
          <w:p w14:paraId="36836EA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16 (80.0) </w:t>
            </w:r>
          </w:p>
        </w:tc>
        <w:tc>
          <w:tcPr>
            <w:tcW w:w="1654" w:type="dxa"/>
          </w:tcPr>
          <w:p w14:paraId="6B39857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34 (85.0) </w:t>
            </w:r>
          </w:p>
        </w:tc>
        <w:tc>
          <w:tcPr>
            <w:tcW w:w="1654" w:type="dxa"/>
          </w:tcPr>
          <w:p w14:paraId="18C1FCE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17 (85.0) </w:t>
            </w:r>
          </w:p>
        </w:tc>
        <w:tc>
          <w:tcPr>
            <w:tcW w:w="1654" w:type="dxa"/>
          </w:tcPr>
          <w:p w14:paraId="6510C9B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16 (80.0) </w:t>
            </w:r>
          </w:p>
        </w:tc>
        <w:tc>
          <w:tcPr>
            <w:tcW w:w="1654" w:type="dxa"/>
          </w:tcPr>
          <w:p w14:paraId="50176578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33 (82.5) </w:t>
            </w:r>
          </w:p>
        </w:tc>
      </w:tr>
      <w:tr w:rsidR="000B1B3D" w:rsidRPr="00462297" w14:paraId="7CE28DA1" w14:textId="77777777" w:rsidTr="00EF2D73">
        <w:tc>
          <w:tcPr>
            <w:tcW w:w="4111" w:type="dxa"/>
          </w:tcPr>
          <w:p w14:paraId="0CE6961A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ab/>
              <w:t>Black or African American</w:t>
            </w:r>
          </w:p>
        </w:tc>
        <w:tc>
          <w:tcPr>
            <w:tcW w:w="1653" w:type="dxa"/>
          </w:tcPr>
          <w:p w14:paraId="05191AF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 (10.0) </w:t>
            </w:r>
          </w:p>
        </w:tc>
        <w:tc>
          <w:tcPr>
            <w:tcW w:w="1654" w:type="dxa"/>
          </w:tcPr>
          <w:p w14:paraId="2F2C666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 (10.0) </w:t>
            </w:r>
          </w:p>
        </w:tc>
        <w:tc>
          <w:tcPr>
            <w:tcW w:w="1654" w:type="dxa"/>
          </w:tcPr>
          <w:p w14:paraId="55621E4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(10.0) </w:t>
            </w:r>
          </w:p>
        </w:tc>
        <w:tc>
          <w:tcPr>
            <w:tcW w:w="1654" w:type="dxa"/>
          </w:tcPr>
          <w:p w14:paraId="302FF929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 (5.0) </w:t>
            </w:r>
          </w:p>
        </w:tc>
        <w:tc>
          <w:tcPr>
            <w:tcW w:w="1654" w:type="dxa"/>
          </w:tcPr>
          <w:p w14:paraId="3B76674C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 (15.0) </w:t>
            </w:r>
          </w:p>
        </w:tc>
        <w:tc>
          <w:tcPr>
            <w:tcW w:w="1654" w:type="dxa"/>
          </w:tcPr>
          <w:p w14:paraId="48659A70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(10.0) </w:t>
            </w:r>
          </w:p>
        </w:tc>
      </w:tr>
      <w:tr w:rsidR="000B1B3D" w:rsidRPr="00462297" w14:paraId="63D3AEF9" w14:textId="77777777" w:rsidTr="00EF2D73">
        <w:tc>
          <w:tcPr>
            <w:tcW w:w="4111" w:type="dxa"/>
          </w:tcPr>
          <w:p w14:paraId="1A605C9E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653" w:type="dxa"/>
          </w:tcPr>
          <w:p w14:paraId="7DCDC81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5A81875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 (10.0) </w:t>
            </w:r>
          </w:p>
        </w:tc>
        <w:tc>
          <w:tcPr>
            <w:tcW w:w="1654" w:type="dxa"/>
          </w:tcPr>
          <w:p w14:paraId="36314FE6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 (5.0) </w:t>
            </w:r>
          </w:p>
        </w:tc>
        <w:tc>
          <w:tcPr>
            <w:tcW w:w="1654" w:type="dxa"/>
          </w:tcPr>
          <w:p w14:paraId="1CD2EEBE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1 (5.0)</w:t>
            </w:r>
          </w:p>
        </w:tc>
        <w:tc>
          <w:tcPr>
            <w:tcW w:w="1654" w:type="dxa"/>
          </w:tcPr>
          <w:p w14:paraId="631DADB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 (5.0) </w:t>
            </w:r>
          </w:p>
        </w:tc>
        <w:tc>
          <w:tcPr>
            <w:tcW w:w="1654" w:type="dxa"/>
          </w:tcPr>
          <w:p w14:paraId="049F06C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6229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5.0</w:t>
            </w:r>
            <w:r w:rsidRPr="00462297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="000B1B3D" w:rsidRPr="00462297" w14:paraId="75AD6C09" w14:textId="77777777" w:rsidTr="00EF2D73">
        <w:tc>
          <w:tcPr>
            <w:tcW w:w="4111" w:type="dxa"/>
          </w:tcPr>
          <w:p w14:paraId="4AEC6684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eastAsia="Calibri" w:cstheme="minorHAnsi"/>
                <w:sz w:val="20"/>
                <w:szCs w:val="20"/>
              </w:rPr>
              <w:t xml:space="preserve">Ethnicity, </w:t>
            </w:r>
            <w:proofErr w:type="spellStart"/>
            <w:r w:rsidRPr="00462297">
              <w:rPr>
                <w:rFonts w:eastAsia="Calibri" w:cstheme="minorHAnsi"/>
                <w:sz w:val="20"/>
                <w:szCs w:val="20"/>
              </w:rPr>
              <w:t>n</w:t>
            </w:r>
            <w:r w:rsidRPr="00462297">
              <w:rPr>
                <w:rFonts w:eastAsia="Calibri"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eastAsia="Calibr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</w:tcPr>
          <w:p w14:paraId="6A25AA8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20C997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8687DE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BB3545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9B89CC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A623C3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75B927F2" w14:textId="77777777" w:rsidTr="00EF2D73">
        <w:tc>
          <w:tcPr>
            <w:tcW w:w="4111" w:type="dxa"/>
          </w:tcPr>
          <w:p w14:paraId="191695D9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Hispanic/Latino </w:t>
            </w:r>
          </w:p>
        </w:tc>
        <w:tc>
          <w:tcPr>
            <w:tcW w:w="1653" w:type="dxa"/>
          </w:tcPr>
          <w:p w14:paraId="127F73F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 (45.0) </w:t>
            </w:r>
          </w:p>
        </w:tc>
        <w:tc>
          <w:tcPr>
            <w:tcW w:w="1654" w:type="dxa"/>
          </w:tcPr>
          <w:p w14:paraId="3E914F5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(20.0) </w:t>
            </w:r>
          </w:p>
        </w:tc>
        <w:tc>
          <w:tcPr>
            <w:tcW w:w="1654" w:type="dxa"/>
          </w:tcPr>
          <w:p w14:paraId="679D3FF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13 (32.5) </w:t>
            </w:r>
          </w:p>
        </w:tc>
        <w:tc>
          <w:tcPr>
            <w:tcW w:w="1654" w:type="dxa"/>
          </w:tcPr>
          <w:p w14:paraId="16AC3A55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 (15.0) </w:t>
            </w:r>
          </w:p>
        </w:tc>
        <w:tc>
          <w:tcPr>
            <w:tcW w:w="1654" w:type="dxa"/>
          </w:tcPr>
          <w:p w14:paraId="6846808E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(20.0) </w:t>
            </w:r>
          </w:p>
        </w:tc>
        <w:tc>
          <w:tcPr>
            <w:tcW w:w="1654" w:type="dxa"/>
          </w:tcPr>
          <w:p w14:paraId="73BEB1D5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(17.5) </w:t>
            </w:r>
          </w:p>
        </w:tc>
      </w:tr>
      <w:tr w:rsidR="000B1B3D" w:rsidRPr="00462297" w14:paraId="1667749C" w14:textId="77777777" w:rsidTr="00EF2D73">
        <w:tc>
          <w:tcPr>
            <w:tcW w:w="4111" w:type="dxa"/>
          </w:tcPr>
          <w:p w14:paraId="5B3E5A96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Age at vaccination (years) </w:t>
            </w:r>
          </w:p>
        </w:tc>
        <w:tc>
          <w:tcPr>
            <w:tcW w:w="1653" w:type="dxa"/>
          </w:tcPr>
          <w:p w14:paraId="0226071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7EA7B43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987698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AE7FC4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0C6331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EA1F602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31FC5320" w14:textId="77777777" w:rsidTr="00EF2D73">
        <w:tc>
          <w:tcPr>
            <w:tcW w:w="4111" w:type="dxa"/>
          </w:tcPr>
          <w:p w14:paraId="19F13BE6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Mean (SD) </w:t>
            </w:r>
          </w:p>
        </w:tc>
        <w:tc>
          <w:tcPr>
            <w:tcW w:w="1653" w:type="dxa"/>
          </w:tcPr>
          <w:p w14:paraId="56939502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38.0 (10.04) </w:t>
            </w:r>
          </w:p>
        </w:tc>
        <w:tc>
          <w:tcPr>
            <w:tcW w:w="1654" w:type="dxa"/>
          </w:tcPr>
          <w:p w14:paraId="76C85F3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70.1 (6.51) </w:t>
            </w:r>
          </w:p>
        </w:tc>
        <w:tc>
          <w:tcPr>
            <w:tcW w:w="1654" w:type="dxa"/>
          </w:tcPr>
          <w:p w14:paraId="7FFAAE7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54.0 (18.30) </w:t>
            </w:r>
          </w:p>
        </w:tc>
        <w:tc>
          <w:tcPr>
            <w:tcW w:w="1654" w:type="dxa"/>
          </w:tcPr>
          <w:p w14:paraId="4F048052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37.9 (9.97) </w:t>
            </w:r>
          </w:p>
        </w:tc>
        <w:tc>
          <w:tcPr>
            <w:tcW w:w="1654" w:type="dxa"/>
          </w:tcPr>
          <w:p w14:paraId="7ABBA952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69.7 (5.95) </w:t>
            </w:r>
          </w:p>
        </w:tc>
        <w:tc>
          <w:tcPr>
            <w:tcW w:w="1654" w:type="dxa"/>
          </w:tcPr>
          <w:p w14:paraId="0C5B9F56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53.8 (18.00) </w:t>
            </w:r>
          </w:p>
        </w:tc>
      </w:tr>
      <w:tr w:rsidR="000B1B3D" w:rsidRPr="00462297" w14:paraId="5A72197B" w14:textId="77777777" w:rsidTr="00EF2D73">
        <w:tc>
          <w:tcPr>
            <w:tcW w:w="4111" w:type="dxa"/>
          </w:tcPr>
          <w:p w14:paraId="380DC4E6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Median (range)</w:t>
            </w:r>
          </w:p>
        </w:tc>
        <w:tc>
          <w:tcPr>
            <w:tcW w:w="1653" w:type="dxa"/>
          </w:tcPr>
          <w:p w14:paraId="03476FF8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35.5 (25–55)</w:t>
            </w:r>
          </w:p>
        </w:tc>
        <w:tc>
          <w:tcPr>
            <w:tcW w:w="1654" w:type="dxa"/>
          </w:tcPr>
          <w:p w14:paraId="669F2A5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69.5 (56–82)</w:t>
            </w:r>
          </w:p>
        </w:tc>
        <w:tc>
          <w:tcPr>
            <w:tcW w:w="1654" w:type="dxa"/>
          </w:tcPr>
          <w:p w14:paraId="03288D7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55.5 (25–82)</w:t>
            </w:r>
          </w:p>
        </w:tc>
        <w:tc>
          <w:tcPr>
            <w:tcW w:w="1654" w:type="dxa"/>
          </w:tcPr>
          <w:p w14:paraId="45C73B96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36.0 (25–54)</w:t>
            </w:r>
          </w:p>
        </w:tc>
        <w:tc>
          <w:tcPr>
            <w:tcW w:w="1654" w:type="dxa"/>
          </w:tcPr>
          <w:p w14:paraId="0745B5E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69.5 (56–81)</w:t>
            </w:r>
          </w:p>
        </w:tc>
        <w:tc>
          <w:tcPr>
            <w:tcW w:w="1654" w:type="dxa"/>
          </w:tcPr>
          <w:p w14:paraId="1860F3B5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55.0 (25–81)</w:t>
            </w:r>
          </w:p>
        </w:tc>
      </w:tr>
      <w:tr w:rsidR="000B1B3D" w:rsidRPr="00462297" w14:paraId="6F6A9D7E" w14:textId="77777777" w:rsidTr="00EF2D73">
        <w:tc>
          <w:tcPr>
            <w:tcW w:w="4111" w:type="dxa"/>
          </w:tcPr>
          <w:p w14:paraId="66485C66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Baseline SARS-CoV-2 status,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</w:tcPr>
          <w:p w14:paraId="010D914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08BB4B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AA10C2E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5D000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DD82B9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90E29E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1FDA0A51" w14:textId="77777777" w:rsidTr="00EF2D73">
        <w:tc>
          <w:tcPr>
            <w:tcW w:w="4111" w:type="dxa"/>
          </w:tcPr>
          <w:p w14:paraId="6828E069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Positive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653" w:type="dxa"/>
          </w:tcPr>
          <w:p w14:paraId="0335FCE2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20 (100.0) </w:t>
            </w:r>
          </w:p>
        </w:tc>
        <w:tc>
          <w:tcPr>
            <w:tcW w:w="1654" w:type="dxa"/>
          </w:tcPr>
          <w:p w14:paraId="49330A52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20 (100.0) </w:t>
            </w:r>
          </w:p>
        </w:tc>
        <w:tc>
          <w:tcPr>
            <w:tcW w:w="1654" w:type="dxa"/>
          </w:tcPr>
          <w:p w14:paraId="461FC9A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40 (100.0) </w:t>
            </w:r>
          </w:p>
        </w:tc>
        <w:tc>
          <w:tcPr>
            <w:tcW w:w="1654" w:type="dxa"/>
          </w:tcPr>
          <w:p w14:paraId="4C88D32E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20 (100.0) </w:t>
            </w:r>
          </w:p>
        </w:tc>
        <w:tc>
          <w:tcPr>
            <w:tcW w:w="1654" w:type="dxa"/>
          </w:tcPr>
          <w:p w14:paraId="381A63A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20 (100.0) </w:t>
            </w:r>
          </w:p>
        </w:tc>
        <w:tc>
          <w:tcPr>
            <w:tcW w:w="1654" w:type="dxa"/>
          </w:tcPr>
          <w:p w14:paraId="676EC720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40 (100.0) </w:t>
            </w:r>
          </w:p>
        </w:tc>
      </w:tr>
      <w:tr w:rsidR="000B1B3D" w:rsidRPr="00462297" w14:paraId="30901797" w14:textId="77777777" w:rsidTr="00EF2D73">
        <w:trPr>
          <w:trHeight w:val="67"/>
        </w:trPr>
        <w:tc>
          <w:tcPr>
            <w:tcW w:w="4111" w:type="dxa"/>
          </w:tcPr>
          <w:p w14:paraId="0ACA8A4A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Time from last dose of mRNA COVID-19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vaccine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d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to the study vaccination (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months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e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53" w:type="dxa"/>
          </w:tcPr>
          <w:p w14:paraId="1727E99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138FBE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223BF28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06921E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C46292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AA5AAA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51D4BB36" w14:textId="77777777" w:rsidTr="00EF2D73">
        <w:tc>
          <w:tcPr>
            <w:tcW w:w="4111" w:type="dxa"/>
          </w:tcPr>
          <w:p w14:paraId="22E5D6AC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Mean (SD) </w:t>
            </w:r>
          </w:p>
        </w:tc>
        <w:tc>
          <w:tcPr>
            <w:tcW w:w="1653" w:type="dxa"/>
          </w:tcPr>
          <w:p w14:paraId="66693DA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8.8 (1.98) </w:t>
            </w:r>
          </w:p>
        </w:tc>
        <w:tc>
          <w:tcPr>
            <w:tcW w:w="1654" w:type="dxa"/>
          </w:tcPr>
          <w:p w14:paraId="6E6F203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9.6 (2.04) </w:t>
            </w:r>
          </w:p>
        </w:tc>
        <w:tc>
          <w:tcPr>
            <w:tcW w:w="1654" w:type="dxa"/>
          </w:tcPr>
          <w:p w14:paraId="38338AB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9.2 (2.03) </w:t>
            </w:r>
          </w:p>
        </w:tc>
        <w:tc>
          <w:tcPr>
            <w:tcW w:w="1654" w:type="dxa"/>
          </w:tcPr>
          <w:p w14:paraId="2C5D52E4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11.0 (1.41) </w:t>
            </w:r>
          </w:p>
        </w:tc>
        <w:tc>
          <w:tcPr>
            <w:tcW w:w="1654" w:type="dxa"/>
          </w:tcPr>
          <w:p w14:paraId="1341C87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11.4 (1.16) </w:t>
            </w:r>
          </w:p>
        </w:tc>
        <w:tc>
          <w:tcPr>
            <w:tcW w:w="1654" w:type="dxa"/>
          </w:tcPr>
          <w:p w14:paraId="5DB3B28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11.2 (1.29) </w:t>
            </w:r>
          </w:p>
        </w:tc>
      </w:tr>
      <w:tr w:rsidR="000B1B3D" w:rsidRPr="00462297" w14:paraId="7D4824DE" w14:textId="77777777" w:rsidTr="00EF2D73">
        <w:tc>
          <w:tcPr>
            <w:tcW w:w="4111" w:type="dxa"/>
          </w:tcPr>
          <w:p w14:paraId="691EDC1C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Median (range)</w:t>
            </w:r>
          </w:p>
        </w:tc>
        <w:tc>
          <w:tcPr>
            <w:tcW w:w="1653" w:type="dxa"/>
          </w:tcPr>
          <w:p w14:paraId="5FEF01A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8.3 (5.8–12.0)</w:t>
            </w:r>
          </w:p>
        </w:tc>
        <w:tc>
          <w:tcPr>
            <w:tcW w:w="1654" w:type="dxa"/>
          </w:tcPr>
          <w:p w14:paraId="6F202C13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10.2 (5.8–11.9)</w:t>
            </w:r>
          </w:p>
        </w:tc>
        <w:tc>
          <w:tcPr>
            <w:tcW w:w="1654" w:type="dxa"/>
          </w:tcPr>
          <w:p w14:paraId="4047DA2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9.5 (5.8–12.0)</w:t>
            </w:r>
          </w:p>
        </w:tc>
        <w:tc>
          <w:tcPr>
            <w:tcW w:w="1654" w:type="dxa"/>
          </w:tcPr>
          <w:p w14:paraId="1F87D5F8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11.3 (7.4–12.8)</w:t>
            </w:r>
          </w:p>
        </w:tc>
        <w:tc>
          <w:tcPr>
            <w:tcW w:w="1654" w:type="dxa"/>
          </w:tcPr>
          <w:p w14:paraId="3928447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11.9 (8.5–12.6)</w:t>
            </w:r>
          </w:p>
        </w:tc>
        <w:tc>
          <w:tcPr>
            <w:tcW w:w="1654" w:type="dxa"/>
          </w:tcPr>
          <w:p w14:paraId="58D84E7E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11.4 (7.4–12.8)</w:t>
            </w:r>
          </w:p>
        </w:tc>
      </w:tr>
      <w:tr w:rsidR="000B1B3D" w:rsidRPr="00462297" w14:paraId="1A26C25D" w14:textId="77777777" w:rsidTr="00EF2D73">
        <w:tc>
          <w:tcPr>
            <w:tcW w:w="4111" w:type="dxa"/>
          </w:tcPr>
          <w:p w14:paraId="53BB4478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≥5 to &lt;7 months,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</w:tcPr>
          <w:p w14:paraId="523E981E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(20.0) </w:t>
            </w:r>
          </w:p>
        </w:tc>
        <w:tc>
          <w:tcPr>
            <w:tcW w:w="1654" w:type="dxa"/>
          </w:tcPr>
          <w:p w14:paraId="465E9FA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(20.0) </w:t>
            </w:r>
          </w:p>
        </w:tc>
        <w:tc>
          <w:tcPr>
            <w:tcW w:w="1654" w:type="dxa"/>
          </w:tcPr>
          <w:p w14:paraId="371F7A9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8 (20.0) </w:t>
            </w:r>
          </w:p>
        </w:tc>
        <w:tc>
          <w:tcPr>
            <w:tcW w:w="1654" w:type="dxa"/>
          </w:tcPr>
          <w:p w14:paraId="4DAF0A8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4F330FA4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74EBEE6D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B1B3D" w:rsidRPr="00462297" w14:paraId="0547E4A4" w14:textId="77777777" w:rsidTr="00EF2D73">
        <w:tc>
          <w:tcPr>
            <w:tcW w:w="4111" w:type="dxa"/>
          </w:tcPr>
          <w:p w14:paraId="5BFB1983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≥7 to &lt;9 months,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(%) </w:t>
            </w:r>
          </w:p>
        </w:tc>
        <w:tc>
          <w:tcPr>
            <w:tcW w:w="1653" w:type="dxa"/>
          </w:tcPr>
          <w:p w14:paraId="4B0EAB7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(35.0) </w:t>
            </w:r>
          </w:p>
        </w:tc>
        <w:tc>
          <w:tcPr>
            <w:tcW w:w="1654" w:type="dxa"/>
          </w:tcPr>
          <w:p w14:paraId="0CD54EF3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 (10.0) </w:t>
            </w:r>
          </w:p>
        </w:tc>
        <w:tc>
          <w:tcPr>
            <w:tcW w:w="1654" w:type="dxa"/>
          </w:tcPr>
          <w:p w14:paraId="6E427BC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 (22.5) </w:t>
            </w:r>
          </w:p>
        </w:tc>
        <w:tc>
          <w:tcPr>
            <w:tcW w:w="1654" w:type="dxa"/>
          </w:tcPr>
          <w:p w14:paraId="079316F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 (15.0) </w:t>
            </w:r>
          </w:p>
        </w:tc>
        <w:tc>
          <w:tcPr>
            <w:tcW w:w="1654" w:type="dxa"/>
          </w:tcPr>
          <w:p w14:paraId="30E42EC9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 (5.0) </w:t>
            </w:r>
          </w:p>
        </w:tc>
        <w:tc>
          <w:tcPr>
            <w:tcW w:w="1654" w:type="dxa"/>
          </w:tcPr>
          <w:p w14:paraId="3CE3ABF0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(10.0) </w:t>
            </w:r>
          </w:p>
        </w:tc>
      </w:tr>
      <w:tr w:rsidR="000B1B3D" w:rsidRPr="00462297" w14:paraId="47152F8E" w14:textId="77777777" w:rsidTr="00EF2D73">
        <w:tc>
          <w:tcPr>
            <w:tcW w:w="4111" w:type="dxa"/>
          </w:tcPr>
          <w:p w14:paraId="321B21E0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≥9 to ≤12 months,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(%) </w:t>
            </w:r>
          </w:p>
        </w:tc>
        <w:tc>
          <w:tcPr>
            <w:tcW w:w="1653" w:type="dxa"/>
          </w:tcPr>
          <w:p w14:paraId="55EF4DFD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 (45.0) </w:t>
            </w:r>
          </w:p>
        </w:tc>
        <w:tc>
          <w:tcPr>
            <w:tcW w:w="1654" w:type="dxa"/>
          </w:tcPr>
          <w:p w14:paraId="588FC4E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14 (70.0) </w:t>
            </w:r>
          </w:p>
        </w:tc>
        <w:tc>
          <w:tcPr>
            <w:tcW w:w="1654" w:type="dxa"/>
          </w:tcPr>
          <w:p w14:paraId="1E82355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23 (57.5) </w:t>
            </w:r>
          </w:p>
        </w:tc>
        <w:tc>
          <w:tcPr>
            <w:tcW w:w="1654" w:type="dxa"/>
          </w:tcPr>
          <w:p w14:paraId="044495B6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13 (65.0) </w:t>
            </w:r>
          </w:p>
        </w:tc>
        <w:tc>
          <w:tcPr>
            <w:tcW w:w="1654" w:type="dxa"/>
          </w:tcPr>
          <w:p w14:paraId="5630117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10 (50.0) </w:t>
            </w:r>
          </w:p>
        </w:tc>
        <w:tc>
          <w:tcPr>
            <w:tcW w:w="1654" w:type="dxa"/>
          </w:tcPr>
          <w:p w14:paraId="0D1A5AAC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23 (57.5) </w:t>
            </w:r>
          </w:p>
        </w:tc>
      </w:tr>
      <w:tr w:rsidR="000B1B3D" w:rsidRPr="00462297" w14:paraId="7FF0E435" w14:textId="77777777" w:rsidTr="00EF2D73">
        <w:tc>
          <w:tcPr>
            <w:tcW w:w="4111" w:type="dxa"/>
          </w:tcPr>
          <w:p w14:paraId="12CE47D6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&gt;12 months,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653" w:type="dxa"/>
          </w:tcPr>
          <w:p w14:paraId="0EA689C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654" w:type="dxa"/>
          </w:tcPr>
          <w:p w14:paraId="26005124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654" w:type="dxa"/>
          </w:tcPr>
          <w:p w14:paraId="75358E3E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654" w:type="dxa"/>
          </w:tcPr>
          <w:p w14:paraId="229EDB42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4 (20.0) </w:t>
            </w:r>
          </w:p>
        </w:tc>
        <w:tc>
          <w:tcPr>
            <w:tcW w:w="1654" w:type="dxa"/>
          </w:tcPr>
          <w:p w14:paraId="434E3AD5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 (45.0) </w:t>
            </w:r>
          </w:p>
        </w:tc>
        <w:tc>
          <w:tcPr>
            <w:tcW w:w="1654" w:type="dxa"/>
          </w:tcPr>
          <w:p w14:paraId="2B33DEA3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13 (32.5) </w:t>
            </w:r>
          </w:p>
        </w:tc>
      </w:tr>
      <w:tr w:rsidR="000B1B3D" w:rsidRPr="00462297" w14:paraId="776E409A" w14:textId="77777777" w:rsidTr="00EF2D73">
        <w:tc>
          <w:tcPr>
            <w:tcW w:w="4111" w:type="dxa"/>
          </w:tcPr>
          <w:p w14:paraId="576FD304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Time from last dose of mRNA COVID-19 vaccine to study vaccination (days) </w:t>
            </w:r>
          </w:p>
        </w:tc>
        <w:tc>
          <w:tcPr>
            <w:tcW w:w="1653" w:type="dxa"/>
          </w:tcPr>
          <w:p w14:paraId="77FF33C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471D4F3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E0333BC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BE49BC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C37D05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3F9CC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04AD054B" w14:textId="77777777" w:rsidTr="00EF2D73">
        <w:tc>
          <w:tcPr>
            <w:tcW w:w="4111" w:type="dxa"/>
          </w:tcPr>
          <w:p w14:paraId="5BB14AA1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 xml:space="preserve">Mean (SD) </w:t>
            </w:r>
          </w:p>
        </w:tc>
        <w:tc>
          <w:tcPr>
            <w:tcW w:w="1653" w:type="dxa"/>
          </w:tcPr>
          <w:p w14:paraId="3B88F7E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245.7 (55.35) </w:t>
            </w:r>
          </w:p>
        </w:tc>
        <w:tc>
          <w:tcPr>
            <w:tcW w:w="1654" w:type="dxa"/>
          </w:tcPr>
          <w:p w14:paraId="109B249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269.5 (57.01) </w:t>
            </w:r>
          </w:p>
        </w:tc>
        <w:tc>
          <w:tcPr>
            <w:tcW w:w="1654" w:type="dxa"/>
          </w:tcPr>
          <w:p w14:paraId="2AD7C698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257.6 (56.75) </w:t>
            </w:r>
          </w:p>
        </w:tc>
        <w:tc>
          <w:tcPr>
            <w:tcW w:w="1654" w:type="dxa"/>
          </w:tcPr>
          <w:p w14:paraId="32EA73DC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306.7 (39.39) </w:t>
            </w:r>
          </w:p>
        </w:tc>
        <w:tc>
          <w:tcPr>
            <w:tcW w:w="1654" w:type="dxa"/>
          </w:tcPr>
          <w:p w14:paraId="676B9310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318.8 (32.39) </w:t>
            </w:r>
          </w:p>
        </w:tc>
        <w:tc>
          <w:tcPr>
            <w:tcW w:w="1654" w:type="dxa"/>
          </w:tcPr>
          <w:p w14:paraId="24F5CC58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312.7 (36.12) </w:t>
            </w:r>
          </w:p>
        </w:tc>
      </w:tr>
      <w:tr w:rsidR="000B1B3D" w:rsidRPr="00462297" w14:paraId="2E4E82AA" w14:textId="77777777" w:rsidTr="00EF2D73">
        <w:tc>
          <w:tcPr>
            <w:tcW w:w="4111" w:type="dxa"/>
          </w:tcPr>
          <w:p w14:paraId="7CB0BFFF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lastRenderedPageBreak/>
              <w:tab/>
              <w:t>Median (range)</w:t>
            </w:r>
          </w:p>
        </w:tc>
        <w:tc>
          <w:tcPr>
            <w:tcW w:w="1653" w:type="dxa"/>
          </w:tcPr>
          <w:p w14:paraId="23C28AD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233.5 (162–336)</w:t>
            </w:r>
          </w:p>
        </w:tc>
        <w:tc>
          <w:tcPr>
            <w:tcW w:w="1654" w:type="dxa"/>
          </w:tcPr>
          <w:p w14:paraId="7955B8B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285.0 (162–333)</w:t>
            </w:r>
          </w:p>
        </w:tc>
        <w:tc>
          <w:tcPr>
            <w:tcW w:w="1654" w:type="dxa"/>
          </w:tcPr>
          <w:p w14:paraId="689C376B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265.5 (162–336)</w:t>
            </w:r>
          </w:p>
        </w:tc>
        <w:tc>
          <w:tcPr>
            <w:tcW w:w="1654" w:type="dxa"/>
          </w:tcPr>
          <w:p w14:paraId="4C06F649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317.0 (207–359)</w:t>
            </w:r>
          </w:p>
        </w:tc>
        <w:tc>
          <w:tcPr>
            <w:tcW w:w="1654" w:type="dxa"/>
          </w:tcPr>
          <w:p w14:paraId="4223365F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334.5 (239–354)</w:t>
            </w:r>
          </w:p>
        </w:tc>
        <w:tc>
          <w:tcPr>
            <w:tcW w:w="1654" w:type="dxa"/>
          </w:tcPr>
          <w:p w14:paraId="5BE9AAE9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320.5 (207–359)</w:t>
            </w:r>
          </w:p>
        </w:tc>
      </w:tr>
      <w:tr w:rsidR="000B1B3D" w:rsidRPr="00462297" w14:paraId="40210817" w14:textId="77777777" w:rsidTr="00EF2D73">
        <w:tc>
          <w:tcPr>
            <w:tcW w:w="4111" w:type="dxa"/>
          </w:tcPr>
          <w:p w14:paraId="14F77B51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BMI, </w:t>
            </w:r>
            <w:proofErr w:type="spellStart"/>
            <w:r w:rsidRPr="00462297">
              <w:rPr>
                <w:rFonts w:cstheme="minorHAnsi"/>
                <w:sz w:val="20"/>
                <w:szCs w:val="20"/>
              </w:rPr>
              <w:t>n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b</w:t>
            </w:r>
            <w:proofErr w:type="spellEnd"/>
            <w:r w:rsidRPr="00462297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462297">
              <w:rPr>
                <w:rFonts w:cstheme="minorHAnsi"/>
                <w:sz w:val="20"/>
                <w:szCs w:val="20"/>
              </w:rPr>
              <w:t>(%)</w:t>
            </w:r>
          </w:p>
        </w:tc>
        <w:tc>
          <w:tcPr>
            <w:tcW w:w="1653" w:type="dxa"/>
          </w:tcPr>
          <w:p w14:paraId="754297CE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6C6C1A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2011630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EBD1171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6530C5F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B0E56B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1B3D" w:rsidRPr="00462297" w14:paraId="2F9DDF32" w14:textId="77777777" w:rsidTr="00EF2D73">
        <w:tc>
          <w:tcPr>
            <w:tcW w:w="4111" w:type="dxa"/>
          </w:tcPr>
          <w:p w14:paraId="4E4025E2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Underweight (&lt;18.5 kg/m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6229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53" w:type="dxa"/>
          </w:tcPr>
          <w:p w14:paraId="0DFA2C8A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654" w:type="dxa"/>
          </w:tcPr>
          <w:p w14:paraId="518B710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 (5.0) </w:t>
            </w:r>
          </w:p>
        </w:tc>
        <w:tc>
          <w:tcPr>
            <w:tcW w:w="1654" w:type="dxa"/>
          </w:tcPr>
          <w:p w14:paraId="6D7B79D9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 (2.5) </w:t>
            </w:r>
          </w:p>
        </w:tc>
        <w:tc>
          <w:tcPr>
            <w:tcW w:w="1654" w:type="dxa"/>
          </w:tcPr>
          <w:p w14:paraId="34FE5A0A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1CD1142A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1BFF63A1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B1B3D" w:rsidRPr="00462297" w14:paraId="2E612F2E" w14:textId="77777777" w:rsidTr="00EF2D73">
        <w:tc>
          <w:tcPr>
            <w:tcW w:w="4111" w:type="dxa"/>
          </w:tcPr>
          <w:p w14:paraId="5688547C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Normal weight (≥18.5–24.9 kg/m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6229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53" w:type="dxa"/>
          </w:tcPr>
          <w:p w14:paraId="471DF249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hAnsiTheme="minorHAnsi" w:cstheme="minorHAnsi"/>
                <w:sz w:val="20"/>
                <w:szCs w:val="20"/>
              </w:rPr>
              <w:t>6 (30.0)</w:t>
            </w:r>
          </w:p>
        </w:tc>
        <w:tc>
          <w:tcPr>
            <w:tcW w:w="1654" w:type="dxa"/>
          </w:tcPr>
          <w:p w14:paraId="62E4C12B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hAnsiTheme="minorHAnsi" w:cstheme="minorHAnsi"/>
                <w:sz w:val="20"/>
                <w:szCs w:val="20"/>
              </w:rPr>
              <w:t>6 (30.0)</w:t>
            </w:r>
          </w:p>
        </w:tc>
        <w:tc>
          <w:tcPr>
            <w:tcW w:w="1654" w:type="dxa"/>
          </w:tcPr>
          <w:p w14:paraId="7CD388FA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hAnsiTheme="minorHAnsi" w:cstheme="minorHAnsi"/>
                <w:sz w:val="20"/>
                <w:szCs w:val="20"/>
              </w:rPr>
              <w:t xml:space="preserve">12 (30.0) </w:t>
            </w:r>
          </w:p>
        </w:tc>
        <w:tc>
          <w:tcPr>
            <w:tcW w:w="1654" w:type="dxa"/>
          </w:tcPr>
          <w:p w14:paraId="5A3AD069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hAnsiTheme="minorHAnsi" w:cstheme="minorHAnsi"/>
                <w:sz w:val="20"/>
                <w:szCs w:val="20"/>
              </w:rPr>
              <w:t>5 (25.0)</w:t>
            </w:r>
          </w:p>
        </w:tc>
        <w:tc>
          <w:tcPr>
            <w:tcW w:w="1654" w:type="dxa"/>
          </w:tcPr>
          <w:p w14:paraId="1D5A3413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eastAsia="Calibri" w:hAnsiTheme="minorHAnsi" w:cstheme="minorHAnsi"/>
                <w:sz w:val="20"/>
                <w:szCs w:val="20"/>
              </w:rPr>
              <w:t>3 (15.0)</w:t>
            </w:r>
          </w:p>
        </w:tc>
        <w:tc>
          <w:tcPr>
            <w:tcW w:w="1654" w:type="dxa"/>
          </w:tcPr>
          <w:p w14:paraId="288C6DE8" w14:textId="77777777" w:rsidR="000B1B3D" w:rsidRPr="00462297" w:rsidRDefault="000B1B3D" w:rsidP="00EF2D7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297">
              <w:rPr>
                <w:rFonts w:asciiTheme="minorHAnsi" w:eastAsia="Calibri" w:hAnsiTheme="minorHAnsi" w:cstheme="minorHAnsi"/>
                <w:sz w:val="20"/>
                <w:szCs w:val="20"/>
              </w:rPr>
              <w:t>8 (20.0)</w:t>
            </w:r>
          </w:p>
        </w:tc>
      </w:tr>
      <w:tr w:rsidR="000B1B3D" w:rsidRPr="00462297" w14:paraId="74007059" w14:textId="77777777" w:rsidTr="00EF2D73">
        <w:tc>
          <w:tcPr>
            <w:tcW w:w="4111" w:type="dxa"/>
          </w:tcPr>
          <w:p w14:paraId="615BBFA4" w14:textId="77777777" w:rsidR="000B1B3D" w:rsidRPr="00462297" w:rsidRDefault="000B1B3D" w:rsidP="00EF2D7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Overweight (≥25.0–29.9 kg/m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6229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653" w:type="dxa"/>
          </w:tcPr>
          <w:p w14:paraId="17D3DECE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9 (45.0) </w:t>
            </w:r>
          </w:p>
        </w:tc>
        <w:tc>
          <w:tcPr>
            <w:tcW w:w="1654" w:type="dxa"/>
          </w:tcPr>
          <w:p w14:paraId="361751B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(35.0) </w:t>
            </w:r>
          </w:p>
        </w:tc>
        <w:tc>
          <w:tcPr>
            <w:tcW w:w="1654" w:type="dxa"/>
          </w:tcPr>
          <w:p w14:paraId="37A69AE5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16 (40.0) </w:t>
            </w:r>
          </w:p>
        </w:tc>
        <w:tc>
          <w:tcPr>
            <w:tcW w:w="1654" w:type="dxa"/>
          </w:tcPr>
          <w:p w14:paraId="0D910CA0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8 (40.0) </w:t>
            </w:r>
          </w:p>
        </w:tc>
        <w:tc>
          <w:tcPr>
            <w:tcW w:w="1654" w:type="dxa"/>
          </w:tcPr>
          <w:p w14:paraId="109E09E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12 (60.0) </w:t>
            </w:r>
          </w:p>
        </w:tc>
        <w:tc>
          <w:tcPr>
            <w:tcW w:w="1654" w:type="dxa"/>
          </w:tcPr>
          <w:p w14:paraId="19EEAA1A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20 (50.0) </w:t>
            </w:r>
          </w:p>
        </w:tc>
      </w:tr>
      <w:tr w:rsidR="000B1B3D" w:rsidRPr="00462297" w14:paraId="16CFCD07" w14:textId="77777777" w:rsidTr="00EF2D73">
        <w:tc>
          <w:tcPr>
            <w:tcW w:w="4111" w:type="dxa"/>
            <w:tcBorders>
              <w:bottom w:val="single" w:sz="4" w:space="0" w:color="auto"/>
            </w:tcBorders>
          </w:tcPr>
          <w:p w14:paraId="4FE2FC6B" w14:textId="77777777" w:rsidR="000B1B3D" w:rsidRPr="00462297" w:rsidRDefault="000B1B3D" w:rsidP="00EF2D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ab/>
              <w:t>Obese (≥30.0 kg/m</w:t>
            </w:r>
            <w:r w:rsidRPr="0046229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622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1FA78E6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5 (25.0)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0FCFC34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6 (30.0)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46418E7" w14:textId="77777777" w:rsidR="000B1B3D" w:rsidRPr="00462297" w:rsidRDefault="000B1B3D" w:rsidP="00EF2D73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11 (27.5)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F1C30BC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7 (35.0)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7865578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5 (25.0)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789A6C7" w14:textId="77777777" w:rsidR="000B1B3D" w:rsidRPr="00462297" w:rsidRDefault="000B1B3D" w:rsidP="00EF2D7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2297">
              <w:rPr>
                <w:rFonts w:cstheme="minorHAnsi"/>
                <w:sz w:val="20"/>
                <w:szCs w:val="20"/>
              </w:rPr>
              <w:t xml:space="preserve">12 (30.0) </w:t>
            </w:r>
          </w:p>
        </w:tc>
      </w:tr>
    </w:tbl>
    <w:p w14:paraId="3CF949E1" w14:textId="77777777" w:rsidR="000B1B3D" w:rsidRPr="007C5F13" w:rsidRDefault="000B1B3D" w:rsidP="000B1B3D">
      <w:pPr>
        <w:spacing w:after="0" w:line="240" w:lineRule="auto"/>
        <w:ind w:right="-540"/>
        <w:rPr>
          <w:rFonts w:eastAsia="Calibri" w:cs="Times New Roman"/>
        </w:rPr>
      </w:pPr>
      <w:r>
        <w:rPr>
          <w:rFonts w:eastAsia="Calibri" w:cs="Times New Roman"/>
        </w:rPr>
        <w:t xml:space="preserve">Data are for the all-available immunogenicity population. </w:t>
      </w:r>
      <w:r w:rsidRPr="00FB35ED">
        <w:rPr>
          <w:rFonts w:ascii="Calibri" w:eastAsia="Calibri" w:hAnsi="Calibri" w:cs="Calibri"/>
        </w:rPr>
        <w:t xml:space="preserve">Data for </w:t>
      </w:r>
      <w:r w:rsidRPr="00FB35ED">
        <w:rPr>
          <w:rFonts w:ascii="Calibri" w:eastAsia="Calibri" w:hAnsi="Calibri" w:cs="Times New Roman"/>
        </w:rPr>
        <w:t>BA</w:t>
      </w:r>
      <w:r w:rsidRPr="007873D9">
        <w:rPr>
          <w:rFonts w:ascii="Calibri" w:eastAsia="Calibri" w:hAnsi="Calibri" w:cs="Times New Roman"/>
        </w:rPr>
        <w:t>.4/BA.5</w:t>
      </w:r>
      <w:r w:rsidRPr="007873D9">
        <w:t>-</w:t>
      </w:r>
      <w:r w:rsidRPr="00FB35ED">
        <w:t xml:space="preserve">adapted </w:t>
      </w:r>
      <w:r w:rsidRPr="00FB35ED">
        <w:rPr>
          <w:rFonts w:ascii="Calibri" w:eastAsia="Calibri" w:hAnsi="Calibri" w:cs="Calibri"/>
        </w:rPr>
        <w:t xml:space="preserve">BNT162b2 are in </w:t>
      </w:r>
      <w:r>
        <w:rPr>
          <w:rFonts w:ascii="Calibri" w:eastAsia="Calibri" w:hAnsi="Calibri" w:cs="Calibri"/>
        </w:rPr>
        <w:t xml:space="preserve">a comparator group of </w:t>
      </w:r>
      <w:r w:rsidRPr="00FB35ED">
        <w:rPr>
          <w:rFonts w:ascii="Calibri" w:eastAsia="Calibri" w:hAnsi="Calibri" w:cs="Calibri"/>
        </w:rPr>
        <w:t>participants from another study (NCT05472038) who were matched by age, and baseline SARS-CoV-2 status.</w:t>
      </w:r>
    </w:p>
    <w:p w14:paraId="42940964" w14:textId="77777777" w:rsidR="000B1B3D" w:rsidRDefault="000B1B3D" w:rsidP="000B1B3D">
      <w:pPr>
        <w:spacing w:after="0" w:line="240" w:lineRule="auto"/>
        <w:ind w:right="-540"/>
        <w:rPr>
          <w:rFonts w:eastAsia="Calibri" w:cs="Times New Roman"/>
        </w:rPr>
      </w:pPr>
      <w:r>
        <w:rPr>
          <w:rFonts w:eastAsia="Calibri" w:cs="Times New Roman"/>
        </w:rPr>
        <w:t xml:space="preserve">BMI=body mass index; NAAT=nucleic acid amplification test; </w:t>
      </w:r>
      <w:r w:rsidRPr="00CE54A2">
        <w:rPr>
          <w:rFonts w:eastAsia="Calibri" w:cs="Times New Roman"/>
        </w:rPr>
        <w:t>N-binding=SARS-CoV-2 nucleoprotein–binding;</w:t>
      </w:r>
      <w:r>
        <w:rPr>
          <w:rFonts w:eastAsia="Calibri" w:cs="Times New Roman"/>
        </w:rPr>
        <w:t xml:space="preserve"> </w:t>
      </w:r>
      <w:r w:rsidRPr="00CE54A2">
        <w:rPr>
          <w:rFonts w:eastAsia="Calibri" w:cs="Times New Roman"/>
        </w:rPr>
        <w:t>SARS-CoV-2=severe acute respiratory syndrome coronavirus 2</w:t>
      </w:r>
      <w:r>
        <w:rPr>
          <w:rFonts w:eastAsia="Calibri" w:cs="Times New Roman"/>
        </w:rPr>
        <w:t>; SD=standard deviation.</w:t>
      </w:r>
    </w:p>
    <w:p w14:paraId="44391433" w14:textId="77777777" w:rsidR="000B1B3D" w:rsidRDefault="000B1B3D" w:rsidP="000B1B3D">
      <w:pPr>
        <w:spacing w:after="0" w:line="240" w:lineRule="auto"/>
        <w:ind w:right="-540"/>
        <w:rPr>
          <w:rFonts w:eastAsia="Calibri" w:cs="Times New Roman"/>
        </w:rPr>
      </w:pPr>
      <w:proofErr w:type="spellStart"/>
      <w:proofErr w:type="gramStart"/>
      <w:r w:rsidRPr="00DC1BC1">
        <w:rPr>
          <w:rFonts w:eastAsia="Calibri" w:cs="Times New Roman"/>
          <w:vertAlign w:val="superscript"/>
        </w:rPr>
        <w:t>a</w:t>
      </w:r>
      <w:r w:rsidRPr="00DC1BC1">
        <w:rPr>
          <w:rFonts w:eastAsia="Calibri" w:cs="Times New Roman"/>
        </w:rPr>
        <w:t>N</w:t>
      </w:r>
      <w:proofErr w:type="spellEnd"/>
      <w:proofErr w:type="gramEnd"/>
      <w:r>
        <w:rPr>
          <w:rFonts w:eastAsia="Calibri" w:cs="Times New Roman"/>
        </w:rPr>
        <w:t xml:space="preserve"> was the </w:t>
      </w:r>
      <w:r w:rsidRPr="00DC1BC1">
        <w:rPr>
          <w:rFonts w:eastAsia="Calibri" w:cs="Times New Roman"/>
        </w:rPr>
        <w:t>number of participants in the specified group, or the total sampl</w:t>
      </w:r>
      <w:r>
        <w:rPr>
          <w:rFonts w:eastAsia="Calibri" w:cs="Times New Roman"/>
        </w:rPr>
        <w:t>e; t</w:t>
      </w:r>
      <w:r w:rsidRPr="00DC1BC1">
        <w:rPr>
          <w:rFonts w:eastAsia="Calibri" w:cs="Times New Roman"/>
        </w:rPr>
        <w:t>his value</w:t>
      </w:r>
      <w:r>
        <w:rPr>
          <w:rFonts w:eastAsia="Calibri" w:cs="Times New Roman"/>
        </w:rPr>
        <w:t xml:space="preserve"> was</w:t>
      </w:r>
      <w:r w:rsidRPr="00DC1BC1">
        <w:rPr>
          <w:rFonts w:eastAsia="Calibri" w:cs="Times New Roman"/>
        </w:rPr>
        <w:t xml:space="preserve"> the denominator for the percentage calculations. </w:t>
      </w:r>
    </w:p>
    <w:p w14:paraId="5CC8BE52" w14:textId="77777777" w:rsidR="000B1B3D" w:rsidRDefault="000B1B3D" w:rsidP="000B1B3D">
      <w:pPr>
        <w:spacing w:after="0" w:line="240" w:lineRule="auto"/>
        <w:ind w:right="-540"/>
        <w:rPr>
          <w:rFonts w:eastAsia="Calibri" w:cs="Times New Roman"/>
        </w:rPr>
      </w:pPr>
      <w:r w:rsidRPr="00DC1BC1">
        <w:rPr>
          <w:rFonts w:eastAsia="Calibri" w:cs="Times New Roman"/>
          <w:vertAlign w:val="superscript"/>
        </w:rPr>
        <w:t>b</w:t>
      </w:r>
      <w:r w:rsidRPr="00DC1BC1">
        <w:rPr>
          <w:rFonts w:eastAsia="Calibri" w:cs="Times New Roman"/>
        </w:rPr>
        <w:t>n</w:t>
      </w:r>
      <w:r>
        <w:rPr>
          <w:rFonts w:eastAsia="Calibri" w:cs="Times New Roman"/>
        </w:rPr>
        <w:t xml:space="preserve"> was the n</w:t>
      </w:r>
      <w:r w:rsidRPr="00DC1BC1">
        <w:rPr>
          <w:rFonts w:eastAsia="Calibri" w:cs="Times New Roman"/>
        </w:rPr>
        <w:t xml:space="preserve">umber of participants with the specified characteristic. </w:t>
      </w:r>
    </w:p>
    <w:p w14:paraId="1C3A28CE" w14:textId="77777777" w:rsidR="000B1B3D" w:rsidRDefault="000B1B3D" w:rsidP="000B1B3D">
      <w:pPr>
        <w:spacing w:after="0" w:line="240" w:lineRule="auto"/>
        <w:ind w:right="-540"/>
        <w:rPr>
          <w:rFonts w:eastAsia="Calibri" w:cs="Times New Roman"/>
        </w:rPr>
      </w:pPr>
      <w:proofErr w:type="spellStart"/>
      <w:r w:rsidRPr="000C574B">
        <w:rPr>
          <w:rFonts w:eastAsia="Calibri" w:cs="Times New Roman"/>
          <w:vertAlign w:val="superscript"/>
        </w:rPr>
        <w:t>c</w:t>
      </w:r>
      <w:r w:rsidRPr="00DC1BC1">
        <w:rPr>
          <w:rFonts w:eastAsia="Calibri" w:cs="Times New Roman"/>
        </w:rPr>
        <w:t>Positive</w:t>
      </w:r>
      <w:proofErr w:type="spellEnd"/>
      <w:r w:rsidRPr="00DC1BC1">
        <w:rPr>
          <w:rFonts w:eastAsia="Calibri" w:cs="Times New Roman"/>
        </w:rPr>
        <w:t xml:space="preserve"> N-binding antibody result at baseline, positive NAAT result at baseline, or medical history of COVID-19. </w:t>
      </w:r>
    </w:p>
    <w:p w14:paraId="7E3C3894" w14:textId="77777777" w:rsidR="000B1B3D" w:rsidRPr="00A8574A" w:rsidRDefault="000B1B3D" w:rsidP="000B1B3D">
      <w:pPr>
        <w:spacing w:after="0" w:line="240" w:lineRule="auto"/>
        <w:ind w:right="-180"/>
        <w:rPr>
          <w:rFonts w:eastAsia="Calibri" w:cs="Times New Roman"/>
        </w:rPr>
      </w:pPr>
      <w:r>
        <w:rPr>
          <w:rFonts w:eastAsia="Calibri" w:cs="Times New Roman"/>
          <w:vertAlign w:val="superscript"/>
        </w:rPr>
        <w:t xml:space="preserve">d </w:t>
      </w:r>
      <w:proofErr w:type="gramStart"/>
      <w:r w:rsidRPr="00AC6378">
        <w:rPr>
          <w:rFonts w:eastAsia="Calibri" w:cs="Times New Roman"/>
        </w:rPr>
        <w:t>The</w:t>
      </w:r>
      <w:proofErr w:type="gramEnd"/>
      <w:r w:rsidRPr="00AC6378">
        <w:rPr>
          <w:rFonts w:eastAsia="Calibri" w:cs="Times New Roman"/>
        </w:rPr>
        <w:t xml:space="preserve"> inclusion criteria required the participant to have received</w:t>
      </w:r>
      <w:r>
        <w:rPr>
          <w:rFonts w:eastAsia="Calibri" w:cs="Times New Roman"/>
        </w:rPr>
        <w:t>:</w:t>
      </w:r>
      <w:r w:rsidRPr="00AC6378">
        <w:rPr>
          <w:rFonts w:eastAsia="Calibri" w:cs="Times New Roman"/>
        </w:rPr>
        <w:t xml:space="preserve"> ≥3 prior doses of a US-authorized mRNA COVID-19 vaccine with the most recent dose being a US-authorized Omicron BA.4/BA.5–adapted vaccine ≥150 days before study vaccination</w:t>
      </w:r>
      <w:r>
        <w:rPr>
          <w:rFonts w:eastAsia="Calibri" w:cs="Times New Roman"/>
        </w:rPr>
        <w:t xml:space="preserve"> (current study); </w:t>
      </w:r>
      <w:r w:rsidRPr="00A8574A">
        <w:rPr>
          <w:rFonts w:eastAsia="Calibri" w:cs="Times New Roman"/>
        </w:rPr>
        <w:t xml:space="preserve">3 or 4 prior doses of 30 </w:t>
      </w:r>
      <w:proofErr w:type="spellStart"/>
      <w:r w:rsidRPr="00A8574A">
        <w:rPr>
          <w:rFonts w:eastAsia="Calibri" w:cs="Times New Roman"/>
        </w:rPr>
        <w:t>μg</w:t>
      </w:r>
      <w:proofErr w:type="spellEnd"/>
      <w:r w:rsidRPr="00A8574A">
        <w:rPr>
          <w:rFonts w:eastAsia="Calibri" w:cs="Times New Roman"/>
        </w:rPr>
        <w:t xml:space="preserve"> BNT162b2 with the last dose being 150</w:t>
      </w:r>
      <w:r>
        <w:rPr>
          <w:rFonts w:eastAsia="Calibri" w:cs="Times New Roman"/>
        </w:rPr>
        <w:t>–</w:t>
      </w:r>
      <w:r w:rsidRPr="00A8574A">
        <w:rPr>
          <w:rFonts w:eastAsia="Calibri" w:cs="Times New Roman"/>
        </w:rPr>
        <w:t>365 days before study vaccination</w:t>
      </w:r>
      <w:r>
        <w:rPr>
          <w:rFonts w:eastAsia="Calibri" w:cs="Times New Roman"/>
        </w:rPr>
        <w:t xml:space="preserve"> (comparator group). </w:t>
      </w:r>
      <w:r w:rsidRPr="00A8574A">
        <w:rPr>
          <w:rFonts w:eastAsia="Calibri" w:cs="Times New Roman"/>
        </w:rPr>
        <w:t xml:space="preserve"> </w:t>
      </w:r>
    </w:p>
    <w:p w14:paraId="67538C7C" w14:textId="77777777" w:rsidR="000B1B3D" w:rsidRDefault="000B1B3D" w:rsidP="000B1B3D">
      <w:pPr>
        <w:spacing w:after="0" w:line="240" w:lineRule="auto"/>
        <w:ind w:right="3043"/>
        <w:rPr>
          <w:rFonts w:eastAsia="Calibri" w:cs="Times New Roman"/>
        </w:rPr>
      </w:pPr>
      <w:proofErr w:type="spellStart"/>
      <w:r>
        <w:rPr>
          <w:rFonts w:cstheme="minorHAnsi"/>
          <w:sz w:val="20"/>
          <w:szCs w:val="20"/>
          <w:vertAlign w:val="superscript"/>
        </w:rPr>
        <w:t>e</w:t>
      </w:r>
      <w:r w:rsidRPr="00DC1BC1">
        <w:rPr>
          <w:rFonts w:eastAsia="Calibri" w:cs="Times New Roman"/>
        </w:rPr>
        <w:t>Month</w:t>
      </w:r>
      <w:proofErr w:type="spellEnd"/>
      <w:r w:rsidRPr="00DC1BC1">
        <w:rPr>
          <w:rFonts w:eastAsia="Calibri" w:cs="Times New Roman"/>
        </w:rPr>
        <w:t xml:space="preserve"> was calculated as 28 days. </w:t>
      </w:r>
    </w:p>
    <w:p w14:paraId="0B4161AB" w14:textId="77777777" w:rsidR="000B1B3D" w:rsidRPr="00AF090C" w:rsidRDefault="000B1B3D" w:rsidP="000B1B3D">
      <w:pPr>
        <w:spacing w:after="160" w:line="259" w:lineRule="auto"/>
        <w:rPr>
          <w:rFonts w:ascii="Times New Roman" w:hAnsi="Times New Roman" w:cs="Times New Roman"/>
        </w:rPr>
      </w:pPr>
    </w:p>
    <w:bookmarkEnd w:id="1"/>
    <w:p w14:paraId="664C90D2" w14:textId="77777777" w:rsidR="000B1B3D" w:rsidRPr="00AF090C" w:rsidRDefault="000B1B3D" w:rsidP="000B1B3D">
      <w:pPr>
        <w:spacing w:after="160" w:line="259" w:lineRule="auto"/>
      </w:pPr>
      <w:r w:rsidRPr="00AF090C">
        <w:br w:type="page"/>
      </w:r>
    </w:p>
    <w:p w14:paraId="225CAEDE" w14:textId="77777777" w:rsidR="000B1B3D" w:rsidRDefault="000B1B3D" w:rsidP="000B1B3D">
      <w:pPr>
        <w:spacing w:after="0" w:line="360" w:lineRule="auto"/>
        <w:outlineLvl w:val="2"/>
        <w:rPr>
          <w:rFonts w:ascii="Calibri" w:eastAsia="Calibri" w:hAnsi="Calibri" w:cs="Times New Roman"/>
          <w:b/>
          <w:bCs/>
        </w:rPr>
        <w:sectPr w:rsidR="000B1B3D" w:rsidSect="0060550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2" w:name="_Hlk151713568"/>
    </w:p>
    <w:p w14:paraId="58AD47AC" w14:textId="77777777" w:rsidR="000B1B3D" w:rsidRPr="00AF090C" w:rsidRDefault="000B1B3D" w:rsidP="000B1B3D">
      <w:pPr>
        <w:spacing w:after="0" w:line="360" w:lineRule="auto"/>
        <w:outlineLvl w:val="2"/>
        <w:rPr>
          <w:rFonts w:ascii="Calibri" w:eastAsia="Calibri" w:hAnsi="Calibri" w:cs="Times New Roman"/>
        </w:rPr>
      </w:pPr>
      <w:r w:rsidRPr="00AF090C">
        <w:rPr>
          <w:rFonts w:ascii="Calibri" w:eastAsia="Calibri" w:hAnsi="Calibri" w:cs="Times New Roman"/>
          <w:b/>
          <w:bCs/>
        </w:rPr>
        <w:lastRenderedPageBreak/>
        <w:t xml:space="preserve">Figure </w:t>
      </w:r>
      <w:r>
        <w:rPr>
          <w:rFonts w:ascii="Calibri" w:eastAsia="Calibri" w:hAnsi="Calibri" w:cs="Times New Roman"/>
          <w:b/>
          <w:bCs/>
        </w:rPr>
        <w:t>S1</w:t>
      </w:r>
      <w:r w:rsidRPr="00A0478F">
        <w:rPr>
          <w:rFonts w:ascii="Calibri" w:eastAsia="Calibri" w:hAnsi="Calibri" w:cs="Times New Roman"/>
          <w:b/>
          <w:bCs/>
        </w:rPr>
        <w:t>.</w:t>
      </w:r>
      <w:r w:rsidRPr="00AF090C">
        <w:rPr>
          <w:rFonts w:ascii="Calibri" w:eastAsia="Calibri" w:hAnsi="Calibri" w:cs="Times New Roman"/>
          <w:b/>
          <w:bCs/>
        </w:rPr>
        <w:t xml:space="preserve"> </w:t>
      </w:r>
      <w:r w:rsidRPr="005A6BD6">
        <w:rPr>
          <w:rFonts w:ascii="Calibri" w:eastAsia="Calibri" w:hAnsi="Calibri" w:cs="Times New Roman"/>
          <w:bCs/>
        </w:rPr>
        <w:t>Serum</w:t>
      </w:r>
      <w:r w:rsidRPr="008A0799">
        <w:rPr>
          <w:rFonts w:ascii="Calibri" w:eastAsia="Calibri" w:hAnsi="Calibri" w:cs="Times New Roman"/>
          <w:bCs/>
        </w:rPr>
        <w:t xml:space="preserve"> </w:t>
      </w:r>
      <w:r w:rsidRPr="00A0478F">
        <w:rPr>
          <w:rFonts w:ascii="Calibri" w:eastAsia="Calibri" w:hAnsi="Calibri" w:cs="Times New Roman"/>
          <w:bCs/>
        </w:rPr>
        <w:t>neutralizing</w:t>
      </w:r>
      <w:r w:rsidRPr="00A0478F">
        <w:rPr>
          <w:rFonts w:ascii="Calibri" w:eastAsia="Calibri" w:hAnsi="Calibri" w:cs="Times New Roman"/>
          <w:b/>
          <w:bCs/>
        </w:rPr>
        <w:t xml:space="preserve"> </w:t>
      </w:r>
      <w:r w:rsidRPr="00A0478F">
        <w:rPr>
          <w:rFonts w:ascii="Calibri" w:eastAsia="Calibri" w:hAnsi="Calibri" w:cs="Times New Roman"/>
        </w:rPr>
        <w:t xml:space="preserve">GMTs (95% CIs) before and </w:t>
      </w:r>
      <w:r>
        <w:rPr>
          <w:rFonts w:ascii="Calibri" w:eastAsia="Calibri" w:hAnsi="Calibri" w:cs="Times New Roman"/>
        </w:rPr>
        <w:t>7 days</w:t>
      </w:r>
      <w:r w:rsidRPr="00A0478F">
        <w:rPr>
          <w:rFonts w:ascii="Calibri" w:eastAsia="Calibri" w:hAnsi="Calibri" w:cs="Times New Roman"/>
        </w:rPr>
        <w:t xml:space="preserve"> after vaccination with </w:t>
      </w:r>
      <w:r w:rsidRPr="00A0478F">
        <w:t xml:space="preserve">XBB.1.5-adapted </w:t>
      </w:r>
      <w:r w:rsidRPr="00A0478F">
        <w:rPr>
          <w:rFonts w:ascii="Calibri" w:eastAsia="Calibri" w:hAnsi="Calibri" w:cs="Times New Roman"/>
        </w:rPr>
        <w:t>BNT162b2 30 </w:t>
      </w:r>
      <w:proofErr w:type="spellStart"/>
      <w:r w:rsidRPr="00A0478F">
        <w:rPr>
          <w:rFonts w:ascii="Calibri" w:eastAsia="Calibri" w:hAnsi="Calibri" w:cs="Times New Roman"/>
        </w:rPr>
        <w:t>μg</w:t>
      </w:r>
      <w:proofErr w:type="spellEnd"/>
      <w:r w:rsidRPr="00A0478F">
        <w:rPr>
          <w:rFonts w:ascii="Calibri" w:eastAsia="Calibri" w:hAnsi="Calibri" w:cs="Times New Roman"/>
        </w:rPr>
        <w:t xml:space="preserve"> </w:t>
      </w:r>
      <w:bookmarkStart w:id="3" w:name="OLE_LINK3"/>
      <w:r w:rsidRPr="00A0478F">
        <w:rPr>
          <w:rFonts w:ascii="Calibri" w:eastAsia="Calibri" w:hAnsi="Calibri" w:cs="Times New Roman"/>
        </w:rPr>
        <w:t>or BA</w:t>
      </w:r>
      <w:r w:rsidRPr="00251CFE">
        <w:rPr>
          <w:rFonts w:ascii="Calibri" w:eastAsia="Calibri" w:hAnsi="Calibri" w:cs="Times New Roman"/>
        </w:rPr>
        <w:t>.4/BA.5</w:t>
      </w:r>
      <w:r w:rsidRPr="00251CFE">
        <w:t>-</w:t>
      </w:r>
      <w:r w:rsidRPr="00A0478F">
        <w:t xml:space="preserve">adapted </w:t>
      </w:r>
      <w:r w:rsidRPr="00A0478F">
        <w:rPr>
          <w:rFonts w:ascii="Calibri" w:eastAsia="Calibri" w:hAnsi="Calibri" w:cs="Times New Roman"/>
        </w:rPr>
        <w:t>BNT162b2 30 </w:t>
      </w:r>
      <w:proofErr w:type="spellStart"/>
      <w:r w:rsidRPr="00A0478F">
        <w:rPr>
          <w:rFonts w:ascii="Calibri" w:eastAsia="Calibri" w:hAnsi="Calibri" w:cs="Times New Roman"/>
        </w:rPr>
        <w:t>μg</w:t>
      </w:r>
      <w:proofErr w:type="spellEnd"/>
      <w:r w:rsidRPr="00A0478F">
        <w:rPr>
          <w:rFonts w:ascii="Calibri" w:eastAsia="Calibri" w:hAnsi="Calibri" w:cs="Times New Roman"/>
        </w:rPr>
        <w:t xml:space="preserve"> and GMFRs (95% CIs) from before to 1 week after vaccination to Omicron XBB.1.5 (</w:t>
      </w:r>
      <w:r w:rsidRPr="00A0478F">
        <w:rPr>
          <w:rFonts w:ascii="Calibri" w:eastAsia="Calibri" w:hAnsi="Calibri" w:cs="Times New Roman"/>
          <w:b/>
          <w:bCs/>
        </w:rPr>
        <w:t>a</w:t>
      </w:r>
      <w:r w:rsidRPr="00A0478F">
        <w:rPr>
          <w:rFonts w:ascii="Calibri" w:eastAsia="Calibri" w:hAnsi="Calibri" w:cs="Times New Roman"/>
        </w:rPr>
        <w:t>), EG.5.1 (</w:t>
      </w:r>
      <w:r w:rsidRPr="00A0478F">
        <w:rPr>
          <w:rFonts w:ascii="Calibri" w:eastAsia="Calibri" w:hAnsi="Calibri" w:cs="Times New Roman"/>
          <w:b/>
          <w:bCs/>
        </w:rPr>
        <w:t>b</w:t>
      </w:r>
      <w:r w:rsidRPr="00A0478F">
        <w:rPr>
          <w:rFonts w:ascii="Calibri" w:eastAsia="Calibri" w:hAnsi="Calibri" w:cs="Times New Roman"/>
        </w:rPr>
        <w:t>), and BA.2.86 (</w:t>
      </w:r>
      <w:r w:rsidRPr="00A0478F">
        <w:rPr>
          <w:rFonts w:ascii="Calibri" w:eastAsia="Calibri" w:hAnsi="Calibri" w:cs="Times New Roman"/>
          <w:b/>
          <w:bCs/>
        </w:rPr>
        <w:t>c</w:t>
      </w:r>
      <w:r w:rsidRPr="00A0478F">
        <w:rPr>
          <w:rFonts w:ascii="Calibri" w:eastAsia="Calibri" w:hAnsi="Calibri" w:cs="Times New Roman"/>
        </w:rPr>
        <w:t xml:space="preserve">). </w:t>
      </w:r>
      <w:r w:rsidRPr="00A0478F">
        <w:rPr>
          <w:rFonts w:ascii="Calibri" w:eastAsia="Calibri" w:hAnsi="Calibri" w:cs="Calibri"/>
        </w:rPr>
        <w:t xml:space="preserve">Data for </w:t>
      </w:r>
      <w:r w:rsidRPr="00A0478F">
        <w:rPr>
          <w:rFonts w:ascii="Calibri" w:eastAsia="Calibri" w:hAnsi="Calibri" w:cs="Times New Roman"/>
        </w:rPr>
        <w:t>BA.4/BA.5</w:t>
      </w:r>
      <w:r w:rsidRPr="00A0478F">
        <w:t xml:space="preserve">-adapted </w:t>
      </w:r>
      <w:r w:rsidRPr="00A0478F">
        <w:rPr>
          <w:rFonts w:ascii="Calibri" w:eastAsia="Calibri" w:hAnsi="Calibri" w:cs="Calibri"/>
        </w:rPr>
        <w:t xml:space="preserve">BNT162b2 are in participants from another study (NCT05472038) who were matched by age, </w:t>
      </w:r>
      <w:r>
        <w:rPr>
          <w:rFonts w:ascii="Calibri" w:eastAsia="Calibri" w:hAnsi="Calibri" w:cs="Calibri"/>
        </w:rPr>
        <w:t xml:space="preserve">sex, </w:t>
      </w:r>
      <w:r w:rsidRPr="00A0478F">
        <w:rPr>
          <w:rFonts w:ascii="Calibri" w:eastAsia="Calibri" w:hAnsi="Calibri" w:cs="Calibri"/>
        </w:rPr>
        <w:t xml:space="preserve">and baseline SARS-CoV-2 status. </w:t>
      </w:r>
      <w:bookmarkEnd w:id="3"/>
      <w:r w:rsidRPr="00A0478F">
        <w:rPr>
          <w:rFonts w:ascii="Calibri" w:eastAsia="Calibri" w:hAnsi="Calibri" w:cs="Times New Roman"/>
        </w:rPr>
        <w:t xml:space="preserve">Data are for the all-available </w:t>
      </w:r>
      <w:r w:rsidRPr="00A0478F">
        <w:rPr>
          <w:rFonts w:ascii="Calibri" w:eastAsia="Calibri" w:hAnsi="Calibri" w:cs="Calibri"/>
        </w:rPr>
        <w:t>immunogenicity population</w:t>
      </w:r>
      <w:r w:rsidRPr="00A0478F">
        <w:rPr>
          <w:rFonts w:ascii="Calibri" w:hAnsi="Calibri" w:cs="Calibri"/>
        </w:rPr>
        <w:t>.</w:t>
      </w:r>
      <w:r w:rsidRPr="00A0478F">
        <w:rPr>
          <w:rFonts w:ascii="Calibri" w:eastAsia="Calibri" w:hAnsi="Calibri" w:cs="Calibri"/>
        </w:rPr>
        <w:t xml:space="preserve"> Assay</w:t>
      </w:r>
      <w:r w:rsidRPr="00A0478F">
        <w:rPr>
          <w:rFonts w:ascii="Calibri" w:eastAsia="Calibri" w:hAnsi="Calibri" w:cs="Times New Roman"/>
        </w:rPr>
        <w:t xml:space="preserve"> results &lt;LLOQ were set to 0.5 × LLOQ</w:t>
      </w:r>
      <w:r w:rsidRPr="00A0478F">
        <w:rPr>
          <w:rFonts w:ascii="Calibri" w:hAnsi="Calibri" w:cs="Calibri"/>
        </w:rPr>
        <w:t>.</w:t>
      </w:r>
      <w:r w:rsidRPr="00A0478F">
        <w:rPr>
          <w:rFonts w:ascii="Calibri" w:eastAsia="Calibri" w:hAnsi="Calibri" w:cs="Calibri"/>
        </w:rPr>
        <w:t xml:space="preserve"> </w:t>
      </w:r>
      <w:r w:rsidRPr="00A0478F">
        <w:rPr>
          <w:rFonts w:ascii="Calibri" w:eastAsia="Calibri" w:hAnsi="Calibri" w:cs="Times New Roman"/>
        </w:rPr>
        <w:t xml:space="preserve">Numbers within the bars are the GMTs. </w:t>
      </w:r>
      <w:r w:rsidRPr="00251CFE">
        <w:rPr>
          <w:rFonts w:ascii="Calibri" w:eastAsia="Calibri" w:hAnsi="Calibri" w:cs="Times New Roman"/>
        </w:rPr>
        <w:t>7d=7 days after vaccination; FFRNT</w:t>
      </w:r>
      <w:r w:rsidRPr="00251CFE">
        <w:rPr>
          <w:rFonts w:ascii="Calibri" w:hAnsi="Calibri" w:cs="Calibri"/>
        </w:rPr>
        <w:t>=</w:t>
      </w:r>
      <w:r w:rsidRPr="00251CFE">
        <w:rPr>
          <w:rFonts w:ascii="Calibri" w:eastAsia="Calibri" w:hAnsi="Calibri" w:cs="Times New Roman"/>
        </w:rPr>
        <w:t>fluorescent</w:t>
      </w:r>
      <w:r w:rsidRPr="00A0478F">
        <w:rPr>
          <w:rFonts w:ascii="Calibri" w:eastAsia="Calibri" w:hAnsi="Calibri" w:cs="Times New Roman"/>
        </w:rPr>
        <w:t xml:space="preserve"> focus reduction neutralization test; GMFR=geometric mean fold rise; GMT=geometric mean titer; LLOQ=lower limit of quantitation; Pre=before vaccination</w:t>
      </w:r>
      <w:r w:rsidRPr="00AF090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0AA38733" w14:textId="77777777" w:rsidR="000B1B3D" w:rsidRPr="00AF090C" w:rsidRDefault="000B1B3D" w:rsidP="000B1B3D">
      <w:pPr>
        <w:spacing w:after="12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D8647BB" wp14:editId="737A7E0A">
            <wp:extent cx="5492750" cy="8229600"/>
            <wp:effectExtent l="0" t="0" r="0" b="0"/>
            <wp:docPr id="1937717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17736" name="Picture 19377177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3E8670B7" w14:textId="77777777" w:rsidR="000B1B3D" w:rsidRDefault="000B1B3D" w:rsidP="000B1B3D">
      <w:pPr>
        <w:spacing w:after="0" w:line="360" w:lineRule="auto"/>
        <w:outlineLvl w:val="2"/>
        <w:rPr>
          <w:rFonts w:ascii="Calibri" w:eastAsia="Calibri" w:hAnsi="Calibri" w:cs="Times New Roman"/>
        </w:rPr>
      </w:pPr>
      <w:r w:rsidRPr="00AF090C">
        <w:rPr>
          <w:rFonts w:ascii="Calibri" w:eastAsia="Calibri" w:hAnsi="Calibri" w:cs="Times New Roman"/>
          <w:b/>
          <w:bCs/>
        </w:rPr>
        <w:lastRenderedPageBreak/>
        <w:t xml:space="preserve">Figure </w:t>
      </w:r>
      <w:r w:rsidRPr="00D6315F">
        <w:rPr>
          <w:rFonts w:ascii="Calibri" w:eastAsia="Calibri" w:hAnsi="Calibri" w:cs="Times New Roman"/>
          <w:b/>
          <w:bCs/>
        </w:rPr>
        <w:t xml:space="preserve">S2. </w:t>
      </w:r>
      <w:r w:rsidRPr="00D6315F">
        <w:rPr>
          <w:rFonts w:ascii="Calibri" w:eastAsia="Calibri" w:hAnsi="Calibri" w:cs="Times New Roman"/>
        </w:rPr>
        <w:t xml:space="preserve">Percentage of participants achieving </w:t>
      </w:r>
      <w:proofErr w:type="spellStart"/>
      <w:r w:rsidRPr="00D6315F">
        <w:rPr>
          <w:rFonts w:ascii="Calibri" w:eastAsia="Calibri" w:hAnsi="Calibri" w:cs="Times New Roman"/>
        </w:rPr>
        <w:t>seroresponse</w:t>
      </w:r>
      <w:proofErr w:type="spellEnd"/>
      <w:r w:rsidRPr="00D6315F">
        <w:rPr>
          <w:rFonts w:ascii="Calibri" w:eastAsia="Calibri" w:hAnsi="Calibri" w:cs="Times New Roman"/>
        </w:rPr>
        <w:t xml:space="preserve"> (95% CIs) 1 week after vaccination with </w:t>
      </w:r>
      <w:r w:rsidRPr="00D6315F">
        <w:t xml:space="preserve">XBB.1.5-adapted </w:t>
      </w:r>
      <w:r w:rsidRPr="00D6315F">
        <w:rPr>
          <w:rFonts w:ascii="Calibri" w:eastAsia="Calibri" w:hAnsi="Calibri" w:cs="Times New Roman"/>
        </w:rPr>
        <w:t>BNT162b2 30 </w:t>
      </w:r>
      <w:proofErr w:type="spellStart"/>
      <w:r w:rsidRPr="00D6315F">
        <w:rPr>
          <w:rFonts w:ascii="Calibri" w:eastAsia="Calibri" w:hAnsi="Calibri" w:cs="Times New Roman"/>
        </w:rPr>
        <w:t>μg</w:t>
      </w:r>
      <w:proofErr w:type="spellEnd"/>
      <w:r w:rsidRPr="00D6315F">
        <w:rPr>
          <w:rFonts w:ascii="Calibri" w:eastAsia="Calibri" w:hAnsi="Calibri" w:cs="Times New Roman"/>
        </w:rPr>
        <w:t xml:space="preserve"> or BA.4/BA.5</w:t>
      </w:r>
      <w:r w:rsidRPr="00D6315F">
        <w:t xml:space="preserve">-adapted </w:t>
      </w:r>
      <w:r w:rsidRPr="00D6315F">
        <w:rPr>
          <w:rFonts w:ascii="Calibri" w:eastAsia="Calibri" w:hAnsi="Calibri" w:cs="Times New Roman"/>
        </w:rPr>
        <w:t>BNT162b2 30 </w:t>
      </w:r>
      <w:proofErr w:type="spellStart"/>
      <w:r w:rsidRPr="00D6315F">
        <w:rPr>
          <w:rFonts w:ascii="Calibri" w:eastAsia="Calibri" w:hAnsi="Calibri" w:cs="Times New Roman"/>
        </w:rPr>
        <w:t>μg</w:t>
      </w:r>
      <w:proofErr w:type="spellEnd"/>
      <w:r w:rsidRPr="00D6315F">
        <w:rPr>
          <w:rFonts w:ascii="Calibri" w:eastAsia="Calibri" w:hAnsi="Calibri" w:cs="Times New Roman"/>
        </w:rPr>
        <w:t xml:space="preserve"> to Omicron XBB.1.5 (</w:t>
      </w:r>
      <w:r w:rsidRPr="00D6315F">
        <w:rPr>
          <w:rFonts w:ascii="Calibri" w:eastAsia="Calibri" w:hAnsi="Calibri" w:cs="Times New Roman"/>
          <w:b/>
          <w:bCs/>
        </w:rPr>
        <w:t>a</w:t>
      </w:r>
      <w:r w:rsidRPr="00D6315F">
        <w:rPr>
          <w:rFonts w:ascii="Calibri" w:eastAsia="Calibri" w:hAnsi="Calibri" w:cs="Times New Roman"/>
        </w:rPr>
        <w:t>), EG.5.1 (</w:t>
      </w:r>
      <w:r w:rsidRPr="00D6315F">
        <w:rPr>
          <w:rFonts w:ascii="Calibri" w:eastAsia="Calibri" w:hAnsi="Calibri" w:cs="Times New Roman"/>
          <w:b/>
          <w:bCs/>
        </w:rPr>
        <w:t>b</w:t>
      </w:r>
      <w:r w:rsidRPr="00D6315F">
        <w:rPr>
          <w:rFonts w:ascii="Calibri" w:eastAsia="Calibri" w:hAnsi="Calibri" w:cs="Times New Roman"/>
        </w:rPr>
        <w:t>), and BA.2.86 (</w:t>
      </w:r>
      <w:r w:rsidRPr="00D6315F">
        <w:rPr>
          <w:rFonts w:ascii="Calibri" w:eastAsia="Calibri" w:hAnsi="Calibri" w:cs="Times New Roman"/>
          <w:b/>
          <w:bCs/>
        </w:rPr>
        <w:t>c</w:t>
      </w:r>
      <w:r w:rsidRPr="00D6315F">
        <w:rPr>
          <w:rFonts w:ascii="Calibri" w:eastAsia="Calibri" w:hAnsi="Calibri" w:cs="Times New Roman"/>
        </w:rPr>
        <w:t xml:space="preserve">). </w:t>
      </w:r>
      <w:r w:rsidRPr="00D6315F">
        <w:rPr>
          <w:rFonts w:ascii="Calibri" w:eastAsia="Calibri" w:hAnsi="Calibri" w:cs="Calibri"/>
        </w:rPr>
        <w:t xml:space="preserve">Data for </w:t>
      </w:r>
      <w:r w:rsidRPr="00D6315F">
        <w:rPr>
          <w:rFonts w:ascii="Calibri" w:eastAsia="Calibri" w:hAnsi="Calibri" w:cs="Times New Roman"/>
        </w:rPr>
        <w:t>BA.4/BA.5</w:t>
      </w:r>
      <w:r w:rsidRPr="00D6315F">
        <w:t xml:space="preserve">-adapted </w:t>
      </w:r>
      <w:r w:rsidRPr="00D6315F">
        <w:rPr>
          <w:rFonts w:ascii="Calibri" w:eastAsia="Calibri" w:hAnsi="Calibri" w:cs="Calibri"/>
        </w:rPr>
        <w:t>BNT162b2</w:t>
      </w:r>
      <w:r w:rsidRPr="00FB35ED">
        <w:rPr>
          <w:rFonts w:ascii="Calibri" w:eastAsia="Calibri" w:hAnsi="Calibri" w:cs="Calibri"/>
        </w:rPr>
        <w:t xml:space="preserve"> are in participants from another study (NCT05472038) who were matched by age, </w:t>
      </w:r>
      <w:r>
        <w:rPr>
          <w:rFonts w:ascii="Calibri" w:eastAsia="Calibri" w:hAnsi="Calibri" w:cs="Calibri"/>
        </w:rPr>
        <w:t xml:space="preserve">sex, </w:t>
      </w:r>
      <w:r w:rsidRPr="00FB35ED">
        <w:rPr>
          <w:rFonts w:ascii="Calibri" w:eastAsia="Calibri" w:hAnsi="Calibri" w:cs="Calibri"/>
        </w:rPr>
        <w:t>and baseline SARS-CoV-2 status</w:t>
      </w:r>
      <w:r w:rsidRPr="00AF090C">
        <w:rPr>
          <w:rFonts w:ascii="Calibri" w:eastAsia="Calibri" w:hAnsi="Calibri" w:cs="Times New Roman"/>
        </w:rPr>
        <w:t xml:space="preserve">. Data are for the </w:t>
      </w:r>
      <w:r>
        <w:rPr>
          <w:rFonts w:ascii="Calibri" w:eastAsia="Calibri" w:hAnsi="Calibri" w:cs="Times New Roman"/>
        </w:rPr>
        <w:t>all-available</w:t>
      </w:r>
      <w:r w:rsidRPr="00AF090C">
        <w:rPr>
          <w:rFonts w:ascii="Calibri" w:eastAsia="Calibri" w:hAnsi="Calibri" w:cs="Times New Roman"/>
        </w:rPr>
        <w:t xml:space="preserve"> </w:t>
      </w:r>
      <w:r w:rsidRPr="00AF090C">
        <w:rPr>
          <w:rFonts w:ascii="Calibri" w:eastAsia="Calibri" w:hAnsi="Calibri" w:cs="Calibri"/>
        </w:rPr>
        <w:t>immunogenicity population</w:t>
      </w:r>
      <w:r w:rsidRPr="00AF090C">
        <w:rPr>
          <w:rFonts w:ascii="Calibri" w:hAnsi="Calibri" w:cs="Calibri"/>
        </w:rPr>
        <w:t>.</w:t>
      </w:r>
      <w:r w:rsidRPr="00AF090C">
        <w:rPr>
          <w:rFonts w:ascii="Calibri" w:eastAsia="Calibri" w:hAnsi="Calibri" w:cs="Calibri"/>
        </w:rPr>
        <w:t xml:space="preserve"> </w:t>
      </w:r>
      <w:proofErr w:type="spellStart"/>
      <w:r w:rsidRPr="00AF090C">
        <w:rPr>
          <w:rFonts w:ascii="Calibri" w:eastAsia="Calibri" w:hAnsi="Calibri" w:cs="Calibri"/>
        </w:rPr>
        <w:t>Seroresponse</w:t>
      </w:r>
      <w:proofErr w:type="spellEnd"/>
      <w:r w:rsidRPr="00AF090C">
        <w:rPr>
          <w:rFonts w:ascii="Calibri" w:eastAsia="Calibri" w:hAnsi="Calibri" w:cs="Calibri"/>
        </w:rPr>
        <w:t xml:space="preserve"> was defined as achieving a ≥4-fold rise from before study vaccination in FFRNT 50% serum neutralizing titers</w:t>
      </w:r>
      <w:r w:rsidRPr="00AF090C">
        <w:rPr>
          <w:rFonts w:ascii="Calibri" w:hAnsi="Calibri" w:cs="Calibri"/>
        </w:rPr>
        <w:t>.</w:t>
      </w:r>
      <w:r w:rsidRPr="00AF090C">
        <w:rPr>
          <w:rFonts w:ascii="Calibri" w:eastAsia="Calibri" w:hAnsi="Calibri" w:cs="Calibri"/>
        </w:rPr>
        <w:t xml:space="preserve"> If the baseline measurement was &lt;LLOQ, a postvaccination assay result ≥4 × LLOQ was considered a </w:t>
      </w:r>
      <w:proofErr w:type="spellStart"/>
      <w:r w:rsidRPr="00AF090C">
        <w:rPr>
          <w:rFonts w:ascii="Calibri" w:eastAsia="Calibri" w:hAnsi="Calibri" w:cs="Calibri"/>
        </w:rPr>
        <w:t>seroresponse</w:t>
      </w:r>
      <w:proofErr w:type="spellEnd"/>
      <w:r w:rsidRPr="00AF090C">
        <w:rPr>
          <w:rFonts w:ascii="Calibri" w:hAnsi="Calibri" w:cs="Calibri"/>
        </w:rPr>
        <w:t>.</w:t>
      </w:r>
      <w:r w:rsidRPr="00AF090C">
        <w:rPr>
          <w:rFonts w:ascii="Calibri" w:eastAsia="Calibri" w:hAnsi="Calibri" w:cs="Calibri"/>
        </w:rPr>
        <w:t xml:space="preserve"> </w:t>
      </w:r>
      <w:r w:rsidRPr="00AF090C">
        <w:rPr>
          <w:rFonts w:ascii="Calibri" w:eastAsia="Calibri" w:hAnsi="Calibri" w:cs="Times New Roman"/>
        </w:rPr>
        <w:t>Numbers above the bars are percentages rounded to the nearest full number. FFRNT</w:t>
      </w:r>
      <w:r>
        <w:rPr>
          <w:rFonts w:ascii="Calibri" w:hAnsi="Calibri" w:cs="Calibri"/>
        </w:rPr>
        <w:t>=</w:t>
      </w:r>
      <w:r w:rsidRPr="00AF090C">
        <w:rPr>
          <w:rFonts w:ascii="Calibri" w:eastAsia="Calibri" w:hAnsi="Calibri" w:cs="Times New Roman"/>
        </w:rPr>
        <w:t>fluorescent focus reduction neutralization test; LLOQ</w:t>
      </w:r>
      <w:r>
        <w:rPr>
          <w:rFonts w:ascii="Calibri" w:hAnsi="Calibri" w:cs="Calibri"/>
        </w:rPr>
        <w:t>=</w:t>
      </w:r>
      <w:r w:rsidRPr="00AF090C">
        <w:rPr>
          <w:rFonts w:ascii="Calibri" w:eastAsia="Calibri" w:hAnsi="Calibri" w:cs="Times New Roman"/>
        </w:rPr>
        <w:t>lower limit of quantitation.</w:t>
      </w:r>
    </w:p>
    <w:p w14:paraId="469EF75E" w14:textId="77777777" w:rsidR="000B1B3D" w:rsidRPr="00AF090C" w:rsidRDefault="000B1B3D" w:rsidP="000B1B3D"/>
    <w:p w14:paraId="5B84B7A6" w14:textId="77777777" w:rsidR="000B1B3D" w:rsidRPr="00AF090C" w:rsidRDefault="000B1B3D" w:rsidP="000B1B3D">
      <w:r>
        <w:rPr>
          <w:noProof/>
        </w:rPr>
        <w:drawing>
          <wp:inline distT="0" distB="0" distL="0" distR="0" wp14:anchorId="3D422CCF" wp14:editId="2EBDDFAF">
            <wp:extent cx="5943600" cy="3803015"/>
            <wp:effectExtent l="0" t="0" r="0" b="6985"/>
            <wp:docPr id="11234349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34944" name="Picture 1123434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EDEFC" w14:textId="77777777" w:rsidR="005F42AD" w:rsidRDefault="005F42AD"/>
    <w:sectPr w:rsidR="005F42AD" w:rsidSect="007B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975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BBF5E" w14:textId="77777777" w:rsidR="000B1B3D" w:rsidRDefault="000B1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DA950BE" w14:textId="77777777" w:rsidR="000B1B3D" w:rsidRDefault="000B1B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1849" w14:textId="77777777" w:rsidR="000B1B3D" w:rsidRDefault="000B1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D"/>
    <w:rsid w:val="000B1B3D"/>
    <w:rsid w:val="005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7DF3"/>
  <w15:chartTrackingRefBased/>
  <w15:docId w15:val="{2AC46123-2292-4AB6-86F3-44D8EE65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3D"/>
    <w:pPr>
      <w:spacing w:after="200" w:line="276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B3D"/>
    <w:pPr>
      <w:spacing w:line="48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1B3D"/>
    <w:rPr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3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3D"/>
    <w:rPr>
      <w:kern w:val="0"/>
      <w14:ligatures w14:val="none"/>
    </w:rPr>
  </w:style>
  <w:style w:type="table" w:styleId="TableGrid">
    <w:name w:val="Table Grid"/>
    <w:basedOn w:val="TableNormal"/>
    <w:uiPriority w:val="39"/>
    <w:rsid w:val="000B1B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490D3A9202845970959015AD3668E" ma:contentTypeVersion="0" ma:contentTypeDescription="Create a new document." ma:contentTypeScope="" ma:versionID="5be278dfaa27462bc6a7785e95cb10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3C164-8D4B-4449-96A6-6AAFC9EDD7EC}"/>
</file>

<file path=customXml/itemProps2.xml><?xml version="1.0" encoding="utf-8"?>
<ds:datastoreItem xmlns:ds="http://schemas.openxmlformats.org/officeDocument/2006/customXml" ds:itemID="{A04C31CF-F999-40A5-BC4B-E0CD263BF10C}"/>
</file>

<file path=customXml/itemProps3.xml><?xml version="1.0" encoding="utf-8"?>
<ds:datastoreItem xmlns:ds="http://schemas.openxmlformats.org/officeDocument/2006/customXml" ds:itemID="{EC9E1943-039F-415F-BA9E-731D62FDA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5288</Characters>
  <Application>Microsoft Office Word</Application>
  <DocSecurity>0</DocSecurity>
  <Lines>44</Lines>
  <Paragraphs>12</Paragraphs>
  <ScaleCrop>false</ScaleCrop>
  <Company>Icon Clinical Research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Ryan Lee</dc:creator>
  <cp:keywords/>
  <dc:description/>
  <cp:lastModifiedBy>Chandler, Ryan Lee</cp:lastModifiedBy>
  <cp:revision>1</cp:revision>
  <dcterms:created xsi:type="dcterms:W3CDTF">2023-12-10T21:05:00Z</dcterms:created>
  <dcterms:modified xsi:type="dcterms:W3CDTF">2023-12-10T21:06:00Z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8e16e8-c07a-4d54-b613-7ba52508ca4b_Enabled">
    <vt:lpwstr>true</vt:lpwstr>
  </property>
  <property fmtid="{D5CDD505-2E9C-101B-9397-08002B2CF9AE}" pid="3" name="MSIP_Label_898e16e8-c07a-4d54-b613-7ba52508ca4b_SetDate">
    <vt:lpwstr>2023-12-10T21:05:48Z</vt:lpwstr>
  </property>
  <property fmtid="{D5CDD505-2E9C-101B-9397-08002B2CF9AE}" pid="4" name="MSIP_Label_898e16e8-c07a-4d54-b613-7ba52508ca4b_Method">
    <vt:lpwstr>Standard</vt:lpwstr>
  </property>
  <property fmtid="{D5CDD505-2E9C-101B-9397-08002B2CF9AE}" pid="5" name="MSIP_Label_898e16e8-c07a-4d54-b613-7ba52508ca4b_Name">
    <vt:lpwstr>Restricted – Any Recipient</vt:lpwstr>
  </property>
  <property fmtid="{D5CDD505-2E9C-101B-9397-08002B2CF9AE}" pid="6" name="MSIP_Label_898e16e8-c07a-4d54-b613-7ba52508ca4b_SiteId">
    <vt:lpwstr>06fe4af5-9412-436c-acdb-444ee0010489</vt:lpwstr>
  </property>
  <property fmtid="{D5CDD505-2E9C-101B-9397-08002B2CF9AE}" pid="7" name="MSIP_Label_898e16e8-c07a-4d54-b613-7ba52508ca4b_ActionId">
    <vt:lpwstr>121edb6b-346e-44a3-bba6-9b97e5b6269b</vt:lpwstr>
  </property>
  <property fmtid="{D5CDD505-2E9C-101B-9397-08002B2CF9AE}" pid="8" name="MSIP_Label_898e16e8-c07a-4d54-b613-7ba52508ca4b_ContentBits">
    <vt:lpwstr>0</vt:lpwstr>
  </property>
  <property fmtid="{D5CDD505-2E9C-101B-9397-08002B2CF9AE}" pid="9" name="ContentTypeId">
    <vt:lpwstr>0x010100D56490D3A9202845970959015AD3668E</vt:lpwstr>
  </property>
</Properties>
</file>