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DD374" w14:textId="655F7F1E" w:rsidR="00DE4D3B" w:rsidRDefault="00DE4D3B" w:rsidP="00DE4D3B">
      <w:pPr>
        <w:pStyle w:val="MDPI12title"/>
        <w:jc w:val="center"/>
      </w:pPr>
      <w:r>
        <w:t>Supplementary Figures</w:t>
      </w:r>
    </w:p>
    <w:p w14:paraId="186F5011" w14:textId="2A3E2067" w:rsidR="00DE4D3B" w:rsidRPr="00DE4D3B" w:rsidRDefault="00DE4D3B" w:rsidP="00DE4D3B">
      <w:pPr>
        <w:pStyle w:val="MDPI12title"/>
        <w:rPr>
          <w:sz w:val="28"/>
          <w:szCs w:val="28"/>
        </w:rPr>
      </w:pPr>
      <w:r w:rsidRPr="00DE4D3B">
        <w:rPr>
          <w:sz w:val="28"/>
          <w:szCs w:val="28"/>
        </w:rPr>
        <w:t xml:space="preserve">Visualization of Glioblastoma with Infrared-Labeled Aptamers for Fluorescent Guided Surgery </w:t>
      </w:r>
    </w:p>
    <w:p w14:paraId="2F66DE6A" w14:textId="77777777" w:rsidR="00DE4D3B" w:rsidRDefault="00DE4D3B" w:rsidP="005A650C">
      <w:pPr>
        <w:pStyle w:val="MDPI22heading2"/>
        <w:spacing w:before="240"/>
        <w:ind w:hanging="56"/>
        <w:jc w:val="both"/>
        <w:rPr>
          <w:i w:val="0"/>
        </w:rPr>
      </w:pPr>
    </w:p>
    <w:p w14:paraId="51C03933" w14:textId="532E39A9" w:rsidR="005A650C" w:rsidRDefault="005A650C" w:rsidP="00DE4D3B">
      <w:pPr>
        <w:pStyle w:val="MDPI22heading2"/>
        <w:spacing w:before="240"/>
        <w:ind w:left="567"/>
        <w:jc w:val="both"/>
        <w:rPr>
          <w:i w:val="0"/>
        </w:rPr>
      </w:pPr>
      <w:r w:rsidRPr="00651722">
        <w:rPr>
          <w:i w:val="0"/>
        </w:rPr>
        <w:drawing>
          <wp:inline distT="0" distB="0" distL="0" distR="0" wp14:anchorId="1F4217CD" wp14:editId="4597E837">
            <wp:extent cx="5047659" cy="3688080"/>
            <wp:effectExtent l="0" t="0" r="63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2902" cy="369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F40B4" w14:textId="035DBC1F" w:rsidR="005A650C" w:rsidRDefault="005A650C" w:rsidP="00DE4D3B">
      <w:pPr>
        <w:pStyle w:val="a3"/>
        <w:spacing w:before="240" w:after="60" w:line="228" w:lineRule="auto"/>
        <w:ind w:left="567"/>
        <w:rPr>
          <w:rFonts w:eastAsia="Times New Roman"/>
          <w:snapToGrid w:val="0"/>
          <w:sz w:val="18"/>
          <w:szCs w:val="18"/>
          <w:lang w:eastAsia="de-DE" w:bidi="en-US"/>
        </w:rPr>
      </w:pPr>
      <w:r w:rsidRPr="00FF58E1">
        <w:rPr>
          <w:b/>
          <w:sz w:val="18"/>
          <w:szCs w:val="18"/>
        </w:rPr>
        <w:t xml:space="preserve">Figure S1. </w:t>
      </w:r>
      <w:r w:rsidRPr="00E55960">
        <w:rPr>
          <w:rFonts w:eastAsia="Times New Roman"/>
          <w:snapToGrid w:val="0"/>
          <w:sz w:val="18"/>
          <w:szCs w:val="18"/>
          <w:lang w:eastAsia="de-DE" w:bidi="en-US"/>
        </w:rPr>
        <w:t>Fluorescent microscopy of IR-Glint (A) in solution of DPBS in concentrations 0µM (1); 1 µM (2) and 2 µM (3). Glial tumor tissues incubated with Cy 7.5-labeled aptamers (#1 – Gli-233 nt and 233, #2 – Gli-55 3L) in 1 – 8 µM under IR-module of surgical microscope Zeiss Kinevo 900.</w:t>
      </w:r>
      <w:r>
        <w:rPr>
          <w:rFonts w:eastAsia="Times New Roman"/>
          <w:snapToGrid w:val="0"/>
          <w:sz w:val="18"/>
          <w:szCs w:val="18"/>
          <w:lang w:eastAsia="de-DE" w:bidi="en-US"/>
        </w:rPr>
        <w:t xml:space="preserve"> In panel A </w:t>
      </w:r>
      <w:r w:rsidRPr="00E55960">
        <w:rPr>
          <w:rFonts w:eastAsia="Times New Roman"/>
          <w:snapToGrid w:val="0"/>
          <w:sz w:val="18"/>
          <w:szCs w:val="18"/>
          <w:lang w:eastAsia="de-DE" w:bidi="en-US"/>
        </w:rPr>
        <w:t xml:space="preserve">IR-Glint </w:t>
      </w:r>
      <w:r>
        <w:rPr>
          <w:rFonts w:eastAsia="Times New Roman"/>
          <w:snapToGrid w:val="0"/>
          <w:sz w:val="18"/>
          <w:szCs w:val="18"/>
          <w:lang w:eastAsia="de-DE" w:bidi="en-US"/>
        </w:rPr>
        <w:t xml:space="preserve">were in 1.5 ml vials. In panel B the tissue samples were in 96-well plate. </w:t>
      </w:r>
    </w:p>
    <w:p w14:paraId="3E06AEEE" w14:textId="2171A6BF" w:rsidR="005A650C" w:rsidRDefault="005A650C" w:rsidP="005A650C">
      <w:pPr>
        <w:pStyle w:val="a3"/>
        <w:spacing w:before="240" w:after="60" w:line="228" w:lineRule="auto"/>
        <w:ind w:left="2608"/>
        <w:rPr>
          <w:rFonts w:eastAsia="Times New Roman"/>
          <w:snapToGrid w:val="0"/>
          <w:sz w:val="18"/>
          <w:szCs w:val="18"/>
          <w:lang w:eastAsia="de-DE" w:bidi="en-US"/>
        </w:rPr>
      </w:pPr>
    </w:p>
    <w:p w14:paraId="2153B6DF" w14:textId="093E5330" w:rsidR="005A650C" w:rsidRPr="003E6477" w:rsidRDefault="00BC65C2" w:rsidP="00DE4D3B">
      <w:pPr>
        <w:pStyle w:val="MDPI22heading2"/>
        <w:spacing w:before="0" w:after="0" w:line="240" w:lineRule="auto"/>
        <w:ind w:left="567"/>
        <w:jc w:val="center"/>
        <w:rPr>
          <w:i w:val="0"/>
        </w:rPr>
      </w:pPr>
      <w:r>
        <w:rPr>
          <w:i w:val="0"/>
          <w:snapToGrid/>
        </w:rPr>
        <w:lastRenderedPageBreak/>
        <w:drawing>
          <wp:inline distT="0" distB="0" distL="0" distR="0" wp14:anchorId="370A05C5" wp14:editId="39EF18D1">
            <wp:extent cx="5573395" cy="4219814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662" cy="422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B422F" w14:textId="77777777" w:rsidR="005A650C" w:rsidRDefault="005A650C" w:rsidP="005A650C">
      <w:pPr>
        <w:pStyle w:val="MDPI22heading2"/>
        <w:spacing w:before="0" w:after="0" w:line="240" w:lineRule="auto"/>
        <w:ind w:firstLine="510"/>
        <w:jc w:val="both"/>
        <w:rPr>
          <w:i w:val="0"/>
        </w:rPr>
      </w:pPr>
    </w:p>
    <w:p w14:paraId="1646CF42" w14:textId="77777777" w:rsidR="005A650C" w:rsidRPr="005F6406" w:rsidRDefault="005A650C" w:rsidP="00DE4D3B">
      <w:pPr>
        <w:pStyle w:val="MDPI22heading2"/>
        <w:spacing w:before="0" w:after="0" w:line="240" w:lineRule="auto"/>
        <w:ind w:left="426"/>
        <w:jc w:val="both"/>
        <w:rPr>
          <w:i w:val="0"/>
          <w:sz w:val="18"/>
          <w:szCs w:val="18"/>
        </w:rPr>
      </w:pPr>
      <w:r w:rsidRPr="005F6406">
        <w:rPr>
          <w:b/>
          <w:bCs/>
          <w:i w:val="0"/>
          <w:sz w:val="18"/>
          <w:szCs w:val="18"/>
        </w:rPr>
        <w:t>Figure S2.</w:t>
      </w:r>
      <w:r w:rsidRPr="005F6406">
        <w:rPr>
          <w:i w:val="0"/>
          <w:sz w:val="18"/>
          <w:szCs w:val="18"/>
        </w:rPr>
        <w:t xml:space="preserve"> Distribution of </w:t>
      </w:r>
      <w:r>
        <w:rPr>
          <w:i w:val="0"/>
          <w:sz w:val="18"/>
          <w:szCs w:val="18"/>
        </w:rPr>
        <w:t>IR-Glint</w:t>
      </w:r>
      <w:r w:rsidRPr="005F6406">
        <w:rPr>
          <w:i w:val="0"/>
          <w:sz w:val="18"/>
          <w:szCs w:val="18"/>
        </w:rPr>
        <w:t xml:space="preserve"> in healthy mice after intravenous injection registered at Brightfield (1), IR fluorescence (F). Mice prior injection (A), 5 minutes (B), 40 minutes (C), 90 minutes (D), and 24 hours (E) after the tail vein injection. Accumulation of </w:t>
      </w:r>
      <w:r>
        <w:rPr>
          <w:i w:val="0"/>
          <w:sz w:val="18"/>
          <w:szCs w:val="18"/>
        </w:rPr>
        <w:t>IR-Glint</w:t>
      </w:r>
      <w:r w:rsidRPr="005F6406">
        <w:rPr>
          <w:i w:val="0"/>
          <w:sz w:val="18"/>
          <w:szCs w:val="18"/>
        </w:rPr>
        <w:t xml:space="preserve"> in organs (F): 1 - brain, 2 – kidneys, 3 - spleen, 4 - liver, 5 - intestines, 6 - gallbladder, 7 - lungs, and 8 - heart.</w:t>
      </w:r>
    </w:p>
    <w:p w14:paraId="2016AF67" w14:textId="47562D4D" w:rsidR="005A650C" w:rsidRDefault="005A650C" w:rsidP="005A650C">
      <w:pPr>
        <w:pStyle w:val="a3"/>
        <w:spacing w:before="240" w:after="60" w:line="228" w:lineRule="auto"/>
        <w:ind w:left="2608"/>
        <w:rPr>
          <w:rFonts w:eastAsia="Times New Roman"/>
          <w:snapToGrid w:val="0"/>
          <w:sz w:val="18"/>
          <w:szCs w:val="18"/>
          <w:lang w:eastAsia="de-DE" w:bidi="en-US"/>
        </w:rPr>
      </w:pPr>
    </w:p>
    <w:p w14:paraId="47B8DC6E" w14:textId="77777777" w:rsidR="005A650C" w:rsidRDefault="005A650C" w:rsidP="00DE4D3B">
      <w:pPr>
        <w:pStyle w:val="MDPI22heading2"/>
        <w:spacing w:before="0" w:after="0" w:line="240" w:lineRule="auto"/>
        <w:ind w:left="567"/>
        <w:jc w:val="both"/>
        <w:rPr>
          <w:i w:val="0"/>
        </w:rPr>
      </w:pPr>
      <w:r w:rsidRPr="009334CE">
        <w:rPr>
          <w:i w:val="0"/>
        </w:rPr>
        <w:drawing>
          <wp:inline distT="0" distB="0" distL="0" distR="0" wp14:anchorId="400A6FBD" wp14:editId="25474347">
            <wp:extent cx="5560047" cy="253405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0893" cy="254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4F5D" w14:textId="77777777" w:rsidR="005A650C" w:rsidRPr="005F6406" w:rsidRDefault="005A650C" w:rsidP="00DE4D3B">
      <w:pPr>
        <w:pStyle w:val="MDPI22heading2"/>
        <w:spacing w:line="240" w:lineRule="auto"/>
        <w:ind w:left="567"/>
        <w:jc w:val="both"/>
        <w:rPr>
          <w:i w:val="0"/>
          <w:sz w:val="18"/>
          <w:szCs w:val="18"/>
        </w:rPr>
      </w:pPr>
      <w:r w:rsidRPr="005F6406">
        <w:rPr>
          <w:b/>
          <w:bCs/>
          <w:i w:val="0"/>
          <w:sz w:val="18"/>
          <w:szCs w:val="18"/>
        </w:rPr>
        <w:t>Figure S3.</w:t>
      </w:r>
      <w:r w:rsidRPr="005F6406">
        <w:rPr>
          <w:i w:val="0"/>
          <w:sz w:val="18"/>
          <w:szCs w:val="18"/>
        </w:rPr>
        <w:t xml:space="preserve"> Distribution of </w:t>
      </w:r>
      <w:r>
        <w:rPr>
          <w:i w:val="0"/>
          <w:sz w:val="18"/>
          <w:szCs w:val="18"/>
        </w:rPr>
        <w:t>IR-Glint</w:t>
      </w:r>
      <w:r w:rsidRPr="005F6406">
        <w:rPr>
          <w:i w:val="0"/>
          <w:sz w:val="18"/>
          <w:szCs w:val="18"/>
        </w:rPr>
        <w:t xml:space="preserve"> in healthy mice with intracranial window after sub</w:t>
      </w:r>
      <w:r>
        <w:rPr>
          <w:i w:val="0"/>
          <w:sz w:val="18"/>
          <w:szCs w:val="18"/>
        </w:rPr>
        <w:t>c</w:t>
      </w:r>
      <w:r w:rsidRPr="005F6406">
        <w:rPr>
          <w:i w:val="0"/>
          <w:sz w:val="18"/>
          <w:szCs w:val="18"/>
        </w:rPr>
        <w:t>utaneous injection registered at Brightfield (1), IR fluorescence (</w:t>
      </w:r>
      <w:r>
        <w:rPr>
          <w:i w:val="0"/>
          <w:sz w:val="18"/>
          <w:szCs w:val="18"/>
        </w:rPr>
        <w:t>2</w:t>
      </w:r>
      <w:r w:rsidRPr="005F6406">
        <w:rPr>
          <w:i w:val="0"/>
          <w:sz w:val="18"/>
          <w:szCs w:val="18"/>
        </w:rPr>
        <w:t xml:space="preserve">). Mice 5 minutes (A), 40 minutes (B), 90 minutes (C). Accumulation of </w:t>
      </w:r>
      <w:r>
        <w:rPr>
          <w:i w:val="0"/>
          <w:sz w:val="18"/>
          <w:szCs w:val="18"/>
        </w:rPr>
        <w:t>IR-Glint</w:t>
      </w:r>
      <w:r w:rsidRPr="005F6406">
        <w:rPr>
          <w:i w:val="0"/>
          <w:sz w:val="18"/>
          <w:szCs w:val="18"/>
        </w:rPr>
        <w:t xml:space="preserve"> in organs (D): 1 – brain, 2 – kidneys, 3 – spleen, 4 – liver, 5 – intestines, 6 – gallbladder, 7 – lungs, and 8 – heart, 9 – peritoneal fat.</w:t>
      </w:r>
    </w:p>
    <w:p w14:paraId="454FB591" w14:textId="77777777" w:rsidR="005A650C" w:rsidRDefault="005A650C" w:rsidP="00DE4D3B">
      <w:pPr>
        <w:pStyle w:val="MDPI22heading2"/>
        <w:spacing w:before="0" w:after="0" w:line="240" w:lineRule="auto"/>
        <w:ind w:left="567"/>
        <w:jc w:val="center"/>
        <w:rPr>
          <w:i w:val="0"/>
          <w:color w:val="FF0000"/>
        </w:rPr>
      </w:pPr>
      <w:r w:rsidRPr="00D36F7D">
        <w:rPr>
          <w:i w:val="0"/>
          <w:color w:val="FF0000"/>
        </w:rPr>
        <w:lastRenderedPageBreak/>
        <w:drawing>
          <wp:inline distT="0" distB="0" distL="0" distR="0" wp14:anchorId="655A9798" wp14:editId="5F767E01">
            <wp:extent cx="3083360" cy="3215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9510" cy="32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544BC" w14:textId="77777777" w:rsidR="005A650C" w:rsidRDefault="005A650C" w:rsidP="00DE4D3B">
      <w:pPr>
        <w:pStyle w:val="MDPI22heading2"/>
        <w:spacing w:before="0" w:after="0" w:line="240" w:lineRule="auto"/>
        <w:ind w:left="567"/>
        <w:jc w:val="both"/>
        <w:rPr>
          <w:i w:val="0"/>
          <w:sz w:val="18"/>
          <w:szCs w:val="18"/>
        </w:rPr>
      </w:pPr>
      <w:r w:rsidRPr="005F6406">
        <w:rPr>
          <w:b/>
          <w:bCs/>
          <w:i w:val="0"/>
          <w:color w:val="auto"/>
          <w:sz w:val="18"/>
          <w:szCs w:val="18"/>
        </w:rPr>
        <w:t>Figure S4.</w:t>
      </w:r>
      <w:r w:rsidRPr="005F6406">
        <w:rPr>
          <w:i w:val="0"/>
          <w:color w:val="auto"/>
          <w:sz w:val="18"/>
          <w:szCs w:val="18"/>
        </w:rPr>
        <w:t xml:space="preserve"> Backgraund IR frluorescence </w:t>
      </w:r>
      <w:r w:rsidRPr="005F6406">
        <w:rPr>
          <w:i w:val="0"/>
          <w:sz w:val="18"/>
          <w:szCs w:val="18"/>
        </w:rPr>
        <w:t xml:space="preserve">(A2, B2) and light microscopy (A1, B1) </w:t>
      </w:r>
      <w:r w:rsidRPr="005F6406">
        <w:rPr>
          <w:i w:val="0"/>
          <w:color w:val="auto"/>
          <w:sz w:val="18"/>
          <w:szCs w:val="18"/>
        </w:rPr>
        <w:t xml:space="preserve">of </w:t>
      </w:r>
      <w:r w:rsidRPr="005F6406">
        <w:rPr>
          <w:i w:val="0"/>
          <w:sz w:val="18"/>
          <w:szCs w:val="18"/>
        </w:rPr>
        <w:t xml:space="preserve">ortotopicaly xenotransplanted glioblastoma (A1, arrow 1), tumor inside the skull (B1, arrow 2) and organs (B1) without </w:t>
      </w:r>
      <w:r>
        <w:rPr>
          <w:i w:val="0"/>
          <w:sz w:val="18"/>
          <w:szCs w:val="18"/>
        </w:rPr>
        <w:t>IR-Glint</w:t>
      </w:r>
      <w:r w:rsidRPr="005F6406">
        <w:rPr>
          <w:i w:val="0"/>
          <w:sz w:val="18"/>
          <w:szCs w:val="18"/>
        </w:rPr>
        <w:t xml:space="preserve"> administration. H&amp;E staining </w:t>
      </w:r>
      <w:r>
        <w:rPr>
          <w:i w:val="0"/>
          <w:sz w:val="18"/>
          <w:szCs w:val="18"/>
        </w:rPr>
        <w:t xml:space="preserve">confirmed </w:t>
      </w:r>
      <w:r w:rsidRPr="005F6406">
        <w:rPr>
          <w:i w:val="0"/>
          <w:sz w:val="18"/>
          <w:szCs w:val="18"/>
        </w:rPr>
        <w:t>gli</w:t>
      </w:r>
      <w:r>
        <w:rPr>
          <w:i w:val="0"/>
          <w:sz w:val="18"/>
          <w:szCs w:val="18"/>
        </w:rPr>
        <w:t xml:space="preserve">al tumor formation in mice brains </w:t>
      </w:r>
      <w:r w:rsidRPr="005F6406">
        <w:rPr>
          <w:i w:val="0"/>
          <w:sz w:val="18"/>
          <w:szCs w:val="18"/>
        </w:rPr>
        <w:t>(A3) and inside the skull (B3, B4).</w:t>
      </w:r>
    </w:p>
    <w:p w14:paraId="24E6F8C4" w14:textId="77777777" w:rsidR="005A650C" w:rsidRPr="001F31D1" w:rsidRDefault="005A650C" w:rsidP="00DE4D3B">
      <w:pPr>
        <w:pStyle w:val="MDPI22heading2"/>
        <w:spacing w:before="240"/>
        <w:ind w:left="567"/>
      </w:pPr>
      <w:r w:rsidRPr="003E20D6">
        <w:rPr>
          <w:rFonts w:asciiTheme="minorHAnsi" w:hAnsiTheme="minorHAnsi"/>
          <w:b/>
          <w:i w:val="0"/>
          <w:lang w:val="ru-RU"/>
        </w:rPr>
        <w:drawing>
          <wp:inline distT="0" distB="0" distL="0" distR="0" wp14:anchorId="3ED9C364" wp14:editId="4329B08A">
            <wp:extent cx="5029386" cy="3987800"/>
            <wp:effectExtent l="0" t="0" r="0" b="0"/>
            <wp:docPr id="10" name="Рисунок 10" descr="Z:\Documents\Галя\Наши статьи\Глиома Сколково\Toxic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ocuments\Галя\Наши статьи\Глиома Сколково\Toxicit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93" cy="400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22CB4" w14:textId="61FAF0A8" w:rsidR="005A650C" w:rsidRPr="005E1DB6" w:rsidRDefault="005A650C" w:rsidP="00DE4D3B">
      <w:pPr>
        <w:pStyle w:val="MDPI21heading1"/>
        <w:spacing w:before="0" w:after="0" w:line="240" w:lineRule="auto"/>
        <w:ind w:left="567"/>
        <w:jc w:val="both"/>
        <w:rPr>
          <w:b w:val="0"/>
        </w:rPr>
      </w:pPr>
      <w:r w:rsidRPr="00474510">
        <w:rPr>
          <w:sz w:val="18"/>
          <w:szCs w:val="18"/>
        </w:rPr>
        <w:t xml:space="preserve">Figure </w:t>
      </w:r>
      <w:r>
        <w:rPr>
          <w:sz w:val="18"/>
          <w:szCs w:val="18"/>
        </w:rPr>
        <w:t>S</w:t>
      </w:r>
      <w:r w:rsidRPr="00474510">
        <w:rPr>
          <w:sz w:val="18"/>
          <w:szCs w:val="18"/>
        </w:rPr>
        <w:t>5.</w:t>
      </w:r>
      <w:r w:rsidRPr="001F0C50">
        <w:rPr>
          <w:sz w:val="18"/>
          <w:szCs w:val="18"/>
        </w:rPr>
        <w:t xml:space="preserve"> </w:t>
      </w:r>
      <w:r w:rsidRPr="005E1DB6">
        <w:rPr>
          <w:b w:val="0"/>
        </w:rPr>
        <w:t xml:space="preserve">Blood biochemical parameters of mice injected with IR-Glint (pooled Gli-233nt and Gli-55_3L). </w:t>
      </w:r>
    </w:p>
    <w:p w14:paraId="5014C43B" w14:textId="77777777" w:rsidR="005A650C" w:rsidRPr="00E55960" w:rsidRDefault="005A650C" w:rsidP="005A650C">
      <w:pPr>
        <w:pStyle w:val="a3"/>
        <w:spacing w:before="240" w:after="60" w:line="228" w:lineRule="auto"/>
        <w:ind w:left="2608"/>
        <w:rPr>
          <w:rFonts w:eastAsia="Times New Roman"/>
          <w:snapToGrid w:val="0"/>
          <w:sz w:val="18"/>
          <w:szCs w:val="18"/>
          <w:lang w:eastAsia="de-DE" w:bidi="en-US"/>
        </w:rPr>
      </w:pPr>
    </w:p>
    <w:p w14:paraId="0514A13B" w14:textId="77777777" w:rsidR="000D11FC" w:rsidRPr="005A650C" w:rsidRDefault="000D11FC">
      <w:pPr>
        <w:rPr>
          <w:lang w:val="en-US"/>
        </w:rPr>
      </w:pPr>
    </w:p>
    <w:sectPr w:rsidR="000D11FC" w:rsidRPr="005A6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50C"/>
    <w:rsid w:val="000D11FC"/>
    <w:rsid w:val="005177B9"/>
    <w:rsid w:val="0052282B"/>
    <w:rsid w:val="005A650C"/>
    <w:rsid w:val="006C4D4B"/>
    <w:rsid w:val="00BC65C2"/>
    <w:rsid w:val="00DE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B3BEF"/>
  <w15:chartTrackingRefBased/>
  <w15:docId w15:val="{1A1B078C-DF12-47BC-A56E-BC02F0B99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22heading2">
    <w:name w:val="MDPI_2.2_heading2"/>
    <w:qFormat/>
    <w:rsid w:val="005A650C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lang w:val="en-US" w:eastAsia="de-DE" w:bidi="en-US"/>
    </w:rPr>
  </w:style>
  <w:style w:type="paragraph" w:styleId="a3">
    <w:name w:val="Normal (Web)"/>
    <w:basedOn w:val="a"/>
    <w:uiPriority w:val="99"/>
    <w:rsid w:val="005A650C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4"/>
      <w:lang w:val="en-US" w:eastAsia="zh-CN"/>
    </w:rPr>
  </w:style>
  <w:style w:type="paragraph" w:customStyle="1" w:styleId="MDPI21heading1">
    <w:name w:val="MDPI_2.1_heading1"/>
    <w:qFormat/>
    <w:rsid w:val="005A650C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val="en-US" w:eastAsia="de-DE" w:bidi="en-US"/>
    </w:rPr>
  </w:style>
  <w:style w:type="paragraph" w:customStyle="1" w:styleId="MDPI12title">
    <w:name w:val="MDPI_1.2_title"/>
    <w:next w:val="a"/>
    <w:qFormat/>
    <w:rsid w:val="00DE4D3B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a"/>
    <w:qFormat/>
    <w:rsid w:val="00DE4D3B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6affiliation">
    <w:name w:val="MDPI_1.6_affiliation"/>
    <w:qFormat/>
    <w:rsid w:val="00DE4D3B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a4">
    <w:name w:val="Hyperlink"/>
    <w:uiPriority w:val="99"/>
    <w:rsid w:val="00DE4D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</Words>
  <Characters>1458</Characters>
  <Application>Microsoft Office Word</Application>
  <DocSecurity>0</DocSecurity>
  <Lines>23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</dc:creator>
  <cp:keywords/>
  <dc:description/>
  <cp:lastModifiedBy>AZ</cp:lastModifiedBy>
  <cp:revision>3</cp:revision>
  <dcterms:created xsi:type="dcterms:W3CDTF">2023-11-23T19:00:00Z</dcterms:created>
  <dcterms:modified xsi:type="dcterms:W3CDTF">2023-11-23T19:01:00Z</dcterms:modified>
</cp:coreProperties>
</file>