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Times New Roman" w:hAnsi="Times New Roman" w:eastAsia="宋体"/>
          <w:b/>
          <w:bCs/>
          <w:sz w:val="32"/>
          <w:szCs w:val="32"/>
        </w:rPr>
      </w:pPr>
      <w:bookmarkStart w:id="6" w:name="_GoBack"/>
      <w:bookmarkEnd w:id="6"/>
      <w:r>
        <w:rPr>
          <w:rFonts w:ascii="Times New Roman" w:hAnsi="Times New Roman" w:eastAsia="宋体"/>
          <w:b/>
          <w:bCs/>
          <w:sz w:val="32"/>
          <w:szCs w:val="32"/>
        </w:rPr>
        <w:t>Supplemental Material</w:t>
      </w:r>
    </w:p>
    <w:p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eastAsia="宋体"/>
          <w:b/>
          <w:bCs/>
          <w:sz w:val="32"/>
          <w:szCs w:val="32"/>
        </w:rPr>
        <w:br w:type="page"/>
      </w:r>
      <w:r>
        <w:rPr>
          <w:rFonts w:ascii="Times New Roman" w:hAnsi="Times New Roman"/>
          <w:b/>
          <w:sz w:val="24"/>
          <w:szCs w:val="24"/>
        </w:rPr>
        <w:t>Table S1</w:t>
      </w:r>
      <w:r>
        <w:rPr>
          <w:rFonts w:ascii="Times New Roman" w:hAnsi="Times New Roman"/>
          <w:bCs/>
          <w:sz w:val="24"/>
          <w:szCs w:val="24"/>
        </w:rPr>
        <w:t xml:space="preserve"> Profiles of volatiles in cherry tomatoes (2021). Values are mean ± SD of three independent experiments. ND: not detected; SW: surface water; HNW: hydrogen nanobubble water; SW+F: surface water plus fertilizers; HNW+F: hydrogen nanobubble water plus fertilizers.</w:t>
      </w:r>
    </w:p>
    <w:tbl>
      <w:tblPr>
        <w:tblStyle w:val="4"/>
        <w:tblW w:w="0" w:type="auto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236"/>
        <w:gridCol w:w="6167"/>
        <w:gridCol w:w="1395"/>
        <w:gridCol w:w="1418"/>
        <w:gridCol w:w="1418"/>
        <w:gridCol w:w="1478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836" w:type="dxa"/>
            <w:vMerge w:val="restart"/>
            <w:tcBorders>
              <w:top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bookmarkStart w:id="0" w:name="_Hlk98247116"/>
            <w:r>
              <w:rPr>
                <w:rFonts w:ascii="Times New Roman" w:hAnsi="Times New Roman"/>
                <w:szCs w:val="21"/>
              </w:rPr>
              <w:t>Code</w:t>
            </w:r>
          </w:p>
        </w:tc>
        <w:tc>
          <w:tcPr>
            <w:tcW w:w="1236" w:type="dxa"/>
            <w:vMerge w:val="restart"/>
            <w:tcBorders>
              <w:top w:val="single" w:color="auto" w:sz="8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Family</w:t>
            </w:r>
          </w:p>
        </w:tc>
        <w:tc>
          <w:tcPr>
            <w:tcW w:w="6167" w:type="dxa"/>
            <w:vMerge w:val="restart"/>
            <w:tcBorders>
              <w:top w:val="single" w:color="auto" w:sz="8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Compound</w:t>
            </w:r>
          </w:p>
        </w:tc>
        <w:tc>
          <w:tcPr>
            <w:tcW w:w="5709" w:type="dxa"/>
            <w:gridSpan w:val="4"/>
            <w:tcBorders>
              <w:top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Concentration (mg kg</w:t>
            </w:r>
            <w:r>
              <w:rPr>
                <w:rFonts w:ascii="Times New Roman" w:hAnsi="Times New Roman"/>
                <w:szCs w:val="21"/>
                <w:vertAlign w:val="superscript"/>
              </w:rPr>
              <w:t>-1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6" w:type="dxa"/>
            <w:vMerge w:val="continue"/>
            <w:tcBorders>
              <w:bottom w:val="single" w:color="auto" w:sz="8" w:space="0"/>
            </w:tcBorders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bottom w:val="single" w:color="auto" w:sz="8" w:space="0"/>
            </w:tcBorders>
            <w:noWrap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167" w:type="dxa"/>
            <w:vMerge w:val="continue"/>
            <w:tcBorders>
              <w:bottom w:val="single" w:color="auto" w:sz="8" w:space="0"/>
            </w:tcBorders>
            <w:noWrap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8" w:space="0"/>
              <w:bottom w:val="single" w:color="auto" w:sz="8" w:space="0"/>
            </w:tcBorders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SW</w:t>
            </w:r>
          </w:p>
        </w:tc>
        <w:tc>
          <w:tcPr>
            <w:tcW w:w="1418" w:type="dxa"/>
            <w:tcBorders>
              <w:top w:val="single" w:color="auto" w:sz="8" w:space="0"/>
              <w:bottom w:val="single" w:color="auto" w:sz="8" w:space="0"/>
            </w:tcBorders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HNW</w:t>
            </w:r>
          </w:p>
        </w:tc>
        <w:tc>
          <w:tcPr>
            <w:tcW w:w="1418" w:type="dxa"/>
            <w:tcBorders>
              <w:top w:val="single" w:color="auto" w:sz="8" w:space="0"/>
              <w:bottom w:val="single" w:color="auto" w:sz="8" w:space="0"/>
            </w:tcBorders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SW+F</w:t>
            </w:r>
          </w:p>
        </w:tc>
        <w:tc>
          <w:tcPr>
            <w:tcW w:w="1478" w:type="dxa"/>
            <w:tcBorders>
              <w:top w:val="single" w:color="auto" w:sz="8" w:space="0"/>
              <w:bottom w:val="single" w:color="auto" w:sz="8" w:space="0"/>
            </w:tcBorders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HNW+F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6" w:type="dxa"/>
            <w:tcBorders>
              <w:top w:val="single" w:color="auto" w:sz="8" w:space="0"/>
            </w:tcBorders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236" w:type="dxa"/>
            <w:tcBorders>
              <w:top w:val="single" w:color="auto" w:sz="8" w:space="0"/>
            </w:tcBorders>
            <w:noWrap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Aldehydes</w:t>
            </w:r>
          </w:p>
        </w:tc>
        <w:tc>
          <w:tcPr>
            <w:tcW w:w="6167" w:type="dxa"/>
            <w:tcBorders>
              <w:top w:val="single" w:color="auto" w:sz="8" w:space="0"/>
            </w:tcBorders>
            <w:noWrap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Hexanal</w:t>
            </w:r>
          </w:p>
        </w:tc>
        <w:tc>
          <w:tcPr>
            <w:tcW w:w="1395" w:type="dxa"/>
            <w:tcBorders>
              <w:top w:val="single" w:color="auto" w:sz="8" w:space="0"/>
            </w:tcBorders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0.278±0.052</w:t>
            </w:r>
          </w:p>
        </w:tc>
        <w:tc>
          <w:tcPr>
            <w:tcW w:w="1418" w:type="dxa"/>
            <w:tcBorders>
              <w:top w:val="single" w:color="auto" w:sz="8" w:space="0"/>
            </w:tcBorders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0.463±0.050</w:t>
            </w:r>
          </w:p>
        </w:tc>
        <w:tc>
          <w:tcPr>
            <w:tcW w:w="1418" w:type="dxa"/>
            <w:tcBorders>
              <w:top w:val="single" w:color="auto" w:sz="8" w:space="0"/>
            </w:tcBorders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0.179±0.031</w:t>
            </w:r>
          </w:p>
        </w:tc>
        <w:tc>
          <w:tcPr>
            <w:tcW w:w="1478" w:type="dxa"/>
            <w:tcBorders>
              <w:top w:val="single" w:color="auto" w:sz="8" w:space="0"/>
            </w:tcBorders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0.447±0.036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6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236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(average proportion: 77.1%)</w:t>
            </w:r>
          </w:p>
        </w:tc>
        <w:tc>
          <w:tcPr>
            <w:tcW w:w="6167" w:type="dxa"/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(E)-2-Hexenal</w:t>
            </w:r>
          </w:p>
        </w:tc>
        <w:tc>
          <w:tcPr>
            <w:tcW w:w="139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0.431±0.049</w:t>
            </w: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0.444±0.000</w:t>
            </w: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0.362±0.014</w:t>
            </w:r>
          </w:p>
        </w:tc>
        <w:tc>
          <w:tcPr>
            <w:tcW w:w="14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0.294±0.094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6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236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167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2-Methyl-4-pentenal</w:t>
            </w:r>
          </w:p>
        </w:tc>
        <w:tc>
          <w:tcPr>
            <w:tcW w:w="1395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0.122±0.009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0.031±0.044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0.121±0.007</w:t>
            </w:r>
          </w:p>
        </w:tc>
        <w:tc>
          <w:tcPr>
            <w:tcW w:w="147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0.017±0.024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6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236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167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Methional</w:t>
            </w:r>
          </w:p>
        </w:tc>
        <w:tc>
          <w:tcPr>
            <w:tcW w:w="1395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0.002±0.003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0.004±0.006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0.007±0.001</w:t>
            </w:r>
          </w:p>
        </w:tc>
        <w:tc>
          <w:tcPr>
            <w:tcW w:w="147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0.003±0.005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6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236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167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Benzeneacetaldehyde</w:t>
            </w:r>
          </w:p>
        </w:tc>
        <w:tc>
          <w:tcPr>
            <w:tcW w:w="1395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0.035±0.001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0.008±0.011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0.043±0.001</w:t>
            </w:r>
          </w:p>
        </w:tc>
        <w:tc>
          <w:tcPr>
            <w:tcW w:w="147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0.034±0.008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6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1236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167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Decanal</w:t>
            </w:r>
          </w:p>
        </w:tc>
        <w:tc>
          <w:tcPr>
            <w:tcW w:w="1395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0.004±0.001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0.002±0.003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0.005±0.001</w:t>
            </w:r>
          </w:p>
        </w:tc>
        <w:tc>
          <w:tcPr>
            <w:tcW w:w="147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0.006±0.000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6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1236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167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(E,E)-2,4-Hexadienal</w:t>
            </w:r>
          </w:p>
        </w:tc>
        <w:tc>
          <w:tcPr>
            <w:tcW w:w="1395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0.012±0.001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0.022±0.019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0.015±0.002</w:t>
            </w:r>
          </w:p>
        </w:tc>
        <w:tc>
          <w:tcPr>
            <w:tcW w:w="147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0.006±0.001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6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1236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167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(Z)-2-Heptenal</w:t>
            </w:r>
          </w:p>
        </w:tc>
        <w:tc>
          <w:tcPr>
            <w:tcW w:w="1395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0.007±0.001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0.002±0.003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0.003±0.004</w:t>
            </w:r>
          </w:p>
        </w:tc>
        <w:tc>
          <w:tcPr>
            <w:tcW w:w="147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0.016±0.007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6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1236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167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(E)-4-Oxohex-2-enal</w:t>
            </w:r>
          </w:p>
        </w:tc>
        <w:tc>
          <w:tcPr>
            <w:tcW w:w="1395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0.022±0.007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0.024±0.012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0.034±0.001</w:t>
            </w:r>
          </w:p>
        </w:tc>
        <w:tc>
          <w:tcPr>
            <w:tcW w:w="147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0.012±0.016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6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1236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167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Nonanal, 3-(methylthio)-</w:t>
            </w:r>
          </w:p>
        </w:tc>
        <w:tc>
          <w:tcPr>
            <w:tcW w:w="1395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0.002±0.003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  <w:tc>
          <w:tcPr>
            <w:tcW w:w="147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0.002±0.003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6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1236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167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Nonanal</w:t>
            </w:r>
          </w:p>
        </w:tc>
        <w:tc>
          <w:tcPr>
            <w:tcW w:w="1395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0.014±0.019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  <w:tc>
          <w:tcPr>
            <w:tcW w:w="147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0.047±0.029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6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1236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167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5-Methyl-hexanal</w:t>
            </w:r>
          </w:p>
        </w:tc>
        <w:tc>
          <w:tcPr>
            <w:tcW w:w="1395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0.002±0.003</w:t>
            </w:r>
          </w:p>
        </w:tc>
        <w:tc>
          <w:tcPr>
            <w:tcW w:w="147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6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1236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167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(E)-2-Octenal</w:t>
            </w:r>
          </w:p>
        </w:tc>
        <w:tc>
          <w:tcPr>
            <w:tcW w:w="1395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  <w:tc>
          <w:tcPr>
            <w:tcW w:w="147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0.008±0.011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6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</w:t>
            </w:r>
          </w:p>
        </w:tc>
        <w:tc>
          <w:tcPr>
            <w:tcW w:w="1236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167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(E)-2-Nonenal</w:t>
            </w:r>
          </w:p>
        </w:tc>
        <w:tc>
          <w:tcPr>
            <w:tcW w:w="1395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0.002±0.003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  <w:tc>
          <w:tcPr>
            <w:tcW w:w="147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6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</w:t>
            </w:r>
          </w:p>
        </w:tc>
        <w:tc>
          <w:tcPr>
            <w:tcW w:w="1236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Alcohols</w:t>
            </w:r>
          </w:p>
        </w:tc>
        <w:tc>
          <w:tcPr>
            <w:tcW w:w="6167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trans-1,2-Cyclopentanediol</w:t>
            </w:r>
          </w:p>
        </w:tc>
        <w:tc>
          <w:tcPr>
            <w:tcW w:w="1395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0.048±0.004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0.060±0.006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0.034±0.013</w:t>
            </w:r>
          </w:p>
        </w:tc>
        <w:tc>
          <w:tcPr>
            <w:tcW w:w="147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0.020±0.002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6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</w:t>
            </w:r>
          </w:p>
        </w:tc>
        <w:tc>
          <w:tcPr>
            <w:tcW w:w="1236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(average proportion: 12.3%)</w:t>
            </w:r>
          </w:p>
        </w:tc>
        <w:tc>
          <w:tcPr>
            <w:tcW w:w="6167" w:type="dxa"/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2-Ethyl-1-hexanol</w:t>
            </w:r>
          </w:p>
        </w:tc>
        <w:tc>
          <w:tcPr>
            <w:tcW w:w="139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0.010±0.000</w:t>
            </w: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0.004±0.006</w:t>
            </w: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0.007±0.001</w:t>
            </w:r>
          </w:p>
        </w:tc>
        <w:tc>
          <w:tcPr>
            <w:tcW w:w="14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0.004±0.006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6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</w:t>
            </w:r>
          </w:p>
        </w:tc>
        <w:tc>
          <w:tcPr>
            <w:tcW w:w="1236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167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Phenylethyl alcohol</w:t>
            </w:r>
          </w:p>
        </w:tc>
        <w:tc>
          <w:tcPr>
            <w:tcW w:w="1395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0.075±0.002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0.075±0.001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0.089±0.005</w:t>
            </w:r>
          </w:p>
        </w:tc>
        <w:tc>
          <w:tcPr>
            <w:tcW w:w="147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0.069±0.011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6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</w:t>
            </w:r>
          </w:p>
        </w:tc>
        <w:tc>
          <w:tcPr>
            <w:tcW w:w="1236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167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2,4,6-Trimethyl-1,6-heptadien-4-ol</w:t>
            </w:r>
          </w:p>
        </w:tc>
        <w:tc>
          <w:tcPr>
            <w:tcW w:w="1395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0.023±0.000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0.009±0.012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0.006±0.009</w:t>
            </w:r>
          </w:p>
        </w:tc>
        <w:tc>
          <w:tcPr>
            <w:tcW w:w="147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0.007±0.010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6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</w:t>
            </w:r>
          </w:p>
        </w:tc>
        <w:tc>
          <w:tcPr>
            <w:tcW w:w="1236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167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Benzene-1,2-diol, 4-(2-guanidinothiazol-4-yl)-</w:t>
            </w:r>
          </w:p>
        </w:tc>
        <w:tc>
          <w:tcPr>
            <w:tcW w:w="1395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0.005±0.000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0.003±0.004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0.004±0.000</w:t>
            </w:r>
          </w:p>
        </w:tc>
        <w:tc>
          <w:tcPr>
            <w:tcW w:w="147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6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1236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167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3-Hepten-1-ol</w:t>
            </w:r>
          </w:p>
        </w:tc>
        <w:tc>
          <w:tcPr>
            <w:tcW w:w="1395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0.001±0.002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0.008±0.004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  <w:tc>
          <w:tcPr>
            <w:tcW w:w="147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6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</w:t>
            </w:r>
          </w:p>
        </w:tc>
        <w:tc>
          <w:tcPr>
            <w:tcW w:w="1236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167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cis-1,3-Cyclopentanediol</w:t>
            </w:r>
          </w:p>
        </w:tc>
        <w:tc>
          <w:tcPr>
            <w:tcW w:w="1395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0.004±0.006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  <w:tc>
          <w:tcPr>
            <w:tcW w:w="147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6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</w:t>
            </w:r>
          </w:p>
        </w:tc>
        <w:tc>
          <w:tcPr>
            <w:tcW w:w="1236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167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cis-2-Methylcyclohexanol</w:t>
            </w:r>
          </w:p>
        </w:tc>
        <w:tc>
          <w:tcPr>
            <w:tcW w:w="1395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0.004±0.001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  <w:tc>
          <w:tcPr>
            <w:tcW w:w="147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6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</w:t>
            </w:r>
          </w:p>
        </w:tc>
        <w:tc>
          <w:tcPr>
            <w:tcW w:w="1236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167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5-Methyl-5-hexen-2-ol</w:t>
            </w:r>
          </w:p>
        </w:tc>
        <w:tc>
          <w:tcPr>
            <w:tcW w:w="1395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0.002±0.003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  <w:tc>
          <w:tcPr>
            <w:tcW w:w="147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6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</w:t>
            </w:r>
          </w:p>
        </w:tc>
        <w:tc>
          <w:tcPr>
            <w:tcW w:w="1236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167" w:type="dxa"/>
            <w:noWrap/>
          </w:tcPr>
          <w:p>
            <w:pPr>
              <w:rPr>
                <w:rFonts w:ascii="Times New Roman" w:hAnsi="Times New Roman"/>
                <w:szCs w:val="21"/>
                <w:lang w:val="it-IT"/>
              </w:rPr>
            </w:pPr>
            <w:r>
              <w:rPr>
                <w:rFonts w:ascii="Times New Roman" w:hAnsi="Times New Roman"/>
                <w:szCs w:val="21"/>
                <w:lang w:val="it-IT"/>
              </w:rPr>
              <w:t>E,E-2,6-Dimethyl-3,5,7-octatriene-2-ol</w:t>
            </w:r>
          </w:p>
        </w:tc>
        <w:tc>
          <w:tcPr>
            <w:tcW w:w="1395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0.001±0.002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  <w:tc>
          <w:tcPr>
            <w:tcW w:w="147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0.003±0.001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6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25</w:t>
            </w:r>
          </w:p>
        </w:tc>
        <w:tc>
          <w:tcPr>
            <w:tcW w:w="1236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Esters </w:t>
            </w:r>
          </w:p>
        </w:tc>
        <w:tc>
          <w:tcPr>
            <w:tcW w:w="6167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Carbamic acid, (2-methylphenyl)methyl ester</w:t>
            </w:r>
          </w:p>
        </w:tc>
        <w:tc>
          <w:tcPr>
            <w:tcW w:w="1395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0.019±0.003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0.009±0.002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0.020±0.002</w:t>
            </w:r>
          </w:p>
        </w:tc>
        <w:tc>
          <w:tcPr>
            <w:tcW w:w="147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0.026±0.005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6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26</w:t>
            </w:r>
          </w:p>
        </w:tc>
        <w:tc>
          <w:tcPr>
            <w:tcW w:w="1236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(average proportion: 1.9%)</w:t>
            </w:r>
          </w:p>
        </w:tc>
        <w:tc>
          <w:tcPr>
            <w:tcW w:w="6167" w:type="dxa"/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Decanoic acid, ethyl ester</w:t>
            </w:r>
          </w:p>
        </w:tc>
        <w:tc>
          <w:tcPr>
            <w:tcW w:w="139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0.004±0.000</w:t>
            </w: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0.002±0.004</w:t>
            </w:r>
          </w:p>
        </w:tc>
        <w:tc>
          <w:tcPr>
            <w:tcW w:w="14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0.005±0.000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6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27</w:t>
            </w:r>
          </w:p>
        </w:tc>
        <w:tc>
          <w:tcPr>
            <w:tcW w:w="1236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167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Isobutyl acrylate</w:t>
            </w:r>
          </w:p>
        </w:tc>
        <w:tc>
          <w:tcPr>
            <w:tcW w:w="1395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0.002±0.003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  <w:tc>
          <w:tcPr>
            <w:tcW w:w="147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0.001±0.002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6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28</w:t>
            </w:r>
          </w:p>
        </w:tc>
        <w:tc>
          <w:tcPr>
            <w:tcW w:w="1236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167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Oxalic acid, isohexyl neopentyl ester</w:t>
            </w:r>
          </w:p>
        </w:tc>
        <w:tc>
          <w:tcPr>
            <w:tcW w:w="1395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  <w:tc>
          <w:tcPr>
            <w:tcW w:w="147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0.001±0.001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6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29</w:t>
            </w:r>
          </w:p>
        </w:tc>
        <w:tc>
          <w:tcPr>
            <w:tcW w:w="1236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Phenols (average proportion: 2.1%)</w:t>
            </w:r>
          </w:p>
        </w:tc>
        <w:tc>
          <w:tcPr>
            <w:tcW w:w="6167" w:type="dxa"/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2,4-Bis(1,1-dimethylethyl)-phenol</w:t>
            </w:r>
          </w:p>
        </w:tc>
        <w:tc>
          <w:tcPr>
            <w:tcW w:w="139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0.020±0.002</w:t>
            </w: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0.022±0.006</w:t>
            </w: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0.030±0.011</w:t>
            </w:r>
          </w:p>
        </w:tc>
        <w:tc>
          <w:tcPr>
            <w:tcW w:w="14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0.022±0.001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6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30</w:t>
            </w:r>
          </w:p>
        </w:tc>
        <w:tc>
          <w:tcPr>
            <w:tcW w:w="1236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Others (average proportion: 6.6%)</w:t>
            </w:r>
          </w:p>
        </w:tc>
        <w:tc>
          <w:tcPr>
            <w:tcW w:w="6167" w:type="dxa"/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L-Isoleucine</w:t>
            </w:r>
          </w:p>
        </w:tc>
        <w:tc>
          <w:tcPr>
            <w:tcW w:w="139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0.012±0.016</w:t>
            </w: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0.042±0.031</w:t>
            </w: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  <w:tc>
          <w:tcPr>
            <w:tcW w:w="14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6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31</w:t>
            </w:r>
          </w:p>
        </w:tc>
        <w:tc>
          <w:tcPr>
            <w:tcW w:w="1236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167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1,6-Anhydro-3,4-dideoxy-.beta.-D-manno-hexapyranose</w:t>
            </w:r>
          </w:p>
        </w:tc>
        <w:tc>
          <w:tcPr>
            <w:tcW w:w="1395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0.013±0.018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  <w:tc>
          <w:tcPr>
            <w:tcW w:w="147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0.012±0.006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6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32</w:t>
            </w:r>
          </w:p>
        </w:tc>
        <w:tc>
          <w:tcPr>
            <w:tcW w:w="1236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167" w:type="dxa"/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Benzene, 1-(1-hydroxyheptyl)-3-[1-(tetrahydropyran-2-yloxy)heptyl]-</w:t>
            </w:r>
          </w:p>
        </w:tc>
        <w:tc>
          <w:tcPr>
            <w:tcW w:w="139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0.006±0.008</w:t>
            </w: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0.005±0.007</w:t>
            </w:r>
          </w:p>
        </w:tc>
        <w:tc>
          <w:tcPr>
            <w:tcW w:w="14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6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33</w:t>
            </w:r>
          </w:p>
        </w:tc>
        <w:tc>
          <w:tcPr>
            <w:tcW w:w="1236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167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Oxetane, 2-methyl-4-propyl-</w:t>
            </w:r>
          </w:p>
        </w:tc>
        <w:tc>
          <w:tcPr>
            <w:tcW w:w="1395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0.006±0.000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0.003±0.004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0.002±0.003</w:t>
            </w:r>
          </w:p>
        </w:tc>
        <w:tc>
          <w:tcPr>
            <w:tcW w:w="147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0.002±0.003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6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34</w:t>
            </w:r>
          </w:p>
        </w:tc>
        <w:tc>
          <w:tcPr>
            <w:tcW w:w="1236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167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Benzyl nitrile</w:t>
            </w:r>
          </w:p>
        </w:tc>
        <w:tc>
          <w:tcPr>
            <w:tcW w:w="1395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0.014±0.000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0.004±0.005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0.011±0.000</w:t>
            </w:r>
          </w:p>
        </w:tc>
        <w:tc>
          <w:tcPr>
            <w:tcW w:w="147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0.022±0.011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6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35</w:t>
            </w:r>
          </w:p>
        </w:tc>
        <w:tc>
          <w:tcPr>
            <w:tcW w:w="1236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167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Octyl-oxirane</w:t>
            </w:r>
          </w:p>
        </w:tc>
        <w:tc>
          <w:tcPr>
            <w:tcW w:w="1395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0.005±0.000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  <w:tc>
          <w:tcPr>
            <w:tcW w:w="147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0.004±0.005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6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36</w:t>
            </w:r>
          </w:p>
        </w:tc>
        <w:tc>
          <w:tcPr>
            <w:tcW w:w="1236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167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Propanoic acid, 3-hydroxy-, hydrazide</w:t>
            </w:r>
          </w:p>
        </w:tc>
        <w:tc>
          <w:tcPr>
            <w:tcW w:w="1395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0.009±0.012</w:t>
            </w:r>
          </w:p>
        </w:tc>
        <w:tc>
          <w:tcPr>
            <w:tcW w:w="147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0.002±0.003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6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37</w:t>
            </w:r>
          </w:p>
        </w:tc>
        <w:tc>
          <w:tcPr>
            <w:tcW w:w="1236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167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4-(2,2,6-Trimethyl-7-oxabicyclo[4.1.0]hept-1-yl)-3-buten-2-one</w:t>
            </w:r>
          </w:p>
        </w:tc>
        <w:tc>
          <w:tcPr>
            <w:tcW w:w="1395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0.003±0.004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  <w:tc>
          <w:tcPr>
            <w:tcW w:w="147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0.003±0.001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6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38</w:t>
            </w:r>
          </w:p>
        </w:tc>
        <w:tc>
          <w:tcPr>
            <w:tcW w:w="1236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167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Bis(3-methylbutyl) fluorene-2,7-disulfonate</w:t>
            </w:r>
          </w:p>
        </w:tc>
        <w:tc>
          <w:tcPr>
            <w:tcW w:w="1395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0.004±0.000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0.004±0.000</w:t>
            </w:r>
          </w:p>
        </w:tc>
        <w:tc>
          <w:tcPr>
            <w:tcW w:w="147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0.004±0.005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6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39</w:t>
            </w:r>
          </w:p>
        </w:tc>
        <w:tc>
          <w:tcPr>
            <w:tcW w:w="1236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167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Hydroxylamine, O-decyl-</w:t>
            </w:r>
          </w:p>
        </w:tc>
        <w:tc>
          <w:tcPr>
            <w:tcW w:w="1395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0.006±0.001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0.005±0.001</w:t>
            </w:r>
          </w:p>
        </w:tc>
        <w:tc>
          <w:tcPr>
            <w:tcW w:w="147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0.003±0.004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6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40</w:t>
            </w:r>
          </w:p>
        </w:tc>
        <w:tc>
          <w:tcPr>
            <w:tcW w:w="1236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167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Decane, 6-ethyl-2-methyl-</w:t>
            </w:r>
          </w:p>
        </w:tc>
        <w:tc>
          <w:tcPr>
            <w:tcW w:w="1395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  <w:tc>
          <w:tcPr>
            <w:tcW w:w="147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0.001±0.001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6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41</w:t>
            </w:r>
          </w:p>
        </w:tc>
        <w:tc>
          <w:tcPr>
            <w:tcW w:w="1236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167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trans-β-Ionone</w:t>
            </w:r>
          </w:p>
        </w:tc>
        <w:tc>
          <w:tcPr>
            <w:tcW w:w="1395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  <w:tc>
          <w:tcPr>
            <w:tcW w:w="147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0.003±0.000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6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42</w:t>
            </w:r>
          </w:p>
        </w:tc>
        <w:tc>
          <w:tcPr>
            <w:tcW w:w="1236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167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1H-Pyrrole, 2,5-dihydro-1-nitroso-</w:t>
            </w:r>
          </w:p>
        </w:tc>
        <w:tc>
          <w:tcPr>
            <w:tcW w:w="1395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0.007±0.010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0.036±0.011</w:t>
            </w:r>
          </w:p>
        </w:tc>
        <w:tc>
          <w:tcPr>
            <w:tcW w:w="147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6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43</w:t>
            </w:r>
          </w:p>
        </w:tc>
        <w:tc>
          <w:tcPr>
            <w:tcW w:w="1236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167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2-Isobutylthiazole</w:t>
            </w:r>
          </w:p>
        </w:tc>
        <w:tc>
          <w:tcPr>
            <w:tcW w:w="1395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  <w:tc>
          <w:tcPr>
            <w:tcW w:w="147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0.022±0.022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6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44</w:t>
            </w:r>
          </w:p>
        </w:tc>
        <w:tc>
          <w:tcPr>
            <w:tcW w:w="1236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167" w:type="dxa"/>
            <w:noWrap/>
            <w:vAlign w:val="center"/>
          </w:tcPr>
          <w:p>
            <w:pPr>
              <w:rPr>
                <w:rFonts w:ascii="Times New Roman" w:hAnsi="Times New Roman"/>
                <w:szCs w:val="21"/>
                <w:lang w:val="it-IT"/>
              </w:rPr>
            </w:pPr>
            <w:r>
              <w:rPr>
                <w:rFonts w:ascii="Times New Roman" w:hAnsi="Times New Roman"/>
                <w:szCs w:val="21"/>
                <w:lang w:val="it-IT"/>
              </w:rPr>
              <w:t>Thieno[2,3-c]furan-3-carbonitrile, 2-amino-4,6-dihydro-4,4,6,6-tetramethyl-</w:t>
            </w:r>
          </w:p>
        </w:tc>
        <w:tc>
          <w:tcPr>
            <w:tcW w:w="139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0.003±0.005</w:t>
            </w:r>
          </w:p>
        </w:tc>
        <w:tc>
          <w:tcPr>
            <w:tcW w:w="14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6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45</w:t>
            </w:r>
          </w:p>
        </w:tc>
        <w:tc>
          <w:tcPr>
            <w:tcW w:w="1236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167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1,2-Epoxyundecane</w:t>
            </w:r>
          </w:p>
        </w:tc>
        <w:tc>
          <w:tcPr>
            <w:tcW w:w="1395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0.008±0.000</w:t>
            </w:r>
          </w:p>
        </w:tc>
        <w:tc>
          <w:tcPr>
            <w:tcW w:w="147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6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46</w:t>
            </w:r>
          </w:p>
        </w:tc>
        <w:tc>
          <w:tcPr>
            <w:tcW w:w="1236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167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Valeric acid hydrazide</w:t>
            </w:r>
          </w:p>
        </w:tc>
        <w:tc>
          <w:tcPr>
            <w:tcW w:w="1395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0.004±0.000</w:t>
            </w:r>
          </w:p>
        </w:tc>
        <w:tc>
          <w:tcPr>
            <w:tcW w:w="147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6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47</w:t>
            </w:r>
          </w:p>
        </w:tc>
        <w:tc>
          <w:tcPr>
            <w:tcW w:w="1236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167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Methyl 2-methoxypropenoate</w:t>
            </w:r>
          </w:p>
        </w:tc>
        <w:tc>
          <w:tcPr>
            <w:tcW w:w="1395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0.005±0.007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  <w:tc>
          <w:tcPr>
            <w:tcW w:w="147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6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48</w:t>
            </w:r>
          </w:p>
        </w:tc>
        <w:tc>
          <w:tcPr>
            <w:tcW w:w="1236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167" w:type="dxa"/>
            <w:noWrap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4-Hydroxybutyric acid hydrazide</w:t>
            </w:r>
          </w:p>
        </w:tc>
        <w:tc>
          <w:tcPr>
            <w:tcW w:w="1395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0.001±0.002</w:t>
            </w:r>
          </w:p>
        </w:tc>
        <w:tc>
          <w:tcPr>
            <w:tcW w:w="1478" w:type="dxa"/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6" w:type="dxa"/>
            <w:tcBorders>
              <w:bottom w:val="single" w:color="auto" w:sz="8" w:space="0"/>
            </w:tcBorders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49</w:t>
            </w:r>
          </w:p>
        </w:tc>
        <w:tc>
          <w:tcPr>
            <w:tcW w:w="1236" w:type="dxa"/>
            <w:tcBorders>
              <w:bottom w:val="single" w:color="auto" w:sz="8" w:space="0"/>
            </w:tcBorders>
            <w:noWrap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167" w:type="dxa"/>
            <w:tcBorders>
              <w:bottom w:val="single" w:color="auto" w:sz="8" w:space="0"/>
            </w:tcBorders>
            <w:noWrap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Hydrazinecarboxamide</w:t>
            </w:r>
          </w:p>
        </w:tc>
        <w:tc>
          <w:tcPr>
            <w:tcW w:w="1395" w:type="dxa"/>
            <w:tcBorders>
              <w:bottom w:val="single" w:color="auto" w:sz="8" w:space="0"/>
            </w:tcBorders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  <w:tc>
          <w:tcPr>
            <w:tcW w:w="1418" w:type="dxa"/>
            <w:tcBorders>
              <w:bottom w:val="single" w:color="auto" w:sz="8" w:space="0"/>
            </w:tcBorders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  <w:tc>
          <w:tcPr>
            <w:tcW w:w="1418" w:type="dxa"/>
            <w:tcBorders>
              <w:bottom w:val="single" w:color="auto" w:sz="8" w:space="0"/>
            </w:tcBorders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ND</w:t>
            </w:r>
          </w:p>
        </w:tc>
        <w:tc>
          <w:tcPr>
            <w:tcW w:w="1478" w:type="dxa"/>
            <w:tcBorders>
              <w:bottom w:val="single" w:color="auto" w:sz="8" w:space="0"/>
            </w:tcBorders>
            <w:noWrap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0.007±0.010</w:t>
            </w:r>
          </w:p>
        </w:tc>
      </w:tr>
      <w:bookmarkEnd w:id="0"/>
    </w:tbl>
    <w:p>
      <w:pPr>
        <w:spacing w:line="480" w:lineRule="auto"/>
        <w:jc w:val="center"/>
        <w:rPr>
          <w:rFonts w:ascii="Times New Roman" w:hAnsi="Times New Roman" w:eastAsia="宋体"/>
          <w:b/>
          <w:bCs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br w:type="page"/>
      </w:r>
      <w:r>
        <w:rPr>
          <w:rFonts w:ascii="Times New Roman" w:hAnsi="Times New Roman" w:eastAsia="宋体"/>
          <w:b/>
          <w:bCs/>
          <w:sz w:val="24"/>
          <w:szCs w:val="24"/>
        </w:rPr>
        <w:t xml:space="preserve">Table S2 Primers of qPCR used in this study </w:t>
      </w:r>
    </w:p>
    <w:tbl>
      <w:tblPr>
        <w:tblStyle w:val="4"/>
        <w:tblW w:w="116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9"/>
        <w:gridCol w:w="4037"/>
        <w:gridCol w:w="4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3179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98273741"/>
            <w:r>
              <w:rPr>
                <w:rFonts w:ascii="Times New Roman" w:hAnsi="Times New Roman"/>
                <w:sz w:val="24"/>
                <w:szCs w:val="24"/>
              </w:rPr>
              <w:t>Gene</w:t>
            </w:r>
          </w:p>
        </w:tc>
        <w:tc>
          <w:tcPr>
            <w:tcW w:w="4037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Forward primer (5’-3’)</w:t>
            </w:r>
          </w:p>
        </w:tc>
        <w:tc>
          <w:tcPr>
            <w:tcW w:w="4392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Reverse primer (5’-3’)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179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SlACT </w:t>
            </w:r>
            <w:r>
              <w:rPr>
                <w:rFonts w:ascii="Times New Roman" w:hAnsi="Times New Roman"/>
                <w:sz w:val="24"/>
                <w:szCs w:val="24"/>
              </w:rPr>
              <w:t>(NM_001330119.1)</w:t>
            </w:r>
          </w:p>
        </w:tc>
        <w:tc>
          <w:tcPr>
            <w:tcW w:w="4037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CGGTGACCACTTTCCGATCT</w:t>
            </w:r>
          </w:p>
        </w:tc>
        <w:tc>
          <w:tcPr>
            <w:tcW w:w="4392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TCCTCACCGTCAGCCATTTT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18S rRNA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(XM_004241429.4)</w:t>
            </w: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GGGCATTCGTATTTCATAGTCAGA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GTTCTTGATTAATGAAAACATCCT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SlPSY1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(NM_001347838.1)</w:t>
            </w: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TGGCCCAAACGCATCATATA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CACCATCGAGCATGTCAAATG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8"/>
              </w:rPr>
              <w:t>SlPDS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(NM_001247166.2)</w:t>
            </w: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TGCCAAACCACCACAAATTTCA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CCAATTTGAGGCATTTTACTCGGA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Toc11519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LeAMT2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(NM_001247324.2)</w:t>
            </w: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TTGTACCGCCGCTCTGACAACTTT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CATGGCTCAACAACTGCACAACCT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LePT2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(NM_001247114.1)</w:t>
            </w: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CATTGGACACTGGAGGCTAACC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ATAAGAACCCATACGCTCCCA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LePT5 </w:t>
            </w:r>
            <w:r>
              <w:rPr>
                <w:rFonts w:ascii="Times New Roman" w:hAnsi="Times New Roman"/>
                <w:sz w:val="24"/>
                <w:szCs w:val="24"/>
              </w:rPr>
              <w:t>(XM_004240903.4)</w:t>
            </w: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GGCGAATGAAGATGCCTGAAAC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TACCAATTAAGTGATGTCCGTG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179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SlHKT1,1</w:t>
            </w:r>
            <w:r>
              <w:rPr>
                <w:rFonts w:ascii="Times New Roman" w:hAnsi="Times New Roman"/>
                <w:sz w:val="24"/>
                <w:szCs w:val="24"/>
              </w:rPr>
              <w:t>(NM_001308344.1)</w:t>
            </w:r>
          </w:p>
        </w:tc>
        <w:tc>
          <w:tcPr>
            <w:tcW w:w="403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TGTTTTGTGCTTTGGAGTGGA</w:t>
            </w:r>
          </w:p>
        </w:tc>
        <w:tc>
          <w:tcPr>
            <w:tcW w:w="4392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GGGGGTGAAAGAGTGGAGAT</w:t>
            </w:r>
          </w:p>
        </w:tc>
      </w:tr>
      <w:bookmarkEnd w:id="1"/>
      <w:bookmarkEnd w:id="2"/>
    </w:tbl>
    <w:p/>
    <w:p>
      <w:pPr>
        <w:rPr>
          <w:rFonts w:ascii="Times New Roman" w:hAnsi="Times New Roman" w:eastAsia="宋体"/>
          <w:b/>
          <w:bCs/>
          <w:sz w:val="32"/>
          <w:szCs w:val="32"/>
        </w:rPr>
      </w:pPr>
      <w:r>
        <w:br w:type="page"/>
      </w:r>
      <w:r>
        <w:pict>
          <v:shape id="图片 3" o:spid="_x0000_s1026" o:spt="75" type="#_x0000_t75" style="position:absolute;left:0pt;margin-top:27.05pt;height:343.2pt;width:425.2pt;mso-position-horizontal:center;mso-position-horizontal-relative:margin;mso-wrap-distance-bottom:0pt;mso-wrap-distance-top:0pt;z-index:251660288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topAndBottom"/>
          </v:shape>
        </w:pict>
      </w:r>
    </w:p>
    <w:p>
      <w:pPr>
        <w:spacing w:line="480" w:lineRule="auto"/>
        <w:rPr>
          <w:rFonts w:ascii="Times New Roman" w:hAnsi="Times New Roman" w:eastAsia="宋体"/>
          <w:bCs/>
          <w:sz w:val="24"/>
          <w:szCs w:val="24"/>
        </w:rPr>
      </w:pPr>
      <w:r>
        <w:rPr>
          <w:rFonts w:ascii="Times New Roman" w:hAnsi="Times New Roman" w:eastAsia="宋体"/>
          <w:b/>
          <w:bCs/>
          <w:sz w:val="24"/>
          <w:szCs w:val="24"/>
        </w:rPr>
        <w:t>Figure S1.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The contents of available nitrogen (A), available phosphorus (B), available potassium (C) in soil of four greenhouses before </w:t>
      </w:r>
      <w:r>
        <w:rPr>
          <w:rFonts w:ascii="Times New Roman" w:hAnsi="Times New Roman"/>
          <w:bCs/>
          <w:sz w:val="24"/>
          <w:szCs w:val="24"/>
        </w:rPr>
        <w:t>fertilizing (Shanghai, 2021)</w:t>
      </w:r>
      <w:r>
        <w:rPr>
          <w:rFonts w:ascii="Times New Roman" w:hAnsi="Times New Roman" w:eastAsia="宋体"/>
          <w:bCs/>
          <w:sz w:val="24"/>
          <w:szCs w:val="24"/>
        </w:rPr>
        <w:t>. G 1: greenhouse 1; G 2: greenhouse 2; G 3: greenhouse 3; G 4: greenhouse 4.</w:t>
      </w:r>
    </w:p>
    <w:p>
      <w:pPr>
        <w:widowControl/>
        <w:jc w:val="left"/>
        <w:rPr>
          <w:rFonts w:ascii="Times New Roman" w:hAnsi="Times New Roman" w:eastAsia="宋体"/>
          <w:bCs/>
          <w:sz w:val="24"/>
          <w:szCs w:val="24"/>
        </w:rPr>
      </w:pPr>
      <w:r>
        <w:rPr>
          <w:rFonts w:ascii="Times New Roman" w:hAnsi="Times New Roman" w:eastAsia="宋体"/>
          <w:bCs/>
          <w:sz w:val="24"/>
          <w:szCs w:val="24"/>
        </w:rPr>
        <w:br w:type="page"/>
      </w:r>
    </w:p>
    <w:p>
      <w:pPr>
        <w:spacing w:line="480" w:lineRule="auto"/>
        <w:jc w:val="center"/>
        <w:rPr>
          <w:rFonts w:ascii="Times New Roman" w:hAnsi="Times New Roman" w:eastAsia="宋体"/>
          <w:b/>
          <w:bCs/>
          <w:sz w:val="28"/>
          <w:szCs w:val="28"/>
        </w:rPr>
      </w:pPr>
      <w:r>
        <w:pict>
          <v:shape id="图片 1" o:spid="_x0000_s1027" o:spt="75" type="#_x0000_t75" style="position:absolute;left:0pt;margin-top:24.15pt;height:281.95pt;width:368.5pt;mso-position-horizontal:center;mso-position-horizontal-relative:margin;mso-wrap-distance-bottom:0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topAndBottom"/>
          </v:shape>
        </w:pict>
      </w:r>
    </w:p>
    <w:p>
      <w:pPr>
        <w:spacing w:line="480" w:lineRule="auto"/>
        <w:jc w:val="left"/>
        <w:rPr>
          <w:rFonts w:ascii="Times New Roman" w:hAnsi="Times New Roman" w:eastAsia="宋体"/>
          <w:bCs/>
          <w:sz w:val="24"/>
          <w:szCs w:val="24"/>
        </w:rPr>
      </w:pPr>
      <w:r>
        <w:rPr>
          <w:rFonts w:ascii="Times New Roman" w:hAnsi="Times New Roman" w:eastAsia="宋体"/>
          <w:b/>
          <w:bCs/>
          <w:sz w:val="24"/>
          <w:szCs w:val="24"/>
        </w:rPr>
        <w:t>Figure S2.</w:t>
      </w:r>
      <w:bookmarkStart w:id="3" w:name="_Hlk101383881"/>
      <w:r>
        <w:t xml:space="preserve"> </w:t>
      </w:r>
      <w:bookmarkStart w:id="4" w:name="_Hlk101384095"/>
      <w:r>
        <w:rPr>
          <w:rFonts w:ascii="Times New Roman" w:hAnsi="Times New Roman" w:eastAsia="宋体"/>
          <w:sz w:val="24"/>
          <w:szCs w:val="24"/>
        </w:rPr>
        <w:t>Changes in H</w:t>
      </w:r>
      <w:r>
        <w:rPr>
          <w:rFonts w:ascii="Times New Roman" w:hAnsi="Times New Roman" w:eastAsia="宋体"/>
          <w:sz w:val="24"/>
          <w:szCs w:val="24"/>
          <w:vertAlign w:val="subscript"/>
        </w:rPr>
        <w:t>2</w:t>
      </w:r>
      <w:r>
        <w:rPr>
          <w:rFonts w:ascii="Times New Roman" w:hAnsi="Times New Roman" w:eastAsia="宋体"/>
          <w:sz w:val="24"/>
          <w:szCs w:val="24"/>
        </w:rPr>
        <w:t xml:space="preserve"> content of fresh HRW and HNW</w:t>
      </w:r>
      <w:bookmarkEnd w:id="3"/>
      <w:r>
        <w:rPr>
          <w:rFonts w:ascii="Times New Roman" w:hAnsi="Times New Roman" w:eastAsia="宋体"/>
          <w:sz w:val="24"/>
          <w:szCs w:val="24"/>
        </w:rPr>
        <w:t>.</w:t>
      </w:r>
      <w:bookmarkEnd w:id="4"/>
      <w:r>
        <w:rPr>
          <w:rFonts w:ascii="Times New Roman" w:hAnsi="Times New Roman" w:eastAsia="宋体"/>
          <w:bCs/>
          <w:sz w:val="24"/>
          <w:szCs w:val="24"/>
        </w:rPr>
        <w:t xml:space="preserve"> </w:t>
      </w:r>
      <w:r>
        <w:rPr>
          <w:rFonts w:ascii="Times New Roman" w:hAnsi="Times New Roman" w:eastAsia="宋体"/>
          <w:sz w:val="24"/>
          <w:szCs w:val="24"/>
        </w:rPr>
        <w:t>HRW</w:t>
      </w:r>
      <w:r>
        <w:rPr>
          <w:rFonts w:ascii="Times New Roman" w:hAnsi="Times New Roman" w:eastAsia="宋体"/>
          <w:bCs/>
          <w:sz w:val="24"/>
          <w:szCs w:val="24"/>
        </w:rPr>
        <w:t>: hydrogen-rich water; HNW: hydrogen nanobubble water.</w:t>
      </w:r>
    </w:p>
    <w:p>
      <w:pPr>
        <w:widowControl/>
        <w:jc w:val="left"/>
        <w:rPr>
          <w:rFonts w:ascii="Times New Roman" w:hAnsi="Times New Roman" w:eastAsia="宋体"/>
          <w:bCs/>
          <w:sz w:val="24"/>
          <w:szCs w:val="24"/>
        </w:rPr>
      </w:pPr>
      <w:r>
        <w:rPr>
          <w:rFonts w:ascii="Times New Roman" w:hAnsi="Times New Roman" w:eastAsia="宋体"/>
          <w:bCs/>
          <w:sz w:val="24"/>
          <w:szCs w:val="24"/>
        </w:rPr>
        <w:br w:type="page"/>
      </w:r>
    </w:p>
    <w:p>
      <w:pPr>
        <w:spacing w:line="400" w:lineRule="exact"/>
        <w:rPr>
          <w:rFonts w:ascii="Times New Roman" w:hAnsi="Times New Roman" w:eastAsia="宋体"/>
          <w:sz w:val="24"/>
          <w:szCs w:val="24"/>
        </w:rPr>
      </w:pPr>
      <w:bookmarkStart w:id="5" w:name="_Hlk108619765"/>
      <w:r>
        <w:rPr>
          <w:rFonts w:ascii="Times New Roman" w:hAnsi="Times New Roman" w:eastAsia="宋体"/>
          <w:b/>
          <w:bCs/>
          <w:sz w:val="24"/>
          <w:szCs w:val="24"/>
        </w:rPr>
        <w:t>Figure S</w:t>
      </w:r>
      <w:r>
        <w:pict>
          <v:shape id="_x0000_s1028" o:spid="_x0000_s1028" o:spt="75" type="#_x0000_t75" style="position:absolute;left:0pt;margin-top:14pt;height:178.05pt;width:198.45pt;mso-position-horizontal:center;mso-position-horizontal-relative:margin;mso-wrap-distance-bottom:0pt;mso-wrap-distance-top:0pt;z-index:251660288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topAndBottom"/>
          </v:shape>
        </w:pict>
      </w:r>
      <w:r>
        <w:rPr>
          <w:rFonts w:ascii="Times New Roman" w:hAnsi="Times New Roman" w:eastAsia="宋体"/>
          <w:b/>
          <w:bCs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The design and location information of the four greenhouses</w:t>
      </w:r>
      <w:r>
        <w:rPr>
          <w:rFonts w:ascii="黑体" w:eastAsia="黑体" w:cs="黑体"/>
          <w:kern w:val="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(Shanghai, 2021). 1#: Irrigation with surface water (SW) and normal fertilization; 2#: Irrigation with SW and free of fertilization; 3#: Irrigation with </w:t>
      </w:r>
      <w:r>
        <w:rPr>
          <w:rFonts w:ascii="Times New Roman" w:hAnsi="Times New Roman" w:eastAsia="宋体"/>
          <w:bCs/>
          <w:sz w:val="24"/>
          <w:szCs w:val="24"/>
        </w:rPr>
        <w:t>hydrogen nanobubble water</w:t>
      </w:r>
      <w:r>
        <w:rPr>
          <w:rFonts w:ascii="Times New Roman" w:hAnsi="Times New Roman"/>
          <w:sz w:val="24"/>
          <w:szCs w:val="24"/>
        </w:rPr>
        <w:t xml:space="preserve"> (HNW) and normal fertilization; 4#: Irrigation with HNW and free of fertilization.</w:t>
      </w:r>
      <w:bookmarkEnd w:id="5"/>
    </w:p>
    <w:sectPr>
      <w:headerReference r:id="rId3" w:type="default"/>
      <w:footerReference r:id="rId5" w:type="default"/>
      <w:headerReference r:id="rId4" w:type="even"/>
      <w:pgSz w:w="16838" w:h="11906" w:orient="landscape"/>
      <w:pgMar w:top="1800" w:right="1440" w:bottom="1800" w:left="1440" w:header="851" w:footer="992" w:gutter="0"/>
      <w:lnNumType w:countBy="1" w:restart="continuous"/>
      <w:cols w:space="720" w:num="1"/>
      <w:docGrid w:type="lines" w:linePitch="317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9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213"/>
  <w:drawingGridVerticalSpacing w:val="31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Y3MzcwYTg5YmEwM2ZhNzc3NzYwNDUzODIwYjI0YzUifQ=="/>
  </w:docVars>
  <w:rsids>
    <w:rsidRoot w:val="00EE0BA4"/>
    <w:rsid w:val="00022621"/>
    <w:rsid w:val="00090DEF"/>
    <w:rsid w:val="000910C2"/>
    <w:rsid w:val="000D10DB"/>
    <w:rsid w:val="000D5342"/>
    <w:rsid w:val="000F55A6"/>
    <w:rsid w:val="00133BD2"/>
    <w:rsid w:val="00166811"/>
    <w:rsid w:val="001907D0"/>
    <w:rsid w:val="001B3A99"/>
    <w:rsid w:val="0023590F"/>
    <w:rsid w:val="00257CAD"/>
    <w:rsid w:val="00267819"/>
    <w:rsid w:val="002709A5"/>
    <w:rsid w:val="002C4805"/>
    <w:rsid w:val="002D7085"/>
    <w:rsid w:val="002E7B5E"/>
    <w:rsid w:val="00311597"/>
    <w:rsid w:val="00374200"/>
    <w:rsid w:val="00391167"/>
    <w:rsid w:val="00391EAC"/>
    <w:rsid w:val="003D68D8"/>
    <w:rsid w:val="00444F7F"/>
    <w:rsid w:val="004A4571"/>
    <w:rsid w:val="005405FB"/>
    <w:rsid w:val="005D7BBA"/>
    <w:rsid w:val="00663468"/>
    <w:rsid w:val="00664E7F"/>
    <w:rsid w:val="006A4FC4"/>
    <w:rsid w:val="006C418D"/>
    <w:rsid w:val="00752ABE"/>
    <w:rsid w:val="0078668A"/>
    <w:rsid w:val="007C0BEB"/>
    <w:rsid w:val="00860E25"/>
    <w:rsid w:val="0087046C"/>
    <w:rsid w:val="008B717E"/>
    <w:rsid w:val="008E0403"/>
    <w:rsid w:val="008E5CFB"/>
    <w:rsid w:val="009213D9"/>
    <w:rsid w:val="0095750B"/>
    <w:rsid w:val="00967AC0"/>
    <w:rsid w:val="009A738C"/>
    <w:rsid w:val="00AF75C9"/>
    <w:rsid w:val="00B14E5E"/>
    <w:rsid w:val="00B527B7"/>
    <w:rsid w:val="00BA3219"/>
    <w:rsid w:val="00C3127C"/>
    <w:rsid w:val="00C72ACF"/>
    <w:rsid w:val="00CC2E4A"/>
    <w:rsid w:val="00D120FB"/>
    <w:rsid w:val="00D12A3F"/>
    <w:rsid w:val="00D23418"/>
    <w:rsid w:val="00DA38F6"/>
    <w:rsid w:val="00DA418E"/>
    <w:rsid w:val="00DB528F"/>
    <w:rsid w:val="00DD3072"/>
    <w:rsid w:val="00E53162"/>
    <w:rsid w:val="00E6252A"/>
    <w:rsid w:val="00EC05D5"/>
    <w:rsid w:val="00EE0BA4"/>
    <w:rsid w:val="00EE42CB"/>
    <w:rsid w:val="00F6316E"/>
    <w:rsid w:val="00F9013D"/>
    <w:rsid w:val="00FE0FBC"/>
    <w:rsid w:val="06CA68F4"/>
    <w:rsid w:val="263D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nhideWhenUsed="0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styleId="6">
    <w:name w:val="line number"/>
    <w:basedOn w:val="5"/>
    <w:semiHidden/>
    <w:qFormat/>
    <w:uiPriority w:val="99"/>
    <w:rPr>
      <w:rFonts w:cs="Times New Roman"/>
    </w:rPr>
  </w:style>
  <w:style w:type="character" w:customStyle="1" w:styleId="7">
    <w:name w:val="Footer Char"/>
    <w:basedOn w:val="5"/>
    <w:link w:val="2"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Header Char"/>
    <w:basedOn w:val="5"/>
    <w:link w:val="3"/>
    <w:qFormat/>
    <w:locked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9">
    <w:name w:val="Char Char5"/>
    <w:basedOn w:val="1"/>
    <w:qFormat/>
    <w:uiPriority w:val="99"/>
    <w:pPr>
      <w:ind w:firstLine="420" w:firstLineChars="200"/>
    </w:pPr>
    <w:rPr>
      <w:rFonts w:ascii="Times New Roman" w:hAnsi="Times New Roman"/>
      <w:kern w:val="0"/>
      <w:sz w:val="20"/>
      <w:szCs w:val="20"/>
    </w:rPr>
  </w:style>
  <w:style w:type="paragraph" w:customStyle="1" w:styleId="10">
    <w:name w:val="Char Char51"/>
    <w:basedOn w:val="1"/>
    <w:qFormat/>
    <w:uiPriority w:val="99"/>
    <w:pPr>
      <w:ind w:firstLine="420" w:firstLineChars="200"/>
    </w:pPr>
    <w:rPr>
      <w:rFonts w:ascii="Times New Roman" w:hAnsi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760</Words>
  <Characters>4338</Characters>
  <Lines>0</Lines>
  <Paragraphs>0</Paragraphs>
  <TotalTime>33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2023-11-12T08:34:00Z</dcterms:created>
  <dc:creator>Lee Lauren</dc:creator>
  <cp:lastModifiedBy>仁者无敌</cp:lastModifiedBy>
  <dcterms:modified xsi:type="dcterms:W3CDTF">2023-12-10T02:42:39Z</dcterms:modified>
  <dc:title>Supplemental Material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9E20539C62154E27AC37704B1FCA6FAA_13</vt:lpwstr>
  </property>
</Properties>
</file>