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7AC" w:rsidRPr="00F57DB3" w:rsidRDefault="008D47AC" w:rsidP="008D47AC">
      <w:pPr>
        <w:pStyle w:val="MDPI21heading1"/>
        <w:rPr>
          <w:color w:val="000000" w:themeColor="text1"/>
        </w:rPr>
      </w:pPr>
      <w:r>
        <w:t>Methodology</w:t>
      </w:r>
      <w:r>
        <w:t xml:space="preserve"> used to sel</w:t>
      </w:r>
      <w:r>
        <w:t>ect the articles included in the</w:t>
      </w:r>
      <w:r>
        <w:t xml:space="preserve"> review</w:t>
      </w:r>
    </w:p>
    <w:p w:rsidR="008D47AC" w:rsidRDefault="008D47AC" w:rsidP="008D47AC">
      <w:pPr>
        <w:pStyle w:val="MDPI21heading1"/>
        <w:jc w:val="both"/>
        <w:rPr>
          <w:b w:val="0"/>
          <w:bCs/>
          <w:color w:val="000000" w:themeColor="text1"/>
          <w:sz w:val="18"/>
          <w:szCs w:val="18"/>
        </w:rPr>
      </w:pPr>
      <w:bookmarkStart w:id="0" w:name="_GoBack"/>
      <w:bookmarkEnd w:id="0"/>
      <w:r w:rsidRPr="00F57DB3">
        <w:rPr>
          <w:b w:val="0"/>
          <w:bCs/>
          <w:color w:val="000000" w:themeColor="text1"/>
          <w:sz w:val="18"/>
          <w:szCs w:val="18"/>
        </w:rPr>
        <w:t xml:space="preserve">This narrative review is based on scientific literature published before </w:t>
      </w:r>
      <w:r>
        <w:rPr>
          <w:b w:val="0"/>
          <w:bCs/>
          <w:color w:val="000000" w:themeColor="text1"/>
          <w:sz w:val="18"/>
          <w:szCs w:val="18"/>
        </w:rPr>
        <w:t xml:space="preserve">July </w:t>
      </w:r>
      <w:r w:rsidRPr="00F57DB3">
        <w:rPr>
          <w:b w:val="0"/>
          <w:bCs/>
          <w:color w:val="000000" w:themeColor="text1"/>
          <w:sz w:val="18"/>
          <w:szCs w:val="18"/>
        </w:rPr>
        <w:t>2023. The literature has been explored between October 1</w:t>
      </w:r>
      <w:r w:rsidRPr="00F57DB3">
        <w:rPr>
          <w:b w:val="0"/>
          <w:bCs/>
          <w:color w:val="000000" w:themeColor="text1"/>
          <w:sz w:val="18"/>
          <w:szCs w:val="18"/>
          <w:vertAlign w:val="superscript"/>
        </w:rPr>
        <w:t>sts</w:t>
      </w:r>
      <w:r w:rsidRPr="00F57DB3">
        <w:rPr>
          <w:b w:val="0"/>
          <w:bCs/>
          <w:color w:val="000000" w:themeColor="text1"/>
          <w:sz w:val="18"/>
          <w:szCs w:val="18"/>
        </w:rPr>
        <w:t xml:space="preserve"> 2022 and </w:t>
      </w:r>
      <w:r>
        <w:rPr>
          <w:b w:val="0"/>
          <w:bCs/>
          <w:color w:val="000000" w:themeColor="text1"/>
          <w:sz w:val="18"/>
          <w:szCs w:val="18"/>
        </w:rPr>
        <w:t>August 1</w:t>
      </w:r>
      <w:r w:rsidRPr="00F57DB3">
        <w:rPr>
          <w:b w:val="0"/>
          <w:bCs/>
          <w:color w:val="000000" w:themeColor="text1"/>
          <w:sz w:val="18"/>
          <w:szCs w:val="18"/>
          <w:vertAlign w:val="superscript"/>
        </w:rPr>
        <w:t>st</w:t>
      </w:r>
      <w:r w:rsidRPr="00F57DB3">
        <w:rPr>
          <w:b w:val="0"/>
          <w:bCs/>
          <w:color w:val="000000" w:themeColor="text1"/>
          <w:sz w:val="18"/>
          <w:szCs w:val="18"/>
        </w:rPr>
        <w:t xml:space="preserve"> of 2023. </w:t>
      </w:r>
      <w:r>
        <w:rPr>
          <w:b w:val="0"/>
          <w:bCs/>
          <w:color w:val="000000" w:themeColor="text1"/>
          <w:sz w:val="18"/>
          <w:szCs w:val="18"/>
        </w:rPr>
        <w:t xml:space="preserve">Only articles directly assessing the interactions between POPs and PA or related terms were selected through a specific process: </w:t>
      </w:r>
      <w:r w:rsidRPr="00BA3ED3">
        <w:rPr>
          <w:b w:val="0"/>
          <w:bCs/>
          <w:color w:val="000000" w:themeColor="text1"/>
          <w:sz w:val="18"/>
          <w:szCs w:val="18"/>
        </w:rPr>
        <w:t xml:space="preserve">(persistent organic pollutants OR dioxin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aldrin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chlordane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chlordecone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decabromodiphenyl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ether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dicofol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dieldrin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endrin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heptachlor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hexabromobiphenyl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hexabromocyclododecane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hexabromodiphenyl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ether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heptabromodiphenyl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ether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hexachlorobenzene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hexachlorobutadiene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alpha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hexachlorocyclohexane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beta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hexachlorocyclohexane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Lindane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mirex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pentachlorobenzene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pentachlorobenzene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pentachlorophenol OR polychlorinated biphenyl OR polychlorinated naphthalene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perfluorooctanoic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acid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perfluorohexane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sulfonic acid OR short-chain chlorinated paraffin OR technical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endosulfan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tetrabromodiphenyl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ether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pentabromodiphenyl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ether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toxaphene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OR dichlorodiphenyltrichloroethane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perfluorooctane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sulfonic acid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polyfluoroalkyl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substances OR PFAS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perfluorooctane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sulfonyl fluoride OR polychlorinated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dibenzo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-p-dioxin OR polychlorinated dibenzofurans OR organochlorine pesticides OR PFAS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polyfluoroalkyl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substances, OR </w:t>
      </w:r>
      <w:proofErr w:type="spellStart"/>
      <w:r w:rsidRPr="00BA3ED3">
        <w:rPr>
          <w:b w:val="0"/>
          <w:bCs/>
          <w:color w:val="000000" w:themeColor="text1"/>
          <w:sz w:val="18"/>
          <w:szCs w:val="18"/>
        </w:rPr>
        <w:t>perfluoroalkyl</w:t>
      </w:r>
      <w:proofErr w:type="spellEnd"/>
      <w:r w:rsidRPr="00BA3ED3">
        <w:rPr>
          <w:b w:val="0"/>
          <w:bCs/>
          <w:color w:val="000000" w:themeColor="text1"/>
          <w:sz w:val="18"/>
          <w:szCs w:val="18"/>
        </w:rPr>
        <w:t xml:space="preserve"> </w:t>
      </w:r>
      <w:r>
        <w:rPr>
          <w:b w:val="0"/>
          <w:bCs/>
          <w:color w:val="000000" w:themeColor="text1"/>
          <w:sz w:val="18"/>
          <w:szCs w:val="18"/>
        </w:rPr>
        <w:t>s</w:t>
      </w:r>
      <w:r w:rsidRPr="00BA3ED3">
        <w:rPr>
          <w:b w:val="0"/>
          <w:bCs/>
          <w:color w:val="000000" w:themeColor="text1"/>
          <w:sz w:val="18"/>
          <w:szCs w:val="18"/>
        </w:rPr>
        <w:t>ubstances) AND (physical activity OR exercise OR training OR athlete OR sport)</w:t>
      </w:r>
      <w:r w:rsidRPr="00A610D7">
        <w:rPr>
          <w:b w:val="0"/>
          <w:bCs/>
          <w:color w:val="000000" w:themeColor="text1"/>
          <w:sz w:val="18"/>
          <w:szCs w:val="18"/>
        </w:rPr>
        <w:t>.</w:t>
      </w:r>
      <w:r>
        <w:rPr>
          <w:b w:val="0"/>
          <w:bCs/>
          <w:color w:val="000000" w:themeColor="text1"/>
          <w:sz w:val="18"/>
          <w:szCs w:val="18"/>
        </w:rPr>
        <w:t xml:space="preserve"> Articles related to POPs combined with PA and associated terms were found on PubMed using the specific request. Exclusion criteria included non-English articles, </w:t>
      </w:r>
      <w:r w:rsidRPr="00AC30E7">
        <w:rPr>
          <w:b w:val="0"/>
          <w:bCs/>
          <w:color w:val="000000" w:themeColor="text1"/>
          <w:sz w:val="18"/>
          <w:szCs w:val="18"/>
        </w:rPr>
        <w:t xml:space="preserve">methodological articles, reviews, and articles without combination of POPs related terms with PA activity related terms. Incomplete articles were also excluded. Letters were included for their relevance. </w:t>
      </w:r>
      <w:r>
        <w:rPr>
          <w:b w:val="0"/>
          <w:bCs/>
          <w:color w:val="000000" w:themeColor="text1"/>
          <w:sz w:val="18"/>
          <w:szCs w:val="18"/>
        </w:rPr>
        <w:t>The research process and the articles considered are</w:t>
      </w:r>
      <w:r w:rsidRPr="00F57DB3">
        <w:rPr>
          <w:b w:val="0"/>
          <w:bCs/>
          <w:color w:val="000000" w:themeColor="text1"/>
          <w:sz w:val="18"/>
          <w:szCs w:val="18"/>
        </w:rPr>
        <w:t xml:space="preserve"> summarized in the flowchart below (Figure </w:t>
      </w:r>
      <w:r>
        <w:rPr>
          <w:b w:val="0"/>
          <w:bCs/>
          <w:color w:val="000000" w:themeColor="text1"/>
          <w:sz w:val="18"/>
          <w:szCs w:val="18"/>
        </w:rPr>
        <w:t>5</w:t>
      </w:r>
      <w:r w:rsidRPr="00F57DB3">
        <w:rPr>
          <w:b w:val="0"/>
          <w:bCs/>
          <w:color w:val="000000" w:themeColor="text1"/>
          <w:sz w:val="18"/>
          <w:szCs w:val="18"/>
        </w:rPr>
        <w:t>).</w:t>
      </w:r>
      <w:r>
        <w:rPr>
          <w:b w:val="0"/>
          <w:bCs/>
          <w:color w:val="000000" w:themeColor="text1"/>
          <w:sz w:val="18"/>
          <w:szCs w:val="18"/>
        </w:rPr>
        <w:t xml:space="preserve"> Other articles (e.g., related to the POPs adverse effects without PA) were selected because of their pertinence but not with a specific methodology.</w:t>
      </w:r>
    </w:p>
    <w:p w:rsidR="008D47AC" w:rsidRDefault="008D47AC" w:rsidP="008D47AC">
      <w:pPr>
        <w:pStyle w:val="MDPI21heading1"/>
        <w:jc w:val="both"/>
        <w:rPr>
          <w:b w:val="0"/>
          <w:bCs/>
          <w:color w:val="000000" w:themeColor="text1"/>
          <w:sz w:val="18"/>
          <w:szCs w:val="18"/>
        </w:rPr>
      </w:pPr>
    </w:p>
    <w:p w:rsidR="008D47AC" w:rsidRPr="00827839" w:rsidRDefault="008D47AC" w:rsidP="008D47AC">
      <w:pPr>
        <w:pStyle w:val="MDPI21heading1"/>
        <w:jc w:val="center"/>
        <w:rPr>
          <w:b w:val="0"/>
          <w:bCs/>
          <w:color w:val="000000" w:themeColor="text1"/>
          <w:sz w:val="18"/>
          <w:szCs w:val="18"/>
        </w:rPr>
      </w:pPr>
      <w:r>
        <w:rPr>
          <w:noProof/>
          <w:lang w:val="fr-FR" w:eastAsia="fr-FR" w:bidi="ar-SA"/>
        </w:rPr>
        <w:drawing>
          <wp:inline distT="0" distB="0" distL="0" distR="0" wp14:anchorId="18A9A011" wp14:editId="3E6E6E44">
            <wp:extent cx="3521804" cy="1980636"/>
            <wp:effectExtent l="0" t="0" r="2540" b="635"/>
            <wp:docPr id="143376138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6138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6839" cy="199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7AC" w:rsidRDefault="008D47AC" w:rsidP="008D47AC">
      <w:pPr>
        <w:pStyle w:val="MDPI21heading1"/>
        <w:jc w:val="both"/>
        <w:rPr>
          <w:b w:val="0"/>
          <w:bCs/>
          <w:color w:val="000000" w:themeColor="text1"/>
          <w:sz w:val="18"/>
          <w:szCs w:val="18"/>
        </w:rPr>
      </w:pPr>
    </w:p>
    <w:p w:rsidR="008D47AC" w:rsidRDefault="008D47AC" w:rsidP="008D47AC">
      <w:pPr>
        <w:pStyle w:val="MDPI21heading1"/>
        <w:jc w:val="both"/>
        <w:rPr>
          <w:b w:val="0"/>
          <w:bCs/>
          <w:color w:val="000000" w:themeColor="text1"/>
          <w:sz w:val="18"/>
          <w:szCs w:val="18"/>
        </w:rPr>
      </w:pPr>
      <w:r w:rsidRPr="00F57DB3">
        <w:rPr>
          <w:b w:val="0"/>
          <w:bCs/>
          <w:color w:val="000000" w:themeColor="text1"/>
          <w:sz w:val="18"/>
          <w:szCs w:val="18"/>
        </w:rPr>
        <w:t xml:space="preserve">Figure </w:t>
      </w:r>
      <w:r>
        <w:rPr>
          <w:b w:val="0"/>
          <w:bCs/>
          <w:color w:val="000000" w:themeColor="text1"/>
          <w:sz w:val="18"/>
          <w:szCs w:val="18"/>
        </w:rPr>
        <w:t>5</w:t>
      </w:r>
      <w:r w:rsidRPr="00F57DB3">
        <w:rPr>
          <w:b w:val="0"/>
          <w:bCs/>
          <w:color w:val="000000" w:themeColor="text1"/>
          <w:sz w:val="18"/>
          <w:szCs w:val="18"/>
        </w:rPr>
        <w:t>: Flowchart: Representation of the methodology used during articles selection</w:t>
      </w:r>
      <w:r>
        <w:rPr>
          <w:b w:val="0"/>
          <w:bCs/>
          <w:color w:val="000000" w:themeColor="text1"/>
          <w:sz w:val="18"/>
          <w:szCs w:val="18"/>
        </w:rPr>
        <w:t xml:space="preserve">.  </w:t>
      </w:r>
    </w:p>
    <w:p w:rsidR="008D47AC" w:rsidRDefault="008D47AC" w:rsidP="008D47AC">
      <w:pPr>
        <w:pStyle w:val="MDPI62BackMatter"/>
        <w:spacing w:before="240"/>
        <w:rPr>
          <w:bCs/>
          <w:color w:val="000000" w:themeColor="text1"/>
        </w:rPr>
      </w:pPr>
    </w:p>
    <w:p w:rsidR="003C6182" w:rsidRDefault="003C6182" w:rsidP="008D47AC"/>
    <w:sectPr w:rsidR="003C618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8F2" w:rsidRDefault="007608F2" w:rsidP="006A5F23">
      <w:pPr>
        <w:spacing w:line="240" w:lineRule="auto"/>
      </w:pPr>
      <w:r>
        <w:separator/>
      </w:r>
    </w:p>
  </w:endnote>
  <w:endnote w:type="continuationSeparator" w:id="0">
    <w:p w:rsidR="007608F2" w:rsidRDefault="007608F2" w:rsidP="006A5F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8F2" w:rsidRDefault="007608F2" w:rsidP="006A5F23">
      <w:pPr>
        <w:spacing w:line="240" w:lineRule="auto"/>
      </w:pPr>
      <w:r>
        <w:separator/>
      </w:r>
    </w:p>
  </w:footnote>
  <w:footnote w:type="continuationSeparator" w:id="0">
    <w:p w:rsidR="007608F2" w:rsidRDefault="007608F2" w:rsidP="006A5F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23" w:rsidRDefault="006A5F23" w:rsidP="006A5F23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Int. J. Mol. Sci. </w:t>
    </w:r>
    <w:r>
      <w:rPr>
        <w:b/>
        <w:sz w:val="16"/>
      </w:rPr>
      <w:t>2023</w:t>
    </w:r>
    <w:r w:rsidRPr="00506BC0">
      <w:rPr>
        <w:sz w:val="16"/>
      </w:rPr>
      <w:t>,</w:t>
    </w:r>
    <w:r>
      <w:rPr>
        <w:i/>
        <w:sz w:val="16"/>
      </w:rPr>
      <w:t xml:space="preserve"> 24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noProof/>
        <w:sz w:val="16"/>
      </w:rPr>
      <w:t>1</w:t>
    </w:r>
    <w:r>
      <w:rPr>
        <w:sz w:val="16"/>
      </w:rPr>
      <w:fldChar w:fldCharType="end"/>
    </w:r>
  </w:p>
  <w:p w:rsidR="006A5F23" w:rsidRPr="003257E1" w:rsidRDefault="006A5F23" w:rsidP="006A5F23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  <w:p w:rsidR="006A5F23" w:rsidRPr="006A5F23" w:rsidRDefault="006A5F23">
    <w:pPr>
      <w:pStyle w:val="En-tte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7AC"/>
    <w:rsid w:val="003C6182"/>
    <w:rsid w:val="006A5F23"/>
    <w:rsid w:val="007608F2"/>
    <w:rsid w:val="008D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C01964"/>
  <w15:chartTrackingRefBased/>
  <w15:docId w15:val="{3B171E30-7E71-41F8-8DCE-3BDC220B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7AC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DPI21heading1">
    <w:name w:val="MDPI_2.1_heading1"/>
    <w:link w:val="MDPI21heading1Car"/>
    <w:qFormat/>
    <w:rsid w:val="008D47A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62BackMatter">
    <w:name w:val="MDPI_6.2_BackMatter"/>
    <w:qFormat/>
    <w:rsid w:val="008D47AC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customStyle="1" w:styleId="MDPI21heading1Car">
    <w:name w:val="MDPI_2.1_heading1 Car"/>
    <w:basedOn w:val="Policepardfaut"/>
    <w:link w:val="MDPI21heading1"/>
    <w:rsid w:val="008D47AC"/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styleId="En-tte">
    <w:name w:val="header"/>
    <w:basedOn w:val="Normal"/>
    <w:link w:val="En-tteCar"/>
    <w:uiPriority w:val="99"/>
    <w:unhideWhenUsed/>
    <w:rsid w:val="006A5F2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5F23"/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paragraph" w:styleId="Pieddepage">
    <w:name w:val="footer"/>
    <w:basedOn w:val="Normal"/>
    <w:link w:val="PieddepageCar"/>
    <w:uiPriority w:val="99"/>
    <w:unhideWhenUsed/>
    <w:rsid w:val="006A5F2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5F23"/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Colson</dc:creator>
  <cp:keywords/>
  <dc:description/>
  <cp:lastModifiedBy>Serge Colson</cp:lastModifiedBy>
  <cp:revision>2</cp:revision>
  <dcterms:created xsi:type="dcterms:W3CDTF">2023-11-15T07:16:00Z</dcterms:created>
  <dcterms:modified xsi:type="dcterms:W3CDTF">2023-11-15T07:21:00Z</dcterms:modified>
</cp:coreProperties>
</file>