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FBFDF" w14:textId="43092389" w:rsidR="00242EBC" w:rsidRDefault="00242EBC" w:rsidP="00242EBC">
      <w:pPr>
        <w:pStyle w:val="MDPI62BackMatter"/>
        <w:spacing w:before="240"/>
        <w:ind w:left="0"/>
        <w:jc w:val="left"/>
      </w:pPr>
      <w:r>
        <w:rPr>
          <w:rFonts w:asciiTheme="minorHAnsi" w:hAnsiTheme="minorHAnsi" w:cstheme="minorHAnsi"/>
        </w:rPr>
        <w:t xml:space="preserve">         </w:t>
      </w:r>
      <w:r w:rsidRPr="00FF4E32">
        <w:t xml:space="preserve">Table </w:t>
      </w:r>
      <w:r>
        <w:t>S1.</w:t>
      </w:r>
      <w:r w:rsidRPr="00FF4E32">
        <w:t xml:space="preserve"> Timeline of the disease progression in </w:t>
      </w:r>
      <w:proofErr w:type="gramStart"/>
      <w:r w:rsidRPr="00FF4E32">
        <w:t>Patient</w:t>
      </w:r>
      <w:proofErr w:type="gramEnd"/>
      <w:r w:rsidRPr="00FF4E32">
        <w:t xml:space="preserve"> </w:t>
      </w:r>
      <w:r>
        <w:t>1</w:t>
      </w:r>
    </w:p>
    <w:p w14:paraId="44A20ECB" w14:textId="77777777" w:rsidR="00242EBC" w:rsidRDefault="00242EBC" w:rsidP="00242EBC">
      <w:pPr>
        <w:pStyle w:val="MDPI62BackMatter"/>
        <w:spacing w:before="240"/>
        <w:ind w:left="0"/>
        <w:jc w:val="left"/>
      </w:pPr>
    </w:p>
    <w:tbl>
      <w:tblPr>
        <w:tblStyle w:val="TableNormal1"/>
        <w:tblpPr w:leftFromText="180" w:rightFromText="180" w:vertAnchor="page" w:horzAnchor="margin" w:tblpY="2201"/>
        <w:tblW w:w="8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2"/>
        <w:gridCol w:w="3193"/>
        <w:gridCol w:w="3690"/>
      </w:tblGrid>
      <w:tr w:rsidR="00242EBC" w:rsidRPr="00050E13" w14:paraId="5D93C424" w14:textId="77777777" w:rsidTr="00242EBC">
        <w:trPr>
          <w:trHeight w:val="388"/>
        </w:trPr>
        <w:tc>
          <w:tcPr>
            <w:tcW w:w="1572" w:type="dxa"/>
            <w:shd w:val="clear" w:color="auto" w:fill="D0CECE"/>
          </w:tcPr>
          <w:p w14:paraId="394DE096" w14:textId="77777777" w:rsidR="00242EBC" w:rsidRPr="000270B6" w:rsidRDefault="00242EBC" w:rsidP="00242EBC">
            <w:pPr>
              <w:rPr>
                <w:rFonts w:cstheme="minorHAnsi"/>
                <w:b/>
                <w:bCs/>
                <w:sz w:val="15"/>
                <w:szCs w:val="15"/>
              </w:rPr>
            </w:pPr>
            <w:r w:rsidRPr="000270B6">
              <w:rPr>
                <w:rFonts w:cstheme="minorHAnsi"/>
                <w:b/>
                <w:bCs/>
                <w:sz w:val="15"/>
                <w:szCs w:val="15"/>
              </w:rPr>
              <w:t>Date</w:t>
            </w:r>
            <w:r w:rsidRPr="000270B6">
              <w:rPr>
                <w:rFonts w:cstheme="minorHAnsi"/>
                <w:b/>
                <w:bCs/>
                <w:sz w:val="15"/>
                <w:szCs w:val="15"/>
              </w:rPr>
              <w:tab/>
            </w:r>
          </w:p>
          <w:p w14:paraId="7BADBFB8" w14:textId="77777777" w:rsidR="00242EBC" w:rsidRPr="000270B6" w:rsidRDefault="00242EBC" w:rsidP="00242EBC">
            <w:pPr>
              <w:rPr>
                <w:rFonts w:cstheme="minorHAnsi"/>
                <w:b/>
                <w:bCs/>
                <w:sz w:val="15"/>
                <w:szCs w:val="15"/>
              </w:rPr>
            </w:pPr>
          </w:p>
        </w:tc>
        <w:tc>
          <w:tcPr>
            <w:tcW w:w="6883" w:type="dxa"/>
            <w:gridSpan w:val="2"/>
            <w:shd w:val="clear" w:color="auto" w:fill="D0CECE"/>
          </w:tcPr>
          <w:p w14:paraId="53A0DEE4" w14:textId="77777777" w:rsidR="00242EBC" w:rsidRPr="000270B6" w:rsidRDefault="00242EBC" w:rsidP="00242EBC">
            <w:pPr>
              <w:pStyle w:val="TableParagraph"/>
              <w:spacing w:before="2" w:line="190" w:lineRule="atLeast"/>
              <w:ind w:right="567"/>
              <w:rPr>
                <w:rFonts w:asciiTheme="minorHAnsi" w:hAnsiTheme="minorHAnsi" w:cstheme="minorHAnsi"/>
                <w:b/>
                <w:bCs/>
                <w:sz w:val="15"/>
                <w:szCs w:val="15"/>
              </w:rPr>
            </w:pPr>
            <w:r w:rsidRPr="000270B6">
              <w:rPr>
                <w:rFonts w:asciiTheme="minorHAnsi" w:hAnsiTheme="minorHAnsi" w:cstheme="minorHAnsi"/>
                <w:b/>
                <w:bCs/>
                <w:sz w:val="15"/>
                <w:szCs w:val="15"/>
              </w:rPr>
              <w:t>Relevant past medical history</w:t>
            </w:r>
          </w:p>
        </w:tc>
      </w:tr>
      <w:tr w:rsidR="00242EBC" w:rsidRPr="00050E13" w14:paraId="17B0ADE2" w14:textId="77777777" w:rsidTr="00242EBC">
        <w:trPr>
          <w:trHeight w:val="388"/>
        </w:trPr>
        <w:tc>
          <w:tcPr>
            <w:tcW w:w="1572" w:type="dxa"/>
            <w:shd w:val="clear" w:color="auto" w:fill="auto"/>
          </w:tcPr>
          <w:p w14:paraId="08D887D3" w14:textId="77777777" w:rsidR="00242EBC" w:rsidRPr="000270B6" w:rsidRDefault="00242EBC" w:rsidP="00242EBC">
            <w:pPr>
              <w:pStyle w:val="TableParagraph"/>
              <w:ind w:left="0"/>
              <w:rPr>
                <w:rFonts w:asciiTheme="minorHAnsi" w:hAnsiTheme="minorHAnsi" w:cstheme="minorHAnsi"/>
                <w:sz w:val="15"/>
                <w:szCs w:val="15"/>
              </w:rPr>
            </w:pPr>
          </w:p>
        </w:tc>
        <w:tc>
          <w:tcPr>
            <w:tcW w:w="6883" w:type="dxa"/>
            <w:gridSpan w:val="2"/>
            <w:shd w:val="clear" w:color="auto" w:fill="auto"/>
          </w:tcPr>
          <w:p w14:paraId="75DF6EF5" w14:textId="77777777" w:rsidR="00242EBC" w:rsidRPr="000270B6" w:rsidRDefault="00242EBC" w:rsidP="00242EBC">
            <w:pPr>
              <w:pStyle w:val="TableParagraph"/>
              <w:spacing w:before="2" w:line="190" w:lineRule="atLeast"/>
              <w:ind w:right="567"/>
              <w:rPr>
                <w:rFonts w:asciiTheme="minorHAnsi" w:hAnsiTheme="minorHAnsi" w:cstheme="minorHAnsi"/>
                <w:b/>
                <w:sz w:val="15"/>
                <w:szCs w:val="15"/>
              </w:rPr>
            </w:pPr>
            <w:r w:rsidRPr="000270B6">
              <w:rPr>
                <w:rFonts w:asciiTheme="minorHAnsi" w:hAnsiTheme="minorHAnsi" w:cstheme="minorHAnsi"/>
                <w:b/>
                <w:sz w:val="15"/>
                <w:szCs w:val="15"/>
              </w:rPr>
              <w:t xml:space="preserve">Patient 1 had low vision in the right </w:t>
            </w:r>
            <w:proofErr w:type="gramStart"/>
            <w:r w:rsidRPr="000270B6">
              <w:rPr>
                <w:rFonts w:asciiTheme="minorHAnsi" w:hAnsiTheme="minorHAnsi" w:cstheme="minorHAnsi"/>
                <w:b/>
                <w:sz w:val="15"/>
                <w:szCs w:val="15"/>
              </w:rPr>
              <w:t>eye(</w:t>
            </w:r>
            <w:proofErr w:type="gramEnd"/>
            <w:r w:rsidRPr="000270B6">
              <w:rPr>
                <w:rFonts w:asciiTheme="minorHAnsi" w:hAnsiTheme="minorHAnsi" w:cstheme="minorHAnsi"/>
                <w:b/>
                <w:sz w:val="15"/>
                <w:szCs w:val="15"/>
              </w:rPr>
              <w:t>RE) since early childhood, presumed to be due to amblyopia, and did not notice any change in visual function in that eye. As a 6 years old child, he had been first seen at the Eye hospital due to low vision in one eye (RE: 0.1c.c, LE:0.7c.c). Hypermetropic glasses (+7Dsph and+6.5Dsph) were prescribed and VA improved on both eyes to RE: 0.3 c.c. and LE: 1.0 c.c. Amblyopia treatment with the occlusion of the LE was started, but the vision of the RE did not further improve despite occlusion therapy</w:t>
            </w:r>
          </w:p>
        </w:tc>
      </w:tr>
      <w:tr w:rsidR="00242EBC" w:rsidRPr="00050E13" w14:paraId="020F5C09" w14:textId="77777777" w:rsidTr="00242EBC">
        <w:trPr>
          <w:trHeight w:val="388"/>
        </w:trPr>
        <w:tc>
          <w:tcPr>
            <w:tcW w:w="1572" w:type="dxa"/>
            <w:shd w:val="clear" w:color="auto" w:fill="D0CECE"/>
          </w:tcPr>
          <w:p w14:paraId="700B7AC2" w14:textId="77777777" w:rsidR="00242EBC" w:rsidRPr="000270B6" w:rsidRDefault="00242EBC" w:rsidP="00242EBC">
            <w:pPr>
              <w:pStyle w:val="TableParagraph"/>
              <w:ind w:left="0"/>
              <w:rPr>
                <w:rFonts w:asciiTheme="minorHAnsi" w:hAnsiTheme="minorHAnsi" w:cstheme="minorHAnsi"/>
                <w:sz w:val="15"/>
                <w:szCs w:val="15"/>
              </w:rPr>
            </w:pPr>
          </w:p>
        </w:tc>
        <w:tc>
          <w:tcPr>
            <w:tcW w:w="3193" w:type="dxa"/>
            <w:shd w:val="clear" w:color="auto" w:fill="D0CECE"/>
          </w:tcPr>
          <w:p w14:paraId="03716582" w14:textId="77777777" w:rsidR="00242EBC" w:rsidRPr="000270B6" w:rsidRDefault="00242EBC" w:rsidP="00242EBC">
            <w:pPr>
              <w:pStyle w:val="TableParagraph"/>
              <w:spacing w:before="2" w:line="190" w:lineRule="atLeast"/>
              <w:ind w:right="447"/>
              <w:rPr>
                <w:rFonts w:asciiTheme="minorHAnsi" w:hAnsiTheme="minorHAnsi" w:cstheme="minorHAnsi"/>
                <w:b/>
                <w:sz w:val="15"/>
                <w:szCs w:val="15"/>
              </w:rPr>
            </w:pPr>
            <w:r w:rsidRPr="000270B6">
              <w:rPr>
                <w:rFonts w:asciiTheme="minorHAnsi" w:hAnsiTheme="minorHAnsi" w:cstheme="minorHAnsi"/>
                <w:b/>
                <w:sz w:val="15"/>
                <w:szCs w:val="15"/>
              </w:rPr>
              <w:t>Summaries from initial and follow-up visits</w:t>
            </w:r>
          </w:p>
        </w:tc>
        <w:tc>
          <w:tcPr>
            <w:tcW w:w="3690" w:type="dxa"/>
            <w:shd w:val="clear" w:color="auto" w:fill="D0CECE"/>
          </w:tcPr>
          <w:p w14:paraId="304FD79D" w14:textId="77777777" w:rsidR="00242EBC" w:rsidRPr="000270B6" w:rsidRDefault="00242EBC" w:rsidP="00242EBC">
            <w:pPr>
              <w:pStyle w:val="TableParagraph"/>
              <w:spacing w:before="2" w:line="190" w:lineRule="atLeast"/>
              <w:ind w:right="567"/>
              <w:rPr>
                <w:rFonts w:asciiTheme="minorHAnsi" w:hAnsiTheme="minorHAnsi" w:cstheme="minorHAnsi"/>
                <w:b/>
                <w:sz w:val="15"/>
                <w:szCs w:val="15"/>
              </w:rPr>
            </w:pPr>
            <w:r w:rsidRPr="000270B6">
              <w:rPr>
                <w:rFonts w:asciiTheme="minorHAnsi" w:hAnsiTheme="minorHAnsi" w:cstheme="minorHAnsi"/>
                <w:b/>
                <w:sz w:val="15"/>
                <w:szCs w:val="15"/>
              </w:rPr>
              <w:t>Interventions and therapy</w:t>
            </w:r>
          </w:p>
        </w:tc>
      </w:tr>
      <w:tr w:rsidR="00242EBC" w:rsidRPr="00050E13" w14:paraId="783C7D0B" w14:textId="77777777" w:rsidTr="00242EBC">
        <w:trPr>
          <w:trHeight w:val="385"/>
        </w:trPr>
        <w:tc>
          <w:tcPr>
            <w:tcW w:w="1572" w:type="dxa"/>
          </w:tcPr>
          <w:p w14:paraId="224A6903" w14:textId="77777777" w:rsidR="00242EBC" w:rsidRPr="000270B6" w:rsidRDefault="00242EBC" w:rsidP="00242EBC">
            <w:pPr>
              <w:pStyle w:val="TableParagraph"/>
              <w:spacing w:line="194" w:lineRule="exact"/>
              <w:rPr>
                <w:rFonts w:asciiTheme="minorHAnsi" w:hAnsiTheme="minorHAnsi" w:cstheme="minorHAnsi"/>
                <w:sz w:val="15"/>
                <w:szCs w:val="15"/>
              </w:rPr>
            </w:pPr>
            <w:r w:rsidRPr="000270B6">
              <w:rPr>
                <w:rFonts w:asciiTheme="minorHAnsi" w:hAnsiTheme="minorHAnsi" w:cstheme="minorHAnsi"/>
                <w:sz w:val="15"/>
                <w:szCs w:val="15"/>
              </w:rPr>
              <w:t>August 2015</w:t>
            </w:r>
          </w:p>
        </w:tc>
        <w:tc>
          <w:tcPr>
            <w:tcW w:w="3193" w:type="dxa"/>
          </w:tcPr>
          <w:p w14:paraId="1BAB6439" w14:textId="77777777" w:rsidR="00242EBC" w:rsidRPr="000270B6" w:rsidRDefault="00242EBC" w:rsidP="00242EBC">
            <w:pPr>
              <w:pStyle w:val="TableParagraph"/>
              <w:spacing w:line="194" w:lineRule="exact"/>
              <w:rPr>
                <w:rFonts w:asciiTheme="minorHAnsi" w:hAnsiTheme="minorHAnsi" w:cstheme="minorHAnsi"/>
                <w:sz w:val="15"/>
                <w:szCs w:val="15"/>
              </w:rPr>
            </w:pPr>
            <w:r w:rsidRPr="000270B6">
              <w:rPr>
                <w:rFonts w:asciiTheme="minorHAnsi" w:hAnsiTheme="minorHAnsi" w:cstheme="minorHAnsi"/>
                <w:sz w:val="15"/>
                <w:szCs w:val="15"/>
              </w:rPr>
              <w:t>VA loss on the left eye (LE)</w:t>
            </w:r>
          </w:p>
        </w:tc>
        <w:tc>
          <w:tcPr>
            <w:tcW w:w="3690" w:type="dxa"/>
          </w:tcPr>
          <w:p w14:paraId="193097CE" w14:textId="77777777" w:rsidR="00242EBC" w:rsidRPr="000270B6" w:rsidRDefault="00242EBC" w:rsidP="00242EBC">
            <w:pPr>
              <w:pStyle w:val="TableParagraph"/>
              <w:spacing w:before="5" w:line="194" w:lineRule="exact"/>
              <w:ind w:right="292"/>
              <w:rPr>
                <w:rFonts w:asciiTheme="minorHAnsi" w:hAnsiTheme="minorHAnsi" w:cstheme="minorHAnsi"/>
                <w:sz w:val="15"/>
                <w:szCs w:val="15"/>
              </w:rPr>
            </w:pPr>
            <w:r w:rsidRPr="000270B6">
              <w:rPr>
                <w:rFonts w:asciiTheme="minorHAnsi" w:hAnsiTheme="minorHAnsi" w:cstheme="minorHAnsi"/>
                <w:sz w:val="15"/>
                <w:szCs w:val="15"/>
              </w:rPr>
              <w:t>Glasses prescription from the local ophthalmologist.</w:t>
            </w:r>
          </w:p>
        </w:tc>
      </w:tr>
      <w:tr w:rsidR="00242EBC" w:rsidRPr="00050E13" w14:paraId="5C5BB91D" w14:textId="77777777" w:rsidTr="00242EBC">
        <w:trPr>
          <w:trHeight w:val="1549"/>
        </w:trPr>
        <w:tc>
          <w:tcPr>
            <w:tcW w:w="1572" w:type="dxa"/>
          </w:tcPr>
          <w:p w14:paraId="43960C93" w14:textId="77777777" w:rsidR="00242EBC" w:rsidRPr="000270B6" w:rsidRDefault="00242EBC" w:rsidP="00242EBC">
            <w:pPr>
              <w:pStyle w:val="TableParagraph"/>
              <w:spacing w:line="189" w:lineRule="exact"/>
              <w:rPr>
                <w:rFonts w:asciiTheme="minorHAnsi" w:hAnsiTheme="minorHAnsi" w:cstheme="minorHAnsi"/>
                <w:sz w:val="15"/>
                <w:szCs w:val="15"/>
              </w:rPr>
            </w:pPr>
            <w:r w:rsidRPr="000270B6">
              <w:rPr>
                <w:rFonts w:asciiTheme="minorHAnsi" w:hAnsiTheme="minorHAnsi" w:cstheme="minorHAnsi"/>
                <w:sz w:val="15"/>
                <w:szCs w:val="15"/>
              </w:rPr>
              <w:t>December 2015 (5 months after the onset of the right eye)</w:t>
            </w:r>
          </w:p>
        </w:tc>
        <w:tc>
          <w:tcPr>
            <w:tcW w:w="3193" w:type="dxa"/>
          </w:tcPr>
          <w:p w14:paraId="6E6D4DB9" w14:textId="77777777" w:rsidR="00242EBC" w:rsidRPr="000270B6" w:rsidRDefault="00242EBC" w:rsidP="00242EBC">
            <w:pPr>
              <w:rPr>
                <w:rFonts w:cstheme="minorHAnsi"/>
                <w:sz w:val="15"/>
                <w:szCs w:val="15"/>
              </w:rPr>
            </w:pPr>
            <w:r w:rsidRPr="000270B6">
              <w:rPr>
                <w:rFonts w:cstheme="minorHAnsi"/>
                <w:sz w:val="15"/>
                <w:szCs w:val="15"/>
              </w:rPr>
              <w:t>Hospitalization at Clinic due to VA loss on the previously healthy left eye. VA RE counting fingers on 2 meters, LE: counting fingers at 1 m Color vision RE 0/15, LE 1/15, central scotoma bilaterally. On fundoscopy reddish optic discs with initial pallor temporally. Thinning of the pRNFL, thinning of the inner retina in the macular region. FA: no leakage, EF: P 50 amplitude normal, lower on amblyopic eye, decreased N95 wave more on the amblyopic eye, N95/P50 ratio RE 0.71 LE:0.78, delayed and decreased VEP P100 with lower amplitude and shorter latency on amblyopic eye.</w:t>
            </w:r>
          </w:p>
        </w:tc>
        <w:tc>
          <w:tcPr>
            <w:tcW w:w="3690" w:type="dxa"/>
          </w:tcPr>
          <w:p w14:paraId="724BA8BE" w14:textId="77777777" w:rsidR="00242EBC" w:rsidRPr="000270B6" w:rsidRDefault="00242EBC" w:rsidP="00242EBC">
            <w:pPr>
              <w:pStyle w:val="TableParagraph"/>
              <w:spacing w:line="172" w:lineRule="exact"/>
              <w:rPr>
                <w:rFonts w:asciiTheme="minorHAnsi" w:hAnsiTheme="minorHAnsi" w:cstheme="minorHAnsi"/>
                <w:sz w:val="15"/>
                <w:szCs w:val="15"/>
              </w:rPr>
            </w:pPr>
            <w:r w:rsidRPr="000270B6">
              <w:rPr>
                <w:rFonts w:asciiTheme="minorHAnsi" w:hAnsiTheme="minorHAnsi" w:cstheme="minorHAnsi"/>
                <w:sz w:val="15"/>
                <w:szCs w:val="15"/>
              </w:rPr>
              <w:t xml:space="preserve">Systemic corticosteroid therapy for 3 days Solumedrol </w:t>
            </w:r>
            <w:proofErr w:type="spellStart"/>
            <w:r w:rsidRPr="000270B6">
              <w:rPr>
                <w:rFonts w:asciiTheme="minorHAnsi" w:hAnsiTheme="minorHAnsi" w:cstheme="minorHAnsi"/>
                <w:sz w:val="15"/>
                <w:szCs w:val="15"/>
              </w:rPr>
              <w:t>i.v.</w:t>
            </w:r>
            <w:proofErr w:type="spellEnd"/>
            <w:r w:rsidRPr="000270B6">
              <w:rPr>
                <w:rFonts w:asciiTheme="minorHAnsi" w:hAnsiTheme="minorHAnsi" w:cstheme="minorHAnsi"/>
                <w:sz w:val="15"/>
                <w:szCs w:val="15"/>
              </w:rPr>
              <w:t xml:space="preserve"> (1g/day), no improvement.</w:t>
            </w:r>
          </w:p>
          <w:p w14:paraId="5B9568A6" w14:textId="77777777" w:rsidR="00242EBC" w:rsidRPr="000270B6" w:rsidRDefault="00242EBC" w:rsidP="00242EBC">
            <w:pPr>
              <w:pStyle w:val="TableParagraph"/>
              <w:spacing w:line="172" w:lineRule="exact"/>
              <w:rPr>
                <w:rFonts w:asciiTheme="minorHAnsi" w:hAnsiTheme="minorHAnsi" w:cstheme="minorHAnsi"/>
                <w:sz w:val="15"/>
                <w:szCs w:val="15"/>
              </w:rPr>
            </w:pPr>
            <w:r w:rsidRPr="000270B6">
              <w:rPr>
                <w:rFonts w:asciiTheme="minorHAnsi" w:hAnsiTheme="minorHAnsi" w:cstheme="minorHAnsi"/>
                <w:sz w:val="15"/>
                <w:szCs w:val="15"/>
              </w:rPr>
              <w:t xml:space="preserve">MRI of the head and brain, no signs of demyelination, aqp4 negative, </w:t>
            </w:r>
            <w:proofErr w:type="spellStart"/>
            <w:r w:rsidRPr="000270B6">
              <w:rPr>
                <w:rFonts w:asciiTheme="minorHAnsi" w:hAnsiTheme="minorHAnsi" w:cstheme="minorHAnsi"/>
                <w:sz w:val="15"/>
                <w:szCs w:val="15"/>
              </w:rPr>
              <w:t>antiMOG</w:t>
            </w:r>
            <w:proofErr w:type="spellEnd"/>
            <w:r w:rsidRPr="000270B6">
              <w:rPr>
                <w:rFonts w:asciiTheme="minorHAnsi" w:hAnsiTheme="minorHAnsi" w:cstheme="minorHAnsi"/>
                <w:sz w:val="15"/>
                <w:szCs w:val="15"/>
              </w:rPr>
              <w:t xml:space="preserve"> negative, excluded all other possible signs of </w:t>
            </w:r>
            <w:proofErr w:type="spellStart"/>
            <w:r w:rsidRPr="000270B6">
              <w:rPr>
                <w:rFonts w:asciiTheme="minorHAnsi" w:hAnsiTheme="minorHAnsi" w:cstheme="minorHAnsi"/>
                <w:sz w:val="15"/>
                <w:szCs w:val="15"/>
              </w:rPr>
              <w:t>theoptic</w:t>
            </w:r>
            <w:proofErr w:type="spellEnd"/>
            <w:r w:rsidRPr="000270B6">
              <w:rPr>
                <w:rFonts w:asciiTheme="minorHAnsi" w:hAnsiTheme="minorHAnsi" w:cstheme="minorHAnsi"/>
                <w:sz w:val="15"/>
                <w:szCs w:val="15"/>
              </w:rPr>
              <w:t xml:space="preserve"> atrophy (infectious, paraneoplastic, compressive </w:t>
            </w:r>
            <w:proofErr w:type="spellStart"/>
            <w:r w:rsidRPr="000270B6">
              <w:rPr>
                <w:rFonts w:asciiTheme="minorHAnsi" w:hAnsiTheme="minorHAnsi" w:cstheme="minorHAnsi"/>
                <w:sz w:val="15"/>
                <w:szCs w:val="15"/>
              </w:rPr>
              <w:t>etc</w:t>
            </w:r>
            <w:proofErr w:type="spellEnd"/>
            <w:r w:rsidRPr="000270B6">
              <w:rPr>
                <w:rFonts w:asciiTheme="minorHAnsi" w:hAnsiTheme="minorHAnsi" w:cstheme="minorHAnsi"/>
                <w:sz w:val="15"/>
                <w:szCs w:val="15"/>
              </w:rPr>
              <w:t>)</w:t>
            </w:r>
          </w:p>
          <w:p w14:paraId="0DDC8A3D" w14:textId="77777777" w:rsidR="00242EBC" w:rsidRPr="000270B6" w:rsidRDefault="00242EBC" w:rsidP="00242EBC">
            <w:pPr>
              <w:pStyle w:val="TableParagraph"/>
              <w:spacing w:line="172" w:lineRule="exact"/>
              <w:rPr>
                <w:rFonts w:asciiTheme="minorHAnsi" w:hAnsiTheme="minorHAnsi" w:cstheme="minorHAnsi"/>
                <w:sz w:val="15"/>
                <w:szCs w:val="15"/>
              </w:rPr>
            </w:pPr>
          </w:p>
          <w:p w14:paraId="60B00925" w14:textId="77777777" w:rsidR="00242EBC" w:rsidRPr="000270B6" w:rsidRDefault="00242EBC" w:rsidP="00242EBC">
            <w:pPr>
              <w:pStyle w:val="TableParagraph"/>
              <w:spacing w:line="172" w:lineRule="exact"/>
              <w:rPr>
                <w:rFonts w:asciiTheme="minorHAnsi" w:hAnsiTheme="minorHAnsi" w:cstheme="minorHAnsi"/>
                <w:sz w:val="15"/>
                <w:szCs w:val="15"/>
              </w:rPr>
            </w:pPr>
            <w:r w:rsidRPr="000270B6">
              <w:rPr>
                <w:rFonts w:asciiTheme="minorHAnsi" w:hAnsiTheme="minorHAnsi" w:cstheme="minorHAnsi"/>
                <w:sz w:val="15"/>
                <w:szCs w:val="15"/>
              </w:rPr>
              <w:t>Blood taken for genetic testing.</w:t>
            </w:r>
          </w:p>
        </w:tc>
      </w:tr>
      <w:tr w:rsidR="00242EBC" w:rsidRPr="00050E13" w14:paraId="3613DE8B" w14:textId="77777777" w:rsidTr="00242EBC">
        <w:trPr>
          <w:trHeight w:val="1247"/>
        </w:trPr>
        <w:tc>
          <w:tcPr>
            <w:tcW w:w="1572" w:type="dxa"/>
          </w:tcPr>
          <w:p w14:paraId="45D98439" w14:textId="77777777" w:rsidR="00242EBC" w:rsidRPr="000270B6" w:rsidRDefault="00242EBC" w:rsidP="00242EBC">
            <w:pPr>
              <w:pStyle w:val="TableParagraph"/>
              <w:spacing w:line="189" w:lineRule="exact"/>
              <w:rPr>
                <w:rFonts w:asciiTheme="minorHAnsi" w:hAnsiTheme="minorHAnsi" w:cstheme="minorHAnsi"/>
                <w:sz w:val="15"/>
                <w:szCs w:val="15"/>
              </w:rPr>
            </w:pPr>
            <w:r w:rsidRPr="000270B6">
              <w:rPr>
                <w:rFonts w:asciiTheme="minorHAnsi" w:hAnsiTheme="minorHAnsi" w:cstheme="minorHAnsi"/>
                <w:sz w:val="15"/>
                <w:szCs w:val="15"/>
              </w:rPr>
              <w:t>July 2016 (one year after the onset)</w:t>
            </w:r>
          </w:p>
        </w:tc>
        <w:tc>
          <w:tcPr>
            <w:tcW w:w="3193" w:type="dxa"/>
          </w:tcPr>
          <w:p w14:paraId="44B24DC2" w14:textId="77777777" w:rsidR="00242EBC" w:rsidRPr="000270B6" w:rsidRDefault="00242EBC" w:rsidP="00242EBC">
            <w:pPr>
              <w:rPr>
                <w:rFonts w:cstheme="minorHAnsi"/>
                <w:sz w:val="15"/>
                <w:szCs w:val="15"/>
              </w:rPr>
            </w:pPr>
            <w:r w:rsidRPr="000270B6">
              <w:rPr>
                <w:rFonts w:cstheme="minorHAnsi"/>
                <w:sz w:val="15"/>
                <w:szCs w:val="15"/>
              </w:rPr>
              <w:t>VA RE counting fingers on 1,5 meters, LE counting fingers at 1 m Color vision RE 0/15, LE 1/15, central scotoma bilaterally. On fundoscopy both optic discs pale, thinning of the inner retina on OCT bilaterally, further progression of the pRNFL thinning</w:t>
            </w:r>
          </w:p>
        </w:tc>
        <w:tc>
          <w:tcPr>
            <w:tcW w:w="3690" w:type="dxa"/>
          </w:tcPr>
          <w:p w14:paraId="075DD728" w14:textId="77777777" w:rsidR="00242EBC" w:rsidRPr="000270B6" w:rsidRDefault="00242EBC" w:rsidP="00242EBC">
            <w:pPr>
              <w:pStyle w:val="TableParagraph"/>
              <w:ind w:right="150"/>
              <w:rPr>
                <w:rFonts w:asciiTheme="minorHAnsi" w:hAnsiTheme="minorHAnsi" w:cstheme="minorHAnsi"/>
                <w:sz w:val="15"/>
                <w:szCs w:val="15"/>
              </w:rPr>
            </w:pPr>
            <w:r w:rsidRPr="000270B6">
              <w:rPr>
                <w:rFonts w:asciiTheme="minorHAnsi" w:hAnsiTheme="minorHAnsi" w:cstheme="minorHAnsi"/>
                <w:sz w:val="15"/>
                <w:szCs w:val="15"/>
              </w:rPr>
              <w:t xml:space="preserve">Genetic testing for 3 common mutations negative, </w:t>
            </w:r>
            <w:proofErr w:type="spellStart"/>
            <w:r w:rsidRPr="000270B6">
              <w:rPr>
                <w:rFonts w:asciiTheme="minorHAnsi" w:hAnsiTheme="minorHAnsi" w:cstheme="minorHAnsi"/>
                <w:sz w:val="15"/>
                <w:szCs w:val="15"/>
              </w:rPr>
              <w:t>mtDNK</w:t>
            </w:r>
            <w:proofErr w:type="spellEnd"/>
            <w:r w:rsidRPr="000270B6">
              <w:rPr>
                <w:rFonts w:asciiTheme="minorHAnsi" w:hAnsiTheme="minorHAnsi" w:cstheme="minorHAnsi"/>
                <w:sz w:val="15"/>
                <w:szCs w:val="15"/>
              </w:rPr>
              <w:t xml:space="preserve"> </w:t>
            </w:r>
            <w:proofErr w:type="spellStart"/>
            <w:r w:rsidRPr="000270B6">
              <w:rPr>
                <w:rFonts w:asciiTheme="minorHAnsi" w:hAnsiTheme="minorHAnsi" w:cstheme="minorHAnsi"/>
                <w:sz w:val="15"/>
                <w:szCs w:val="15"/>
              </w:rPr>
              <w:t>ngs</w:t>
            </w:r>
            <w:proofErr w:type="spellEnd"/>
            <w:r w:rsidRPr="000270B6">
              <w:rPr>
                <w:rFonts w:asciiTheme="minorHAnsi" w:hAnsiTheme="minorHAnsi" w:cstheme="minorHAnsi"/>
                <w:sz w:val="15"/>
                <w:szCs w:val="15"/>
              </w:rPr>
              <w:t xml:space="preserve"> performed revealed previously published rare mutation, mother and sister tested for the same mutation. Patient started with </w:t>
            </w:r>
            <w:proofErr w:type="spellStart"/>
            <w:r w:rsidRPr="000270B6">
              <w:rPr>
                <w:rFonts w:asciiTheme="minorHAnsi" w:hAnsiTheme="minorHAnsi" w:cstheme="minorHAnsi"/>
                <w:sz w:val="15"/>
                <w:szCs w:val="15"/>
              </w:rPr>
              <w:t>Idebenone</w:t>
            </w:r>
            <w:proofErr w:type="spellEnd"/>
          </w:p>
        </w:tc>
      </w:tr>
      <w:tr w:rsidR="00242EBC" w:rsidRPr="00050E13" w14:paraId="1E3F57AE" w14:textId="77777777" w:rsidTr="00242EBC">
        <w:trPr>
          <w:trHeight w:val="1549"/>
        </w:trPr>
        <w:tc>
          <w:tcPr>
            <w:tcW w:w="1572" w:type="dxa"/>
          </w:tcPr>
          <w:p w14:paraId="334D3923" w14:textId="77777777" w:rsidR="00242EBC" w:rsidRPr="000270B6" w:rsidRDefault="00242EBC" w:rsidP="00242EBC">
            <w:pPr>
              <w:pStyle w:val="TableParagraph"/>
              <w:spacing w:line="189" w:lineRule="exact"/>
              <w:rPr>
                <w:rFonts w:asciiTheme="minorHAnsi" w:hAnsiTheme="minorHAnsi" w:cstheme="minorHAnsi"/>
                <w:sz w:val="15"/>
                <w:szCs w:val="15"/>
              </w:rPr>
            </w:pPr>
            <w:r w:rsidRPr="000270B6">
              <w:rPr>
                <w:rFonts w:asciiTheme="minorHAnsi" w:hAnsiTheme="minorHAnsi" w:cstheme="minorHAnsi"/>
                <w:sz w:val="15"/>
                <w:szCs w:val="15"/>
              </w:rPr>
              <w:t>November 2017 (14 months after the onset on the left eye)</w:t>
            </w:r>
          </w:p>
        </w:tc>
        <w:tc>
          <w:tcPr>
            <w:tcW w:w="3193" w:type="dxa"/>
          </w:tcPr>
          <w:p w14:paraId="3495C7DC" w14:textId="77777777" w:rsidR="00242EBC" w:rsidRPr="000270B6" w:rsidRDefault="00242EBC" w:rsidP="00242EBC">
            <w:pPr>
              <w:rPr>
                <w:rFonts w:cstheme="minorHAnsi"/>
                <w:sz w:val="15"/>
                <w:szCs w:val="15"/>
              </w:rPr>
            </w:pPr>
            <w:r w:rsidRPr="000270B6">
              <w:rPr>
                <w:rFonts w:cstheme="minorHAnsi"/>
                <w:sz w:val="15"/>
                <w:szCs w:val="15"/>
              </w:rPr>
              <w:t>VA RE counting fingers on 1,5 meters, LE counting fingers at 1 m Color vision RE 0/15, LE 1/15, central scotoma bilaterally. On fundoscopy both optic discs pale, thinning of the inner retina on OCT bilaterally, further progression of the pRNFL thinning.  EF: P 50 amplitude decreased, more on the amblyopic eye, although still within normal limits, decreased N95 wave on the amblyopic eye, normal on LHON, N95/P50 RE 0.77 LE 1.02, and delayed and decreased VEP P100.</w:t>
            </w:r>
          </w:p>
        </w:tc>
        <w:tc>
          <w:tcPr>
            <w:tcW w:w="3690" w:type="dxa"/>
          </w:tcPr>
          <w:p w14:paraId="71211C15" w14:textId="77777777" w:rsidR="00242EBC" w:rsidRPr="000270B6" w:rsidRDefault="00242EBC" w:rsidP="00242EBC">
            <w:pPr>
              <w:pStyle w:val="TableParagraph"/>
              <w:ind w:right="150"/>
              <w:rPr>
                <w:rFonts w:asciiTheme="minorHAnsi" w:hAnsiTheme="minorHAnsi" w:cstheme="minorHAnsi"/>
                <w:sz w:val="15"/>
                <w:szCs w:val="15"/>
              </w:rPr>
            </w:pPr>
            <w:r w:rsidRPr="000270B6">
              <w:rPr>
                <w:rFonts w:asciiTheme="minorHAnsi" w:hAnsiTheme="minorHAnsi" w:cstheme="minorHAnsi"/>
                <w:sz w:val="15"/>
                <w:szCs w:val="15"/>
              </w:rPr>
              <w:t>Mutation confirmed in both mother and sister who are asymptomatic carriers</w:t>
            </w:r>
          </w:p>
        </w:tc>
      </w:tr>
      <w:tr w:rsidR="00242EBC" w:rsidRPr="00050E13" w14:paraId="7160BF93" w14:textId="77777777" w:rsidTr="00242EBC">
        <w:trPr>
          <w:trHeight w:val="1549"/>
        </w:trPr>
        <w:tc>
          <w:tcPr>
            <w:tcW w:w="1572" w:type="dxa"/>
          </w:tcPr>
          <w:p w14:paraId="7F136009" w14:textId="77777777" w:rsidR="00242EBC" w:rsidRPr="000270B6" w:rsidRDefault="00242EBC" w:rsidP="00242EBC">
            <w:pPr>
              <w:pStyle w:val="TableParagraph"/>
              <w:spacing w:line="189" w:lineRule="exact"/>
              <w:rPr>
                <w:rFonts w:asciiTheme="minorHAnsi" w:hAnsiTheme="minorHAnsi" w:cstheme="minorHAnsi"/>
                <w:sz w:val="15"/>
                <w:szCs w:val="15"/>
              </w:rPr>
            </w:pPr>
            <w:r w:rsidRPr="000270B6">
              <w:rPr>
                <w:rFonts w:asciiTheme="minorHAnsi" w:hAnsiTheme="minorHAnsi" w:cstheme="minorHAnsi"/>
                <w:sz w:val="15"/>
                <w:szCs w:val="15"/>
              </w:rPr>
              <w:t>January 2018 (3.5 years after the onset)</w:t>
            </w:r>
          </w:p>
        </w:tc>
        <w:tc>
          <w:tcPr>
            <w:tcW w:w="3193" w:type="dxa"/>
          </w:tcPr>
          <w:p w14:paraId="25583175" w14:textId="77777777" w:rsidR="00242EBC" w:rsidRPr="000270B6" w:rsidRDefault="00242EBC" w:rsidP="00242EBC">
            <w:pPr>
              <w:rPr>
                <w:rFonts w:cstheme="minorHAnsi"/>
                <w:sz w:val="15"/>
                <w:szCs w:val="15"/>
              </w:rPr>
            </w:pPr>
            <w:r w:rsidRPr="000270B6">
              <w:rPr>
                <w:rFonts w:cstheme="minorHAnsi"/>
                <w:sz w:val="15"/>
                <w:szCs w:val="15"/>
              </w:rPr>
              <w:t xml:space="preserve">VA RE counting fingers on 2,5 meters, LE counting fingers at 2,5 m Color vision RE 0/15, LE 1/15, central scotoma bilaterally. On fundoscopy both optic discs pale, thinning of the inner retina on OCT bilaterally, further progression of the pRNFL thinning.  EF: SFERG P50 amplitude improved, more on the amblyopic eye, borderline reduced N95 amplitude improved but the wave was in the level of the </w:t>
            </w:r>
            <w:proofErr w:type="gramStart"/>
            <w:r w:rsidRPr="000270B6">
              <w:rPr>
                <w:rFonts w:cstheme="minorHAnsi"/>
                <w:sz w:val="15"/>
                <w:szCs w:val="15"/>
              </w:rPr>
              <w:t>baseline,  again</w:t>
            </w:r>
            <w:proofErr w:type="gramEnd"/>
            <w:r w:rsidRPr="000270B6">
              <w:rPr>
                <w:rFonts w:cstheme="minorHAnsi"/>
                <w:sz w:val="15"/>
                <w:szCs w:val="15"/>
              </w:rPr>
              <w:t xml:space="preserve"> more on the amblyopic eye N95/P50 RE 0.81 LE 0,92  and delayed and decreased VEP P100.</w:t>
            </w:r>
          </w:p>
        </w:tc>
        <w:tc>
          <w:tcPr>
            <w:tcW w:w="3690" w:type="dxa"/>
          </w:tcPr>
          <w:p w14:paraId="436E1678" w14:textId="77777777" w:rsidR="00242EBC" w:rsidRPr="000270B6" w:rsidRDefault="00242EBC" w:rsidP="00242EBC">
            <w:pPr>
              <w:pStyle w:val="TableParagraph"/>
              <w:ind w:right="150"/>
              <w:rPr>
                <w:rFonts w:asciiTheme="minorHAnsi" w:hAnsiTheme="minorHAnsi" w:cstheme="minorHAnsi"/>
                <w:sz w:val="15"/>
                <w:szCs w:val="15"/>
              </w:rPr>
            </w:pPr>
          </w:p>
        </w:tc>
      </w:tr>
      <w:tr w:rsidR="00242EBC" w:rsidRPr="00050E13" w14:paraId="652844C3" w14:textId="77777777" w:rsidTr="00242EBC">
        <w:trPr>
          <w:trHeight w:val="1549"/>
        </w:trPr>
        <w:tc>
          <w:tcPr>
            <w:tcW w:w="1572" w:type="dxa"/>
          </w:tcPr>
          <w:p w14:paraId="27A25D45" w14:textId="77777777" w:rsidR="00242EBC" w:rsidRPr="000270B6" w:rsidRDefault="00242EBC" w:rsidP="00242EBC">
            <w:pPr>
              <w:pStyle w:val="TableParagraph"/>
              <w:spacing w:line="189" w:lineRule="exact"/>
              <w:rPr>
                <w:rFonts w:asciiTheme="minorHAnsi" w:hAnsiTheme="minorHAnsi" w:cstheme="minorHAnsi"/>
                <w:sz w:val="15"/>
                <w:szCs w:val="15"/>
              </w:rPr>
            </w:pPr>
            <w:r w:rsidRPr="000270B6">
              <w:rPr>
                <w:rFonts w:asciiTheme="minorHAnsi" w:hAnsiTheme="minorHAnsi" w:cstheme="minorHAnsi"/>
                <w:sz w:val="15"/>
                <w:szCs w:val="15"/>
              </w:rPr>
              <w:t>January 2022</w:t>
            </w:r>
          </w:p>
          <w:p w14:paraId="1AE0E514" w14:textId="77777777" w:rsidR="00242EBC" w:rsidRPr="000270B6" w:rsidRDefault="00242EBC" w:rsidP="00242EBC">
            <w:pPr>
              <w:pStyle w:val="TableParagraph"/>
              <w:spacing w:line="189" w:lineRule="exact"/>
              <w:rPr>
                <w:rFonts w:asciiTheme="minorHAnsi" w:hAnsiTheme="minorHAnsi" w:cstheme="minorHAnsi"/>
                <w:sz w:val="15"/>
                <w:szCs w:val="15"/>
              </w:rPr>
            </w:pPr>
            <w:r w:rsidRPr="000270B6">
              <w:rPr>
                <w:rFonts w:asciiTheme="minorHAnsi" w:hAnsiTheme="minorHAnsi" w:cstheme="minorHAnsi"/>
                <w:sz w:val="15"/>
                <w:szCs w:val="15"/>
              </w:rPr>
              <w:t>(5.5 years after the onset)</w:t>
            </w:r>
          </w:p>
        </w:tc>
        <w:tc>
          <w:tcPr>
            <w:tcW w:w="3193" w:type="dxa"/>
          </w:tcPr>
          <w:p w14:paraId="40C0EEE8" w14:textId="77777777" w:rsidR="00242EBC" w:rsidRPr="000270B6" w:rsidRDefault="00242EBC" w:rsidP="00242EBC">
            <w:pPr>
              <w:rPr>
                <w:rFonts w:cstheme="minorHAnsi"/>
                <w:sz w:val="15"/>
                <w:szCs w:val="15"/>
              </w:rPr>
            </w:pPr>
            <w:r w:rsidRPr="000270B6">
              <w:rPr>
                <w:rFonts w:cstheme="minorHAnsi"/>
                <w:sz w:val="15"/>
                <w:szCs w:val="15"/>
              </w:rPr>
              <w:t>VA RE counting fingers on 1 meter, LE counting fingers at 0.75 m Color vision RE 0/15, LE 1/15, central scotoma bilaterally. On fundoscopy both optic discs pale, thinning of the inner retina on OCT bilaterally, further progression of the pRNFL thinning, with still preserved nasal segment on both eyes</w:t>
            </w:r>
          </w:p>
        </w:tc>
        <w:tc>
          <w:tcPr>
            <w:tcW w:w="3690" w:type="dxa"/>
          </w:tcPr>
          <w:p w14:paraId="449A0E6D" w14:textId="77777777" w:rsidR="00242EBC" w:rsidRPr="000270B6" w:rsidRDefault="00242EBC" w:rsidP="00242EBC">
            <w:pPr>
              <w:pStyle w:val="TableParagraph"/>
              <w:ind w:right="150"/>
              <w:rPr>
                <w:rFonts w:asciiTheme="minorHAnsi" w:hAnsiTheme="minorHAnsi" w:cstheme="minorHAnsi"/>
                <w:sz w:val="15"/>
                <w:szCs w:val="15"/>
              </w:rPr>
            </w:pPr>
          </w:p>
        </w:tc>
      </w:tr>
    </w:tbl>
    <w:p w14:paraId="017464F2" w14:textId="79316294" w:rsidR="00090F83" w:rsidRDefault="00090F83" w:rsidP="00242EBC">
      <w:pPr>
        <w:pStyle w:val="MDPI62BackMatter"/>
        <w:spacing w:before="240"/>
        <w:jc w:val="left"/>
      </w:pPr>
    </w:p>
    <w:sectPr w:rsidR="00090F83" w:rsidSect="002957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95"/>
    <w:rsid w:val="00090F83"/>
    <w:rsid w:val="00242EBC"/>
    <w:rsid w:val="002957EF"/>
    <w:rsid w:val="00454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1F28FD"/>
  <w15:chartTrackingRefBased/>
  <w15:docId w15:val="{70D269A6-8B4C-B14D-8C1B-C9C1C5B0B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59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454595"/>
    <w:pPr>
      <w:widowControl w:val="0"/>
      <w:autoSpaceDE w:val="0"/>
      <w:autoSpaceDN w:val="0"/>
    </w:pPr>
    <w:rPr>
      <w:kern w:val="0"/>
      <w:sz w:val="22"/>
      <w:szCs w:val="22"/>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54595"/>
    <w:pPr>
      <w:widowControl w:val="0"/>
      <w:autoSpaceDE w:val="0"/>
      <w:autoSpaceDN w:val="0"/>
      <w:ind w:left="107"/>
    </w:pPr>
    <w:rPr>
      <w:rFonts w:ascii="Verdana" w:eastAsia="Verdana" w:hAnsi="Verdana" w:cs="Verdana"/>
      <w:sz w:val="22"/>
      <w:szCs w:val="22"/>
      <w:lang w:bidi="en-US"/>
    </w:rPr>
  </w:style>
  <w:style w:type="paragraph" w:customStyle="1" w:styleId="MDPI62BackMatter">
    <w:name w:val="MDPI_6.2_BackMatter"/>
    <w:qFormat/>
    <w:rsid w:val="00242EBC"/>
    <w:pPr>
      <w:adjustRightInd w:val="0"/>
      <w:snapToGrid w:val="0"/>
      <w:spacing w:after="120" w:line="228" w:lineRule="auto"/>
      <w:ind w:left="2608"/>
      <w:jc w:val="both"/>
    </w:pPr>
    <w:rPr>
      <w:rFonts w:ascii="Palatino Linotype" w:eastAsia="Times New Roman" w:hAnsi="Palatino Linotype" w:cs="Times New Roman"/>
      <w:snapToGrid w:val="0"/>
      <w:color w:val="000000"/>
      <w:kern w:val="0"/>
      <w:sz w:val="18"/>
      <w:szCs w:val="20"/>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557</Words>
  <Characters>3178</Characters>
  <Application>Microsoft Office Word</Application>
  <DocSecurity>0</DocSecurity>
  <Lines>26</Lines>
  <Paragraphs>7</Paragraphs>
  <ScaleCrop>false</ScaleCrop>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Pajić</dc:creator>
  <cp:keywords/>
  <dc:description/>
  <cp:lastModifiedBy>Zoran Pajić</cp:lastModifiedBy>
  <cp:revision>2</cp:revision>
  <dcterms:created xsi:type="dcterms:W3CDTF">2023-07-23T18:32:00Z</dcterms:created>
  <dcterms:modified xsi:type="dcterms:W3CDTF">2023-09-17T13:54:00Z</dcterms:modified>
</cp:coreProperties>
</file>