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1B" w:rsidRPr="00A14E1B" w:rsidRDefault="00A14E1B" w:rsidP="00A14E1B">
      <w:pPr>
        <w:spacing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A14E1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Supplementary </w:t>
      </w:r>
      <w:r w:rsidRPr="00A14E1B">
        <w:rPr>
          <w:rFonts w:asciiTheme="majorBidi" w:hAnsiTheme="majorBidi" w:cstheme="majorBidi"/>
          <w:b/>
          <w:bCs/>
          <w:sz w:val="24"/>
          <w:szCs w:val="24"/>
          <w:lang w:val="en-US"/>
        </w:rPr>
        <w:t>Table 1.</w:t>
      </w:r>
      <w:proofErr w:type="gramEnd"/>
      <w:r w:rsidRPr="00A14E1B">
        <w:rPr>
          <w:rFonts w:asciiTheme="majorBidi" w:hAnsiTheme="majorBidi" w:cstheme="majorBidi"/>
          <w:sz w:val="24"/>
          <w:szCs w:val="24"/>
          <w:lang w:val="en-US"/>
        </w:rPr>
        <w:t xml:space="preserve"> MTX IC</w:t>
      </w:r>
      <w:r w:rsidRPr="00A14E1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50</w:t>
      </w:r>
      <w:r w:rsidRPr="00A14E1B">
        <w:rPr>
          <w:rFonts w:asciiTheme="majorBidi" w:hAnsiTheme="majorBidi" w:cstheme="majorBidi"/>
          <w:sz w:val="24"/>
          <w:szCs w:val="24"/>
          <w:lang w:val="en-US"/>
        </w:rPr>
        <w:t xml:space="preserve"> values (</w:t>
      </w:r>
      <w:proofErr w:type="spellStart"/>
      <w:r w:rsidRPr="00A14E1B">
        <w:rPr>
          <w:rFonts w:asciiTheme="majorBidi" w:hAnsiTheme="majorBidi" w:cstheme="majorBidi"/>
          <w:sz w:val="24"/>
          <w:szCs w:val="24"/>
          <w:lang w:val="en-US"/>
        </w:rPr>
        <w:t>nmol</w:t>
      </w:r>
      <w:proofErr w:type="spellEnd"/>
      <w:r w:rsidRPr="00A14E1B">
        <w:rPr>
          <w:rFonts w:asciiTheme="majorBidi" w:hAnsiTheme="majorBidi" w:cstheme="majorBidi"/>
          <w:sz w:val="24"/>
          <w:szCs w:val="24"/>
          <w:lang w:val="en-US"/>
        </w:rPr>
        <w:t>/l).</w:t>
      </w:r>
    </w:p>
    <w:tbl>
      <w:tblPr>
        <w:tblStyle w:val="ListaClara1"/>
        <w:tblW w:w="0" w:type="auto"/>
        <w:jc w:val="center"/>
        <w:tblInd w:w="693" w:type="dxa"/>
        <w:tblBorders>
          <w:left w:val="none" w:sz="0" w:space="0" w:color="auto"/>
          <w:right w:val="none" w:sz="0" w:space="0" w:color="auto"/>
          <w:insideH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148"/>
        <w:gridCol w:w="1264"/>
        <w:gridCol w:w="1187"/>
      </w:tblGrid>
      <w:tr w:rsidR="00A14E1B" w:rsidRPr="00A14E1B" w:rsidTr="00A14E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bottom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A14E1B" w:rsidRPr="00A14E1B" w:rsidRDefault="00A14E1B" w:rsidP="00A14E1B">
            <w:pPr>
              <w:spacing w:line="276" w:lineRule="auto"/>
              <w:jc w:val="center"/>
              <w:rPr>
                <w:rFonts w:asciiTheme="majorBidi" w:hAnsiTheme="majorBidi" w:cstheme="majorBidi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A14E1B">
              <w:rPr>
                <w:rFonts w:asciiTheme="majorBidi" w:hAnsiTheme="majorBidi" w:cstheme="majorBidi"/>
                <w:bCs w:val="0"/>
                <w:color w:val="000000" w:themeColor="text1"/>
                <w:sz w:val="24"/>
                <w:szCs w:val="24"/>
              </w:rPr>
              <w:t>Cell</w:t>
            </w:r>
            <w:proofErr w:type="spellEnd"/>
            <w:r w:rsidRPr="00A14E1B">
              <w:rPr>
                <w:rFonts w:asciiTheme="majorBidi" w:hAnsiTheme="majorBidi" w:cstheme="majorBidi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E1B">
              <w:rPr>
                <w:rFonts w:asciiTheme="majorBidi" w:hAnsiTheme="majorBidi" w:cstheme="majorBidi"/>
                <w:bCs w:val="0"/>
                <w:color w:val="000000" w:themeColor="text1"/>
                <w:sz w:val="24"/>
                <w:szCs w:val="24"/>
              </w:rPr>
              <w:t>line</w:t>
            </w:r>
            <w:proofErr w:type="spellEnd"/>
          </w:p>
        </w:tc>
        <w:tc>
          <w:tcPr>
            <w:tcW w:w="1264" w:type="dxa"/>
            <w:tcBorders>
              <w:bottom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A14E1B" w:rsidRPr="00A14E1B" w:rsidRDefault="00A14E1B" w:rsidP="00A14E1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 w:val="0"/>
                <w:color w:val="000000" w:themeColor="text1"/>
                <w:sz w:val="24"/>
                <w:szCs w:val="24"/>
              </w:rPr>
            </w:pPr>
            <w:r w:rsidRPr="00A14E1B">
              <w:rPr>
                <w:rFonts w:asciiTheme="majorBidi" w:hAnsiTheme="majorBidi" w:cstheme="majorBidi"/>
                <w:bCs w:val="0"/>
                <w:color w:val="000000" w:themeColor="text1"/>
                <w:sz w:val="24"/>
                <w:szCs w:val="24"/>
              </w:rPr>
              <w:t>48 h</w:t>
            </w:r>
          </w:p>
        </w:tc>
        <w:tc>
          <w:tcPr>
            <w:tcW w:w="1187" w:type="dxa"/>
            <w:tcBorders>
              <w:bottom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A14E1B" w:rsidRPr="00A14E1B" w:rsidRDefault="00A14E1B" w:rsidP="00A14E1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Cs w:val="0"/>
                <w:color w:val="000000" w:themeColor="text1"/>
                <w:sz w:val="24"/>
                <w:szCs w:val="24"/>
              </w:rPr>
            </w:pPr>
            <w:r w:rsidRPr="00A14E1B">
              <w:rPr>
                <w:rFonts w:asciiTheme="majorBidi" w:hAnsiTheme="majorBidi" w:cstheme="majorBidi"/>
                <w:bCs w:val="0"/>
                <w:color w:val="000000" w:themeColor="text1"/>
                <w:sz w:val="24"/>
                <w:szCs w:val="24"/>
              </w:rPr>
              <w:t>96 h</w:t>
            </w:r>
          </w:p>
        </w:tc>
      </w:tr>
      <w:tr w:rsidR="00A14E1B" w:rsidRPr="00A14E1B" w:rsidTr="00A14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single" w:sz="4" w:space="0" w:color="000000" w:themeColor="text1"/>
              <w:left w:val="nil"/>
              <w:bottom w:val="nil"/>
            </w:tcBorders>
            <w:noWrap/>
            <w:vAlign w:val="center"/>
          </w:tcPr>
          <w:p w:rsidR="00A14E1B" w:rsidRPr="00A14E1B" w:rsidRDefault="00A14E1B" w:rsidP="000804E4">
            <w:pPr>
              <w:spacing w:line="276" w:lineRule="auto"/>
              <w:rPr>
                <w:rFonts w:asciiTheme="majorBidi" w:hAnsiTheme="majorBidi" w:cstheme="majorBidi"/>
                <w:b w:val="0"/>
                <w:bCs w:val="0"/>
                <w:i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bCs w:val="0"/>
                <w:i/>
                <w:color w:val="000000"/>
                <w:sz w:val="24"/>
                <w:szCs w:val="24"/>
                <w:lang w:eastAsia="pt-BR"/>
              </w:rPr>
              <w:t>T-ALL</w:t>
            </w:r>
          </w:p>
        </w:tc>
        <w:tc>
          <w:tcPr>
            <w:tcW w:w="1264" w:type="dxa"/>
            <w:tcBorders>
              <w:top w:val="single" w:sz="4" w:space="0" w:color="000000" w:themeColor="text1"/>
              <w:bottom w:val="nil"/>
            </w:tcBorders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87" w:type="dxa"/>
            <w:tcBorders>
              <w:top w:val="single" w:sz="4" w:space="0" w:color="000000" w:themeColor="text1"/>
              <w:bottom w:val="nil"/>
              <w:right w:val="nil"/>
            </w:tcBorders>
            <w:noWrap/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</w:p>
        </w:tc>
      </w:tr>
      <w:tr w:rsidR="00A14E1B" w:rsidRPr="00A14E1B" w:rsidTr="00A14E1B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HPB-ALL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85.55*</w:t>
            </w:r>
          </w:p>
        </w:tc>
        <w:tc>
          <w:tcPr>
            <w:tcW w:w="1187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38.42</w:t>
            </w:r>
          </w:p>
        </w:tc>
      </w:tr>
      <w:tr w:rsidR="00A14E1B" w:rsidRPr="00A14E1B" w:rsidTr="00A14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Jurkat</w:t>
            </w:r>
            <w:proofErr w:type="spellEnd"/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10.88</w:t>
            </w:r>
          </w:p>
        </w:tc>
        <w:tc>
          <w:tcPr>
            <w:tcW w:w="1187" w:type="dxa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35.95</w:t>
            </w:r>
          </w:p>
        </w:tc>
      </w:tr>
      <w:tr w:rsidR="00A14E1B" w:rsidRPr="00A14E1B" w:rsidTr="00A14E1B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Molt</w:t>
            </w:r>
            <w:r w:rsidR="009A6EF5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-</w:t>
            </w:r>
            <w:bookmarkStart w:id="0" w:name="_GoBack"/>
            <w:bookmarkEnd w:id="0"/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31.26</w:t>
            </w:r>
          </w:p>
        </w:tc>
        <w:tc>
          <w:tcPr>
            <w:tcW w:w="1187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19.56</w:t>
            </w:r>
          </w:p>
        </w:tc>
      </w:tr>
      <w:tr w:rsidR="00A14E1B" w:rsidRPr="00A14E1B" w:rsidTr="00A14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CCRF-CEM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33.75</w:t>
            </w:r>
          </w:p>
        </w:tc>
        <w:tc>
          <w:tcPr>
            <w:tcW w:w="1187" w:type="dxa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12.80</w:t>
            </w:r>
          </w:p>
        </w:tc>
      </w:tr>
      <w:tr w:rsidR="00A14E1B" w:rsidRPr="00A14E1B" w:rsidTr="00A14E1B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TALL-1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14.24</w:t>
            </w:r>
          </w:p>
        </w:tc>
        <w:tc>
          <w:tcPr>
            <w:tcW w:w="1187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12.45</w:t>
            </w:r>
          </w:p>
        </w:tc>
      </w:tr>
      <w:tr w:rsidR="00A14E1B" w:rsidRPr="00A14E1B" w:rsidTr="00A14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P12-ICHIKAWA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13.75</w:t>
            </w:r>
          </w:p>
        </w:tc>
        <w:tc>
          <w:tcPr>
            <w:tcW w:w="1187" w:type="dxa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11.77</w:t>
            </w:r>
          </w:p>
        </w:tc>
      </w:tr>
      <w:tr w:rsidR="00A14E1B" w:rsidRPr="00A14E1B" w:rsidTr="00A14E1B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bottom w:val="single" w:sz="4" w:space="0" w:color="000000" w:themeColor="text1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ALL-SIL</w:t>
            </w:r>
          </w:p>
        </w:tc>
        <w:tc>
          <w:tcPr>
            <w:tcW w:w="126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69.55</w:t>
            </w:r>
          </w:p>
        </w:tc>
        <w:tc>
          <w:tcPr>
            <w:tcW w:w="1187" w:type="dxa"/>
            <w:tcBorders>
              <w:top w:val="nil"/>
              <w:bottom w:val="single" w:sz="4" w:space="0" w:color="000000" w:themeColor="text1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5.52</w:t>
            </w:r>
          </w:p>
        </w:tc>
      </w:tr>
      <w:tr w:rsidR="00A14E1B" w:rsidRPr="00A14E1B" w:rsidTr="00A14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single" w:sz="4" w:space="0" w:color="000000" w:themeColor="text1"/>
              <w:left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rPr>
                <w:rFonts w:asciiTheme="majorBidi" w:hAnsiTheme="majorBidi" w:cstheme="majorBidi"/>
                <w:b w:val="0"/>
                <w:i/>
                <w:sz w:val="24"/>
                <w:szCs w:val="24"/>
              </w:rPr>
            </w:pPr>
            <w:r w:rsidRPr="00A14E1B">
              <w:rPr>
                <w:rFonts w:asciiTheme="majorBidi" w:hAnsiTheme="majorBidi" w:cstheme="majorBidi"/>
                <w:b w:val="0"/>
                <w:i/>
                <w:sz w:val="24"/>
                <w:szCs w:val="24"/>
              </w:rPr>
              <w:t>BCP-ALL</w:t>
            </w:r>
          </w:p>
        </w:tc>
        <w:tc>
          <w:tcPr>
            <w:tcW w:w="1264" w:type="dxa"/>
            <w:tcBorders>
              <w:top w:val="single" w:sz="4" w:space="0" w:color="000000" w:themeColor="text1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 w:themeColor="text1"/>
              <w:bottom w:val="nil"/>
              <w:right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14E1B" w:rsidRPr="00A14E1B" w:rsidTr="00A14E1B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Nalm16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91.78*</w:t>
            </w:r>
          </w:p>
        </w:tc>
        <w:tc>
          <w:tcPr>
            <w:tcW w:w="1187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32.96</w:t>
            </w:r>
          </w:p>
        </w:tc>
      </w:tr>
      <w:tr w:rsidR="00A14E1B" w:rsidRPr="00A14E1B" w:rsidTr="00A14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RS4;</w:t>
            </w:r>
            <w:proofErr w:type="gramEnd"/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11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40.56</w:t>
            </w:r>
          </w:p>
        </w:tc>
        <w:tc>
          <w:tcPr>
            <w:tcW w:w="1187" w:type="dxa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17.89</w:t>
            </w:r>
          </w:p>
        </w:tc>
      </w:tr>
      <w:tr w:rsidR="00A14E1B" w:rsidRPr="00A14E1B" w:rsidTr="00A14E1B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697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19.95</w:t>
            </w:r>
          </w:p>
        </w:tc>
        <w:tc>
          <w:tcPr>
            <w:tcW w:w="1187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17.06</w:t>
            </w:r>
          </w:p>
        </w:tc>
      </w:tr>
      <w:tr w:rsidR="00A14E1B" w:rsidRPr="00A14E1B" w:rsidTr="00A14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Nalm30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100.80*</w:t>
            </w:r>
          </w:p>
        </w:tc>
        <w:tc>
          <w:tcPr>
            <w:tcW w:w="1187" w:type="dxa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14.15</w:t>
            </w:r>
          </w:p>
        </w:tc>
      </w:tr>
      <w:tr w:rsidR="00A14E1B" w:rsidRPr="00A14E1B" w:rsidTr="00A14E1B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Nalm6</w:t>
            </w: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18.37</w:t>
            </w:r>
          </w:p>
        </w:tc>
        <w:tc>
          <w:tcPr>
            <w:tcW w:w="1187" w:type="dxa"/>
            <w:tcBorders>
              <w:top w:val="nil"/>
              <w:bottom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11.61</w:t>
            </w:r>
          </w:p>
        </w:tc>
      </w:tr>
      <w:tr w:rsidR="00A14E1B" w:rsidRPr="00A14E1B" w:rsidTr="00A14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nil"/>
              <w:left w:val="nil"/>
              <w:bottom w:val="single" w:sz="4" w:space="0" w:color="000000" w:themeColor="text1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b w:val="0"/>
                <w:color w:val="000000"/>
                <w:sz w:val="24"/>
                <w:szCs w:val="24"/>
                <w:lang w:eastAsia="pt-BR"/>
              </w:rPr>
              <w:t>REH</w:t>
            </w:r>
          </w:p>
        </w:tc>
        <w:tc>
          <w:tcPr>
            <w:tcW w:w="126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14.97</w:t>
            </w:r>
          </w:p>
        </w:tc>
        <w:tc>
          <w:tcPr>
            <w:tcW w:w="1187" w:type="dxa"/>
            <w:tcBorders>
              <w:top w:val="nil"/>
              <w:bottom w:val="single" w:sz="4" w:space="0" w:color="000000" w:themeColor="text1"/>
              <w:right w:val="nil"/>
            </w:tcBorders>
            <w:noWrap/>
            <w:vAlign w:val="center"/>
            <w:hideMark/>
          </w:tcPr>
          <w:p w:rsidR="00A14E1B" w:rsidRPr="00A14E1B" w:rsidRDefault="00A14E1B" w:rsidP="000804E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</w:pPr>
            <w:r w:rsidRPr="00A14E1B">
              <w:rPr>
                <w:rFonts w:asciiTheme="majorBidi" w:hAnsiTheme="majorBidi" w:cstheme="majorBidi"/>
                <w:color w:val="000000"/>
                <w:sz w:val="24"/>
                <w:szCs w:val="24"/>
                <w:lang w:eastAsia="pt-BR"/>
              </w:rPr>
              <w:t>9.16</w:t>
            </w:r>
          </w:p>
        </w:tc>
      </w:tr>
    </w:tbl>
    <w:p w:rsidR="00A14E1B" w:rsidRPr="00A14E1B" w:rsidRDefault="00A14E1B" w:rsidP="00A14E1B">
      <w:pPr>
        <w:tabs>
          <w:tab w:val="left" w:pos="8080"/>
        </w:tabs>
        <w:spacing w:line="240" w:lineRule="auto"/>
        <w:ind w:left="2268" w:right="2175"/>
        <w:jc w:val="both"/>
        <w:rPr>
          <w:rFonts w:asciiTheme="majorBidi" w:hAnsiTheme="majorBidi" w:cstheme="majorBidi"/>
          <w:sz w:val="18"/>
          <w:szCs w:val="20"/>
          <w:lang w:val="en-US"/>
        </w:rPr>
      </w:pPr>
      <w:r w:rsidRPr="00A14E1B">
        <w:rPr>
          <w:rFonts w:asciiTheme="majorBidi" w:hAnsiTheme="majorBidi" w:cstheme="majorBidi"/>
          <w:sz w:val="18"/>
          <w:szCs w:val="20"/>
          <w:lang w:val="en-US"/>
        </w:rPr>
        <w:t>*mathematical estimates in cases when survival remained &gt;50% in relation to control even at the highest doses tested.</w:t>
      </w:r>
    </w:p>
    <w:p w:rsidR="000974EB" w:rsidRPr="00A14E1B" w:rsidRDefault="000974EB">
      <w:pPr>
        <w:rPr>
          <w:lang w:val="en-US"/>
        </w:rPr>
      </w:pPr>
    </w:p>
    <w:sectPr w:rsidR="000974EB" w:rsidRPr="00A14E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E1B"/>
    <w:rsid w:val="000974EB"/>
    <w:rsid w:val="009A6EF5"/>
    <w:rsid w:val="00A1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E1B"/>
    <w:pPr>
      <w:spacing w:after="160" w:line="259" w:lineRule="auto"/>
    </w:pPr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ListaClara1">
    <w:name w:val="Lista Clara1"/>
    <w:basedOn w:val="Tabelanormal"/>
    <w:uiPriority w:val="61"/>
    <w:rsid w:val="00A14E1B"/>
    <w:pPr>
      <w:spacing w:after="0" w:line="240" w:lineRule="auto"/>
    </w:pPr>
    <w:rPr>
      <w:lang w:val="pt-B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E1B"/>
    <w:pPr>
      <w:spacing w:after="160" w:line="259" w:lineRule="auto"/>
    </w:pPr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ListaClara1">
    <w:name w:val="Lista Clara1"/>
    <w:basedOn w:val="Tabelanormal"/>
    <w:uiPriority w:val="61"/>
    <w:rsid w:val="00A14E1B"/>
    <w:pPr>
      <w:spacing w:after="0" w:line="240" w:lineRule="auto"/>
    </w:pPr>
    <w:rPr>
      <w:lang w:val="pt-B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2</cp:revision>
  <dcterms:created xsi:type="dcterms:W3CDTF">2017-07-05T13:29:00Z</dcterms:created>
  <dcterms:modified xsi:type="dcterms:W3CDTF">2017-07-05T13:32:00Z</dcterms:modified>
</cp:coreProperties>
</file>