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Palatino Linotype" w:hAnsi="Palatino Linotype" w:cs="Palatino Linotype"/>
          <w:b/>
          <w:sz w:val="20"/>
          <w:szCs w:val="20"/>
        </w:rPr>
      </w:pPr>
      <w:r>
        <w:rPr>
          <w:rFonts w:hint="default" w:ascii="Palatino Linotype" w:hAnsi="Palatino Linotype" w:cs="Palatino Linotype"/>
          <w:b/>
          <w:sz w:val="20"/>
          <w:szCs w:val="20"/>
        </w:rPr>
        <w:drawing>
          <wp:inline distT="0" distB="0" distL="0" distR="0">
            <wp:extent cx="3351530" cy="6196330"/>
            <wp:effectExtent l="0" t="0" r="127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1530" cy="619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40"/>
        <w:textAlignment w:val="auto"/>
        <w:rPr>
          <w:rFonts w:hint="default" w:ascii="Palatino Linotype" w:hAnsi="Palatino Linotype" w:eastAsia="宋体" w:cs="Palatino Linotype"/>
          <w:b/>
          <w:sz w:val="20"/>
          <w:szCs w:val="20"/>
        </w:rPr>
      </w:pPr>
      <w:r>
        <w:rPr>
          <w:rFonts w:hint="default" w:ascii="Palatino Linotype" w:hAnsi="Palatino Linotype" w:cs="Palatino Linotype"/>
          <w:b/>
          <w:sz w:val="20"/>
          <w:szCs w:val="20"/>
        </w:rPr>
        <w:t xml:space="preserve">Figure S1. </w:t>
      </w:r>
      <w:r>
        <w:rPr>
          <w:rFonts w:hint="default" w:ascii="Palatino Linotype" w:hAnsi="Palatino Linotype" w:cs="Palatino Linotype"/>
          <w:b w:val="0"/>
          <w:bCs/>
          <w:sz w:val="20"/>
          <w:szCs w:val="20"/>
        </w:rPr>
        <w:t>Details of lesions of inoculation with Cc and dual inoculations of Cc and Dt</w:t>
      </w:r>
    </w:p>
    <w:p>
      <w:pPr>
        <w:rPr>
          <w:rFonts w:hint="default" w:ascii="Palatino Linotype" w:hAnsi="Palatino Linotype" w:cs="Palatino Linotype"/>
          <w:b/>
          <w:sz w:val="20"/>
          <w:szCs w:val="20"/>
        </w:rPr>
      </w:pPr>
      <w:r>
        <w:rPr>
          <w:rFonts w:hint="default" w:ascii="Palatino Linotype" w:hAnsi="Palatino Linotype" w:cs="Palatino Linotype"/>
          <w:b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40"/>
        <w:jc w:val="center"/>
        <w:textAlignment w:val="auto"/>
        <w:rPr>
          <w:rFonts w:hint="default" w:ascii="Palatino Linotype" w:hAnsi="Palatino Linotype" w:cs="Palatino Linotype"/>
          <w:sz w:val="20"/>
          <w:szCs w:val="20"/>
        </w:rPr>
      </w:pPr>
      <w:r>
        <w:rPr>
          <w:rFonts w:hint="default" w:ascii="Palatino Linotype" w:hAnsi="Palatino Linotype" w:cs="Palatino Linotype"/>
          <w:b/>
          <w:sz w:val="20"/>
          <w:szCs w:val="20"/>
        </w:rPr>
        <w:t>Table S1.</w:t>
      </w:r>
      <w:r>
        <w:rPr>
          <w:rFonts w:hint="default" w:ascii="Palatino Linotype" w:hAnsi="Palatino Linotype" w:cs="Palatino Linotype"/>
          <w:sz w:val="20"/>
          <w:szCs w:val="20"/>
        </w:rPr>
        <w:t xml:space="preserve"> Primers used in this study</w:t>
      </w:r>
    </w:p>
    <w:tbl>
      <w:tblPr>
        <w:tblStyle w:val="11"/>
        <w:tblW w:w="5205" w:type="pct"/>
        <w:jc w:val="center"/>
        <w:tblBorders>
          <w:top w:val="single" w:color="000000" w:themeColor="text1" w:sz="8" w:space="0"/>
          <w:left w:val="none" w:color="auto" w:sz="0" w:space="0"/>
          <w:bottom w:val="single" w:color="000000" w:themeColor="text1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163"/>
        <w:gridCol w:w="4796"/>
        <w:gridCol w:w="1892"/>
      </w:tblGrid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  <w:insideH w:val="single" w:sz="8" w:space="0"/>
              <w:insideV w:val="nil"/>
            </w:tcBorders>
          </w:tcPr>
          <w:p>
            <w:pPr>
              <w:spacing w:before="0" w:after="0" w:line="240" w:lineRule="auto"/>
              <w:jc w:val="left"/>
              <w:rPr>
                <w:rFonts w:hint="default" w:ascii="Palatino Linotype" w:hAnsi="Palatino Linotype" w:eastAsia="宋体" w:cs="Palatino Linotype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/>
                <w:color w:val="auto"/>
                <w:kern w:val="0"/>
                <w:sz w:val="20"/>
                <w:szCs w:val="20"/>
              </w:rPr>
              <w:t>Gene</w:t>
            </w:r>
          </w:p>
        </w:tc>
        <w:tc>
          <w:tcPr>
            <w:tcW w:w="656" w:type="pct"/>
            <w:tcBorders>
              <w:top w:val="single" w:color="000000" w:themeColor="text1" w:sz="8" w:space="0"/>
              <w:bottom w:val="single" w:color="000000" w:themeColor="text1" w:sz="8" w:space="0"/>
              <w:right w:val="nil"/>
              <w:insideH w:val="single" w:sz="8" w:space="0"/>
              <w:insideV w:val="nil"/>
            </w:tcBorders>
          </w:tcPr>
          <w:p>
            <w:pPr>
              <w:spacing w:before="0" w:after="0" w:line="240" w:lineRule="auto"/>
              <w:jc w:val="left"/>
              <w:rPr>
                <w:rFonts w:hint="default" w:ascii="Palatino Linotype" w:hAnsi="Palatino Linotype" w:eastAsia="宋体" w:cs="Palatino Linotype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/>
                <w:color w:val="auto"/>
                <w:kern w:val="0"/>
                <w:sz w:val="20"/>
                <w:szCs w:val="20"/>
              </w:rPr>
              <w:t>Primer</w:t>
            </w:r>
          </w:p>
        </w:tc>
        <w:tc>
          <w:tcPr>
            <w:tcW w:w="2703" w:type="pct"/>
            <w:tcBorders>
              <w:top w:val="single" w:color="000000" w:themeColor="text1" w:sz="8" w:space="0"/>
              <w:bottom w:val="single" w:color="000000" w:themeColor="text1" w:sz="8" w:space="0"/>
              <w:right w:val="nil"/>
              <w:insideH w:val="single" w:sz="8" w:space="0"/>
              <w:insideV w:val="nil"/>
            </w:tcBorders>
          </w:tcPr>
          <w:p>
            <w:pPr>
              <w:spacing w:before="0" w:after="0" w:line="240" w:lineRule="auto"/>
              <w:rPr>
                <w:rFonts w:hint="default" w:ascii="Palatino Linotype" w:hAnsi="Palatino Linotype" w:eastAsia="宋体" w:cs="Palatino Linotype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/>
                <w:color w:val="auto"/>
                <w:kern w:val="0"/>
                <w:sz w:val="20"/>
                <w:szCs w:val="20"/>
              </w:rPr>
              <w:t>Sequence (5’→3’)</w:t>
            </w:r>
          </w:p>
        </w:tc>
        <w:tc>
          <w:tcPr>
            <w:tcW w:w="1066" w:type="pct"/>
            <w:tcBorders>
              <w:top w:val="single" w:color="000000" w:themeColor="text1" w:sz="8" w:space="0"/>
              <w:bottom w:val="single" w:color="000000" w:themeColor="text1" w:sz="8" w:space="0"/>
              <w:right w:val="nil"/>
              <w:insideH w:val="single" w:sz="8" w:space="0"/>
              <w:insideV w:val="nil"/>
            </w:tcBorders>
          </w:tcPr>
          <w:p>
            <w:pPr>
              <w:spacing w:before="0" w:after="0" w:line="240" w:lineRule="auto"/>
              <w:jc w:val="center"/>
              <w:rPr>
                <w:rFonts w:hint="default" w:ascii="Palatino Linotype" w:hAnsi="Palatino Linotype" w:eastAsia="宋体" w:cs="Palatino Linotype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/>
                <w:color w:val="auto"/>
                <w:kern w:val="0"/>
                <w:sz w:val="20"/>
                <w:szCs w:val="20"/>
              </w:rPr>
              <w:t>Reference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restart"/>
          </w:tcPr>
          <w:p>
            <w:pPr>
              <w:jc w:val="left"/>
              <w:rPr>
                <w:rFonts w:hint="default" w:ascii="Palatino Linotype" w:hAnsi="Palatino Linotype" w:cs="Palatino Linotype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b w:val="0"/>
                <w:bCs/>
                <w:color w:val="auto"/>
                <w:kern w:val="0"/>
                <w:sz w:val="20"/>
                <w:szCs w:val="20"/>
              </w:rPr>
              <w:t>CAL</w:t>
            </w:r>
          </w:p>
        </w:tc>
        <w:tc>
          <w:tcPr>
            <w:tcW w:w="656" w:type="pct"/>
          </w:tcPr>
          <w:p>
            <w:pP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CL1C</w:t>
            </w:r>
          </w:p>
        </w:tc>
        <w:tc>
          <w:tcPr>
            <w:tcW w:w="2703" w:type="pct"/>
          </w:tcPr>
          <w:p>
            <w:pP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GAA TTC AAG GAG GCC TTC TC</w:t>
            </w:r>
          </w:p>
        </w:tc>
        <w:tc>
          <w:tcPr>
            <w:tcW w:w="1066" w:type="pct"/>
          </w:tcPr>
          <w:p>
            <w:pPr>
              <w:jc w:val="center"/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[1]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>
            <w:pPr>
              <w:jc w:val="left"/>
              <w:rPr>
                <w:rFonts w:hint="default" w:ascii="Palatino Linotype" w:hAnsi="Palatino Linotype" w:cs="Palatino Linotype"/>
                <w:b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56" w:type="pct"/>
          </w:tcPr>
          <w:p>
            <w:pP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CL2C</w:t>
            </w:r>
          </w:p>
        </w:tc>
        <w:tc>
          <w:tcPr>
            <w:tcW w:w="2703" w:type="pct"/>
          </w:tcPr>
          <w:p>
            <w:pP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CTT CTG CAT CAT GAG CTG GAC</w:t>
            </w:r>
          </w:p>
        </w:tc>
        <w:tc>
          <w:tcPr>
            <w:tcW w:w="1066" w:type="pct"/>
          </w:tcPr>
          <w:p>
            <w:pPr>
              <w:jc w:val="center"/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[1]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restart"/>
          </w:tcPr>
          <w:p>
            <w:pPr>
              <w:jc w:val="left"/>
              <w:rPr>
                <w:rFonts w:hint="default" w:ascii="Palatino Linotype" w:hAnsi="Palatino Linotype" w:cs="Palatino Linotype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b w:val="0"/>
                <w:bCs/>
                <w:color w:val="auto"/>
                <w:kern w:val="0"/>
                <w:sz w:val="20"/>
                <w:szCs w:val="20"/>
              </w:rPr>
              <w:t>GAPDH</w:t>
            </w:r>
          </w:p>
        </w:tc>
        <w:tc>
          <w:tcPr>
            <w:tcW w:w="656" w:type="pct"/>
          </w:tcPr>
          <w:p>
            <w:pP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GDF</w:t>
            </w:r>
          </w:p>
        </w:tc>
        <w:tc>
          <w:tcPr>
            <w:tcW w:w="2703" w:type="pct"/>
          </w:tcPr>
          <w:p>
            <w:pP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GCC GTC AAC GAC</w:t>
            </w: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CCC TTC ATT GA</w:t>
            </w:r>
          </w:p>
        </w:tc>
        <w:tc>
          <w:tcPr>
            <w:tcW w:w="1066" w:type="pct"/>
          </w:tcPr>
          <w:p>
            <w:pPr>
              <w:jc w:val="center"/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[2]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>
            <w:pPr>
              <w:jc w:val="left"/>
              <w:rPr>
                <w:rFonts w:hint="default" w:ascii="Palatino Linotype" w:hAnsi="Palatino Linotype" w:cs="Palatino Linotype"/>
                <w:b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56" w:type="pct"/>
          </w:tcPr>
          <w:p>
            <w:pP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GDR</w:t>
            </w:r>
          </w:p>
        </w:tc>
        <w:tc>
          <w:tcPr>
            <w:tcW w:w="2703" w:type="pct"/>
          </w:tcPr>
          <w:p>
            <w:pP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GGG TGG AGT CGT</w:t>
            </w: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ACT TGA GCA TGT</w:t>
            </w:r>
          </w:p>
        </w:tc>
        <w:tc>
          <w:tcPr>
            <w:tcW w:w="1066" w:type="pct"/>
          </w:tcPr>
          <w:p>
            <w:pPr>
              <w:jc w:val="center"/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[2]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restart"/>
          </w:tcPr>
          <w:p>
            <w:pPr>
              <w:jc w:val="left"/>
              <w:rPr>
                <w:rFonts w:hint="default" w:ascii="Palatino Linotype" w:hAnsi="Palatino Linotype" w:cs="Palatino Linotype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b w:val="0"/>
                <w:bCs/>
                <w:color w:val="auto"/>
                <w:kern w:val="0"/>
                <w:sz w:val="20"/>
                <w:szCs w:val="20"/>
              </w:rPr>
              <w:t>ITS</w:t>
            </w:r>
          </w:p>
        </w:tc>
        <w:tc>
          <w:tcPr>
            <w:tcW w:w="656" w:type="pct"/>
          </w:tcPr>
          <w:p>
            <w:pP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ITS-1</w:t>
            </w:r>
          </w:p>
        </w:tc>
        <w:tc>
          <w:tcPr>
            <w:tcW w:w="2703" w:type="pct"/>
          </w:tcPr>
          <w:p>
            <w:pP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CTT GGT CAT TTA GAG GAA GTA A</w:t>
            </w:r>
          </w:p>
        </w:tc>
        <w:tc>
          <w:tcPr>
            <w:tcW w:w="1066" w:type="pct"/>
          </w:tcPr>
          <w:p>
            <w:pPr>
              <w:jc w:val="center"/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[3]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>
            <w:pPr>
              <w:jc w:val="left"/>
              <w:rPr>
                <w:rFonts w:hint="default" w:ascii="Palatino Linotype" w:hAnsi="Palatino Linotype" w:cs="Palatino Linotype"/>
                <w:b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56" w:type="pct"/>
          </w:tcPr>
          <w:p>
            <w:pP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ITS-4</w:t>
            </w:r>
          </w:p>
        </w:tc>
        <w:tc>
          <w:tcPr>
            <w:tcW w:w="2703" w:type="pct"/>
          </w:tcPr>
          <w:p>
            <w:pP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TCC TCC GCT TAT TGA TAT GC</w:t>
            </w:r>
          </w:p>
        </w:tc>
        <w:tc>
          <w:tcPr>
            <w:tcW w:w="1066" w:type="pct"/>
          </w:tcPr>
          <w:p>
            <w:pPr>
              <w:jc w:val="center"/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[4]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restart"/>
          </w:tcPr>
          <w:p>
            <w:pPr>
              <w:jc w:val="left"/>
              <w:rPr>
                <w:rFonts w:hint="default" w:ascii="Palatino Linotype" w:hAnsi="Palatino Linotype" w:cs="Palatino Linotype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b w:val="0"/>
                <w:bCs/>
                <w:color w:val="auto"/>
                <w:kern w:val="0"/>
                <w:sz w:val="20"/>
                <w:szCs w:val="20"/>
              </w:rPr>
              <w:t>TUB2</w:t>
            </w:r>
          </w:p>
        </w:tc>
        <w:tc>
          <w:tcPr>
            <w:tcW w:w="656" w:type="pct"/>
          </w:tcPr>
          <w:p>
            <w:pP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T1</w:t>
            </w:r>
          </w:p>
        </w:tc>
        <w:tc>
          <w:tcPr>
            <w:tcW w:w="2703" w:type="pct"/>
          </w:tcPr>
          <w:p>
            <w:pP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AAC ATG CGT GAG ATT GTA AGT</w:t>
            </w:r>
          </w:p>
        </w:tc>
        <w:tc>
          <w:tcPr>
            <w:tcW w:w="1066" w:type="pct"/>
          </w:tcPr>
          <w:p>
            <w:pPr>
              <w:jc w:val="center"/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[5]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  <w:vMerge w:val="continue"/>
          </w:tcPr>
          <w:p>
            <w:pPr>
              <w:jc w:val="left"/>
              <w:rPr>
                <w:rFonts w:hint="default" w:ascii="Palatino Linotype" w:hAnsi="Palatino Linotype" w:cs="Palatino Linotype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56" w:type="pct"/>
          </w:tcPr>
          <w:p>
            <w:pP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Bt2b</w:t>
            </w:r>
          </w:p>
        </w:tc>
        <w:tc>
          <w:tcPr>
            <w:tcW w:w="2703" w:type="pct"/>
          </w:tcPr>
          <w:p>
            <w:pP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ACC CTC AGT GTA GTG ACC CTT GGC</w:t>
            </w:r>
          </w:p>
        </w:tc>
        <w:tc>
          <w:tcPr>
            <w:tcW w:w="1066" w:type="pct"/>
          </w:tcPr>
          <w:p>
            <w:pPr>
              <w:jc w:val="center"/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[6]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pct"/>
          </w:tcPr>
          <w:p>
            <w:pPr>
              <w:jc w:val="left"/>
              <w:rPr>
                <w:rFonts w:hint="default" w:ascii="Palatino Linotype" w:hAnsi="Palatino Linotype" w:cs="Palatino Linotype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b w:val="0"/>
                <w:bCs/>
                <w:color w:val="auto"/>
                <w:kern w:val="0"/>
                <w:sz w:val="20"/>
                <w:szCs w:val="20"/>
              </w:rPr>
              <w:t>EF</w:t>
            </w:r>
            <w:r>
              <w:rPr>
                <w:rFonts w:hint="default" w:ascii="Palatino Linotype" w:hAnsi="Palatino Linotype" w:cs="Palatino Linotype"/>
                <w:b w:val="0"/>
                <w:bCs/>
                <w:color w:val="auto"/>
                <w:kern w:val="0"/>
                <w:sz w:val="20"/>
                <w:szCs w:val="20"/>
              </w:rPr>
              <w:t>1</w:t>
            </w:r>
          </w:p>
          <w:p>
            <w:pPr>
              <w:jc w:val="left"/>
              <w:rPr>
                <w:rFonts w:hint="default" w:ascii="Palatino Linotype" w:hAnsi="Palatino Linotype" w:cs="Palatino Linotype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hint="default" w:ascii="Palatino Linotype" w:hAnsi="Palatino Linotype" w:cs="Palatino Linotype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b w:val="0"/>
                <w:bCs/>
                <w:color w:val="auto"/>
                <w:kern w:val="0"/>
                <w:sz w:val="20"/>
                <w:szCs w:val="20"/>
              </w:rPr>
              <w:t>R</w:t>
            </w:r>
            <w:r>
              <w:rPr>
                <w:rFonts w:hint="default" w:ascii="Palatino Linotype" w:hAnsi="Palatino Linotype" w:cs="Palatino Linotype"/>
                <w:b w:val="0"/>
                <w:bCs/>
                <w:color w:val="auto"/>
                <w:kern w:val="0"/>
                <w:sz w:val="20"/>
                <w:szCs w:val="20"/>
              </w:rPr>
              <w:t>PB2</w:t>
            </w:r>
          </w:p>
          <w:p>
            <w:pPr>
              <w:jc w:val="left"/>
              <w:rPr>
                <w:rFonts w:hint="default" w:ascii="Palatino Linotype" w:hAnsi="Palatino Linotype" w:cs="Palatino Linotype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hint="default" w:ascii="Palatino Linotype" w:hAnsi="Palatino Linotype" w:cs="Palatino Linotype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b w:val="0"/>
                <w:bCs/>
                <w:color w:val="auto"/>
                <w:kern w:val="0"/>
                <w:sz w:val="20"/>
                <w:szCs w:val="20"/>
              </w:rPr>
              <w:t>L</w:t>
            </w:r>
            <w:r>
              <w:rPr>
                <w:rFonts w:hint="default" w:ascii="Palatino Linotype" w:hAnsi="Palatino Linotype" w:cs="Palatino Linotype"/>
                <w:b w:val="0"/>
                <w:bCs/>
                <w:color w:val="auto"/>
                <w:kern w:val="0"/>
                <w:sz w:val="20"/>
                <w:szCs w:val="20"/>
              </w:rPr>
              <w:t>SU</w:t>
            </w:r>
          </w:p>
        </w:tc>
        <w:tc>
          <w:tcPr>
            <w:tcW w:w="656" w:type="pct"/>
          </w:tcPr>
          <w:p>
            <w:pP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EF1</w:t>
            </w: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-</w:t>
            </w: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 xml:space="preserve">728F </w:t>
            </w:r>
          </w:p>
          <w:p>
            <w:pP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EF1-986R</w:t>
            </w:r>
          </w:p>
          <w:p>
            <w:pP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RPB</w:t>
            </w: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-P</w:t>
            </w: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F</w:t>
            </w:r>
          </w:p>
          <w:p>
            <w:pP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RPB</w:t>
            </w: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-P</w:t>
            </w: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3</w:t>
            </w: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R</w:t>
            </w:r>
          </w:p>
          <w:p>
            <w:pP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L</w:t>
            </w: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ROR</w:t>
            </w:r>
          </w:p>
          <w:p>
            <w:pP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L</w:t>
            </w: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R7</w:t>
            </w:r>
          </w:p>
        </w:tc>
        <w:tc>
          <w:tcPr>
            <w:tcW w:w="2703" w:type="pct"/>
          </w:tcPr>
          <w:p>
            <w:pP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CAT CGA GAA GTT CGA GAA GG</w:t>
            </w:r>
          </w:p>
          <w:p>
            <w:pP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TAC TTG AAG GAA CCC TTA CC</w:t>
            </w:r>
          </w:p>
          <w:p>
            <w:pP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GGA AGT GGT GGA GGA GTA CGA G</w:t>
            </w:r>
          </w:p>
          <w:p>
            <w:pP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CTG GTT GTG GTC GGG GAA GGG</w:t>
            </w:r>
          </w:p>
          <w:p>
            <w:pP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GTA CCC GCT GAA CTT AAG C</w:t>
            </w:r>
          </w:p>
          <w:p>
            <w:pP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TAC TAC CAC CAA GAT CT</w:t>
            </w:r>
          </w:p>
        </w:tc>
        <w:tc>
          <w:tcPr>
            <w:tcW w:w="1066" w:type="pct"/>
          </w:tcPr>
          <w:p>
            <w:pPr>
              <w:jc w:val="center"/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[7]</w:t>
            </w:r>
          </w:p>
          <w:p>
            <w:pPr>
              <w:jc w:val="center"/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[7]</w:t>
            </w:r>
          </w:p>
          <w:p>
            <w:pPr>
              <w:jc w:val="center"/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[8]</w:t>
            </w:r>
          </w:p>
          <w:p>
            <w:pPr>
              <w:jc w:val="center"/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[8]</w:t>
            </w:r>
          </w:p>
          <w:p>
            <w:pPr>
              <w:jc w:val="center"/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[9]</w:t>
            </w:r>
          </w:p>
          <w:p>
            <w:pPr>
              <w:jc w:val="center"/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color w:val="auto"/>
                <w:kern w:val="0"/>
                <w:sz w:val="20"/>
                <w:szCs w:val="20"/>
              </w:rPr>
              <w:t>[9]</w:t>
            </w:r>
          </w:p>
        </w:tc>
      </w:tr>
    </w:tbl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40" w:line="260" w:lineRule="atLeast"/>
        <w:ind w:left="720" w:hanging="720"/>
        <w:textAlignment w:val="auto"/>
        <w:rPr>
          <w:rFonts w:hint="default" w:ascii="Palatino Linotype" w:hAnsi="Palatino Linotype" w:cs="Palatino Linotype" w:eastAsiaTheme="minorEastAsia"/>
          <w:b/>
          <w:sz w:val="20"/>
          <w:szCs w:val="20"/>
        </w:rPr>
      </w:pPr>
      <w:r>
        <w:rPr>
          <w:rFonts w:hint="default" w:ascii="Palatino Linotype" w:hAnsi="Palatino Linotype" w:cs="Palatino Linotype" w:eastAsiaTheme="minorEastAsia"/>
          <w:b/>
          <w:sz w:val="20"/>
          <w:szCs w:val="20"/>
        </w:rPr>
        <w:t>References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tLeast"/>
        <w:ind w:left="720" w:hanging="720"/>
        <w:textAlignment w:val="auto"/>
        <w:rPr>
          <w:rFonts w:hint="default" w:ascii="Palatino Linotype" w:hAnsi="Palatino Linotype" w:cs="Palatino Linotype"/>
          <w:sz w:val="20"/>
          <w:szCs w:val="20"/>
        </w:rPr>
      </w:pPr>
      <w:r>
        <w:rPr>
          <w:rFonts w:hint="default" w:ascii="Palatino Linotype" w:hAnsi="Palatino Linotype" w:cs="Palatino Linotype"/>
          <w:sz w:val="20"/>
          <w:szCs w:val="20"/>
        </w:rPr>
        <w:t xml:space="preserve">1. Weir, B.S.; Johnston, P.R.; Damm, U. The </w:t>
      </w:r>
      <w:r>
        <w:rPr>
          <w:rFonts w:hint="default" w:ascii="Palatino Linotype" w:hAnsi="Palatino Linotype" w:cs="Palatino Linotype"/>
          <w:i/>
          <w:sz w:val="20"/>
          <w:szCs w:val="20"/>
        </w:rPr>
        <w:t>Colletotrichum gloeosporioides</w:t>
      </w:r>
      <w:r>
        <w:rPr>
          <w:rFonts w:hint="default" w:ascii="Palatino Linotype" w:hAnsi="Palatino Linotype" w:cs="Palatino Linotype"/>
          <w:sz w:val="20"/>
          <w:szCs w:val="20"/>
        </w:rPr>
        <w:t xml:space="preserve"> species complex. </w:t>
      </w:r>
      <w:r>
        <w:rPr>
          <w:rFonts w:hint="default" w:ascii="Palatino Linotype" w:hAnsi="Palatino Linotype" w:cs="Palatino Linotype"/>
          <w:i/>
          <w:sz w:val="20"/>
          <w:szCs w:val="20"/>
        </w:rPr>
        <w:t>Studies in Mycology.</w:t>
      </w:r>
      <w:r>
        <w:rPr>
          <w:rFonts w:hint="default" w:ascii="Palatino Linotype" w:hAnsi="Palatino Linotype" w:cs="Palatino Linotype"/>
          <w:sz w:val="20"/>
          <w:szCs w:val="20"/>
        </w:rPr>
        <w:t xml:space="preserve"> 2012, </w:t>
      </w:r>
      <w:r>
        <w:rPr>
          <w:rFonts w:hint="default" w:ascii="Palatino Linotype" w:hAnsi="Palatino Linotype" w:cs="Palatino Linotype"/>
          <w:i/>
          <w:sz w:val="20"/>
          <w:szCs w:val="20"/>
        </w:rPr>
        <w:t>73</w:t>
      </w:r>
      <w:r>
        <w:rPr>
          <w:rFonts w:hint="default" w:ascii="Palatino Linotype" w:hAnsi="Palatino Linotype" w:cs="Palatino Linotype"/>
          <w:b/>
          <w:sz w:val="20"/>
          <w:szCs w:val="20"/>
        </w:rPr>
        <w:t>,</w:t>
      </w:r>
      <w:r>
        <w:rPr>
          <w:rFonts w:hint="default" w:ascii="Palatino Linotype" w:hAnsi="Palatino Linotype" w:cs="Palatino Linotype"/>
          <w:sz w:val="20"/>
          <w:szCs w:val="20"/>
        </w:rPr>
        <w:t xml:space="preserve"> 115-180.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tLeast"/>
        <w:ind w:left="735" w:hanging="700" w:hangingChars="350"/>
        <w:textAlignment w:val="auto"/>
        <w:rPr>
          <w:rFonts w:hint="default" w:ascii="Palatino Linotype" w:hAnsi="Palatino Linotype" w:cs="Palatino Linotype"/>
          <w:sz w:val="20"/>
          <w:szCs w:val="20"/>
        </w:rPr>
      </w:pPr>
      <w:r>
        <w:rPr>
          <w:rFonts w:hint="default" w:ascii="Palatino Linotype" w:hAnsi="Palatino Linotype" w:cs="Palatino Linotype"/>
          <w:sz w:val="20"/>
          <w:szCs w:val="20"/>
        </w:rPr>
        <w:t xml:space="preserve">2. Templeton, M.D.; Rikkerink, E.; Solon, S.L.; Crowhurst, R.N. Cloning and molecular characterization of the glyceraldehyde-3-phosphate dehydrogenase-encoding gene and cDNA from the plant pathogenic fungus </w:t>
      </w:r>
      <w:r>
        <w:rPr>
          <w:rFonts w:hint="default" w:ascii="Palatino Linotype" w:hAnsi="Palatino Linotype" w:cs="Palatino Linotype"/>
          <w:i/>
          <w:sz w:val="20"/>
          <w:szCs w:val="20"/>
        </w:rPr>
        <w:t>Glomerella cingulata</w:t>
      </w:r>
      <w:r>
        <w:rPr>
          <w:rFonts w:hint="default" w:ascii="Palatino Linotype" w:hAnsi="Palatino Linotype" w:cs="Palatino Linotype"/>
          <w:sz w:val="20"/>
          <w:szCs w:val="20"/>
        </w:rPr>
        <w:t xml:space="preserve">. </w:t>
      </w:r>
      <w:r>
        <w:rPr>
          <w:rFonts w:hint="default" w:ascii="Palatino Linotype" w:hAnsi="Palatino Linotype" w:cs="Palatino Linotype"/>
          <w:i/>
          <w:sz w:val="20"/>
          <w:szCs w:val="20"/>
        </w:rPr>
        <w:t>Gene.</w:t>
      </w:r>
      <w:r>
        <w:rPr>
          <w:rFonts w:hint="default" w:ascii="Palatino Linotype" w:hAnsi="Palatino Linotype" w:cs="Palatino Linotype"/>
          <w:sz w:val="20"/>
          <w:szCs w:val="20"/>
        </w:rPr>
        <w:t xml:space="preserve"> 1992, </w:t>
      </w:r>
      <w:r>
        <w:rPr>
          <w:rFonts w:hint="default" w:ascii="Palatino Linotype" w:hAnsi="Palatino Linotype" w:cs="Palatino Linotype"/>
          <w:i/>
          <w:sz w:val="20"/>
          <w:szCs w:val="20"/>
        </w:rPr>
        <w:t>122</w:t>
      </w:r>
      <w:r>
        <w:rPr>
          <w:rFonts w:hint="default" w:ascii="Palatino Linotype" w:hAnsi="Palatino Linotype" w:cs="Palatino Linotype"/>
          <w:b/>
          <w:sz w:val="20"/>
          <w:szCs w:val="20"/>
        </w:rPr>
        <w:t>,</w:t>
      </w:r>
      <w:r>
        <w:rPr>
          <w:rFonts w:hint="default" w:ascii="Palatino Linotype" w:hAnsi="Palatino Linotype" w:cs="Palatino Linotype"/>
          <w:sz w:val="20"/>
          <w:szCs w:val="20"/>
        </w:rPr>
        <w:t xml:space="preserve"> 225-230.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tLeast"/>
        <w:ind w:left="720" w:hanging="720"/>
        <w:textAlignment w:val="auto"/>
        <w:rPr>
          <w:rFonts w:hint="default" w:ascii="Palatino Linotype" w:hAnsi="Palatino Linotype" w:cs="Palatino Linotype"/>
          <w:sz w:val="20"/>
          <w:szCs w:val="20"/>
        </w:rPr>
      </w:pPr>
      <w:r>
        <w:rPr>
          <w:rFonts w:hint="default" w:ascii="Palatino Linotype" w:hAnsi="Palatino Linotype" w:cs="Palatino Linotype"/>
          <w:sz w:val="20"/>
          <w:szCs w:val="20"/>
        </w:rPr>
        <w:t xml:space="preserve">3. Gardes, M.; Bruns, T.D. ITS primers with enhanced specificity for basidiomycetes - application to the identification of mycorrhizae and rusts. </w:t>
      </w:r>
      <w:r>
        <w:rPr>
          <w:rFonts w:hint="default" w:ascii="Palatino Linotype" w:hAnsi="Palatino Linotype" w:cs="Palatino Linotype"/>
          <w:i/>
          <w:sz w:val="20"/>
          <w:szCs w:val="20"/>
        </w:rPr>
        <w:t>Molecular ecology.</w:t>
      </w:r>
      <w:r>
        <w:rPr>
          <w:rFonts w:hint="default" w:ascii="Palatino Linotype" w:hAnsi="Palatino Linotype" w:cs="Palatino Linotype"/>
          <w:sz w:val="20"/>
          <w:szCs w:val="20"/>
        </w:rPr>
        <w:t xml:space="preserve"> 1993, </w:t>
      </w:r>
      <w:r>
        <w:rPr>
          <w:rFonts w:hint="default" w:ascii="Palatino Linotype" w:hAnsi="Palatino Linotype" w:cs="Palatino Linotype"/>
          <w:i/>
          <w:sz w:val="20"/>
          <w:szCs w:val="20"/>
        </w:rPr>
        <w:t>2</w:t>
      </w:r>
      <w:r>
        <w:rPr>
          <w:rFonts w:hint="default" w:ascii="Palatino Linotype" w:hAnsi="Palatino Linotype" w:cs="Palatino Linotype"/>
          <w:b/>
          <w:sz w:val="20"/>
          <w:szCs w:val="20"/>
        </w:rPr>
        <w:t>,</w:t>
      </w:r>
      <w:r>
        <w:rPr>
          <w:rFonts w:hint="default" w:ascii="Palatino Linotype" w:hAnsi="Palatino Linotype" w:cs="Palatino Linotype"/>
          <w:sz w:val="20"/>
          <w:szCs w:val="20"/>
        </w:rPr>
        <w:t xml:space="preserve"> 113-118.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tLeast"/>
        <w:ind w:left="720" w:hanging="720"/>
        <w:textAlignment w:val="auto"/>
        <w:rPr>
          <w:rFonts w:hint="default" w:ascii="Palatino Linotype" w:hAnsi="Palatino Linotype" w:cs="Palatino Linotype"/>
          <w:sz w:val="20"/>
          <w:szCs w:val="20"/>
        </w:rPr>
      </w:pPr>
      <w:r>
        <w:rPr>
          <w:rFonts w:hint="default" w:ascii="Palatino Linotype" w:hAnsi="Palatino Linotype" w:cs="Palatino Linotype"/>
          <w:sz w:val="20"/>
          <w:szCs w:val="20"/>
        </w:rPr>
        <w:t xml:space="preserve">4. White, T.; Bruns, T.; Lee, S.; Taylor, J. Amplification and direct sequencing of fungal ribosomal RNA genes for phylogenetics. </w:t>
      </w:r>
      <w:r>
        <w:rPr>
          <w:rFonts w:hint="default" w:ascii="Palatino Linotype" w:hAnsi="Palatino Linotype" w:cs="Palatino Linotype"/>
          <w:i/>
          <w:sz w:val="20"/>
          <w:szCs w:val="20"/>
        </w:rPr>
        <w:t>PCR protocols: a guide to methods and applications.</w:t>
      </w:r>
      <w:r>
        <w:rPr>
          <w:rFonts w:hint="default" w:ascii="Palatino Linotype" w:hAnsi="Palatino Linotype" w:cs="Palatino Linotype"/>
          <w:sz w:val="20"/>
          <w:szCs w:val="20"/>
        </w:rPr>
        <w:t xml:space="preserve"> 1990, </w:t>
      </w:r>
      <w:r>
        <w:rPr>
          <w:rFonts w:hint="default" w:ascii="Palatino Linotype" w:hAnsi="Palatino Linotype" w:cs="Palatino Linotype"/>
          <w:i/>
          <w:sz w:val="20"/>
          <w:szCs w:val="20"/>
        </w:rPr>
        <w:t>18</w:t>
      </w:r>
      <w:r>
        <w:rPr>
          <w:rFonts w:hint="default" w:ascii="Palatino Linotype" w:hAnsi="Palatino Linotype" w:cs="Palatino Linotype"/>
          <w:sz w:val="20"/>
          <w:szCs w:val="20"/>
        </w:rPr>
        <w:t>, 315-322.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tLeast"/>
        <w:ind w:left="720" w:hanging="720"/>
        <w:textAlignment w:val="auto"/>
        <w:rPr>
          <w:rFonts w:hint="default" w:ascii="Palatino Linotype" w:hAnsi="Palatino Linotype" w:cs="Palatino Linotype"/>
          <w:sz w:val="20"/>
          <w:szCs w:val="20"/>
        </w:rPr>
      </w:pPr>
      <w:r>
        <w:rPr>
          <w:rFonts w:hint="default" w:ascii="Palatino Linotype" w:hAnsi="Palatino Linotype" w:cs="Palatino Linotype"/>
          <w:sz w:val="20"/>
          <w:szCs w:val="20"/>
        </w:rPr>
        <w:t xml:space="preserve">5. O'Donnell, K.; Cigelnik, E. Two divergent intragenomic rDNA ITS2 types within a monophyletic lineage of the fungus </w:t>
      </w:r>
      <w:r>
        <w:rPr>
          <w:rFonts w:hint="default" w:ascii="Palatino Linotype" w:hAnsi="Palatino Linotype" w:cs="Palatino Linotype"/>
          <w:i/>
          <w:sz w:val="20"/>
          <w:szCs w:val="20"/>
        </w:rPr>
        <w:t>Fusarium</w:t>
      </w:r>
      <w:r>
        <w:rPr>
          <w:rFonts w:hint="default" w:ascii="Palatino Linotype" w:hAnsi="Palatino Linotype" w:cs="Palatino Linotype"/>
          <w:sz w:val="20"/>
          <w:szCs w:val="20"/>
        </w:rPr>
        <w:t xml:space="preserve"> are nonorthologous. </w:t>
      </w:r>
      <w:r>
        <w:rPr>
          <w:rFonts w:hint="default" w:ascii="Palatino Linotype" w:hAnsi="Palatino Linotype" w:cs="Palatino Linotype"/>
          <w:i/>
          <w:sz w:val="20"/>
          <w:szCs w:val="20"/>
        </w:rPr>
        <w:t>Molecular Phylogenetics &amp; Evolution.</w:t>
      </w:r>
      <w:r>
        <w:rPr>
          <w:rFonts w:hint="default" w:ascii="Palatino Linotype" w:hAnsi="Palatino Linotype" w:cs="Palatino Linotype"/>
          <w:sz w:val="20"/>
          <w:szCs w:val="20"/>
        </w:rPr>
        <w:t xml:space="preserve"> 1997, </w:t>
      </w:r>
      <w:r>
        <w:rPr>
          <w:rFonts w:hint="default" w:ascii="Palatino Linotype" w:hAnsi="Palatino Linotype" w:cs="Palatino Linotype"/>
          <w:i/>
          <w:sz w:val="20"/>
          <w:szCs w:val="20"/>
        </w:rPr>
        <w:t>7</w:t>
      </w:r>
      <w:r>
        <w:rPr>
          <w:rFonts w:hint="default" w:ascii="Palatino Linotype" w:hAnsi="Palatino Linotype" w:cs="Palatino Linotype"/>
          <w:b/>
          <w:sz w:val="20"/>
          <w:szCs w:val="20"/>
        </w:rPr>
        <w:t>,</w:t>
      </w:r>
      <w:r>
        <w:rPr>
          <w:rFonts w:hint="default" w:ascii="Palatino Linotype" w:hAnsi="Palatino Linotype" w:cs="Palatino Linotype"/>
          <w:sz w:val="20"/>
          <w:szCs w:val="20"/>
        </w:rPr>
        <w:t xml:space="preserve"> 103-116.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tLeast"/>
        <w:ind w:left="720" w:hanging="720"/>
        <w:textAlignment w:val="auto"/>
        <w:rPr>
          <w:rFonts w:hint="default" w:ascii="Palatino Linotype" w:hAnsi="Palatino Linotype" w:cs="Palatino Linotype"/>
          <w:sz w:val="20"/>
          <w:szCs w:val="20"/>
        </w:rPr>
      </w:pPr>
      <w:r>
        <w:rPr>
          <w:rFonts w:hint="default" w:ascii="Palatino Linotype" w:hAnsi="Palatino Linotype" w:cs="Palatino Linotype"/>
          <w:sz w:val="20"/>
          <w:szCs w:val="20"/>
        </w:rPr>
        <w:t xml:space="preserve">6. Glass, N.L.; Donaldson, G.C. Development of primer sets designed for use with the PCR to amplify conserved genes from filamentous ascomycetes. </w:t>
      </w:r>
      <w:r>
        <w:rPr>
          <w:rFonts w:hint="default" w:ascii="Palatino Linotype" w:hAnsi="Palatino Linotype" w:cs="Palatino Linotype"/>
          <w:i/>
          <w:sz w:val="20"/>
          <w:szCs w:val="20"/>
        </w:rPr>
        <w:t>Applied and environmental microbiology.</w:t>
      </w:r>
      <w:r>
        <w:rPr>
          <w:rFonts w:hint="default" w:ascii="Palatino Linotype" w:hAnsi="Palatino Linotype" w:cs="Palatino Linotype"/>
          <w:sz w:val="20"/>
          <w:szCs w:val="20"/>
        </w:rPr>
        <w:t xml:space="preserve"> 1995, </w:t>
      </w:r>
      <w:r>
        <w:rPr>
          <w:rFonts w:hint="default" w:ascii="Palatino Linotype" w:hAnsi="Palatino Linotype" w:cs="Palatino Linotype"/>
          <w:i/>
          <w:sz w:val="20"/>
          <w:szCs w:val="20"/>
        </w:rPr>
        <w:t>61</w:t>
      </w:r>
      <w:r>
        <w:rPr>
          <w:rFonts w:hint="default" w:ascii="Palatino Linotype" w:hAnsi="Palatino Linotype" w:cs="Palatino Linotype"/>
          <w:b/>
          <w:sz w:val="20"/>
          <w:szCs w:val="20"/>
        </w:rPr>
        <w:t>,</w:t>
      </w:r>
      <w:r>
        <w:rPr>
          <w:rFonts w:hint="default" w:ascii="Palatino Linotype" w:hAnsi="Palatino Linotype" w:cs="Palatino Linotype"/>
          <w:sz w:val="20"/>
          <w:szCs w:val="20"/>
        </w:rPr>
        <w:t xml:space="preserve"> 1323-1330.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tLeast"/>
        <w:ind w:left="720" w:hanging="720"/>
        <w:textAlignment w:val="auto"/>
        <w:rPr>
          <w:rFonts w:hint="default" w:ascii="Palatino Linotype" w:hAnsi="Palatino Linotype" w:cs="Palatino Linotype"/>
          <w:sz w:val="20"/>
          <w:szCs w:val="20"/>
        </w:rPr>
      </w:pPr>
      <w:r>
        <w:rPr>
          <w:rFonts w:hint="default" w:ascii="Palatino Linotype" w:hAnsi="Palatino Linotype" w:cs="Palatino Linotype"/>
          <w:sz w:val="20"/>
          <w:szCs w:val="20"/>
        </w:rPr>
        <w:t xml:space="preserve">7. Carbone, I.; Kohn, L.M. A method for designing primer sets for speciation studies in filamentous ascomycetes. </w:t>
      </w:r>
      <w:r>
        <w:rPr>
          <w:rFonts w:hint="default" w:ascii="Palatino Linotype" w:hAnsi="Palatino Linotype" w:cs="Palatino Linotype"/>
          <w:i/>
          <w:sz w:val="20"/>
          <w:szCs w:val="20"/>
        </w:rPr>
        <w:t xml:space="preserve">Mycologia. </w:t>
      </w:r>
      <w:r>
        <w:rPr>
          <w:rFonts w:hint="default" w:ascii="Palatino Linotype" w:hAnsi="Palatino Linotype" w:cs="Palatino Linotype"/>
          <w:sz w:val="20"/>
          <w:szCs w:val="20"/>
        </w:rPr>
        <w:t xml:space="preserve">1999, </w:t>
      </w:r>
      <w:r>
        <w:rPr>
          <w:rFonts w:hint="default" w:ascii="Palatino Linotype" w:hAnsi="Palatino Linotype" w:cs="Palatino Linotype"/>
          <w:i/>
          <w:sz w:val="20"/>
          <w:szCs w:val="20"/>
        </w:rPr>
        <w:t>91</w:t>
      </w:r>
      <w:r>
        <w:rPr>
          <w:rFonts w:hint="default" w:ascii="Palatino Linotype" w:hAnsi="Palatino Linotype" w:cs="Palatino Linotype"/>
          <w:b/>
          <w:sz w:val="20"/>
          <w:szCs w:val="20"/>
        </w:rPr>
        <w:t>,</w:t>
      </w:r>
      <w:r>
        <w:rPr>
          <w:rFonts w:hint="default" w:ascii="Palatino Linotype" w:hAnsi="Palatino Linotype" w:cs="Palatino Linotype"/>
          <w:sz w:val="20"/>
          <w:szCs w:val="20"/>
        </w:rPr>
        <w:t xml:space="preserve"> 553-556.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tLeast"/>
        <w:ind w:left="720" w:hanging="720"/>
        <w:textAlignment w:val="auto"/>
        <w:rPr>
          <w:rFonts w:hint="default" w:ascii="Palatino Linotype" w:hAnsi="Palatino Linotype" w:cs="Palatino Linotype"/>
          <w:sz w:val="20"/>
          <w:szCs w:val="20"/>
        </w:rPr>
      </w:pPr>
      <w:r>
        <w:rPr>
          <w:rFonts w:hint="default" w:ascii="Palatino Linotype" w:hAnsi="Palatino Linotype" w:cs="Palatino Linotype"/>
          <w:sz w:val="20"/>
          <w:szCs w:val="20"/>
        </w:rPr>
        <w:t xml:space="preserve">8. Liu, Y.J.; Whelen S, Hall, B.D. Phylogenetic relationships among ascomycetes: evidence from an RNA polymerse II subunit. </w:t>
      </w:r>
      <w:r>
        <w:rPr>
          <w:rFonts w:hint="default" w:ascii="Palatino Linotype" w:hAnsi="Palatino Linotype" w:cs="Palatino Linotype"/>
          <w:i/>
          <w:sz w:val="20"/>
          <w:szCs w:val="20"/>
        </w:rPr>
        <w:t>Molecular biology and evolution.</w:t>
      </w:r>
      <w:r>
        <w:rPr>
          <w:rFonts w:hint="default" w:ascii="Palatino Linotype" w:hAnsi="Palatino Linotype" w:cs="Palatino Linotype"/>
          <w:sz w:val="20"/>
          <w:szCs w:val="20"/>
        </w:rPr>
        <w:t xml:space="preserve"> 1999, </w:t>
      </w:r>
      <w:r>
        <w:rPr>
          <w:rFonts w:hint="default" w:ascii="Palatino Linotype" w:hAnsi="Palatino Linotype" w:cs="Palatino Linotype"/>
          <w:i/>
          <w:sz w:val="20"/>
          <w:szCs w:val="20"/>
        </w:rPr>
        <w:t>16</w:t>
      </w:r>
      <w:r>
        <w:rPr>
          <w:rFonts w:hint="default" w:ascii="Palatino Linotype" w:hAnsi="Palatino Linotype" w:cs="Palatino Linotype"/>
          <w:b/>
          <w:sz w:val="20"/>
          <w:szCs w:val="20"/>
        </w:rPr>
        <w:t>,</w:t>
      </w:r>
      <w:r>
        <w:rPr>
          <w:rFonts w:hint="default" w:ascii="Palatino Linotype" w:hAnsi="Palatino Linotype" w:cs="Palatino Linotype"/>
          <w:sz w:val="20"/>
          <w:szCs w:val="20"/>
        </w:rPr>
        <w:t xml:space="preserve"> 1799-1808.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tLeast"/>
        <w:ind w:left="720" w:hanging="720"/>
        <w:textAlignment w:val="auto"/>
        <w:rPr>
          <w:rFonts w:hint="default" w:ascii="Palatino Linotype" w:hAnsi="Palatino Linotype" w:cs="Palatino Linotype"/>
          <w:sz w:val="20"/>
          <w:szCs w:val="20"/>
        </w:rPr>
      </w:pPr>
      <w:r>
        <w:rPr>
          <w:rFonts w:hint="default" w:ascii="Palatino Linotype" w:hAnsi="Palatino Linotype" w:cs="Palatino Linotype"/>
          <w:sz w:val="20"/>
          <w:szCs w:val="20"/>
        </w:rPr>
        <w:t xml:space="preserve">9. Vilgalys, R.; Hester, M. Rapid genetic identification and mapping of enzymatically amplified ribosomal DNA from several </w:t>
      </w:r>
      <w:r>
        <w:rPr>
          <w:rFonts w:hint="default" w:ascii="Palatino Linotype" w:hAnsi="Palatino Linotype" w:cs="Palatino Linotype"/>
          <w:i/>
          <w:sz w:val="20"/>
          <w:szCs w:val="20"/>
        </w:rPr>
        <w:t>Cryptococcus</w:t>
      </w:r>
      <w:r>
        <w:rPr>
          <w:rFonts w:hint="default" w:ascii="Palatino Linotype" w:hAnsi="Palatino Linotype" w:cs="Palatino Linotype"/>
          <w:sz w:val="20"/>
          <w:szCs w:val="20"/>
        </w:rPr>
        <w:t xml:space="preserve"> species. </w:t>
      </w:r>
      <w:r>
        <w:rPr>
          <w:rFonts w:hint="default" w:ascii="Palatino Linotype" w:hAnsi="Palatino Linotype" w:cs="Palatino Linotype"/>
          <w:i/>
          <w:sz w:val="20"/>
          <w:szCs w:val="20"/>
        </w:rPr>
        <w:t>Journal of bacteriology</w:t>
      </w:r>
      <w:r>
        <w:rPr>
          <w:rFonts w:hint="default" w:ascii="Palatino Linotype" w:hAnsi="Palatino Linotype" w:cs="Palatino Linotype"/>
          <w:sz w:val="20"/>
          <w:szCs w:val="20"/>
        </w:rPr>
        <w:t xml:space="preserve">.1990, </w:t>
      </w:r>
      <w:r>
        <w:rPr>
          <w:rFonts w:hint="default" w:ascii="Palatino Linotype" w:hAnsi="Palatino Linotype" w:cs="Palatino Linotype"/>
          <w:i/>
          <w:sz w:val="20"/>
          <w:szCs w:val="20"/>
        </w:rPr>
        <w:t>172</w:t>
      </w:r>
      <w:r>
        <w:rPr>
          <w:rFonts w:hint="default" w:ascii="Palatino Linotype" w:hAnsi="Palatino Linotype" w:cs="Palatino Linotype"/>
          <w:b/>
          <w:sz w:val="20"/>
          <w:szCs w:val="20"/>
        </w:rPr>
        <w:t>,</w:t>
      </w:r>
      <w:r>
        <w:rPr>
          <w:rFonts w:hint="default" w:ascii="Palatino Linotype" w:hAnsi="Palatino Linotype" w:cs="Palatino Linotype"/>
          <w:sz w:val="20"/>
          <w:szCs w:val="20"/>
        </w:rPr>
        <w:t xml:space="preserve"> 4238-4246.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40"/>
        <w:jc w:val="center"/>
        <w:textAlignment w:val="auto"/>
        <w:rPr>
          <w:rFonts w:hint="default" w:ascii="Palatino Linotype" w:hAnsi="Palatino Linotype" w:cs="Palatino Linotype"/>
          <w:b/>
          <w:sz w:val="20"/>
          <w:szCs w:val="20"/>
        </w:rPr>
      </w:pPr>
      <w:r>
        <w:rPr>
          <w:rFonts w:hint="default" w:ascii="Palatino Linotype" w:hAnsi="Palatino Linotype" w:cs="Palatino Linotype"/>
          <w:b/>
          <w:sz w:val="20"/>
          <w:szCs w:val="20"/>
        </w:rPr>
        <w:t>T</w:t>
      </w:r>
      <w:r>
        <w:rPr>
          <w:rFonts w:hint="default" w:ascii="Palatino Linotype" w:hAnsi="Palatino Linotype" w:cs="Palatino Linotype"/>
          <w:b/>
          <w:sz w:val="20"/>
          <w:szCs w:val="20"/>
        </w:rPr>
        <w:t xml:space="preserve">able </w:t>
      </w:r>
      <w:r>
        <w:rPr>
          <w:rFonts w:hint="default" w:ascii="Palatino Linotype" w:hAnsi="Palatino Linotype" w:cs="Palatino Linotype"/>
          <w:b/>
          <w:sz w:val="20"/>
          <w:szCs w:val="20"/>
        </w:rPr>
        <w:t>S</w:t>
      </w:r>
      <w:r>
        <w:rPr>
          <w:rFonts w:hint="default" w:ascii="Palatino Linotype" w:hAnsi="Palatino Linotype" w:cs="Palatino Linotype"/>
          <w:b/>
          <w:sz w:val="20"/>
          <w:szCs w:val="20"/>
        </w:rPr>
        <w:t>2.</w:t>
      </w:r>
      <w:r>
        <w:rPr>
          <w:rFonts w:hint="default" w:ascii="Palatino Linotype" w:hAnsi="Palatino Linotype" w:cs="Palatino Linotype"/>
          <w:sz w:val="20"/>
          <w:szCs w:val="20"/>
        </w:rPr>
        <w:t xml:space="preserve"> Isolates </w:t>
      </w:r>
      <w:bookmarkStart w:id="0" w:name="_GoBack"/>
      <w:r>
        <w:rPr>
          <w:rFonts w:hint="default" w:ascii="Palatino Linotype" w:hAnsi="Palatino Linotype" w:cs="Palatino Linotype"/>
          <w:i/>
          <w:iCs/>
          <w:sz w:val="20"/>
          <w:szCs w:val="20"/>
        </w:rPr>
        <w:t>Diaporthales</w:t>
      </w:r>
      <w:bookmarkEnd w:id="0"/>
      <w:r>
        <w:rPr>
          <w:rFonts w:hint="default" w:ascii="Palatino Linotype" w:hAnsi="Palatino Linotype" w:cs="Palatino Linotype"/>
          <w:sz w:val="20"/>
          <w:szCs w:val="20"/>
        </w:rPr>
        <w:t xml:space="preserve"> spp. studied and GenBank accession numbers of the generated sequences</w:t>
      </w:r>
    </w:p>
    <w:tbl>
      <w:tblPr>
        <w:tblStyle w:val="16"/>
        <w:tblW w:w="0" w:type="auto"/>
        <w:tblInd w:w="0" w:type="dxa"/>
        <w:tblBorders>
          <w:top w:val="single" w:color="7E7E7E" w:themeColor="text1" w:themeTint="80" w:sz="4" w:space="0"/>
          <w:left w:val="none" w:color="auto" w:sz="0" w:space="0"/>
          <w:bottom w:val="single" w:color="7E7E7E" w:themeColor="text1" w:themeTint="8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532"/>
        <w:gridCol w:w="1239"/>
        <w:gridCol w:w="1248"/>
        <w:gridCol w:w="1248"/>
        <w:gridCol w:w="1196"/>
      </w:tblGrid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tcBorders>
              <w:bottom w:val="single" w:color="7E7E7E" w:themeColor="text1" w:themeTint="80" w:sz="4" w:space="0"/>
              <w:insideH w:val="single" w:sz="4" w:space="0"/>
            </w:tcBorders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  <w:t>Species</w:t>
            </w:r>
          </w:p>
        </w:tc>
        <w:tc>
          <w:tcPr>
            <w:tcW w:w="1532" w:type="dxa"/>
            <w:vMerge w:val="restart"/>
            <w:tcBorders>
              <w:bottom w:val="single" w:color="7E7E7E" w:themeColor="text1" w:themeTint="80" w:sz="4" w:space="0"/>
              <w:insideH w:val="single" w:sz="4" w:space="0"/>
            </w:tcBorders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  <w:t>Accession number</w:t>
            </w:r>
          </w:p>
        </w:tc>
        <w:tc>
          <w:tcPr>
            <w:tcW w:w="4931" w:type="dxa"/>
            <w:gridSpan w:val="4"/>
            <w:tcBorders>
              <w:bottom w:val="single" w:color="7E7E7E" w:themeColor="text1" w:themeTint="80" w:sz="4" w:space="0"/>
              <w:insideH w:val="single" w:sz="4" w:space="0"/>
            </w:tcBorders>
          </w:tcPr>
          <w:p>
            <w:pPr>
              <w:jc w:val="center"/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  <w:t>GenBank accession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239" w:type="dxa"/>
            <w:tcBorders>
              <w:bottom w:val="single" w:color="auto" w:sz="4" w:space="0"/>
            </w:tcBorders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ITS</w:t>
            </w:r>
          </w:p>
        </w:tc>
        <w:tc>
          <w:tcPr>
            <w:tcW w:w="1248" w:type="dxa"/>
            <w:tcBorders>
              <w:bottom w:val="single" w:color="auto" w:sz="4" w:space="0"/>
            </w:tcBorders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LSU</w:t>
            </w:r>
          </w:p>
        </w:tc>
        <w:tc>
          <w:tcPr>
            <w:tcW w:w="1248" w:type="dxa"/>
            <w:tcBorders>
              <w:bottom w:val="single" w:color="auto" w:sz="4" w:space="0"/>
            </w:tcBorders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EF1</w:t>
            </w:r>
          </w:p>
        </w:tc>
        <w:tc>
          <w:tcPr>
            <w:tcW w:w="1196" w:type="dxa"/>
            <w:tcBorders>
              <w:bottom w:val="single" w:color="auto" w:sz="4" w:space="0"/>
            </w:tcBorders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RPB2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tcBorders>
              <w:top w:val="single" w:color="auto" w:sz="4" w:space="0"/>
            </w:tcBorders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  <w:t>Discula theae-sinensi</w:t>
            </w:r>
            <w: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  <w:t>s</w:t>
            </w:r>
          </w:p>
        </w:tc>
        <w:tc>
          <w:tcPr>
            <w:tcW w:w="1532" w:type="dxa"/>
            <w:tcBorders>
              <w:top w:val="single" w:color="auto" w:sz="4" w:space="0"/>
            </w:tcBorders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MAFF238240</w:t>
            </w:r>
          </w:p>
        </w:tc>
        <w:tc>
          <w:tcPr>
            <w:tcW w:w="1239" w:type="dxa"/>
            <w:tcBorders>
              <w:top w:val="single" w:color="auto" w:sz="4" w:space="0"/>
            </w:tcBorders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auto" w:sz="4" w:space="0"/>
            </w:tcBorders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AB511919</w:t>
            </w:r>
          </w:p>
        </w:tc>
        <w:tc>
          <w:tcPr>
            <w:tcW w:w="1248" w:type="dxa"/>
            <w:tcBorders>
              <w:top w:val="single" w:color="auto" w:sz="4" w:space="0"/>
            </w:tcBorders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auto" w:sz="4" w:space="0"/>
            </w:tcBorders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MAFF238241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AB511920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MAFF238242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AB511921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MAFF238243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AB511922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DX1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ON453684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ON340629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ON366583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ON568236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DX2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ON453700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ON340645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ON366599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ON568247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DX3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ON453689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ON340634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ON366588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ON568240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DX4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ON453685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ON340630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ON366584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ON568237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DX5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ON453708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ON340654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ON366608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ON568254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DX6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ON453691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ON340636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ON366590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DX7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ON453688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ON340633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ON366587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ON568239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DX8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ON453699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ON340644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ON366598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ON568246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DX9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ON453686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ON340631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ON366585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ON568238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DX10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ON453687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ON340632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ON366586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DX11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ON453723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ON340669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ON366623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ON568266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DX12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ON453738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ON340688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ON366642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ON568282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DX13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ON453712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ON340658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ON366612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ON568258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DX14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ON453741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ON340691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ON366645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ON568285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DX15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ON453740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ON340690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ON366644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ON568284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DX16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ON453739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ON340689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ON366643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ON568283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DX23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ON453704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ON340649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ON366603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ON568250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DX24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ON453711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ON340657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ON366611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ON568257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DX25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ON453709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ON340655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ON366609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ON568255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DX26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ON453702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ON340647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ON366601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ON568249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DX27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ON453710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ON340656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ON366610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ON568256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DX28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ON453713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ON340659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ON366613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ON568259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DX29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ON453725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ON340671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ON366625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DX30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ON453737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ON340683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ON366637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ON568277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DX31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ON453714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ON340660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ON366614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ON568260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DX32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ON453721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ON340667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ON366621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ON568264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DX33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ON453724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ON340670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ON366624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ON568267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DX34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ON453693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ON340638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ON366592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ON568242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DX35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ON453703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ON340648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ON366602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DX36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ON453705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ON340650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ON366604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ON568251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DX37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ON453706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ON340651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ON366605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ON568252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DX38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ON453707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ON340653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ON366607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ON568253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DX39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ON453734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ON340680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ON366634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ON568275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DX40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ON340652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ON366606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DX43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ON598591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ON340692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ON366646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DX44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ON453742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ON340693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ON366647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DX45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ON453720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ON340666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ON366620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DX46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ON453728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ON340674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ON366628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ON568270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DX47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ON453726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ON340672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ON366626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ON568268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DX49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ON453695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ON340640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ON366594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ON568243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DX50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ON453696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ON340641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ON366595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ON568244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DX51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ON453694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ON340639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ON366593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DX52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ON453731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ON340677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ON366631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DX54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ON453697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ON340642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ON366596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ON568245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DX55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ON453729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ON340675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ON366629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ON568271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DX56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ON453698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ON340643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ON366597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DX57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ON453715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ON340661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ON366615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ON568261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DX58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ON453732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ON340678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ON366632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ON568273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DX59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ON453690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ON340635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ON366589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DX60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ON453733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ON340679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ON366633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ON568274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DX61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ON453692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ON340637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ON366591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ON568241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DX62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ON453719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ON340665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ON366619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DX63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ON453716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ON340662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ON366616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DX64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ON453701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ON340646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ON366600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ON568248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DX65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ON453718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ON340664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ON366618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ON568263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DX66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ON453730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ON340676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ON366630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ON568272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DX70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ON598587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ON340684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ON366638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ON568278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DX71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ON598590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ON340687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ON366641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ON568281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DX72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ON598588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ON340685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ON366639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ON568279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DX73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ON598589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ON340686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ON366640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ON568280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DX74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ON453722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ON340668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ON366622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ON568265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DX78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ON453735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ON340681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ON366635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ON568276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DX79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ON453736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ON340682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ON366636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DX81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ON453727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ON340673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ON366627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ON568269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DX82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ON453717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ON340663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ON366617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ON568262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DX84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ON453743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ON340694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ON366648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ON568286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  <w:t>Diaporthales spp.</w:t>
            </w: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DX18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ON598592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ON340695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DX19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ON598593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ON340696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DX17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ON453744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ON340697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DX20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ON453757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ON340710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DX21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ON453756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ON340709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DX22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ON453745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ON340698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DX41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ON453747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ON340700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DX42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ON453749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ON340702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DX48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ON453750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ON340703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DX67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ON453751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ON340704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DX68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ON453753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ON340706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DX69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ON453752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ON340705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DX75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ON453759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ON340712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DX76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ON453755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ON340708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DX77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ON453758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ON340711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DX80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ON453746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ON340699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DX83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ON453748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ON340701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DX86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ON453754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ON340707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DX85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ON453760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DX89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ON453761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ON340713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  <w:t>Diaporthe ueckerae</w:t>
            </w: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SLHX3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KY565424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KY569391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widowControl/>
              <w:jc w:val="left"/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  <w:t>DX88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  <w:t>ON453762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  <w:t>ON340714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  <w:t>ON366649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  <w:t>Diaporthe lithocarpus</w:t>
            </w:r>
          </w:p>
        </w:tc>
        <w:tc>
          <w:tcPr>
            <w:tcW w:w="1532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CGMCC 3.15175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KC153104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KC153095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1532" w:type="dxa"/>
          </w:tcPr>
          <w:p>
            <w:pPr>
              <w:widowControl/>
              <w:jc w:val="left"/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  <w:t>DX87</w:t>
            </w:r>
          </w:p>
        </w:tc>
        <w:tc>
          <w:tcPr>
            <w:tcW w:w="1239" w:type="dxa"/>
          </w:tcPr>
          <w:p>
            <w:pP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  <w:t>ON453763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  <w:t>ON340715</w:t>
            </w:r>
          </w:p>
        </w:tc>
        <w:tc>
          <w:tcPr>
            <w:tcW w:w="1248" w:type="dxa"/>
          </w:tcPr>
          <w:p>
            <w:pP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  <w:t>ON366650</w:t>
            </w:r>
          </w:p>
        </w:tc>
        <w:tc>
          <w:tcPr>
            <w:tcW w:w="1196" w:type="dxa"/>
          </w:tcPr>
          <w:p>
            <w:pP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  <w:t>-</w:t>
            </w:r>
          </w:p>
        </w:tc>
      </w:tr>
    </w:tbl>
    <w:p>
      <w:pPr>
        <w:rPr>
          <w:rFonts w:hint="default" w:ascii="Palatino Linotype" w:hAnsi="Palatino Linotype" w:cs="Palatino Linotype"/>
          <w:b/>
          <w:sz w:val="20"/>
          <w:szCs w:val="20"/>
        </w:rPr>
      </w:pPr>
      <w:r>
        <w:rPr>
          <w:rFonts w:hint="default" w:ascii="Palatino Linotype" w:hAnsi="Palatino Linotype" w:cs="Palatino Linotype"/>
          <w:b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/>
        <w:jc w:val="center"/>
        <w:textAlignment w:val="auto"/>
        <w:rPr>
          <w:rFonts w:hint="default" w:ascii="Palatino Linotype" w:hAnsi="Palatino Linotype" w:cs="Palatino Linotype"/>
          <w:sz w:val="20"/>
          <w:szCs w:val="20"/>
        </w:rPr>
      </w:pPr>
      <w:r>
        <w:rPr>
          <w:rFonts w:hint="default" w:ascii="Palatino Linotype" w:hAnsi="Palatino Linotype" w:cs="Palatino Linotype"/>
          <w:b/>
          <w:sz w:val="20"/>
          <w:szCs w:val="20"/>
        </w:rPr>
        <w:t>T</w:t>
      </w:r>
      <w:r>
        <w:rPr>
          <w:rFonts w:hint="default" w:ascii="Palatino Linotype" w:hAnsi="Palatino Linotype" w:cs="Palatino Linotype"/>
          <w:b/>
          <w:sz w:val="20"/>
          <w:szCs w:val="20"/>
        </w:rPr>
        <w:t>able S3.</w:t>
      </w:r>
      <w:r>
        <w:rPr>
          <w:rFonts w:hint="default" w:ascii="Palatino Linotype" w:hAnsi="Palatino Linotype" w:cs="Palatino Linotype"/>
          <w:b w:val="0"/>
          <w:bCs/>
          <w:sz w:val="20"/>
          <w:szCs w:val="20"/>
        </w:rPr>
        <w:t xml:space="preserve"> Isolates </w:t>
      </w:r>
      <w:r>
        <w:rPr>
          <w:rFonts w:hint="default" w:ascii="Palatino Linotype" w:hAnsi="Palatino Linotype" w:cs="Palatino Linotype"/>
          <w:b w:val="0"/>
          <w:bCs/>
          <w:i/>
          <w:sz w:val="20"/>
          <w:szCs w:val="20"/>
        </w:rPr>
        <w:t xml:space="preserve">Colletotrichum </w:t>
      </w:r>
      <w:r>
        <w:rPr>
          <w:rFonts w:hint="default" w:ascii="Palatino Linotype" w:hAnsi="Palatino Linotype" w:cs="Palatino Linotype"/>
          <w:b w:val="0"/>
          <w:bCs/>
          <w:sz w:val="20"/>
          <w:szCs w:val="20"/>
        </w:rPr>
        <w:t>spp. studied and GenBank accession numbers of the generated sequences</w:t>
      </w:r>
    </w:p>
    <w:tbl>
      <w:tblPr>
        <w:tblStyle w:val="16"/>
        <w:tblW w:w="0" w:type="auto"/>
        <w:tblInd w:w="0" w:type="dxa"/>
        <w:tblBorders>
          <w:top w:val="single" w:color="7E7E7E" w:themeColor="text1" w:themeTint="80" w:sz="4" w:space="0"/>
          <w:left w:val="none" w:color="auto" w:sz="0" w:space="0"/>
          <w:bottom w:val="single" w:color="7E7E7E" w:themeColor="text1" w:themeTint="8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443"/>
        <w:gridCol w:w="1172"/>
        <w:gridCol w:w="1172"/>
        <w:gridCol w:w="1172"/>
        <w:gridCol w:w="1172"/>
      </w:tblGrid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restart"/>
            <w:tcBorders>
              <w:bottom w:val="single" w:color="7E7E7E" w:themeColor="text1" w:themeTint="80" w:sz="4" w:space="0"/>
              <w:insideH w:val="single" w:sz="4" w:space="0"/>
            </w:tcBorders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  <w:t>Species</w:t>
            </w:r>
          </w:p>
        </w:tc>
        <w:tc>
          <w:tcPr>
            <w:tcW w:w="2647" w:type="dxa"/>
            <w:vMerge w:val="restart"/>
            <w:tcBorders>
              <w:bottom w:val="single" w:color="7E7E7E" w:themeColor="text1" w:themeTint="80" w:sz="4" w:space="0"/>
              <w:insideH w:val="single" w:sz="4" w:space="0"/>
            </w:tcBorders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  <w:t>Accession number</w:t>
            </w:r>
          </w:p>
        </w:tc>
        <w:tc>
          <w:tcPr>
            <w:tcW w:w="4248" w:type="dxa"/>
            <w:gridSpan w:val="4"/>
            <w:tcBorders>
              <w:bottom w:val="single" w:color="7E7E7E" w:themeColor="text1" w:themeTint="80" w:sz="4" w:space="0"/>
              <w:insideH w:val="single" w:sz="4" w:space="0"/>
            </w:tcBorders>
          </w:tcPr>
          <w:p>
            <w:pPr>
              <w:jc w:val="center"/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  <w:t>GenBank accession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2647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047" w:type="dxa"/>
            <w:tcBorders>
              <w:bottom w:val="single" w:color="auto" w:sz="4" w:space="0"/>
            </w:tcBorders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ITS</w:t>
            </w:r>
          </w:p>
        </w:tc>
        <w:tc>
          <w:tcPr>
            <w:tcW w:w="1079" w:type="dxa"/>
            <w:tcBorders>
              <w:bottom w:val="single" w:color="auto" w:sz="4" w:space="0"/>
            </w:tcBorders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CAL</w:t>
            </w:r>
          </w:p>
        </w:tc>
        <w:tc>
          <w:tcPr>
            <w:tcW w:w="1047" w:type="dxa"/>
            <w:tcBorders>
              <w:bottom w:val="single" w:color="auto" w:sz="4" w:space="0"/>
            </w:tcBorders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GAPDH</w:t>
            </w:r>
          </w:p>
        </w:tc>
        <w:tc>
          <w:tcPr>
            <w:tcW w:w="1075" w:type="dxa"/>
            <w:tcBorders>
              <w:bottom w:val="single" w:color="auto" w:sz="4" w:space="0"/>
            </w:tcBorders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TUB2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restart"/>
            <w:tcBorders>
              <w:top w:val="single" w:color="auto" w:sz="4" w:space="0"/>
            </w:tcBorders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  <w:t>C. aenigma</w:t>
            </w:r>
          </w:p>
        </w:tc>
        <w:tc>
          <w:tcPr>
            <w:tcW w:w="2647" w:type="dxa"/>
            <w:tcBorders>
              <w:top w:val="single" w:color="auto" w:sz="4" w:space="0"/>
            </w:tcBorders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ICMP 18608</w:t>
            </w:r>
          </w:p>
        </w:tc>
        <w:tc>
          <w:tcPr>
            <w:tcW w:w="1047" w:type="dxa"/>
            <w:tcBorders>
              <w:top w:val="single" w:color="auto" w:sz="4" w:space="0"/>
            </w:tcBorders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JX010244</w:t>
            </w:r>
          </w:p>
        </w:tc>
        <w:tc>
          <w:tcPr>
            <w:tcW w:w="1079" w:type="dxa"/>
            <w:tcBorders>
              <w:top w:val="single" w:color="auto" w:sz="4" w:space="0"/>
            </w:tcBorders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JX009683</w:t>
            </w:r>
          </w:p>
        </w:tc>
        <w:tc>
          <w:tcPr>
            <w:tcW w:w="1047" w:type="dxa"/>
            <w:tcBorders>
              <w:top w:val="single" w:color="auto" w:sz="4" w:space="0"/>
            </w:tcBorders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JX010044</w:t>
            </w:r>
          </w:p>
        </w:tc>
        <w:tc>
          <w:tcPr>
            <w:tcW w:w="1075" w:type="dxa"/>
            <w:tcBorders>
              <w:top w:val="single" w:color="auto" w:sz="4" w:space="0"/>
            </w:tcBorders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JX010389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26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CX12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ON329714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ON420249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ON394453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ON420396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26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CX13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ON329715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ON420250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ON394454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ON420397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restart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  <w:t>C. camellia</w:t>
            </w:r>
          </w:p>
        </w:tc>
        <w:tc>
          <w:tcPr>
            <w:tcW w:w="26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ICMP 10643, LF897, LC3667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JX010224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JX009630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JX009908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JX010436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26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CX5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ON329717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ON420252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ON394456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ON420398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26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CX6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ON329718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ON420253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ON394457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ON420399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26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CX7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ON329719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ON420254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ON394458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ON420400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26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CX8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ON329724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ON420259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ON394463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ON420405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26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CX10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ON329720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ON420255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ON394459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ON420401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26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CX25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ON329727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ON420262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ON394466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ON420408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26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CX32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ON329723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ON420258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ON394462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ON420404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26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CX37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ON329721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ON420256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ON394460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ON420402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26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CX38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ON329722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ON420257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ON394461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ON420403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26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CX39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ON329725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ON420260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ON394464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ON420406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26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CX47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ON329726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ON420261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ON394465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ON420407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restart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  <w:t>C. fructicola</w:t>
            </w:r>
          </w:p>
        </w:tc>
        <w:tc>
          <w:tcPr>
            <w:tcW w:w="26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ICMP 18646, CBS 125397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JX010173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JX009674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JX010032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JX010409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26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CX1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ON329690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ON420225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ON394429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ON420372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26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CX2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ON329709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ON420244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ON394448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ON420391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26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CX3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ON329692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ON420227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ON394431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ON420374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26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CX4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ON329691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ON420226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ON394430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ON420373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26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CX9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ON329710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ON420245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ON394449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ON420392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26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CX11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ON329695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ON420230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ON394434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ON420377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26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CX14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ON329703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ON420238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ON394442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ON420385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26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CX15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ON329696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ON420231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ON394435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ON420378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26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CX16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ON329729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ON394468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ON420410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26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CX17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ON329731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ON394470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ON420412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26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CX18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ON329711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ON420246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ON394450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ON420393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26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CX19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ON329704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ON420239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ON394443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ON420386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26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CX20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ON329697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ON420232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ON394436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ON420379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26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CX21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ON329698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ON420233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ON394437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ON420380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26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CX22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ON329699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ON420234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ON394438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ON420381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26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CX23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ON329712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ON420247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ON394451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ON420394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26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CX24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ON329700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ON420235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ON394439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ON420382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26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CX26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ON329694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ON420229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ON394433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ON420376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26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CX27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ON329713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ON420248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ON394452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ON420395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26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CX28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ON329693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ON420228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ON394432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ON420375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26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CX29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ON329706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ON420241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ON394445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ON420388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26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CX30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ON329705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ON420240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ON394444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ON420387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26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CX36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ON329708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ON420243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ON394447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ON420390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26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CX40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ON329707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ON420242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ON394446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ON420389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26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CX42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ON329701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ON420236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ON394440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ON420383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26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CX46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ON329730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-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ON394469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ON420411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26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CX48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ON329702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ON420237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ON394441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ON420384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restart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  <w:t>C. gigasporum</w:t>
            </w:r>
          </w:p>
        </w:tc>
        <w:tc>
          <w:tcPr>
            <w:tcW w:w="26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CBS 125475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KF687723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KF687813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KF687836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KF687874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2647" w:type="dxa"/>
          </w:tcPr>
          <w:p>
            <w:pPr>
              <w:widowControl/>
              <w:jc w:val="left"/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  <w:t>CX34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  <w:t>ON329734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  <w:t>ON420266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  <w:t>ON394473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  <w:t>ON420414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restart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  <w:t xml:space="preserve">C. henanense </w:t>
            </w:r>
          </w:p>
        </w:tc>
        <w:tc>
          <w:tcPr>
            <w:tcW w:w="26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LC2820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KM610182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KM610176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KM610178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KM610184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2647" w:type="dxa"/>
          </w:tcPr>
          <w:p>
            <w:pPr>
              <w:widowControl/>
              <w:jc w:val="left"/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  <w:t>CX31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  <w:t>ON329728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  <w:t>ON420263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  <w:t>ON394467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  <w:t>ON420409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restart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  <w:t>C. karstii</w:t>
            </w:r>
          </w:p>
        </w:tc>
        <w:tc>
          <w:tcPr>
            <w:tcW w:w="26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CBS 132134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HM585409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HM582013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HM585391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HM585428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2647" w:type="dxa"/>
          </w:tcPr>
          <w:p>
            <w:pPr>
              <w:widowControl/>
              <w:jc w:val="left"/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  <w:t>CX45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  <w:t>ON329732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  <w:t>ON420264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  <w:t>ON394471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restart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  <w:t xml:space="preserve">C. siamense </w:t>
            </w:r>
          </w:p>
        </w:tc>
        <w:tc>
          <w:tcPr>
            <w:tcW w:w="26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ICMP 18578*, CBS 130417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JX010171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FJ917505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JX009924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JX010404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2647" w:type="dxa"/>
          </w:tcPr>
          <w:p>
            <w:pPr>
              <w:widowControl/>
              <w:jc w:val="left"/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  <w:t>CX41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  <w:t>ON329716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  <w:t>ON420251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  <w:t>ON394455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restart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  <w:t>C. tropicicola</w:t>
            </w:r>
          </w:p>
        </w:tc>
        <w:tc>
          <w:tcPr>
            <w:tcW w:w="26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L58, LC0598*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JN050240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JN050229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JN050223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JN050246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sz w:val="20"/>
                <w:szCs w:val="20"/>
              </w:rPr>
            </w:pPr>
          </w:p>
        </w:tc>
        <w:tc>
          <w:tcPr>
            <w:tcW w:w="2647" w:type="dxa"/>
          </w:tcPr>
          <w:p>
            <w:pPr>
              <w:widowControl/>
              <w:jc w:val="left"/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  <w:t>CX33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  <w:t>ON329733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  <w:t>ON420265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  <w:t>ON394472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sz w:val="20"/>
                <w:szCs w:val="20"/>
              </w:rPr>
              <w:t>ON420413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</w:tcPr>
          <w:p>
            <w:pP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b w:val="0"/>
                <w:bCs/>
                <w:i/>
                <w:sz w:val="20"/>
                <w:szCs w:val="20"/>
              </w:rPr>
              <w:t>C. xanthorroeae</w:t>
            </w:r>
          </w:p>
        </w:tc>
        <w:tc>
          <w:tcPr>
            <w:tcW w:w="26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ICMP 17903, CBS 127831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JX010261</w:t>
            </w:r>
          </w:p>
        </w:tc>
        <w:tc>
          <w:tcPr>
            <w:tcW w:w="1079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JX009653</w:t>
            </w:r>
          </w:p>
        </w:tc>
        <w:tc>
          <w:tcPr>
            <w:tcW w:w="1047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JX009927</w:t>
            </w:r>
          </w:p>
        </w:tc>
        <w:tc>
          <w:tcPr>
            <w:tcW w:w="1075" w:type="dxa"/>
          </w:tcPr>
          <w:p>
            <w:pPr>
              <w:rPr>
                <w:rFonts w:hint="default" w:ascii="Palatino Linotype" w:hAnsi="Palatino Linotype" w:cs="Palatino Linotype"/>
                <w:sz w:val="20"/>
                <w:szCs w:val="20"/>
              </w:rPr>
            </w:pPr>
            <w:r>
              <w:rPr>
                <w:rFonts w:hint="default" w:ascii="Palatino Linotype" w:hAnsi="Palatino Linotype" w:cs="Palatino Linotype"/>
                <w:sz w:val="20"/>
                <w:szCs w:val="20"/>
              </w:rPr>
              <w:t>JX010448</w:t>
            </w:r>
          </w:p>
        </w:tc>
      </w:tr>
    </w:tbl>
    <w:p>
      <w:pPr>
        <w:jc w:val="center"/>
        <w:rPr>
          <w:rFonts w:hint="default" w:ascii="Palatino Linotype" w:hAnsi="Palatino Linotype" w:cs="Palatino Linotype"/>
          <w:sz w:val="20"/>
          <w:szCs w:val="20"/>
        </w:rPr>
      </w:pPr>
    </w:p>
    <w:p>
      <w:pPr>
        <w:rPr>
          <w:rFonts w:hint="default" w:ascii="Palatino Linotype" w:hAnsi="Palatino Linotype" w:cs="Palatino Linotype"/>
          <w:sz w:val="20"/>
          <w:szCs w:val="20"/>
        </w:rPr>
      </w:pPr>
    </w:p>
    <w:p>
      <w:pPr>
        <w:rPr>
          <w:rFonts w:hint="default" w:ascii="Palatino Linotype" w:hAnsi="Palatino Linotype" w:cs="Palatino Linotype"/>
          <w:sz w:val="20"/>
          <w:szCs w:val="20"/>
        </w:rPr>
      </w:pPr>
    </w:p>
    <w:p>
      <w:pPr>
        <w:rPr>
          <w:rFonts w:hint="default" w:ascii="Palatino Linotype" w:hAnsi="Palatino Linotype" w:cs="Palatino Linotype"/>
          <w:sz w:val="20"/>
          <w:szCs w:val="20"/>
        </w:rPr>
      </w:pPr>
    </w:p>
    <w:p>
      <w:pPr>
        <w:rPr>
          <w:rFonts w:hint="default" w:ascii="Palatino Linotype" w:hAnsi="Palatino Linotype" w:cs="Palatino Linotype"/>
          <w:sz w:val="20"/>
          <w:szCs w:val="20"/>
        </w:rPr>
      </w:pPr>
    </w:p>
    <w:p>
      <w:pPr>
        <w:rPr>
          <w:rFonts w:hint="default" w:ascii="Palatino Linotype" w:hAnsi="Palatino Linotype" w:cs="Palatino Linotype"/>
          <w:sz w:val="20"/>
          <w:szCs w:val="20"/>
        </w:rPr>
      </w:pPr>
    </w:p>
    <w:p>
      <w:pPr>
        <w:rPr>
          <w:rFonts w:hint="default" w:ascii="Palatino Linotype" w:hAnsi="Palatino Linotype" w:cs="Palatino Linotype"/>
          <w:sz w:val="20"/>
          <w:szCs w:val="20"/>
        </w:rPr>
      </w:pPr>
    </w:p>
    <w:p>
      <w:pPr>
        <w:rPr>
          <w:rFonts w:hint="default" w:ascii="Palatino Linotype" w:hAnsi="Palatino Linotype" w:cs="Palatino Linotype"/>
          <w:sz w:val="20"/>
          <w:szCs w:val="20"/>
        </w:rPr>
      </w:pPr>
    </w:p>
    <w:p>
      <w:pPr>
        <w:rPr>
          <w:rFonts w:hint="default" w:ascii="Palatino Linotype" w:hAnsi="Palatino Linotype" w:cs="Palatino Linotype"/>
          <w:sz w:val="20"/>
          <w:szCs w:val="20"/>
        </w:rPr>
      </w:pPr>
    </w:p>
    <w:p>
      <w:pPr>
        <w:rPr>
          <w:rFonts w:hint="default" w:ascii="Palatino Linotype" w:hAnsi="Palatino Linotype" w:cs="Palatino Linotype"/>
          <w:sz w:val="20"/>
          <w:szCs w:val="20"/>
        </w:rPr>
      </w:pPr>
    </w:p>
    <w:p>
      <w:pPr>
        <w:rPr>
          <w:rFonts w:hint="default" w:ascii="Palatino Linotype" w:hAnsi="Palatino Linotype" w:cs="Palatino Linotype"/>
          <w:sz w:val="20"/>
          <w:szCs w:val="20"/>
        </w:rPr>
      </w:pPr>
    </w:p>
    <w:p>
      <w:pPr>
        <w:rPr>
          <w:rFonts w:hint="default" w:ascii="Palatino Linotype" w:hAnsi="Palatino Linotype" w:cs="Palatino Linotype"/>
          <w:sz w:val="20"/>
          <w:szCs w:val="20"/>
        </w:rPr>
      </w:pPr>
    </w:p>
    <w:p>
      <w:pPr>
        <w:rPr>
          <w:rFonts w:hint="default" w:ascii="Palatino Linotype" w:hAnsi="Palatino Linotype" w:cs="Palatino Linotype"/>
          <w:sz w:val="20"/>
          <w:szCs w:val="20"/>
        </w:rPr>
      </w:pPr>
    </w:p>
    <w:p>
      <w:pPr>
        <w:rPr>
          <w:rFonts w:hint="default" w:ascii="Palatino Linotype" w:hAnsi="Palatino Linotype" w:cs="Palatino Linotype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3ODYxOGYxZjI2NDAxOTM3ODI1OTgzNzFjMGRlYmUifQ=="/>
  </w:docVars>
  <w:rsids>
    <w:rsidRoot w:val="00E70F51"/>
    <w:rsid w:val="000321DE"/>
    <w:rsid w:val="00041C70"/>
    <w:rsid w:val="00045EED"/>
    <w:rsid w:val="00053FBE"/>
    <w:rsid w:val="00184F81"/>
    <w:rsid w:val="001D6471"/>
    <w:rsid w:val="003D0495"/>
    <w:rsid w:val="00422DE1"/>
    <w:rsid w:val="00932BAB"/>
    <w:rsid w:val="00D14764"/>
    <w:rsid w:val="00D75B1A"/>
    <w:rsid w:val="00D93755"/>
    <w:rsid w:val="00DA2EFD"/>
    <w:rsid w:val="00DC2892"/>
    <w:rsid w:val="00E70F51"/>
    <w:rsid w:val="02AE5194"/>
    <w:rsid w:val="31047678"/>
    <w:rsid w:val="5A85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line number"/>
    <w:basedOn w:val="6"/>
    <w:semiHidden/>
    <w:unhideWhenUsed/>
    <w:qFormat/>
    <w:uiPriority w:val="99"/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11">
    <w:name w:val="浅色底纹1"/>
    <w:basedOn w:val="4"/>
    <w:uiPriority w:val="60"/>
    <w:rPr>
      <w:color w:val="000000" w:themeColor="text1" w:themeShade="BF"/>
      <w:kern w:val="0"/>
      <w:sz w:val="20"/>
      <w:szCs w:val="20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paragraph" w:customStyle="1" w:styleId="12">
    <w:name w:val="EndNote Bibliography Title"/>
    <w:basedOn w:val="1"/>
    <w:link w:val="13"/>
    <w:uiPriority w:val="0"/>
    <w:pPr>
      <w:jc w:val="center"/>
    </w:pPr>
    <w:rPr>
      <w:rFonts w:ascii="等线" w:hAnsi="等线" w:eastAsia="等线"/>
      <w:sz w:val="20"/>
    </w:rPr>
  </w:style>
  <w:style w:type="character" w:customStyle="1" w:styleId="13">
    <w:name w:val="EndNote Bibliography Title 字符"/>
    <w:basedOn w:val="6"/>
    <w:link w:val="12"/>
    <w:uiPriority w:val="0"/>
    <w:rPr>
      <w:rFonts w:ascii="等线" w:hAnsi="等线" w:eastAsia="等线"/>
      <w:sz w:val="20"/>
    </w:rPr>
  </w:style>
  <w:style w:type="paragraph" w:customStyle="1" w:styleId="14">
    <w:name w:val="EndNote Bibliography"/>
    <w:basedOn w:val="1"/>
    <w:link w:val="15"/>
    <w:qFormat/>
    <w:uiPriority w:val="0"/>
    <w:rPr>
      <w:rFonts w:ascii="等线" w:hAnsi="等线" w:eastAsia="等线"/>
      <w:sz w:val="20"/>
    </w:rPr>
  </w:style>
  <w:style w:type="character" w:customStyle="1" w:styleId="15">
    <w:name w:val="EndNote Bibliography 字符"/>
    <w:basedOn w:val="6"/>
    <w:link w:val="14"/>
    <w:qFormat/>
    <w:uiPriority w:val="0"/>
    <w:rPr>
      <w:rFonts w:ascii="等线" w:hAnsi="等线" w:eastAsia="等线"/>
      <w:sz w:val="20"/>
    </w:rPr>
  </w:style>
  <w:style w:type="table" w:customStyle="1" w:styleId="16">
    <w:name w:val="Plain Table 2"/>
    <w:basedOn w:val="4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1213</Words>
  <Characters>7345</Characters>
  <Lines>63</Lines>
  <Paragraphs>17</Paragraphs>
  <TotalTime>2</TotalTime>
  <ScaleCrop>false</ScaleCrop>
  <LinksUpToDate>false</LinksUpToDate>
  <CharactersWithSpaces>7742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2023-07-16T09:01:00Z</dcterms:created>
  <dc:creator>Qinhua Lu</dc:creator>
  <cp:lastModifiedBy>TEA-LEE</cp:lastModifiedBy>
  <dcterms:modified xsi:type="dcterms:W3CDTF">2023-07-25T02:16:20Z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0BDA082B68394B57AA37D1FD3ADE5A2B_12</vt:lpwstr>
  </property>
</Properties>
</file>