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7A8363" w14:textId="77777777" w:rsidR="00A20297" w:rsidRPr="00C220A0" w:rsidRDefault="00A20297" w:rsidP="00A20297">
      <w:pPr>
        <w:pStyle w:val="Heading2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</w:pPr>
      <w:r w:rsidRPr="00C220A0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 xml:space="preserve">Supplementary Figures </w:t>
      </w:r>
    </w:p>
    <w:p w14:paraId="5B0F3CFD" w14:textId="77777777" w:rsidR="00A20297" w:rsidRPr="00114AC5" w:rsidRDefault="00A20297" w:rsidP="00A20297"/>
    <w:p w14:paraId="72A38F72" w14:textId="77777777" w:rsidR="00A20297" w:rsidRDefault="00A20297" w:rsidP="00A20297">
      <w:pPr>
        <w:keepNext/>
      </w:pPr>
      <w:r w:rsidRPr="00114AC5">
        <w:rPr>
          <w:noProof/>
        </w:rPr>
        <w:drawing>
          <wp:inline distT="0" distB="0" distL="0" distR="0" wp14:anchorId="7FD17BF5" wp14:editId="228D6B9A">
            <wp:extent cx="4072009" cy="2084294"/>
            <wp:effectExtent l="0" t="0" r="508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78290" cy="213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30AF1" w14:textId="77777777" w:rsidR="00A20297" w:rsidRPr="00114AC5" w:rsidRDefault="00A20297" w:rsidP="00A20297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</w:pPr>
      <w:bookmarkStart w:id="0" w:name="_Ref100614364"/>
      <w:bookmarkStart w:id="1" w:name="_Ref100614076"/>
      <w:bookmarkStart w:id="2" w:name="_Toc139548289"/>
      <w:bookmarkStart w:id="3" w:name="_Toc139548506"/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>Figure S</w:t>
      </w:r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instrText xml:space="preserve"> SEQ Figure_S \* ARABIC </w:instrText>
      </w:r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000000" w:themeColor="text1"/>
          <w:sz w:val="24"/>
          <w:szCs w:val="24"/>
        </w:rPr>
        <w:t>1</w:t>
      </w:r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bookmarkEnd w:id="0"/>
      <w:r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>:</w:t>
      </w:r>
      <w:r w:rsidRPr="00B521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B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a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r 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plot of the featu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r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e count results. Percentage shows the number of tags successfully mapped to </w:t>
      </w:r>
      <w:proofErr w:type="spellStart"/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exonic</w:t>
      </w:r>
      <w:proofErr w:type="spellEnd"/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regions (pink) and non </w:t>
      </w:r>
      <w:proofErr w:type="spellStart"/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exonic</w:t>
      </w:r>
      <w:proofErr w:type="spellEnd"/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region (orange) of the reference genome, as well as those that were not assigned to exons because they were tagged as singleton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(green), chimera (blue) and ambiguous (black) alignments.</w:t>
      </w:r>
      <w:bookmarkEnd w:id="1"/>
      <w:bookmarkEnd w:id="2"/>
      <w:bookmarkEnd w:id="3"/>
    </w:p>
    <w:p w14:paraId="60878336" w14:textId="77777777" w:rsidR="00A20297" w:rsidRPr="00114AC5" w:rsidRDefault="00A20297" w:rsidP="00A20297"/>
    <w:p w14:paraId="49C18948" w14:textId="77777777" w:rsidR="00A20297" w:rsidRDefault="00A20297" w:rsidP="00A20297">
      <w:pPr>
        <w:keepNext/>
      </w:pPr>
      <w:r w:rsidRPr="00114AC5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665C7B1" wp14:editId="29AA957D">
            <wp:extent cx="3127597" cy="3520472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59616" cy="3556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60C1" w14:textId="77777777" w:rsidR="00A20297" w:rsidRPr="00114AC5" w:rsidRDefault="00A20297" w:rsidP="00A20297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</w:pPr>
      <w:bookmarkStart w:id="4" w:name="_Ref100614937"/>
      <w:bookmarkStart w:id="5" w:name="_Toc139548290"/>
      <w:bookmarkStart w:id="6" w:name="_Toc139548507"/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>Figure S</w:t>
      </w:r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instrText xml:space="preserve"> SEQ Figure_S \* ARABIC </w:instrText>
      </w:r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000000" w:themeColor="text1"/>
          <w:sz w:val="24"/>
          <w:szCs w:val="24"/>
        </w:rPr>
        <w:t>2</w:t>
      </w:r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  <w:bookmarkEnd w:id="4"/>
      <w:r w:rsidRPr="00B52188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 xml:space="preserve">: 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Venn diagrams summarizing the number of differentially expressed genes (DE) and the possible sharing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of 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DE genes in the resistant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samples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vs susceptible (R-S), control vs susceptible (C-S) and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r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esistant vs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c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ontrol (R-C) for each experiment including Isabela malathion 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lastRenderedPageBreak/>
        <w:t xml:space="preserve">(A), </w:t>
      </w:r>
      <w:proofErr w:type="spellStart"/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Manatí</w:t>
      </w:r>
      <w:proofErr w:type="spellEnd"/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m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alathion (B), Isabela alpha-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cypermethrin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(C), </w:t>
      </w:r>
      <w:proofErr w:type="spellStart"/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Manatí</w:t>
      </w:r>
      <w:proofErr w:type="spellEnd"/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alpha-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cypermethrin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(D), Isabela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l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ambda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-c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yhalothrin (E) and </w:t>
      </w:r>
      <w:proofErr w:type="spellStart"/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Manatí</w:t>
      </w:r>
      <w:proofErr w:type="spellEnd"/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l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ambda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-c</w:t>
      </w:r>
      <w:r w:rsidRPr="00114AC5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yhalothrin (F)</w:t>
      </w:r>
      <w:bookmarkEnd w:id="5"/>
      <w:bookmarkEnd w:id="6"/>
    </w:p>
    <w:p w14:paraId="75D89E88" w14:textId="77777777" w:rsidR="00A20297" w:rsidRPr="00114AC5" w:rsidRDefault="00A20297" w:rsidP="00A20297"/>
    <w:p w14:paraId="1246C01E" w14:textId="77777777" w:rsidR="00A20297" w:rsidRPr="00114AC5" w:rsidRDefault="00A20297" w:rsidP="00A20297">
      <w:pPr>
        <w:keepNext/>
      </w:pPr>
    </w:p>
    <w:p w14:paraId="3F450A5A" w14:textId="77777777" w:rsidR="00A20297" w:rsidRDefault="00A20297" w:rsidP="00A20297">
      <w:pPr>
        <w:rPr>
          <w:noProof/>
        </w:rPr>
      </w:pPr>
    </w:p>
    <w:p w14:paraId="56AAF529" w14:textId="77777777" w:rsidR="00A20297" w:rsidRDefault="00A20297" w:rsidP="00A20297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10359B21" wp14:editId="738CF5BC">
            <wp:extent cx="4608576" cy="2421472"/>
            <wp:effectExtent l="0" t="0" r="1905" b="0"/>
            <wp:docPr id="4" name="Picture 4" descr="Chart, bar 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hart, bar chart, line chart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5946" cy="2430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7" w:name="_Ref100650594"/>
    </w:p>
    <w:p w14:paraId="778C1742" w14:textId="77777777" w:rsidR="00A20297" w:rsidRPr="00B324A8" w:rsidRDefault="00A20297" w:rsidP="00A20297">
      <w:bookmarkStart w:id="8" w:name="_Toc139548291"/>
      <w:bookmarkStart w:id="9" w:name="_Toc139548508"/>
      <w:r w:rsidRPr="00B5218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Figure S</w:t>
      </w:r>
      <w:r w:rsidRPr="00B52188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fldChar w:fldCharType="begin"/>
      </w:r>
      <w:r w:rsidRPr="00B5218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instrText xml:space="preserve"> SEQ Figure_S \* ARABIC </w:instrText>
      </w:r>
      <w:r w:rsidRPr="00B52188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t>3</w:t>
      </w:r>
      <w:r w:rsidRPr="00B52188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fldChar w:fldCharType="end"/>
      </w:r>
      <w:bookmarkEnd w:id="7"/>
      <w:r w:rsidRPr="00B52188">
        <w:rPr>
          <w:rFonts w:ascii="Times New Roman" w:hAnsi="Times New Roman" w:cs="Times New Roman"/>
          <w:color w:val="000000" w:themeColor="text1"/>
          <w:sz w:val="24"/>
          <w:szCs w:val="24"/>
        </w:rPr>
        <w:t>: Bar plot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showing the percentage of significant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up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and </w:t>
      </w:r>
      <w:r w:rsidRPr="00B52188">
        <w:rPr>
          <w:rFonts w:ascii="Times New Roman" w:hAnsi="Times New Roman" w:cs="Times New Roman"/>
          <w:color w:val="000000" w:themeColor="text1"/>
          <w:sz w:val="24"/>
          <w:szCs w:val="24"/>
        </w:rPr>
        <w:t>downregulated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cytochrome P450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(left panel)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cuticular related protein genes (left panel)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the resistant samples, compared the susceptible strain. 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Each </w:t>
      </w:r>
      <w:r w:rsidRPr="00B52188">
        <w:rPr>
          <w:rFonts w:ascii="Times New Roman" w:hAnsi="Times New Roman" w:cs="Times New Roman"/>
          <w:color w:val="000000" w:themeColor="text1"/>
          <w:sz w:val="24"/>
          <w:szCs w:val="24"/>
        </w:rPr>
        <w:t>bar plot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is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divided in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to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three groups, representing the three </w:t>
      </w:r>
      <w:r w:rsidRPr="00B52188">
        <w:rPr>
          <w:rFonts w:ascii="Times New Roman" w:hAnsi="Times New Roman" w:cs="Times New Roman"/>
          <w:color w:val="000000" w:themeColor="text1"/>
          <w:sz w:val="24"/>
          <w:szCs w:val="24"/>
        </w:rPr>
        <w:t>insecticides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(ACYP, LCT and MAL). No consistent pattern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were found between the number of differentially expressed CYP450s, cuticular protein genes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the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survival rate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the mosquitoes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to </w:t>
      </w:r>
      <w:r w:rsidRPr="00114AC5">
        <w:rPr>
          <w:rFonts w:ascii="Times New Roman" w:hAnsi="Times New Roman" w:cs="Times New Roman"/>
          <w:color w:val="000000" w:themeColor="text1"/>
          <w:sz w:val="24"/>
          <w:szCs w:val="24"/>
        </w:rPr>
        <w:t>the insecticides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bookmarkEnd w:id="8"/>
      <w:bookmarkEnd w:id="9"/>
    </w:p>
    <w:p w14:paraId="5465385C" w14:textId="77777777" w:rsidR="00A20297" w:rsidRPr="00114AC5" w:rsidRDefault="00A20297" w:rsidP="00A20297">
      <w:pPr>
        <w:spacing w:after="200" w:line="240" w:lineRule="auto"/>
        <w:rPr>
          <w:i/>
          <w:iCs/>
          <w:color w:val="44546A" w:themeColor="text2"/>
          <w:sz w:val="18"/>
          <w:szCs w:val="18"/>
        </w:rPr>
      </w:pPr>
    </w:p>
    <w:p w14:paraId="4A300527" w14:textId="77777777" w:rsidR="00A20297" w:rsidRPr="00114AC5" w:rsidRDefault="00A20297" w:rsidP="00A20297">
      <w:pPr>
        <w:spacing w:after="200" w:line="240" w:lineRule="auto"/>
        <w:rPr>
          <w:i/>
          <w:iCs/>
          <w:color w:val="44546A" w:themeColor="text2"/>
          <w:sz w:val="18"/>
          <w:szCs w:val="18"/>
        </w:rPr>
      </w:pPr>
    </w:p>
    <w:p w14:paraId="2F4279F1" w14:textId="77777777" w:rsidR="00A20297" w:rsidRPr="00114AC5" w:rsidRDefault="00A20297" w:rsidP="00A20297">
      <w:pPr>
        <w:spacing w:after="200" w:line="240" w:lineRule="auto"/>
        <w:rPr>
          <w:i/>
          <w:iCs/>
          <w:color w:val="44546A" w:themeColor="text2"/>
          <w:sz w:val="18"/>
          <w:szCs w:val="18"/>
        </w:rPr>
      </w:pPr>
    </w:p>
    <w:p w14:paraId="244CE50D" w14:textId="77777777" w:rsidR="00A20297" w:rsidRDefault="00A20297" w:rsidP="00A20297">
      <w:pPr>
        <w:keepNext/>
      </w:pPr>
      <w:r>
        <w:rPr>
          <w:noProof/>
        </w:rPr>
        <w:lastRenderedPageBreak/>
        <w:drawing>
          <wp:inline distT="0" distB="0" distL="0" distR="0" wp14:anchorId="01BC28B5" wp14:editId="2A726186">
            <wp:extent cx="5943600" cy="3413125"/>
            <wp:effectExtent l="0" t="0" r="0" b="0"/>
            <wp:docPr id="15" name="Picture 15" descr="Chart,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Chart, timeline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BD6AD" w14:textId="77777777" w:rsidR="00A20297" w:rsidRPr="006A5329" w:rsidRDefault="00A20297" w:rsidP="00A20297">
      <w:pPr>
        <w:keepNext/>
        <w:rPr>
          <w:rFonts w:ascii="Times New Roman" w:hAnsi="Times New Roman" w:cs="Times New Roman"/>
          <w:sz w:val="24"/>
          <w:szCs w:val="24"/>
        </w:rPr>
      </w:pPr>
      <w:bookmarkStart w:id="10" w:name="_Ref100661693"/>
      <w:bookmarkStart w:id="11" w:name="_Toc139548292"/>
      <w:bookmarkStart w:id="12" w:name="_Toc139548509"/>
      <w:r w:rsidRPr="002A11D5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Pr="002A11D5"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 w:rsidRPr="002A11D5">
        <w:rPr>
          <w:rFonts w:ascii="Times New Roman" w:hAnsi="Times New Roman" w:cs="Times New Roman"/>
          <w:b/>
          <w:bCs/>
          <w:sz w:val="24"/>
          <w:szCs w:val="24"/>
        </w:rPr>
        <w:instrText xml:space="preserve"> SEQ Figure_S \* ARABIC </w:instrText>
      </w:r>
      <w:r w:rsidRPr="002A11D5"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>4</w:t>
      </w:r>
      <w:r w:rsidRPr="002A11D5"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bookmarkEnd w:id="10"/>
      <w:r w:rsidRPr="002A11D5">
        <w:rPr>
          <w:rFonts w:ascii="Times New Roman" w:hAnsi="Times New Roman" w:cs="Times New Roman"/>
          <w:sz w:val="24"/>
          <w:szCs w:val="24"/>
        </w:rPr>
        <w:t>:</w:t>
      </w:r>
      <w:r w:rsidRPr="002A11D5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2A11D5">
        <w:rPr>
          <w:rFonts w:ascii="Times New Roman" w:hAnsi="Times New Roman" w:cs="Times New Roman"/>
          <w:sz w:val="24"/>
          <w:szCs w:val="24"/>
        </w:rPr>
        <w:t>Heatmap of the gene ontology (GO) enrichment analysis of the significant</w:t>
      </w:r>
      <w:r>
        <w:rPr>
          <w:rFonts w:ascii="Times New Roman" w:hAnsi="Times New Roman" w:cs="Times New Roman"/>
          <w:sz w:val="24"/>
          <w:szCs w:val="24"/>
        </w:rPr>
        <w:t>ly</w:t>
      </w:r>
      <w:r w:rsidRPr="002A11D5">
        <w:rPr>
          <w:rFonts w:ascii="Times New Roman" w:hAnsi="Times New Roman" w:cs="Times New Roman"/>
          <w:sz w:val="24"/>
          <w:szCs w:val="24"/>
        </w:rPr>
        <w:t xml:space="preserve"> down-regulated genes in the malathion (I-MAL and M-MAL), alpha-cypermethrin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11D5">
        <w:rPr>
          <w:rFonts w:ascii="Times New Roman" w:hAnsi="Times New Roman" w:cs="Times New Roman"/>
          <w:sz w:val="24"/>
          <w:szCs w:val="24"/>
        </w:rPr>
        <w:t>(I-ACYP and -M-CYP) and lambda-cyhalothrin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11D5">
        <w:rPr>
          <w:rFonts w:ascii="Times New Roman" w:hAnsi="Times New Roman" w:cs="Times New Roman"/>
          <w:sz w:val="24"/>
          <w:szCs w:val="24"/>
        </w:rPr>
        <w:t xml:space="preserve">(I-LCT and M-MLCT) resistant </w:t>
      </w:r>
      <w:r>
        <w:rPr>
          <w:rFonts w:ascii="Times New Roman" w:hAnsi="Times New Roman" w:cs="Times New Roman"/>
          <w:sz w:val="24"/>
          <w:szCs w:val="24"/>
        </w:rPr>
        <w:t>samples</w:t>
      </w:r>
      <w:r w:rsidRPr="002A11D5">
        <w:rPr>
          <w:rFonts w:ascii="Times New Roman" w:hAnsi="Times New Roman" w:cs="Times New Roman"/>
          <w:sz w:val="24"/>
          <w:szCs w:val="24"/>
        </w:rPr>
        <w:t xml:space="preserve"> compared to the susceptible strain of </w:t>
      </w:r>
      <w:r w:rsidRPr="002A11D5">
        <w:rPr>
          <w:rFonts w:ascii="Times New Roman" w:hAnsi="Times New Roman" w:cs="Times New Roman"/>
          <w:i/>
          <w:iCs/>
          <w:sz w:val="24"/>
          <w:szCs w:val="24"/>
        </w:rPr>
        <w:t>Ae</w:t>
      </w:r>
      <w:r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2A11D5">
        <w:rPr>
          <w:rFonts w:ascii="Times New Roman" w:hAnsi="Times New Roman" w:cs="Times New Roman"/>
          <w:i/>
          <w:iCs/>
          <w:sz w:val="24"/>
          <w:szCs w:val="24"/>
        </w:rPr>
        <w:t xml:space="preserve"> aegypti</w:t>
      </w:r>
      <w:r w:rsidRPr="002A11D5">
        <w:rPr>
          <w:rFonts w:ascii="Times New Roman" w:hAnsi="Times New Roman" w:cs="Times New Roman"/>
          <w:sz w:val="24"/>
          <w:szCs w:val="24"/>
        </w:rPr>
        <w:t>. The w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2A11D5">
        <w:rPr>
          <w:rFonts w:ascii="Times New Roman" w:hAnsi="Times New Roman" w:cs="Times New Roman"/>
          <w:sz w:val="24"/>
          <w:szCs w:val="24"/>
        </w:rPr>
        <w:t>ite-red gradient indicates the enrichment score of each GO term, while the gray color indicates that this GO term was not significantly enriched. Only</w:t>
      </w:r>
      <w:bookmarkEnd w:id="11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11D5">
        <w:rPr>
          <w:rFonts w:ascii="Times New Roman" w:hAnsi="Times New Roman" w:cs="Times New Roman"/>
          <w:sz w:val="24"/>
          <w:szCs w:val="24"/>
        </w:rPr>
        <w:lastRenderedPageBreak/>
        <w:t>the core enriched GO-terms (</w:t>
      </w:r>
      <w:r>
        <w:rPr>
          <w:rFonts w:ascii="Times New Roman" w:hAnsi="Times New Roman" w:cs="Times New Roman"/>
          <w:sz w:val="24"/>
          <w:szCs w:val="24"/>
        </w:rPr>
        <w:t>GO</w:t>
      </w:r>
      <w:r w:rsidRPr="002A11D5">
        <w:rPr>
          <w:rFonts w:ascii="Times New Roman" w:hAnsi="Times New Roman" w:cs="Times New Roman"/>
          <w:sz w:val="24"/>
          <w:szCs w:val="24"/>
        </w:rPr>
        <w:t xml:space="preserve"> terms overlapp</w:t>
      </w:r>
      <w:r>
        <w:rPr>
          <w:rFonts w:ascii="Times New Roman" w:hAnsi="Times New Roman" w:cs="Times New Roman"/>
          <w:sz w:val="24"/>
          <w:szCs w:val="24"/>
        </w:rPr>
        <w:t>ing across</w:t>
      </w:r>
      <w:r w:rsidRPr="002A11D5">
        <w:rPr>
          <w:rFonts w:ascii="Times New Roman" w:hAnsi="Times New Roman" w:cs="Times New Roman"/>
          <w:sz w:val="24"/>
          <w:szCs w:val="24"/>
        </w:rPr>
        <w:t xml:space="preserve"> both MAN and ISA) for each insecticide are shown.</w:t>
      </w:r>
      <w:bookmarkEnd w:id="12"/>
    </w:p>
    <w:p w14:paraId="3C67721B" w14:textId="77777777" w:rsidR="00A20297" w:rsidRDefault="00A20297" w:rsidP="00A20297">
      <w:pPr>
        <w:keepNext/>
        <w:spacing w:after="0" w:line="240" w:lineRule="auto"/>
        <w:jc w:val="both"/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142D40" wp14:editId="7E189303">
            <wp:extent cx="5115636" cy="3295650"/>
            <wp:effectExtent l="0" t="0" r="0" b="0"/>
            <wp:docPr id="6" name="Picture 6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hart, waterfall chart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9473" cy="3298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145AE" w14:textId="77777777" w:rsidR="00A20297" w:rsidRPr="005E44B1" w:rsidRDefault="00A20297" w:rsidP="00A20297">
      <w:pPr>
        <w:pStyle w:val="Caption"/>
        <w:jc w:val="both"/>
        <w:rPr>
          <w:rFonts w:ascii="Times New Roman" w:hAnsi="Times New Roman" w:cs="Times New Roman"/>
          <w:sz w:val="24"/>
          <w:szCs w:val="24"/>
        </w:rPr>
      </w:pPr>
      <w:bookmarkStart w:id="13" w:name="_Ref129679849"/>
      <w:bookmarkStart w:id="14" w:name="_Toc139548293"/>
      <w:bookmarkStart w:id="15" w:name="_Toc139548510"/>
      <w:r w:rsidRPr="00AC0DE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AC0DE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AC0DE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AC0DE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AC0DE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bookmarkEnd w:id="13"/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: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qPCR validation.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Comparison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of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the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log2FC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expression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of 5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detoxification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genes measured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by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qPCR and RNA-seq for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the insecticide resistant samples compared to the susceptible. The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colors of the bars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i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ndicate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the type of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the pairwise comparison (insecticide resistant vs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s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usceptible) and the patterns of the bars indicate the gene expression measurement approach (qPCR and RNA-seq).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T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he red and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the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black asterisk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s 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(*) indicate gene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s for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which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the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expression was not detected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for the qPCR and the RNA-seq</w:t>
      </w:r>
      <w:r w:rsidRPr="00AC0DE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, respectively.</w:t>
      </w:r>
      <w:bookmarkEnd w:id="14"/>
      <w:bookmarkEnd w:id="15"/>
    </w:p>
    <w:p w14:paraId="4B2B162D" w14:textId="77777777" w:rsidR="009968F5" w:rsidRDefault="009968F5"/>
    <w:sectPr w:rsidR="009968F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B58F80" w14:textId="77777777" w:rsidR="00A20297" w:rsidRDefault="00A20297" w:rsidP="00A20297">
      <w:pPr>
        <w:spacing w:after="0" w:line="240" w:lineRule="auto"/>
      </w:pPr>
      <w:r>
        <w:separator/>
      </w:r>
    </w:p>
  </w:endnote>
  <w:endnote w:type="continuationSeparator" w:id="0">
    <w:p w14:paraId="7E3B199B" w14:textId="77777777" w:rsidR="00A20297" w:rsidRDefault="00A20297" w:rsidP="00A202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BEE24F" w14:textId="77777777" w:rsidR="00A20297" w:rsidRDefault="00A20297" w:rsidP="00A20297">
      <w:pPr>
        <w:spacing w:after="0" w:line="240" w:lineRule="auto"/>
      </w:pPr>
      <w:r>
        <w:separator/>
      </w:r>
    </w:p>
  </w:footnote>
  <w:footnote w:type="continuationSeparator" w:id="0">
    <w:p w14:paraId="475CE32C" w14:textId="77777777" w:rsidR="00A20297" w:rsidRDefault="00A20297" w:rsidP="00A2029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0297"/>
    <w:rsid w:val="002461C8"/>
    <w:rsid w:val="00750FA0"/>
    <w:rsid w:val="009968F5"/>
    <w:rsid w:val="00A20297"/>
    <w:rsid w:val="00B870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7D39E9"/>
  <w15:chartTrackingRefBased/>
  <w15:docId w15:val="{F92681CE-F53F-483F-836C-AE17129A68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0297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202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A202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Caption">
    <w:name w:val="caption"/>
    <w:basedOn w:val="Normal"/>
    <w:next w:val="Normal"/>
    <w:uiPriority w:val="35"/>
    <w:unhideWhenUsed/>
    <w:qFormat/>
    <w:rsid w:val="00A20297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377</Words>
  <Characters>2150</Characters>
  <Application>Microsoft Office Word</Application>
  <DocSecurity>0</DocSecurity>
  <Lines>17</Lines>
  <Paragraphs>5</Paragraphs>
  <ScaleCrop>false</ScaleCrop>
  <Company/>
  <LinksUpToDate>false</LinksUpToDate>
  <CharactersWithSpaces>2522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Derilus, Dieunel (CDC/DDPHSIS/CGH/DPDM)</dc:creator>
  <cp:keywords/>
  <dc:description/>
  <cp:lastModifiedBy>Derilus, Dieunel (CDC/DDPHSIS/CGH/DPDM)</cp:lastModifiedBy>
  <cp:revision>1</cp:revision>
  <dcterms:created xsi:type="dcterms:W3CDTF">2023-07-06T20:07:00Z</dcterms:created>
  <dcterms:modified xsi:type="dcterms:W3CDTF">2023-07-06T20:08:00Z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af03ff0-41c5-4c41-b55e-fabb8fae94be_Enabled">
    <vt:lpwstr>true</vt:lpwstr>
  </property>
  <property fmtid="{D5CDD505-2E9C-101B-9397-08002B2CF9AE}" pid="3" name="MSIP_Label_8af03ff0-41c5-4c41-b55e-fabb8fae94be_SetDate">
    <vt:lpwstr>2023-07-06T20:08:35Z</vt:lpwstr>
  </property>
  <property fmtid="{D5CDD505-2E9C-101B-9397-08002B2CF9AE}" pid="4" name="MSIP_Label_8af03ff0-41c5-4c41-b55e-fabb8fae94be_Method">
    <vt:lpwstr>Privileged</vt:lpwstr>
  </property>
  <property fmtid="{D5CDD505-2E9C-101B-9397-08002B2CF9AE}" pid="5" name="MSIP_Label_8af03ff0-41c5-4c41-b55e-fabb8fae94be_Name">
    <vt:lpwstr>8af03ff0-41c5-4c41-b55e-fabb8fae94be</vt:lpwstr>
  </property>
  <property fmtid="{D5CDD505-2E9C-101B-9397-08002B2CF9AE}" pid="6" name="MSIP_Label_8af03ff0-41c5-4c41-b55e-fabb8fae94be_SiteId">
    <vt:lpwstr>9ce70869-60db-44fd-abe8-d2767077fc8f</vt:lpwstr>
  </property>
  <property fmtid="{D5CDD505-2E9C-101B-9397-08002B2CF9AE}" pid="7" name="MSIP_Label_8af03ff0-41c5-4c41-b55e-fabb8fae94be_ActionId">
    <vt:lpwstr>18b06615-114e-483a-b0d7-53b0e18b1dd3</vt:lpwstr>
  </property>
  <property fmtid="{D5CDD505-2E9C-101B-9397-08002B2CF9AE}" pid="8" name="MSIP_Label_8af03ff0-41c5-4c41-b55e-fabb8fae94be_ContentBits">
    <vt:lpwstr>0</vt:lpwstr>
  </property>
</Properties>
</file>