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8499B" w14:textId="77A92F8C" w:rsidR="001D23A4" w:rsidRPr="00E126A2" w:rsidRDefault="001D23A4" w:rsidP="001D23A4">
      <w:pPr>
        <w:pStyle w:val="MDPI21heading1"/>
        <w:ind w:left="0"/>
        <w:rPr>
          <w:sz w:val="24"/>
          <w:szCs w:val="24"/>
          <w:lang w:eastAsia="zh-CN"/>
        </w:rPr>
      </w:pPr>
      <w:r w:rsidRPr="00E126A2">
        <w:rPr>
          <w:sz w:val="24"/>
          <w:szCs w:val="24"/>
          <w:lang w:eastAsia="zh-CN"/>
        </w:rPr>
        <w:t xml:space="preserve">1. </w:t>
      </w:r>
      <w:bookmarkStart w:id="0" w:name="_Hlk138134035"/>
      <w:r w:rsidRPr="00E126A2">
        <w:rPr>
          <w:sz w:val="24"/>
          <w:szCs w:val="24"/>
          <w:lang w:eastAsia="zh-CN"/>
        </w:rPr>
        <w:t>Additional experimental results</w:t>
      </w:r>
    </w:p>
    <w:p w14:paraId="71BCA7AE" w14:textId="75211F0A" w:rsidR="001D23A4" w:rsidRDefault="001D23A4" w:rsidP="001D23A4">
      <w:pPr>
        <w:pStyle w:val="MDPI31text"/>
        <w:ind w:left="0"/>
      </w:pPr>
      <w:r w:rsidRPr="005A11B8">
        <w:t>Fig</w:t>
      </w:r>
      <w:r w:rsidR="00CE2EA6" w:rsidRPr="005A11B8">
        <w:t>ure</w:t>
      </w:r>
      <w:r w:rsidRPr="005A11B8">
        <w:t xml:space="preserve"> S1 shows</w:t>
      </w:r>
      <w:r w:rsidRPr="001D23A4">
        <w:t xml:space="preserve"> the </w:t>
      </w:r>
      <w:bookmarkEnd w:id="0"/>
      <w:r w:rsidRPr="001D23A4">
        <w:t xml:space="preserve">accommodative response to the random step sequence for subject #3. The accommodation and relaxation tendencies were </w:t>
      </w:r>
      <w:proofErr w:type="gramStart"/>
      <w:r w:rsidRPr="001D23A4">
        <w:t>similar to</w:t>
      </w:r>
      <w:proofErr w:type="gramEnd"/>
      <w:r w:rsidRPr="001D23A4">
        <w:t xml:space="preserve"> those of subjects #1 and #2 but the comfortable accommodative range (amplitude) in the TL was smaller for subject #3 compared to other subjects due to the higher age. As can be seen, accommodation follows the induced defocus correctly from 1</w:t>
      </w:r>
      <w:r>
        <w:t>°</w:t>
      </w:r>
      <w:r w:rsidRPr="001D23A4">
        <w:t xml:space="preserve"> to 6</w:t>
      </w:r>
      <w:r>
        <w:t>°</w:t>
      </w:r>
      <w:r w:rsidRPr="001D23A4">
        <w:t xml:space="preserve"> eccentricity but with a reduced amplitude with increasing eccentricity. When at 7</w:t>
      </w:r>
      <w:r>
        <w:t>°</w:t>
      </w:r>
      <w:r w:rsidRPr="001D23A4">
        <w:t xml:space="preserve"> and beyond eccentricity, accommodation could no longer follow in the correct direction.</w:t>
      </w:r>
    </w:p>
    <w:p w14:paraId="2D62AF3A" w14:textId="22AA05A6" w:rsidR="001D23A4" w:rsidRDefault="001D23A4" w:rsidP="00D9624C">
      <w:pPr>
        <w:pStyle w:val="MDPI31text"/>
        <w:spacing w:before="240" w:after="120"/>
        <w:ind w:left="0"/>
        <w:jc w:val="center"/>
      </w:pPr>
      <w:r>
        <w:rPr>
          <w:noProof/>
        </w:rPr>
        <w:drawing>
          <wp:inline distT="0" distB="0" distL="0" distR="0" wp14:anchorId="6FA784D9" wp14:editId="08A066FB">
            <wp:extent cx="4781844" cy="3931200"/>
            <wp:effectExtent l="0" t="0" r="0" b="0"/>
            <wp:docPr id="3" name="Picture 3"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81844" cy="3931200"/>
                    </a:xfrm>
                    <a:prstGeom prst="rect">
                      <a:avLst/>
                    </a:prstGeom>
                    <a:noFill/>
                    <a:ln>
                      <a:noFill/>
                    </a:ln>
                  </pic:spPr>
                </pic:pic>
              </a:graphicData>
            </a:graphic>
          </wp:inline>
        </w:drawing>
      </w:r>
    </w:p>
    <w:p w14:paraId="21244FCA" w14:textId="12B0B3B4" w:rsidR="001D23A4" w:rsidRPr="00D847E6" w:rsidRDefault="001D23A4" w:rsidP="00D847E6">
      <w:pPr>
        <w:pStyle w:val="MDPI31text"/>
        <w:spacing w:before="120" w:after="240"/>
        <w:ind w:left="720" w:right="720" w:firstLine="0"/>
        <w:rPr>
          <w:sz w:val="18"/>
          <w:szCs w:val="18"/>
        </w:rPr>
      </w:pPr>
      <w:r w:rsidRPr="005A11B8">
        <w:rPr>
          <w:sz w:val="18"/>
          <w:szCs w:val="18"/>
        </w:rPr>
        <w:t>Fig</w:t>
      </w:r>
      <w:r w:rsidR="00CE2EA6" w:rsidRPr="005A11B8">
        <w:rPr>
          <w:sz w:val="18"/>
          <w:szCs w:val="18"/>
        </w:rPr>
        <w:t>ure</w:t>
      </w:r>
      <w:r w:rsidRPr="005A11B8">
        <w:rPr>
          <w:sz w:val="18"/>
          <w:szCs w:val="18"/>
        </w:rPr>
        <w:t xml:space="preserve"> S1. Induced</w:t>
      </w:r>
      <w:r w:rsidRPr="00D847E6">
        <w:rPr>
          <w:sz w:val="18"/>
          <w:szCs w:val="18"/>
        </w:rPr>
        <w:t xml:space="preserve"> defocus sequence by the TL (black line) and accommodation response (red line) as a function of time for subject #3 for increasing radial eccentricity from 1° to 8°. The induced defocus is shown with opposite sign to ease comparison.</w:t>
      </w:r>
    </w:p>
    <w:p w14:paraId="5B90338F" w14:textId="1F29D914" w:rsidR="001D23A4" w:rsidRDefault="001D23A4" w:rsidP="00D847E6">
      <w:pPr>
        <w:pStyle w:val="MDPI31text"/>
        <w:spacing w:before="240" w:after="120"/>
        <w:ind w:left="0"/>
      </w:pPr>
      <w:r w:rsidRPr="005A11B8">
        <w:t>Fig</w:t>
      </w:r>
      <w:r w:rsidR="00CE2EA6" w:rsidRPr="005A11B8">
        <w:t>ure</w:t>
      </w:r>
      <w:r w:rsidRPr="005A11B8">
        <w:t xml:space="preserve"> S2 s</w:t>
      </w:r>
      <w:r w:rsidRPr="001D23A4">
        <w:t xml:space="preserve">hows how other Zernike terms </w:t>
      </w:r>
      <w:proofErr w:type="gramStart"/>
      <w:r w:rsidRPr="001D23A4">
        <w:t>changes</w:t>
      </w:r>
      <w:proofErr w:type="gramEnd"/>
      <w:r w:rsidRPr="001D23A4">
        <w:t xml:space="preserve"> along defocus during the step changes in the TL for subject #1. As can be seen defocus is the more dominant one while </w:t>
      </w:r>
      <w:proofErr w:type="gramStart"/>
      <w:r w:rsidRPr="001D23A4">
        <w:t>very</w:t>
      </w:r>
      <w:proofErr w:type="gramEnd"/>
      <w:r w:rsidRPr="001D23A4">
        <w:t xml:space="preserve"> minor change in </w:t>
      </w:r>
      <w:r w:rsidRPr="005A11B8">
        <w:t>astigmatism (Z</w:t>
      </w:r>
      <w:r w:rsidRPr="005A11B8">
        <w:rPr>
          <w:vertAlign w:val="subscript"/>
        </w:rPr>
        <w:t>3</w:t>
      </w:r>
      <w:r w:rsidRPr="005A11B8">
        <w:t xml:space="preserve"> and Z</w:t>
      </w:r>
      <w:r w:rsidRPr="005A11B8">
        <w:rPr>
          <w:vertAlign w:val="subscript"/>
        </w:rPr>
        <w:t>5</w:t>
      </w:r>
      <w:r w:rsidRPr="005A11B8">
        <w:t>) and spherical aberration Z</w:t>
      </w:r>
      <w:r w:rsidRPr="005A11B8">
        <w:rPr>
          <w:vertAlign w:val="subscript"/>
        </w:rPr>
        <w:t>12</w:t>
      </w:r>
      <w:r w:rsidRPr="005A11B8">
        <w:t xml:space="preserve"> has been noticed. More details about Fig</w:t>
      </w:r>
      <w:r w:rsidR="00CE2EA6" w:rsidRPr="005A11B8">
        <w:t>ure</w:t>
      </w:r>
      <w:r w:rsidRPr="005A11B8">
        <w:t xml:space="preserve"> S2 have been given in the main manuscript. In Fig</w:t>
      </w:r>
      <w:r w:rsidR="00CE2EA6" w:rsidRPr="005A11B8">
        <w:t>ure</w:t>
      </w:r>
      <w:r w:rsidRPr="005A11B8">
        <w:t xml:space="preserve"> S2 </w:t>
      </w:r>
      <w:proofErr w:type="gramStart"/>
      <w:r w:rsidRPr="005A11B8">
        <w:t>same</w:t>
      </w:r>
      <w:proofErr w:type="gramEnd"/>
      <w:r w:rsidRPr="005A11B8">
        <w:t xml:space="preserve"> step changes were made in the TL as Fig</w:t>
      </w:r>
      <w:r w:rsidR="00CE2EA6" w:rsidRPr="005A11B8">
        <w:t>ure</w:t>
      </w:r>
      <w:r w:rsidRPr="005A11B8">
        <w:t xml:space="preserve"> 2(a) for subject #1.</w:t>
      </w:r>
    </w:p>
    <w:p w14:paraId="38DB9C7B" w14:textId="5C0EEF5A" w:rsidR="00D847E6" w:rsidRDefault="00D847E6" w:rsidP="00D9624C">
      <w:pPr>
        <w:pStyle w:val="MDPI31text"/>
        <w:spacing w:before="240" w:after="120"/>
        <w:ind w:left="0"/>
        <w:jc w:val="center"/>
      </w:pPr>
      <w:r w:rsidRPr="001C3A07">
        <w:rPr>
          <w:noProof/>
        </w:rPr>
        <w:lastRenderedPageBreak/>
        <w:drawing>
          <wp:inline distT="0" distB="0" distL="0" distR="0" wp14:anchorId="44013346" wp14:editId="7D18EDA0">
            <wp:extent cx="4983277" cy="4096800"/>
            <wp:effectExtent l="0" t="0" r="8255" b="0"/>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83277" cy="4096800"/>
                    </a:xfrm>
                    <a:prstGeom prst="rect">
                      <a:avLst/>
                    </a:prstGeom>
                    <a:noFill/>
                    <a:ln>
                      <a:noFill/>
                    </a:ln>
                  </pic:spPr>
                </pic:pic>
              </a:graphicData>
            </a:graphic>
          </wp:inline>
        </w:drawing>
      </w:r>
    </w:p>
    <w:p w14:paraId="62090972" w14:textId="23798964" w:rsidR="00D847E6" w:rsidRDefault="00D847E6" w:rsidP="00D847E6">
      <w:pPr>
        <w:pStyle w:val="MDPI31text"/>
        <w:spacing w:before="120" w:after="240"/>
        <w:ind w:left="720" w:right="720" w:firstLine="0"/>
        <w:rPr>
          <w:sz w:val="18"/>
          <w:szCs w:val="18"/>
        </w:rPr>
      </w:pPr>
      <w:r w:rsidRPr="005A11B8">
        <w:rPr>
          <w:sz w:val="18"/>
          <w:szCs w:val="18"/>
        </w:rPr>
        <w:t>Fig</w:t>
      </w:r>
      <w:r w:rsidR="00CE2EA6" w:rsidRPr="005A11B8">
        <w:rPr>
          <w:sz w:val="18"/>
          <w:szCs w:val="18"/>
        </w:rPr>
        <w:t>ure</w:t>
      </w:r>
      <w:r w:rsidRPr="005A11B8">
        <w:rPr>
          <w:sz w:val="18"/>
          <w:szCs w:val="18"/>
        </w:rPr>
        <w:t xml:space="preserve"> S2. Individual Zernike coefficients in response to induced TL defocus changes for subject #1 for defocus Z</w:t>
      </w:r>
      <w:r w:rsidRPr="005A11B8">
        <w:rPr>
          <w:sz w:val="18"/>
          <w:szCs w:val="18"/>
          <w:vertAlign w:val="subscript"/>
        </w:rPr>
        <w:t xml:space="preserve">4 </w:t>
      </w:r>
      <w:r w:rsidRPr="005A11B8">
        <w:rPr>
          <w:sz w:val="18"/>
          <w:szCs w:val="18"/>
        </w:rPr>
        <w:t>(red line), astigmatism Z</w:t>
      </w:r>
      <w:r w:rsidRPr="005A11B8">
        <w:rPr>
          <w:sz w:val="18"/>
          <w:szCs w:val="18"/>
          <w:vertAlign w:val="subscript"/>
        </w:rPr>
        <w:t>3</w:t>
      </w:r>
      <w:r w:rsidRPr="005A11B8">
        <w:rPr>
          <w:sz w:val="18"/>
          <w:szCs w:val="18"/>
        </w:rPr>
        <w:t xml:space="preserve"> and Z</w:t>
      </w:r>
      <w:r w:rsidRPr="005A11B8">
        <w:rPr>
          <w:sz w:val="18"/>
          <w:szCs w:val="18"/>
          <w:vertAlign w:val="subscript"/>
        </w:rPr>
        <w:t>5</w:t>
      </w:r>
      <w:r w:rsidRPr="005A11B8">
        <w:rPr>
          <w:sz w:val="18"/>
          <w:szCs w:val="18"/>
        </w:rPr>
        <w:t xml:space="preserve"> (brown and blue lines), and spherical aberration Z</w:t>
      </w:r>
      <w:r w:rsidRPr="005A11B8">
        <w:rPr>
          <w:sz w:val="18"/>
          <w:szCs w:val="18"/>
          <w:vertAlign w:val="subscript"/>
        </w:rPr>
        <w:t>12</w:t>
      </w:r>
      <w:r w:rsidRPr="005A11B8">
        <w:rPr>
          <w:sz w:val="18"/>
          <w:szCs w:val="18"/>
        </w:rPr>
        <w:t xml:space="preserve"> (orange line).</w:t>
      </w:r>
    </w:p>
    <w:p w14:paraId="2554AD55" w14:textId="089892DB" w:rsidR="00D847E6" w:rsidRDefault="00D847E6" w:rsidP="00D847E6">
      <w:pPr>
        <w:pStyle w:val="MDPI31text"/>
        <w:spacing w:before="120" w:after="240"/>
        <w:ind w:left="0" w:firstLine="0"/>
        <w:rPr>
          <w:szCs w:val="20"/>
        </w:rPr>
      </w:pPr>
      <w:r w:rsidRPr="005A11B8">
        <w:rPr>
          <w:szCs w:val="20"/>
        </w:rPr>
        <w:t>Fig</w:t>
      </w:r>
      <w:r w:rsidR="00CE2EA6" w:rsidRPr="005A11B8">
        <w:rPr>
          <w:szCs w:val="20"/>
        </w:rPr>
        <w:t>ure</w:t>
      </w:r>
      <w:r w:rsidRPr="005A11B8">
        <w:rPr>
          <w:szCs w:val="20"/>
        </w:rPr>
        <w:t xml:space="preserve"> S3 shows the accommodative response with the random defocus step changes for myopic subject #5. Like the other</w:t>
      </w:r>
      <w:r w:rsidRPr="00D847E6">
        <w:rPr>
          <w:szCs w:val="20"/>
        </w:rPr>
        <w:t xml:space="preserve"> subjects from different groups of emmetropes, mild myopes and myopes, subject #5 was also able to accommodate in the correct direction up to 6</w:t>
      </w:r>
      <w:r>
        <w:rPr>
          <w:szCs w:val="20"/>
        </w:rPr>
        <w:t>°</w:t>
      </w:r>
      <w:r w:rsidRPr="00D847E6">
        <w:rPr>
          <w:szCs w:val="20"/>
        </w:rPr>
        <w:t>. As subject #5 was comparatively young (23), the comfortable accommodative range in the TL was larger for this subject compared to others and the accommodative response is clearly noticeable and compensated at lower eccentricity (1</w:t>
      </w:r>
      <w:r>
        <w:rPr>
          <w:szCs w:val="20"/>
        </w:rPr>
        <w:t>°</w:t>
      </w:r>
      <w:r w:rsidRPr="00D847E6">
        <w:rPr>
          <w:szCs w:val="20"/>
        </w:rPr>
        <w:t>, 2</w:t>
      </w:r>
      <w:r>
        <w:rPr>
          <w:szCs w:val="20"/>
        </w:rPr>
        <w:t>°</w:t>
      </w:r>
      <w:r w:rsidRPr="00D847E6">
        <w:rPr>
          <w:szCs w:val="20"/>
        </w:rPr>
        <w:t>) while with increased eccentricity the accommodative amplitude reduced as expected. At 7</w:t>
      </w:r>
      <w:r>
        <w:rPr>
          <w:szCs w:val="20"/>
        </w:rPr>
        <w:t>°</w:t>
      </w:r>
      <w:r w:rsidRPr="00D847E6">
        <w:rPr>
          <w:szCs w:val="20"/>
        </w:rPr>
        <w:t xml:space="preserve"> and beyond there was no accommodative response in the correct direction anymore though the eye tried to act with the induced defocus.</w:t>
      </w:r>
    </w:p>
    <w:p w14:paraId="33653F6A" w14:textId="42789BFD" w:rsidR="00D847E6" w:rsidRDefault="00D847E6" w:rsidP="009F265B">
      <w:pPr>
        <w:pStyle w:val="MDPI31text"/>
        <w:spacing w:before="240" w:after="120"/>
        <w:ind w:left="0" w:firstLine="0"/>
        <w:jc w:val="center"/>
        <w:rPr>
          <w:szCs w:val="20"/>
        </w:rPr>
      </w:pPr>
      <w:r>
        <w:rPr>
          <w:noProof/>
        </w:rPr>
        <w:lastRenderedPageBreak/>
        <w:drawing>
          <wp:inline distT="0" distB="0" distL="0" distR="0" wp14:anchorId="2805209D" wp14:editId="67C0E97F">
            <wp:extent cx="4781844" cy="3931200"/>
            <wp:effectExtent l="0" t="0" r="0" b="0"/>
            <wp:docPr id="4" name="Picture 4"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receip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81844" cy="3931200"/>
                    </a:xfrm>
                    <a:prstGeom prst="rect">
                      <a:avLst/>
                    </a:prstGeom>
                    <a:noFill/>
                    <a:ln>
                      <a:noFill/>
                    </a:ln>
                  </pic:spPr>
                </pic:pic>
              </a:graphicData>
            </a:graphic>
          </wp:inline>
        </w:drawing>
      </w:r>
    </w:p>
    <w:p w14:paraId="6B528EDC" w14:textId="604680A5" w:rsidR="00D847E6" w:rsidRDefault="00D847E6" w:rsidP="001A46A3">
      <w:pPr>
        <w:pStyle w:val="MDPI31text"/>
        <w:spacing w:before="120" w:after="240"/>
        <w:ind w:left="720" w:right="720" w:firstLine="0"/>
        <w:rPr>
          <w:sz w:val="18"/>
          <w:szCs w:val="18"/>
        </w:rPr>
      </w:pPr>
      <w:r w:rsidRPr="005A11B8">
        <w:rPr>
          <w:sz w:val="18"/>
          <w:szCs w:val="18"/>
        </w:rPr>
        <w:t>Fig</w:t>
      </w:r>
      <w:r w:rsidR="00CE2EA6" w:rsidRPr="005A11B8">
        <w:rPr>
          <w:sz w:val="18"/>
          <w:szCs w:val="18"/>
        </w:rPr>
        <w:t>ure</w:t>
      </w:r>
      <w:r w:rsidRPr="005A11B8">
        <w:rPr>
          <w:sz w:val="18"/>
          <w:szCs w:val="18"/>
        </w:rPr>
        <w:t xml:space="preserve"> S</w:t>
      </w:r>
      <w:r w:rsidR="001A46A3" w:rsidRPr="005A11B8">
        <w:rPr>
          <w:sz w:val="18"/>
          <w:szCs w:val="18"/>
        </w:rPr>
        <w:t>3</w:t>
      </w:r>
      <w:r w:rsidRPr="005A11B8">
        <w:rPr>
          <w:sz w:val="18"/>
          <w:szCs w:val="18"/>
        </w:rPr>
        <w:t xml:space="preserve">. </w:t>
      </w:r>
      <w:r w:rsidR="001A46A3" w:rsidRPr="005A11B8">
        <w:rPr>
          <w:sz w:val="18"/>
          <w:szCs w:val="18"/>
        </w:rPr>
        <w:t>Induced defocus sequence by the TL (black line) and accommodation response (red line) as a function</w:t>
      </w:r>
      <w:r w:rsidR="001A46A3" w:rsidRPr="001A46A3">
        <w:rPr>
          <w:sz w:val="18"/>
          <w:szCs w:val="18"/>
        </w:rPr>
        <w:t xml:space="preserve"> of time for subject #5 for increasing radial eccentricity from 1° to 8°. The induced defocus is shown with opposite sign to ease comparison.</w:t>
      </w:r>
    </w:p>
    <w:p w14:paraId="402D4590" w14:textId="4987B760" w:rsidR="001A46A3" w:rsidRDefault="001A46A3" w:rsidP="001A46A3">
      <w:pPr>
        <w:pStyle w:val="MDPI21heading1"/>
        <w:ind w:left="0"/>
        <w:rPr>
          <w:lang w:eastAsia="zh-CN"/>
        </w:rPr>
      </w:pPr>
      <w:r>
        <w:rPr>
          <w:sz w:val="24"/>
          <w:szCs w:val="24"/>
          <w:lang w:eastAsia="zh-CN"/>
        </w:rPr>
        <w:t xml:space="preserve">2. </w:t>
      </w:r>
      <w:r w:rsidR="00D9624C" w:rsidRPr="00D9624C">
        <w:rPr>
          <w:sz w:val="24"/>
          <w:szCs w:val="24"/>
          <w:lang w:eastAsia="zh-CN"/>
        </w:rPr>
        <w:t>Tunable lens aberrations</w:t>
      </w:r>
    </w:p>
    <w:p w14:paraId="05AFA7E6" w14:textId="2E7BE7D9" w:rsidR="00BA1691" w:rsidRDefault="001A46A3" w:rsidP="001A46A3">
      <w:pPr>
        <w:pStyle w:val="MDPI31text"/>
        <w:spacing w:before="120" w:after="240"/>
        <w:ind w:left="0"/>
        <w:rPr>
          <w:szCs w:val="20"/>
        </w:rPr>
      </w:pPr>
      <w:r w:rsidRPr="001A46A3">
        <w:rPr>
          <w:szCs w:val="20"/>
        </w:rPr>
        <w:t xml:space="preserve">Any vertical-mounted liquid lens is prone to coma due to gravity so there is a risk that the TL may introduce undesired aberrations in the system. It has been inspected visually and by means of wavefront measurements with the HS-WFS but no conceivable reduction in image quality or wavefront beyond the desired defocus was found. The possible change of higher-order aberrations was also examined by the TL itself when changing power using the setup shown </w:t>
      </w:r>
      <w:r w:rsidRPr="005A11B8">
        <w:rPr>
          <w:szCs w:val="20"/>
        </w:rPr>
        <w:t>in Fig</w:t>
      </w:r>
      <w:r w:rsidR="00CE2EA6" w:rsidRPr="005A11B8">
        <w:rPr>
          <w:szCs w:val="20"/>
        </w:rPr>
        <w:t>ure</w:t>
      </w:r>
      <w:r w:rsidRPr="005A11B8">
        <w:rPr>
          <w:szCs w:val="20"/>
        </w:rPr>
        <w:t xml:space="preserve"> S4. In</w:t>
      </w:r>
      <w:r w:rsidRPr="001A46A3">
        <w:rPr>
          <w:szCs w:val="20"/>
        </w:rPr>
        <w:t xml:space="preserve"> all cases these changes were negligible, and the defocus changes were found to be highly dominating.</w:t>
      </w:r>
    </w:p>
    <w:p w14:paraId="5AF12365" w14:textId="6FE7B58D" w:rsidR="001A46A3" w:rsidRDefault="001A46A3" w:rsidP="009F265B">
      <w:pPr>
        <w:pStyle w:val="MDPI31text"/>
        <w:spacing w:before="240" w:after="120"/>
        <w:ind w:left="0"/>
        <w:jc w:val="center"/>
        <w:rPr>
          <w:szCs w:val="20"/>
        </w:rPr>
      </w:pPr>
      <w:r>
        <w:rPr>
          <w:noProof/>
        </w:rPr>
        <w:drawing>
          <wp:inline distT="0" distB="0" distL="0" distR="0" wp14:anchorId="272CD697" wp14:editId="68D9EDEE">
            <wp:extent cx="3190875" cy="2144239"/>
            <wp:effectExtent l="0" t="0" r="0" b="8890"/>
            <wp:docPr id="42" name="Picture 42" descr="A diagram of a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mirror&#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0875" cy="2144239"/>
                    </a:xfrm>
                    <a:prstGeom prst="rect">
                      <a:avLst/>
                    </a:prstGeom>
                    <a:noFill/>
                    <a:ln>
                      <a:noFill/>
                    </a:ln>
                  </pic:spPr>
                </pic:pic>
              </a:graphicData>
            </a:graphic>
          </wp:inline>
        </w:drawing>
      </w:r>
    </w:p>
    <w:p w14:paraId="4BF6B995" w14:textId="627A2D32" w:rsidR="001A46A3" w:rsidRPr="001A46A3" w:rsidRDefault="001A46A3" w:rsidP="001A46A3">
      <w:pPr>
        <w:pStyle w:val="MDPI31text"/>
        <w:spacing w:before="120" w:after="240"/>
        <w:ind w:left="720" w:right="720" w:firstLine="0"/>
        <w:rPr>
          <w:sz w:val="18"/>
          <w:szCs w:val="18"/>
        </w:rPr>
      </w:pPr>
      <w:r w:rsidRPr="005A11B8">
        <w:rPr>
          <w:sz w:val="18"/>
          <w:szCs w:val="18"/>
        </w:rPr>
        <w:t>Fig</w:t>
      </w:r>
      <w:r w:rsidR="00CE2EA6" w:rsidRPr="005A11B8">
        <w:rPr>
          <w:sz w:val="18"/>
          <w:szCs w:val="18"/>
        </w:rPr>
        <w:t>ure</w:t>
      </w:r>
      <w:r w:rsidRPr="005A11B8">
        <w:rPr>
          <w:sz w:val="18"/>
          <w:szCs w:val="18"/>
        </w:rPr>
        <w:t xml:space="preserve"> S4. Schematic</w:t>
      </w:r>
      <w:r w:rsidRPr="001A46A3">
        <w:rPr>
          <w:sz w:val="18"/>
          <w:szCs w:val="18"/>
        </w:rPr>
        <w:t xml:space="preserve"> of setup to test Zernike coefficient changes in response to defocus changes of the TL monitored in a plane that is conjugate to the HS-WFS. An expanded collimated HeNe (633 nm) laser beam was used for the illumination. The iris was set to a beam diameter of 4.5 mm corresponding to the largest eye pupil used in this study.</w:t>
      </w:r>
    </w:p>
    <w:p w14:paraId="3ED92FD9" w14:textId="4711F5AC" w:rsidR="001A46A3" w:rsidRDefault="001A46A3" w:rsidP="001A46A3">
      <w:pPr>
        <w:pStyle w:val="10BodySubsequentParagraph"/>
        <w:ind w:firstLine="289"/>
        <w:rPr>
          <w:rFonts w:ascii="Palatino Linotype" w:hAnsi="Palatino Linotype"/>
        </w:rPr>
      </w:pPr>
      <w:r w:rsidRPr="001A46A3">
        <w:rPr>
          <w:rFonts w:ascii="Palatino Linotype" w:hAnsi="Palatino Linotype"/>
        </w:rPr>
        <w:lastRenderedPageBreak/>
        <w:t xml:space="preserve">The outcome of this verification test is </w:t>
      </w:r>
      <w:r w:rsidRPr="005A11B8">
        <w:rPr>
          <w:rFonts w:ascii="Palatino Linotype" w:hAnsi="Palatino Linotype"/>
        </w:rPr>
        <w:t>shown in Fig</w:t>
      </w:r>
      <w:r w:rsidR="00CE2EA6" w:rsidRPr="005A11B8">
        <w:rPr>
          <w:rFonts w:ascii="Palatino Linotype" w:hAnsi="Palatino Linotype"/>
        </w:rPr>
        <w:t>ure</w:t>
      </w:r>
      <w:r w:rsidRPr="005A11B8">
        <w:rPr>
          <w:rFonts w:ascii="Palatino Linotype" w:hAnsi="Palatino Linotype"/>
        </w:rPr>
        <w:t xml:space="preserve"> S5 using the same random sequence of defocus changes of the TL as used during visual experiments of subject #1. Resulting changes of selected Zernike coefficients are shown in Fig</w:t>
      </w:r>
      <w:r w:rsidR="00CE2EA6" w:rsidRPr="005A11B8">
        <w:rPr>
          <w:rFonts w:ascii="Palatino Linotype" w:hAnsi="Palatino Linotype"/>
        </w:rPr>
        <w:t>ure</w:t>
      </w:r>
      <w:r w:rsidRPr="005A11B8">
        <w:rPr>
          <w:rFonts w:ascii="Palatino Linotype" w:hAnsi="Palatino Linotype"/>
        </w:rPr>
        <w:t xml:space="preserve"> S5(a) and, excluding the defocus term, a magnified view of coefficients in Fig</w:t>
      </w:r>
      <w:r w:rsidR="00CE2EA6" w:rsidRPr="005A11B8">
        <w:rPr>
          <w:rFonts w:ascii="Palatino Linotype" w:hAnsi="Palatino Linotype"/>
        </w:rPr>
        <w:t>ure</w:t>
      </w:r>
      <w:r w:rsidRPr="005A11B8">
        <w:rPr>
          <w:rFonts w:ascii="Palatino Linotype" w:hAnsi="Palatino Linotype"/>
        </w:rPr>
        <w:t xml:space="preserve"> S5(b). As can be seen, the defocus </w:t>
      </w:r>
      <w:r w:rsidRPr="005A11B8">
        <w:rPr>
          <w:rFonts w:ascii="Palatino Linotype" w:hAnsi="Palatino Linotype"/>
          <w:szCs w:val="20"/>
        </w:rPr>
        <w:t xml:space="preserve">coefficient </w:t>
      </w:r>
      <w:r w:rsidRPr="005A11B8">
        <w:rPr>
          <w:rFonts w:ascii="Palatino Linotype" w:eastAsiaTheme="minorHAnsi" w:hAnsi="Palatino Linotype"/>
          <w:i/>
          <w:iCs/>
          <w:szCs w:val="20"/>
        </w:rPr>
        <w:t>C</w:t>
      </w:r>
      <w:r w:rsidRPr="005A11B8">
        <w:rPr>
          <w:rFonts w:ascii="Palatino Linotype" w:eastAsiaTheme="minorHAnsi" w:hAnsi="Palatino Linotype"/>
          <w:szCs w:val="20"/>
          <w:vertAlign w:val="subscript"/>
        </w:rPr>
        <w:t>2</w:t>
      </w:r>
      <w:r w:rsidRPr="005A11B8">
        <w:rPr>
          <w:rFonts w:ascii="Palatino Linotype" w:eastAsiaTheme="minorHAnsi" w:hAnsi="Palatino Linotype"/>
          <w:szCs w:val="20"/>
          <w:vertAlign w:val="superscript"/>
        </w:rPr>
        <w:t>0</w:t>
      </w:r>
      <w:r w:rsidRPr="005A11B8">
        <w:rPr>
          <w:rFonts w:ascii="Palatino Linotype" w:hAnsi="Palatino Linotype"/>
          <w:szCs w:val="20"/>
        </w:rPr>
        <w:t xml:space="preserve"> that</w:t>
      </w:r>
      <w:r w:rsidRPr="005A11B8">
        <w:rPr>
          <w:rFonts w:ascii="Palatino Linotype" w:hAnsi="Palatino Linotype"/>
        </w:rPr>
        <w:t xml:space="preserve"> scales the </w:t>
      </w:r>
      <w:r w:rsidRPr="005A11B8">
        <w:rPr>
          <w:rFonts w:ascii="Palatino Linotype" w:hAnsi="Palatino Linotype"/>
          <w:szCs w:val="20"/>
        </w:rPr>
        <w:t xml:space="preserve">polynomial </w:t>
      </w:r>
      <m:oMath>
        <m:sSub>
          <m:sSubPr>
            <m:ctrlPr>
              <w:rPr>
                <w:rFonts w:ascii="Cambria Math" w:eastAsiaTheme="minorHAnsi" w:hAnsi="Cambria Math"/>
                <w:i/>
                <w:szCs w:val="20"/>
              </w:rPr>
            </m:ctrlPr>
          </m:sSubPr>
          <m:e>
            <m:r>
              <w:rPr>
                <w:rFonts w:ascii="Cambria Math" w:eastAsiaTheme="minorHAnsi" w:hAnsi="Cambria Math"/>
                <w:szCs w:val="20"/>
              </w:rPr>
              <m:t>Z</m:t>
            </m:r>
          </m:e>
          <m:sub>
            <m:r>
              <w:rPr>
                <w:rFonts w:ascii="Cambria Math" w:eastAsiaTheme="minorHAnsi" w:hAnsi="Cambria Math"/>
                <w:szCs w:val="20"/>
              </w:rPr>
              <m:t>4</m:t>
            </m:r>
          </m:sub>
        </m:sSub>
        <m:r>
          <w:rPr>
            <w:rFonts w:ascii="Cambria Math" w:hAnsi="Cambria Math"/>
            <w:szCs w:val="20"/>
          </w:rPr>
          <m:t>=</m:t>
        </m:r>
        <m:sSubSup>
          <m:sSubSupPr>
            <m:ctrlPr>
              <w:rPr>
                <w:rFonts w:ascii="Cambria Math" w:eastAsiaTheme="minorHAnsi" w:hAnsi="Cambria Math"/>
                <w:i/>
                <w:szCs w:val="20"/>
              </w:rPr>
            </m:ctrlPr>
          </m:sSubSupPr>
          <m:e>
            <m:r>
              <w:rPr>
                <w:rFonts w:ascii="Cambria Math" w:eastAsiaTheme="minorHAnsi" w:hAnsi="Cambria Math"/>
                <w:szCs w:val="20"/>
              </w:rPr>
              <m:t>Z</m:t>
            </m:r>
          </m:e>
          <m:sub>
            <m:r>
              <w:rPr>
                <w:rFonts w:ascii="Cambria Math" w:eastAsiaTheme="minorHAnsi" w:hAnsi="Cambria Math"/>
                <w:szCs w:val="20"/>
              </w:rPr>
              <m:t>2</m:t>
            </m:r>
          </m:sub>
          <m:sup>
            <m:r>
              <w:rPr>
                <w:rFonts w:ascii="Cambria Math" w:eastAsiaTheme="minorHAnsi" w:hAnsi="Cambria Math"/>
                <w:szCs w:val="20"/>
              </w:rPr>
              <m:t>0</m:t>
            </m:r>
          </m:sup>
        </m:sSubSup>
      </m:oMath>
      <w:r w:rsidRPr="005A11B8">
        <w:rPr>
          <w:rFonts w:ascii="Palatino Linotype" w:eastAsiaTheme="minorHAnsi" w:hAnsi="Palatino Linotype"/>
          <w:szCs w:val="20"/>
        </w:rPr>
        <w:t xml:space="preserve"> </w:t>
      </w:r>
      <w:r w:rsidRPr="005A11B8">
        <w:rPr>
          <w:rFonts w:ascii="Palatino Linotype" w:hAnsi="Palatino Linotype"/>
          <w:szCs w:val="20"/>
        </w:rPr>
        <w:t>is highly dominant</w:t>
      </w:r>
      <w:r w:rsidRPr="005A11B8">
        <w:rPr>
          <w:rFonts w:ascii="Palatino Linotype" w:hAnsi="Palatino Linotype"/>
        </w:rPr>
        <w:t>. The enlarged view in Fig</w:t>
      </w:r>
      <w:r w:rsidR="00CE2EA6" w:rsidRPr="005A11B8">
        <w:rPr>
          <w:rFonts w:ascii="Palatino Linotype" w:hAnsi="Palatino Linotype"/>
        </w:rPr>
        <w:t>ure</w:t>
      </w:r>
      <w:r w:rsidRPr="005A11B8">
        <w:rPr>
          <w:rFonts w:ascii="Palatino Linotype" w:hAnsi="Palatino Linotype"/>
        </w:rPr>
        <w:t xml:space="preserve"> S5(b),</w:t>
      </w:r>
      <w:r w:rsidRPr="001A46A3">
        <w:rPr>
          <w:rFonts w:ascii="Palatino Linotype" w:hAnsi="Palatino Linotype"/>
        </w:rPr>
        <w:t xml:space="preserve"> note the different vertical scale, shows that small changes in other Zernike terms are present, resulting from a physical change, or from the truncation of the Zernike series </w:t>
      </w:r>
      <w:r w:rsidRPr="001A46A3">
        <w:rPr>
          <w:rFonts w:ascii="Palatino Linotype" w:hAnsi="Palatino Linotype"/>
          <w:szCs w:val="20"/>
        </w:rPr>
        <w:t xml:space="preserve">to </w:t>
      </w:r>
      <w:r w:rsidRPr="001A46A3">
        <w:rPr>
          <w:rFonts w:ascii="Palatino Linotype" w:eastAsiaTheme="minorHAnsi" w:hAnsi="Palatino Linotype"/>
          <w:szCs w:val="20"/>
        </w:rPr>
        <w:t>4</w:t>
      </w:r>
      <w:r w:rsidRPr="001A46A3">
        <w:rPr>
          <w:rFonts w:ascii="Palatino Linotype" w:eastAsiaTheme="minorHAnsi" w:hAnsi="Palatino Linotype"/>
          <w:szCs w:val="20"/>
          <w:vertAlign w:val="superscript"/>
        </w:rPr>
        <w:t>th</w:t>
      </w:r>
      <w:r w:rsidRPr="001A46A3" w:rsidDel="00701CA9">
        <w:rPr>
          <w:rFonts w:ascii="Palatino Linotype" w:hAnsi="Palatino Linotype"/>
          <w:szCs w:val="20"/>
        </w:rPr>
        <w:t xml:space="preserve"> </w:t>
      </w:r>
      <w:r w:rsidRPr="001A46A3">
        <w:rPr>
          <w:rFonts w:ascii="Palatino Linotype" w:hAnsi="Palatino Linotype"/>
          <w:szCs w:val="20"/>
        </w:rPr>
        <w:t>order. As</w:t>
      </w:r>
      <w:r w:rsidRPr="001A46A3">
        <w:rPr>
          <w:rFonts w:ascii="Palatino Linotype" w:hAnsi="Palatino Linotype"/>
        </w:rPr>
        <w:t xml:space="preserve"> expected, there are very small changes of coma and astigmatism but essentially no change of spherical aberration. The largest change of coma and astigmatism happens when the defocus step is large (at 10 s, 20 s, 150 s and 190 s). The change of the coma and astigmatism coefficients is less than 0.2% of the Zernike defocus change.</w:t>
      </w:r>
    </w:p>
    <w:p w14:paraId="79AE07B8" w14:textId="4A1BC8E7" w:rsidR="009F265B" w:rsidRDefault="009F265B" w:rsidP="009F265B">
      <w:pPr>
        <w:pStyle w:val="10BodySubsequentParagraph"/>
        <w:spacing w:before="240" w:after="120"/>
        <w:ind w:firstLine="289"/>
        <w:jc w:val="center"/>
        <w:rPr>
          <w:rFonts w:ascii="Palatino Linotype" w:hAnsi="Palatino Linotype"/>
        </w:rPr>
      </w:pPr>
      <w:r>
        <w:rPr>
          <w:noProof/>
        </w:rPr>
        <w:drawing>
          <wp:inline distT="0" distB="0" distL="0" distR="0" wp14:anchorId="26F730C4" wp14:editId="7416A9CA">
            <wp:extent cx="4506021" cy="1990725"/>
            <wp:effectExtent l="0" t="0" r="8890" b="0"/>
            <wp:docPr id="8" name="Picture 8"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plot, li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8022" cy="2000445"/>
                    </a:xfrm>
                    <a:prstGeom prst="rect">
                      <a:avLst/>
                    </a:prstGeom>
                    <a:noFill/>
                    <a:ln>
                      <a:noFill/>
                    </a:ln>
                  </pic:spPr>
                </pic:pic>
              </a:graphicData>
            </a:graphic>
          </wp:inline>
        </w:drawing>
      </w:r>
    </w:p>
    <w:p w14:paraId="322D37EE" w14:textId="170AA167" w:rsidR="009F265B" w:rsidRDefault="002D5A74" w:rsidP="0052254E">
      <w:pPr>
        <w:pStyle w:val="10BodySubsequentParagraph"/>
        <w:spacing w:before="120" w:after="240"/>
        <w:ind w:left="720" w:right="720" w:firstLine="0"/>
        <w:rPr>
          <w:rFonts w:ascii="Palatino Linotype" w:hAnsi="Palatino Linotype"/>
          <w:sz w:val="18"/>
          <w:szCs w:val="18"/>
        </w:rPr>
      </w:pPr>
      <w:r w:rsidRPr="005A11B8">
        <w:rPr>
          <w:rFonts w:ascii="Palatino Linotype" w:hAnsi="Palatino Linotype"/>
          <w:sz w:val="18"/>
          <w:szCs w:val="18"/>
        </w:rPr>
        <w:t>Fig</w:t>
      </w:r>
      <w:r w:rsidR="00CE2EA6" w:rsidRPr="005A11B8">
        <w:rPr>
          <w:rFonts w:ascii="Palatino Linotype" w:hAnsi="Palatino Linotype"/>
          <w:sz w:val="18"/>
          <w:szCs w:val="18"/>
        </w:rPr>
        <w:t>ure</w:t>
      </w:r>
      <w:r w:rsidRPr="005A11B8">
        <w:rPr>
          <w:rFonts w:ascii="Palatino Linotype" w:hAnsi="Palatino Linotype"/>
          <w:sz w:val="18"/>
          <w:szCs w:val="18"/>
        </w:rPr>
        <w:t xml:space="preserve"> S5. Changes of Zernike coefficients </w:t>
      </w:r>
      <w:proofErr w:type="gramStart"/>
      <w:r w:rsidRPr="005A11B8">
        <w:rPr>
          <w:rFonts w:ascii="Palatino Linotype" w:hAnsi="Palatino Linotype"/>
          <w:sz w:val="18"/>
          <w:szCs w:val="18"/>
        </w:rPr>
        <w:t>as a result of</w:t>
      </w:r>
      <w:proofErr w:type="gramEnd"/>
      <w:r w:rsidRPr="005A11B8">
        <w:rPr>
          <w:rFonts w:ascii="Palatino Linotype" w:hAnsi="Palatino Linotype"/>
          <w:sz w:val="18"/>
          <w:szCs w:val="18"/>
        </w:rPr>
        <w:t xml:space="preserve"> a random sequence of defocus changes generated with the TL as measured with the HS-WFS including up to 4</w:t>
      </w:r>
      <w:r w:rsidRPr="005A11B8">
        <w:rPr>
          <w:rFonts w:ascii="Palatino Linotype" w:hAnsi="Palatino Linotype"/>
          <w:sz w:val="18"/>
          <w:szCs w:val="18"/>
          <w:vertAlign w:val="superscript"/>
        </w:rPr>
        <w:t>th</w:t>
      </w:r>
      <w:r w:rsidRPr="005A11B8">
        <w:rPr>
          <w:rFonts w:ascii="Palatino Linotype" w:hAnsi="Palatino Linotype"/>
          <w:sz w:val="18"/>
          <w:szCs w:val="18"/>
        </w:rPr>
        <w:t xml:space="preserve"> radial Zernike order. In (a) astigmatism (Z</w:t>
      </w:r>
      <w:r w:rsidRPr="005A11B8">
        <w:rPr>
          <w:rFonts w:ascii="Palatino Linotype" w:hAnsi="Palatino Linotype"/>
          <w:sz w:val="18"/>
          <w:szCs w:val="18"/>
          <w:vertAlign w:val="subscript"/>
        </w:rPr>
        <w:t>3</w:t>
      </w:r>
      <w:r w:rsidRPr="005A11B8">
        <w:rPr>
          <w:rFonts w:ascii="Palatino Linotype" w:hAnsi="Palatino Linotype"/>
          <w:sz w:val="18"/>
          <w:szCs w:val="18"/>
        </w:rPr>
        <w:t>, Z</w:t>
      </w:r>
      <w:r w:rsidRPr="005A11B8">
        <w:rPr>
          <w:rFonts w:ascii="Palatino Linotype" w:hAnsi="Palatino Linotype"/>
          <w:sz w:val="18"/>
          <w:szCs w:val="18"/>
          <w:vertAlign w:val="subscript"/>
        </w:rPr>
        <w:t>5</w:t>
      </w:r>
      <w:r w:rsidRPr="005A11B8">
        <w:rPr>
          <w:rFonts w:ascii="Palatino Linotype" w:hAnsi="Palatino Linotype"/>
          <w:sz w:val="18"/>
          <w:szCs w:val="18"/>
        </w:rPr>
        <w:t>), defocus (Z</w:t>
      </w:r>
      <w:r w:rsidRPr="005A11B8">
        <w:rPr>
          <w:rFonts w:ascii="Palatino Linotype" w:hAnsi="Palatino Linotype"/>
          <w:sz w:val="18"/>
          <w:szCs w:val="18"/>
          <w:vertAlign w:val="subscript"/>
        </w:rPr>
        <w:t>4</w:t>
      </w:r>
      <w:r w:rsidRPr="005A11B8">
        <w:rPr>
          <w:rFonts w:ascii="Palatino Linotype" w:hAnsi="Palatino Linotype"/>
          <w:sz w:val="18"/>
          <w:szCs w:val="18"/>
        </w:rPr>
        <w:t>), spherical (Z</w:t>
      </w:r>
      <w:r w:rsidRPr="005A11B8">
        <w:rPr>
          <w:rFonts w:ascii="Palatino Linotype" w:hAnsi="Palatino Linotype"/>
          <w:sz w:val="18"/>
          <w:szCs w:val="18"/>
          <w:vertAlign w:val="subscript"/>
        </w:rPr>
        <w:t>12</w:t>
      </w:r>
      <w:r w:rsidRPr="005A11B8">
        <w:rPr>
          <w:rFonts w:ascii="Palatino Linotype" w:hAnsi="Palatino Linotype"/>
          <w:sz w:val="18"/>
          <w:szCs w:val="18"/>
        </w:rPr>
        <w:t>), and coma (Z</w:t>
      </w:r>
      <w:r w:rsidRPr="005A11B8">
        <w:rPr>
          <w:rFonts w:ascii="Palatino Linotype" w:hAnsi="Palatino Linotype"/>
          <w:sz w:val="18"/>
          <w:szCs w:val="18"/>
          <w:vertAlign w:val="subscript"/>
        </w:rPr>
        <w:t>7</w:t>
      </w:r>
      <w:r w:rsidRPr="005A11B8">
        <w:rPr>
          <w:rFonts w:ascii="Palatino Linotype" w:hAnsi="Palatino Linotype"/>
          <w:sz w:val="18"/>
          <w:szCs w:val="18"/>
        </w:rPr>
        <w:t>, Z</w:t>
      </w:r>
      <w:r w:rsidRPr="005A11B8">
        <w:rPr>
          <w:rFonts w:ascii="Palatino Linotype" w:hAnsi="Palatino Linotype"/>
          <w:sz w:val="18"/>
          <w:szCs w:val="18"/>
          <w:vertAlign w:val="subscript"/>
        </w:rPr>
        <w:t>8</w:t>
      </w:r>
      <w:r w:rsidRPr="005A11B8">
        <w:rPr>
          <w:rFonts w:ascii="Palatino Linotype" w:hAnsi="Palatino Linotype"/>
          <w:sz w:val="18"/>
          <w:szCs w:val="18"/>
        </w:rPr>
        <w:t>) are all included on a common scale. In (b) defocus has been removed, and the vertical scale adjusted to reveal</w:t>
      </w:r>
      <w:r w:rsidRPr="0052254E">
        <w:rPr>
          <w:rFonts w:ascii="Palatino Linotype" w:hAnsi="Palatino Linotype"/>
          <w:sz w:val="18"/>
          <w:szCs w:val="18"/>
        </w:rPr>
        <w:t xml:space="preserve"> minute changes in the remaining Zernike coefficients when defocus changes.</w:t>
      </w:r>
    </w:p>
    <w:p w14:paraId="639BC726" w14:textId="6A33DB36" w:rsidR="00373ECD" w:rsidRDefault="00373ECD" w:rsidP="00373ECD">
      <w:pPr>
        <w:pStyle w:val="MDPI21heading1"/>
        <w:ind w:left="0"/>
        <w:rPr>
          <w:sz w:val="24"/>
          <w:szCs w:val="24"/>
          <w:lang w:eastAsia="zh-CN"/>
        </w:rPr>
      </w:pPr>
      <w:r>
        <w:rPr>
          <w:sz w:val="24"/>
          <w:szCs w:val="24"/>
          <w:lang w:eastAsia="zh-CN"/>
        </w:rPr>
        <w:t xml:space="preserve">3. </w:t>
      </w:r>
      <w:r w:rsidRPr="00373ECD">
        <w:rPr>
          <w:sz w:val="24"/>
          <w:szCs w:val="24"/>
          <w:lang w:eastAsia="zh-CN"/>
        </w:rPr>
        <w:t>Blink removal</w:t>
      </w:r>
    </w:p>
    <w:p w14:paraId="63763FE9" w14:textId="37A4C40A" w:rsidR="00373ECD" w:rsidRDefault="00373ECD" w:rsidP="00373ECD">
      <w:pPr>
        <w:pStyle w:val="MDPI31text"/>
        <w:ind w:left="0"/>
        <w:rPr>
          <w:szCs w:val="20"/>
        </w:rPr>
      </w:pPr>
      <w:r w:rsidRPr="00373ECD">
        <w:rPr>
          <w:szCs w:val="20"/>
        </w:rPr>
        <w:t xml:space="preserve">Removal of blinks can be challenging. A </w:t>
      </w:r>
      <w:proofErr w:type="spellStart"/>
      <w:r w:rsidRPr="00373ECD">
        <w:rPr>
          <w:szCs w:val="20"/>
        </w:rPr>
        <w:t>Matlab</w:t>
      </w:r>
      <w:r w:rsidRPr="00373ECD">
        <w:rPr>
          <w:szCs w:val="20"/>
          <w:vertAlign w:val="superscript"/>
        </w:rPr>
        <w:t>TM</w:t>
      </w:r>
      <w:proofErr w:type="spellEnd"/>
      <w:r w:rsidRPr="00373ECD">
        <w:rPr>
          <w:szCs w:val="20"/>
        </w:rPr>
        <w:t xml:space="preserve"> code was developed to remove blink-induced spikes from the HS-WFS measurements without deteriorating the relevant data. One example is given below.</w:t>
      </w:r>
    </w:p>
    <w:p w14:paraId="677E5E96" w14:textId="73390663" w:rsidR="00373ECD" w:rsidRDefault="00373ECD" w:rsidP="00373ECD">
      <w:pPr>
        <w:pStyle w:val="MDPI31text"/>
        <w:spacing w:before="240" w:after="120"/>
        <w:ind w:left="0"/>
        <w:jc w:val="center"/>
        <w:rPr>
          <w:szCs w:val="20"/>
        </w:rPr>
      </w:pPr>
      <w:r>
        <w:rPr>
          <w:noProof/>
        </w:rPr>
        <w:lastRenderedPageBreak/>
        <w:drawing>
          <wp:inline distT="0" distB="0" distL="0" distR="0" wp14:anchorId="6DB70C42" wp14:editId="3BEE081A">
            <wp:extent cx="2819400" cy="4920973"/>
            <wp:effectExtent l="0" t="0" r="0" b="0"/>
            <wp:docPr id="6" name="Picture 6" descr="A picture containing text, diagram,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iagram, line, paralle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5986" cy="4984831"/>
                    </a:xfrm>
                    <a:prstGeom prst="rect">
                      <a:avLst/>
                    </a:prstGeom>
                    <a:noFill/>
                    <a:ln>
                      <a:noFill/>
                    </a:ln>
                  </pic:spPr>
                </pic:pic>
              </a:graphicData>
            </a:graphic>
          </wp:inline>
        </w:drawing>
      </w:r>
    </w:p>
    <w:p w14:paraId="2C25C648" w14:textId="0DDE9EB3" w:rsidR="00373ECD" w:rsidRPr="00E4009D" w:rsidRDefault="00373ECD" w:rsidP="00373ECD">
      <w:pPr>
        <w:pStyle w:val="MDPI31text"/>
        <w:spacing w:before="120" w:after="240"/>
        <w:ind w:left="720" w:right="720" w:firstLine="0"/>
        <w:rPr>
          <w:sz w:val="18"/>
          <w:szCs w:val="18"/>
        </w:rPr>
      </w:pPr>
      <w:r w:rsidRPr="005A11B8">
        <w:rPr>
          <w:sz w:val="18"/>
          <w:szCs w:val="18"/>
        </w:rPr>
        <w:t>Fig</w:t>
      </w:r>
      <w:r w:rsidR="00CE2EA6" w:rsidRPr="005A11B8">
        <w:rPr>
          <w:sz w:val="18"/>
          <w:szCs w:val="18"/>
        </w:rPr>
        <w:t>ure</w:t>
      </w:r>
      <w:r w:rsidRPr="005A11B8">
        <w:rPr>
          <w:sz w:val="18"/>
          <w:szCs w:val="18"/>
        </w:rPr>
        <w:t xml:space="preserve"> S6. Analysis</w:t>
      </w:r>
      <w:r w:rsidRPr="00E4009D">
        <w:rPr>
          <w:sz w:val="18"/>
          <w:szCs w:val="18"/>
        </w:rPr>
        <w:t xml:space="preserve"> of blink removal with a </w:t>
      </w:r>
      <w:proofErr w:type="spellStart"/>
      <w:r w:rsidRPr="00E4009D">
        <w:rPr>
          <w:sz w:val="18"/>
          <w:szCs w:val="18"/>
        </w:rPr>
        <w:t>Matlab</w:t>
      </w:r>
      <w:r w:rsidRPr="0097022B">
        <w:rPr>
          <w:sz w:val="18"/>
          <w:szCs w:val="18"/>
          <w:vertAlign w:val="superscript"/>
        </w:rPr>
        <w:t>TM</w:t>
      </w:r>
      <w:proofErr w:type="spellEnd"/>
      <w:r w:rsidRPr="00E4009D">
        <w:rPr>
          <w:sz w:val="18"/>
          <w:szCs w:val="18"/>
        </w:rPr>
        <w:t xml:space="preserve"> code using (a) raw defocus data from the HS-WFS to obtain the (b) blink-filtered results. In (c) the difference between raw data and blink-corrected data shows no significant impact outside of the blink-induced spikes. Note that the sign of TL response has not been swapped here as it is in the main manuscript.</w:t>
      </w:r>
    </w:p>
    <w:p w14:paraId="24C163D3" w14:textId="027C85C1" w:rsidR="00E4009D" w:rsidRDefault="00E4009D" w:rsidP="00E4009D">
      <w:pPr>
        <w:pStyle w:val="MDPI31text"/>
        <w:ind w:left="0" w:firstLine="0"/>
        <w:rPr>
          <w:szCs w:val="20"/>
        </w:rPr>
      </w:pPr>
      <w:r w:rsidRPr="005A11B8">
        <w:rPr>
          <w:szCs w:val="20"/>
        </w:rPr>
        <w:t>Fig</w:t>
      </w:r>
      <w:r w:rsidR="00CE2EA6" w:rsidRPr="005A11B8">
        <w:rPr>
          <w:szCs w:val="20"/>
        </w:rPr>
        <w:t>ure</w:t>
      </w:r>
      <w:r w:rsidRPr="005A11B8">
        <w:rPr>
          <w:szCs w:val="20"/>
        </w:rPr>
        <w:t xml:space="preserve"> S6 shows defocus data (from the HS-WFS defocus coefficient) before blink removal in Fig</w:t>
      </w:r>
      <w:r w:rsidR="00CE2EA6" w:rsidRPr="005A11B8">
        <w:rPr>
          <w:szCs w:val="20"/>
        </w:rPr>
        <w:t>ure</w:t>
      </w:r>
      <w:r w:rsidRPr="005A11B8">
        <w:rPr>
          <w:szCs w:val="20"/>
        </w:rPr>
        <w:t xml:space="preserve"> S6(a) and after blink removal in Fig</w:t>
      </w:r>
      <w:r w:rsidR="00CE2EA6" w:rsidRPr="005A11B8">
        <w:rPr>
          <w:szCs w:val="20"/>
        </w:rPr>
        <w:t>ure</w:t>
      </w:r>
      <w:r w:rsidRPr="005A11B8">
        <w:rPr>
          <w:szCs w:val="20"/>
        </w:rPr>
        <w:t xml:space="preserve"> S6(b). The example also includes a difference plot in Fig</w:t>
      </w:r>
      <w:r w:rsidR="00CE2EA6" w:rsidRPr="005A11B8">
        <w:rPr>
          <w:szCs w:val="20"/>
        </w:rPr>
        <w:t>ure</w:t>
      </w:r>
      <w:r w:rsidRPr="005A11B8">
        <w:rPr>
          <w:szCs w:val="20"/>
        </w:rPr>
        <w:t xml:space="preserve"> S6(c) to visualize the impact on the data before and after</w:t>
      </w:r>
      <w:r w:rsidRPr="00E4009D">
        <w:rPr>
          <w:szCs w:val="20"/>
        </w:rPr>
        <w:t xml:space="preserve"> blink removal. It effectively isolates the blink-related peaks in the defocus data without impacting results elsewhere.</w:t>
      </w:r>
    </w:p>
    <w:p w14:paraId="2F5D99C2" w14:textId="77777777" w:rsidR="00373ECD" w:rsidRPr="001A46A3" w:rsidRDefault="00373ECD" w:rsidP="00373ECD">
      <w:pPr>
        <w:pStyle w:val="MDPI31text"/>
        <w:spacing w:before="120" w:after="240"/>
        <w:ind w:left="0" w:firstLine="0"/>
        <w:rPr>
          <w:szCs w:val="20"/>
        </w:rPr>
      </w:pPr>
    </w:p>
    <w:sectPr w:rsidR="00373ECD" w:rsidRPr="001A46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860"/>
    <w:rsid w:val="00013FA8"/>
    <w:rsid w:val="00071D9B"/>
    <w:rsid w:val="001A46A3"/>
    <w:rsid w:val="001D23A4"/>
    <w:rsid w:val="002D5A74"/>
    <w:rsid w:val="00373ECD"/>
    <w:rsid w:val="00437515"/>
    <w:rsid w:val="0052254E"/>
    <w:rsid w:val="005A11B8"/>
    <w:rsid w:val="0097022B"/>
    <w:rsid w:val="009F265B"/>
    <w:rsid w:val="00BA1691"/>
    <w:rsid w:val="00C83860"/>
    <w:rsid w:val="00CE2EA6"/>
    <w:rsid w:val="00D341D1"/>
    <w:rsid w:val="00D847E6"/>
    <w:rsid w:val="00D9624C"/>
    <w:rsid w:val="00E126A2"/>
    <w:rsid w:val="00E4009D"/>
    <w:rsid w:val="00ED6E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3BFF7"/>
  <w15:chartTrackingRefBased/>
  <w15:docId w15:val="{B6260590-C910-4A9C-8E28-951BA1C1F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31text">
    <w:name w:val="MDPI_3.1_text"/>
    <w:qFormat/>
    <w:rsid w:val="001D23A4"/>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21heading1">
    <w:name w:val="MDPI_2.1_heading1"/>
    <w:qFormat/>
    <w:rsid w:val="001D23A4"/>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val="en-US" w:eastAsia="de-DE" w:bidi="en-US"/>
      <w14:ligatures w14:val="none"/>
    </w:rPr>
  </w:style>
  <w:style w:type="character" w:styleId="Hyperlink">
    <w:name w:val="Hyperlink"/>
    <w:uiPriority w:val="99"/>
    <w:rsid w:val="001D23A4"/>
    <w:rPr>
      <w:color w:val="0000FF"/>
      <w:u w:val="single"/>
    </w:rPr>
  </w:style>
  <w:style w:type="character" w:styleId="CommentReference">
    <w:name w:val="annotation reference"/>
    <w:rsid w:val="001D23A4"/>
    <w:rPr>
      <w:sz w:val="21"/>
      <w:szCs w:val="21"/>
    </w:rPr>
  </w:style>
  <w:style w:type="paragraph" w:styleId="CommentText">
    <w:name w:val="annotation text"/>
    <w:basedOn w:val="Normal"/>
    <w:link w:val="CommentTextChar"/>
    <w:rsid w:val="001D23A4"/>
    <w:pPr>
      <w:spacing w:after="0" w:line="260" w:lineRule="atLeast"/>
      <w:jc w:val="both"/>
    </w:pPr>
    <w:rPr>
      <w:rFonts w:ascii="Palatino Linotype" w:eastAsia="SimSun" w:hAnsi="Palatino Linotype" w:cs="Times New Roman"/>
      <w:color w:val="000000"/>
      <w:kern w:val="0"/>
      <w:sz w:val="20"/>
      <w:szCs w:val="20"/>
      <w:lang w:eastAsia="zh-CN"/>
      <w14:ligatures w14:val="none"/>
    </w:rPr>
  </w:style>
  <w:style w:type="character" w:customStyle="1" w:styleId="CommentTextChar">
    <w:name w:val="Comment Text Char"/>
    <w:basedOn w:val="DefaultParagraphFont"/>
    <w:link w:val="CommentText"/>
    <w:rsid w:val="001D23A4"/>
    <w:rPr>
      <w:rFonts w:ascii="Palatino Linotype" w:eastAsia="SimSun" w:hAnsi="Palatino Linotype" w:cs="Times New Roman"/>
      <w:color w:val="000000"/>
      <w:kern w:val="0"/>
      <w:sz w:val="20"/>
      <w:szCs w:val="20"/>
      <w:lang w:val="en-US" w:eastAsia="zh-CN"/>
      <w14:ligatures w14:val="none"/>
    </w:rPr>
  </w:style>
  <w:style w:type="paragraph" w:customStyle="1" w:styleId="10BodySubsequentParagraph">
    <w:name w:val="10. Body Subsequent Paragraph"/>
    <w:basedOn w:val="Normal"/>
    <w:qFormat/>
    <w:rsid w:val="001A46A3"/>
    <w:pPr>
      <w:spacing w:after="0" w:line="240" w:lineRule="auto"/>
      <w:ind w:firstLine="288"/>
      <w:jc w:val="both"/>
    </w:pPr>
    <w:rPr>
      <w:rFonts w:ascii="Times New Roman" w:eastAsia="Times New Roman" w:hAnsi="Times New Roman" w:cs="Times New Roman"/>
      <w:color w:val="000000"/>
      <w:kern w:val="0"/>
      <w:sz w:val="20"/>
      <w14:ligatures w14:val="none"/>
    </w:rPr>
  </w:style>
  <w:style w:type="paragraph" w:styleId="Revision">
    <w:name w:val="Revision"/>
    <w:hidden/>
    <w:uiPriority w:val="99"/>
    <w:semiHidden/>
    <w:rsid w:val="00CE2EA6"/>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Ashraful Haque</dc:creator>
  <cp:keywords/>
  <dc:description/>
  <cp:lastModifiedBy>Ashraful Haque</cp:lastModifiedBy>
  <cp:revision>2</cp:revision>
  <dcterms:created xsi:type="dcterms:W3CDTF">2023-06-26T00:15:00Z</dcterms:created>
  <dcterms:modified xsi:type="dcterms:W3CDTF">2023-06-26T00:15:00Z</dcterms:modified>
</cp:coreProperties>
</file>