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bidi="ar"/>
        </w:rPr>
        <w:t>Supplemental Information</w:t>
      </w:r>
    </w:p>
    <w:p>
      <w:pPr>
        <w:widowControl/>
        <w:spacing w:line="360" w:lineRule="auto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lang w:bidi="ar"/>
        </w:rPr>
      </w:pPr>
      <w:bookmarkStart w:id="0" w:name="_GoBack"/>
      <w:r>
        <w:rPr>
          <w:rFonts w:hint="default" w:ascii="Palatino Linotype" w:hAnsi="Palatino Linotype" w:cs="Palatino Linotype"/>
          <w:b/>
          <w:bCs/>
          <w:sz w:val="24"/>
        </w:rPr>
        <w:t>Mechanistic Elucidation of Activation or Deactivation Signal Transduction within Neurotensin Receptor 1 (NTSR1) Triggered by ‘Driver Chemical Group’: A Comparative Molecular Dynamics Simulation</w:t>
      </w:r>
      <w:bookmarkEnd w:id="0"/>
    </w:p>
    <w:p>
      <w:pPr>
        <w:spacing w:line="360" w:lineRule="auto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4968240" cy="4460875"/>
            <wp:effectExtent l="0" t="0" r="0" b="0"/>
            <wp:docPr id="4" name="图片 4" descr="Figure 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-1"/>
                    <pic:cNvPicPr>
                      <a:picLocks noChangeAspect="1"/>
                    </pic:cNvPicPr>
                  </pic:nvPicPr>
                  <pic:blipFill>
                    <a:blip r:embed="rId4"/>
                    <a:srcRect l="640" r="4867" b="2768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S1.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>The analogical free energy landscape of the inactive NTSR1+SR48692 system (</w:t>
      </w:r>
      <w:r>
        <w:rPr>
          <w:rFonts w:hint="eastAsia" w:ascii="Times New Roman" w:hAnsi="Times New Roman"/>
          <w:b/>
          <w:bCs/>
          <w:sz w:val="24"/>
        </w:rPr>
        <w:t>A</w:t>
      </w:r>
      <w:r>
        <w:rPr>
          <w:rFonts w:hint="eastAsia" w:ascii="Times New Roman" w:hAnsi="Times New Roman"/>
          <w:sz w:val="24"/>
        </w:rPr>
        <w:t>), the inactive NTSR1+ML301 system (</w:t>
      </w:r>
      <w:r>
        <w:rPr>
          <w:rFonts w:hint="eastAsia" w:ascii="Times New Roman" w:hAnsi="Times New Roman"/>
          <w:b/>
          <w:bCs/>
          <w:sz w:val="24"/>
        </w:rPr>
        <w:t>B</w:t>
      </w:r>
      <w:r>
        <w:rPr>
          <w:rFonts w:hint="eastAsia" w:ascii="Times New Roman" w:hAnsi="Times New Roman"/>
          <w:sz w:val="24"/>
        </w:rPr>
        <w:t>), the active NTSR1+SR48692 system (</w:t>
      </w:r>
      <w:r>
        <w:rPr>
          <w:rFonts w:hint="eastAsia" w:ascii="Times New Roman" w:hAnsi="Times New Roman"/>
          <w:b/>
          <w:bCs/>
          <w:sz w:val="24"/>
        </w:rPr>
        <w:t>C</w:t>
      </w:r>
      <w:r>
        <w:rPr>
          <w:rFonts w:hint="eastAsia" w:ascii="Times New Roman" w:hAnsi="Times New Roman"/>
          <w:sz w:val="24"/>
        </w:rPr>
        <w:t>) and the active NTSR1+ML301 system (</w:t>
      </w:r>
      <w:r>
        <w:rPr>
          <w:rFonts w:hint="eastAsia" w:ascii="Times New Roman" w:hAnsi="Times New Roman"/>
          <w:b/>
          <w:bCs/>
          <w:sz w:val="24"/>
        </w:rPr>
        <w:t>D</w:t>
      </w:r>
      <w:r>
        <w:rPr>
          <w:rFonts w:hint="eastAsia" w:ascii="Times New Roman" w:hAnsi="Times New Roman"/>
          <w:sz w:val="24"/>
        </w:rPr>
        <w:t xml:space="preserve">) are shown by simulation trajectory projection. </w:t>
      </w:r>
      <w:r>
        <w:rPr>
          <w:rFonts w:ascii="Times New Roman" w:hAnsi="Times New Roman"/>
          <w:sz w:val="24"/>
        </w:rPr>
        <w:t>CV</w:t>
      </w:r>
      <w:r>
        <w:rPr>
          <w:rFonts w:hint="eastAsia" w:ascii="Times New Roman" w:hAnsi="Times New Roman"/>
          <w:sz w:val="24"/>
        </w:rPr>
        <w:t xml:space="preserve">1: TM3-TM6 distance (evaluated by </w:t>
      </w:r>
      <w:r>
        <w:rPr>
          <w:rFonts w:hint="eastAsia" w:ascii="Times New Roman" w:hAnsi="Times New Roman" w:cs="Times New Roman"/>
          <w:sz w:val="24"/>
        </w:rPr>
        <w:t>the distance between the center of mass of R166</w:t>
      </w:r>
      <w:r>
        <w:rPr>
          <w:rFonts w:hint="eastAsia" w:ascii="Times New Roman" w:hAnsi="Times New Roman" w:cs="Times New Roman"/>
          <w:sz w:val="24"/>
          <w:vertAlign w:val="superscript"/>
        </w:rPr>
        <w:t>3.50</w:t>
      </w:r>
      <w:r>
        <w:rPr>
          <w:rFonts w:hint="eastAsia" w:ascii="Times New Roman" w:hAnsi="Times New Roman" w:cs="Times New Roman"/>
          <w:sz w:val="24"/>
        </w:rPr>
        <w:t xml:space="preserve"> in TM3 and V302</w:t>
      </w:r>
      <w:r>
        <w:rPr>
          <w:rFonts w:hint="eastAsia" w:ascii="Times New Roman" w:hAnsi="Times New Roman" w:cs="Times New Roman"/>
          <w:sz w:val="24"/>
          <w:vertAlign w:val="superscript"/>
        </w:rPr>
        <w:t>6.34</w:t>
      </w:r>
      <w:r>
        <w:rPr>
          <w:rFonts w:hint="eastAsia" w:ascii="Times New Roman" w:hAnsi="Times New Roman" w:cs="Times New Roman"/>
          <w:sz w:val="24"/>
        </w:rPr>
        <w:t xml:space="preserve"> in TM6</w:t>
      </w:r>
      <w:r>
        <w:rPr>
          <w:rFonts w:hint="eastAsia" w:ascii="Times New Roman" w:hAnsi="Times New Roman"/>
          <w:sz w:val="24"/>
        </w:rPr>
        <w:t xml:space="preserve">), </w:t>
      </w:r>
      <w:r>
        <w:rPr>
          <w:rFonts w:ascii="Times New Roman" w:hAnsi="Times New Roman"/>
          <w:sz w:val="24"/>
        </w:rPr>
        <w:t>CV</w:t>
      </w:r>
      <w:r>
        <w:rPr>
          <w:rFonts w:hint="eastAsia" w:ascii="Times New Roman" w:hAnsi="Times New Roman"/>
          <w:sz w:val="24"/>
        </w:rPr>
        <w:t>2: NPxxY RMSD (evaluated by RMSD of non-symmetric side-chain atoms of residues N360</w:t>
      </w:r>
      <w:r>
        <w:rPr>
          <w:rFonts w:ascii="Times New Roman" w:hAnsi="Times New Roman" w:cs="Times New Roman"/>
          <w:sz w:val="24"/>
          <w:vertAlign w:val="superscript"/>
        </w:rPr>
        <w:t>7.49</w:t>
      </w:r>
      <w:r>
        <w:rPr>
          <w:rFonts w:ascii="Times New Roman" w:hAnsi="Times New Roman"/>
          <w:sz w:val="24"/>
        </w:rPr>
        <w:t xml:space="preserve"> to </w:t>
      </w:r>
      <w:r>
        <w:rPr>
          <w:rFonts w:hint="eastAsia" w:ascii="Times New Roman" w:hAnsi="Times New Roman"/>
          <w:sz w:val="24"/>
        </w:rPr>
        <w:t>Y</w:t>
      </w:r>
      <w:r>
        <w:rPr>
          <w:rFonts w:ascii="Times New Roman" w:hAnsi="Times New Roman"/>
          <w:sz w:val="24"/>
        </w:rPr>
        <w:t>364</w:t>
      </w:r>
      <w:r>
        <w:rPr>
          <w:rFonts w:ascii="Times New Roman" w:hAnsi="Times New Roman" w:cs="Times New Roman"/>
          <w:sz w:val="24"/>
          <w:vertAlign w:val="superscript"/>
        </w:rPr>
        <w:t>7.53</w:t>
      </w:r>
      <w:r>
        <w:rPr>
          <w:rFonts w:hint="eastAsia" w:ascii="Times New Roman" w:hAnsi="Times New Roman"/>
          <w:sz w:val="24"/>
        </w:rPr>
        <w:t>). Color scale on the right is evaluated through density.</w:t>
      </w:r>
    </w:p>
    <w:p>
      <w:pPr>
        <w:spacing w:line="360" w:lineRule="auto"/>
        <w:jc w:val="both"/>
        <w:rPr>
          <w:rFonts w:hint="eastAsia" w:ascii="Times New Roman" w:hAnsi="Times New Roman" w:eastAsiaTheme="minorEastAsia"/>
          <w:sz w:val="24"/>
          <w:lang w:eastAsia="zh-CN"/>
        </w:rPr>
      </w:pPr>
    </w:p>
    <w:p>
      <w:pPr>
        <w:spacing w:line="360" w:lineRule="auto"/>
        <w:jc w:val="center"/>
        <w:rPr>
          <w:rFonts w:hint="eastAsia" w:ascii="Times New Roman" w:hAnsi="Times New Roman" w:eastAsiaTheme="minorEastAsia"/>
          <w:sz w:val="24"/>
          <w:lang w:eastAsia="zh-CN"/>
        </w:rPr>
      </w:pPr>
      <w:r>
        <w:rPr>
          <w:rFonts w:hint="eastAsia" w:ascii="Times New Roman" w:hAnsi="Times New Roman" w:eastAsiaTheme="minorEastAsia"/>
          <w:sz w:val="24"/>
          <w:lang w:eastAsia="zh-CN"/>
        </w:rPr>
        <w:drawing>
          <wp:inline distT="0" distB="0" distL="114300" distR="114300">
            <wp:extent cx="5049520" cy="4151630"/>
            <wp:effectExtent l="0" t="0" r="0" b="0"/>
            <wp:docPr id="2" name="图片 2" descr="new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new S"/>
                    <pic:cNvPicPr>
                      <a:picLocks noChangeAspect="1"/>
                    </pic:cNvPicPr>
                  </pic:nvPicPr>
                  <pic:blipFill>
                    <a:blip r:embed="rId5"/>
                    <a:srcRect r="3961" b="804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b/>
          <w:bCs/>
          <w:sz w:val="24"/>
        </w:rPr>
        <w:t>Figure S2.</w:t>
      </w:r>
      <w:r>
        <w:rPr>
          <w:rFonts w:hint="eastAsia" w:ascii="Times New Roman" w:hAnsi="Times New Roman"/>
          <w:sz w:val="24"/>
        </w:rPr>
        <w:t xml:space="preserve"> (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A</w:t>
      </w:r>
      <w:r>
        <w:rPr>
          <w:rFonts w:hint="eastAsia" w:ascii="Times New Roman" w:hAnsi="Times New Roman"/>
          <w:sz w:val="24"/>
        </w:rPr>
        <w:t>) The RMSD value of ligands in all simulations in the active NTSR1+SR48692 system (pink curve) and the active NTSR1+ML301 system (blue curve).</w:t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sz w:val="24"/>
        </w:rPr>
        <w:t>(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B</w:t>
      </w:r>
      <w:r>
        <w:rPr>
          <w:rFonts w:hint="eastAsia" w:ascii="Times New Roman" w:hAnsi="Times New Roman"/>
          <w:sz w:val="24"/>
        </w:rPr>
        <w:t>) The principal pattern of motion of the active NTSR1+SR48692 system. The sizes and lengths of the red arrows are proportional to the amplitude of motions.</w:t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sz w:val="24"/>
        </w:rPr>
        <w:t>The free energy landscape</w:t>
      </w:r>
      <w:r>
        <w:rPr>
          <w:rFonts w:ascii="Times New Roman" w:hAnsi="Times New Roman"/>
          <w:sz w:val="24"/>
        </w:rPr>
        <w:t>s</w:t>
      </w:r>
      <w:r>
        <w:rPr>
          <w:rFonts w:hint="eastAsia" w:ascii="Times New Roman" w:hAnsi="Times New Roman"/>
          <w:sz w:val="24"/>
        </w:rPr>
        <w:t xml:space="preserve"> of the active NTSR1+SR48692 system (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C</w:t>
      </w:r>
      <w:r>
        <w:rPr>
          <w:rFonts w:hint="eastAsia" w:ascii="Times New Roman" w:hAnsi="Times New Roman"/>
          <w:sz w:val="24"/>
        </w:rPr>
        <w:t>) and the active NTSR1+ML301 system (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D</w:t>
      </w:r>
      <w:r>
        <w:rPr>
          <w:rFonts w:hint="eastAsia" w:ascii="Times New Roman" w:hAnsi="Times New Roman"/>
          <w:sz w:val="24"/>
        </w:rPr>
        <w:t xml:space="preserve">) in cMD simulation. </w:t>
      </w:r>
      <w:r>
        <w:rPr>
          <w:rFonts w:ascii="Times New Roman" w:hAnsi="Times New Roman" w:cs="Times New Roman"/>
          <w:sz w:val="24"/>
        </w:rPr>
        <w:t>C</w:t>
      </w:r>
      <w:r>
        <w:rPr>
          <w:rFonts w:hint="eastAsia" w:ascii="Times New Roman" w:hAnsi="Times New Roman" w:cs="Times New Roman"/>
          <w:sz w:val="24"/>
        </w:rPr>
        <w:t>ollective variable</w:t>
      </w:r>
      <w:r>
        <w:rPr>
          <w:rFonts w:hint="eastAsia"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sz w:val="24"/>
        </w:rPr>
        <w:t>1</w:t>
      </w:r>
      <w:r>
        <w:rPr>
          <w:rFonts w:hint="eastAsia" w:ascii="Times New Roman" w:hAnsi="Times New Roman"/>
          <w:sz w:val="24"/>
          <w:lang w:val="en-US" w:eastAsia="zh-CN"/>
        </w:rPr>
        <w:t xml:space="preserve"> (</w:t>
      </w:r>
      <w:r>
        <w:rPr>
          <w:rFonts w:ascii="Times New Roman" w:hAnsi="Times New Roman"/>
          <w:sz w:val="24"/>
        </w:rPr>
        <w:t>CV</w:t>
      </w:r>
      <w:r>
        <w:rPr>
          <w:rFonts w:hint="eastAsia" w:ascii="Times New Roman" w:hAnsi="Times New Roman"/>
          <w:sz w:val="24"/>
        </w:rPr>
        <w:t>1</w:t>
      </w:r>
      <w:r>
        <w:rPr>
          <w:rFonts w:hint="eastAsia" w:ascii="Times New Roman" w:hAnsi="Times New Roman"/>
          <w:sz w:val="24"/>
          <w:lang w:val="en-US" w:eastAsia="zh-CN"/>
        </w:rPr>
        <w:t>)</w:t>
      </w:r>
      <w:r>
        <w:rPr>
          <w:rFonts w:hint="eastAsia" w:ascii="Times New Roman" w:hAnsi="Times New Roman"/>
          <w:sz w:val="24"/>
        </w:rPr>
        <w:t xml:space="preserve">: TM3-TM6 distance (evaluated by </w:t>
      </w:r>
      <w:r>
        <w:rPr>
          <w:rFonts w:hint="eastAsia" w:ascii="Times New Roman" w:hAnsi="Times New Roman" w:cs="Times New Roman"/>
          <w:sz w:val="24"/>
        </w:rPr>
        <w:t>the distance between the center of mass of R166</w:t>
      </w:r>
      <w:r>
        <w:rPr>
          <w:rFonts w:hint="eastAsia" w:ascii="Times New Roman" w:hAnsi="Times New Roman" w:cs="Times New Roman"/>
          <w:sz w:val="24"/>
          <w:vertAlign w:val="superscript"/>
        </w:rPr>
        <w:t>3.50</w:t>
      </w:r>
      <w:r>
        <w:rPr>
          <w:rFonts w:hint="eastAsia" w:ascii="Times New Roman" w:hAnsi="Times New Roman" w:cs="Times New Roman"/>
          <w:sz w:val="24"/>
        </w:rPr>
        <w:t xml:space="preserve"> in TM3 and V302</w:t>
      </w:r>
      <w:r>
        <w:rPr>
          <w:rFonts w:hint="eastAsia" w:ascii="Times New Roman" w:hAnsi="Times New Roman" w:cs="Times New Roman"/>
          <w:sz w:val="24"/>
          <w:vertAlign w:val="superscript"/>
        </w:rPr>
        <w:t>6.34</w:t>
      </w:r>
      <w:r>
        <w:rPr>
          <w:rFonts w:hint="eastAsia" w:ascii="Times New Roman" w:hAnsi="Times New Roman" w:cs="Times New Roman"/>
          <w:sz w:val="24"/>
        </w:rPr>
        <w:t xml:space="preserve"> in TM6</w:t>
      </w:r>
      <w:r>
        <w:rPr>
          <w:rFonts w:hint="eastAsia" w:ascii="Times New Roman" w:hAnsi="Times New Roman"/>
          <w:sz w:val="24"/>
        </w:rPr>
        <w:t xml:space="preserve">), </w:t>
      </w:r>
      <w:r>
        <w:rPr>
          <w:rFonts w:ascii="Times New Roman" w:hAnsi="Times New Roman"/>
          <w:sz w:val="24"/>
        </w:rPr>
        <w:t>CV</w:t>
      </w:r>
      <w:r>
        <w:rPr>
          <w:rFonts w:hint="eastAsia" w:ascii="Times New Roman" w:hAnsi="Times New Roman"/>
          <w:sz w:val="24"/>
        </w:rPr>
        <w:t>2: NPxxY RMSD (evaluated by RMSD of non-symmetric side-chain atoms of residues N360</w:t>
      </w:r>
      <w:r>
        <w:rPr>
          <w:rFonts w:ascii="Times New Roman" w:hAnsi="Times New Roman" w:cs="Times New Roman"/>
          <w:sz w:val="24"/>
          <w:vertAlign w:val="superscript"/>
        </w:rPr>
        <w:t>7.49</w:t>
      </w:r>
      <w:r>
        <w:rPr>
          <w:rFonts w:ascii="Times New Roman" w:hAnsi="Times New Roman"/>
          <w:sz w:val="24"/>
        </w:rPr>
        <w:t xml:space="preserve"> to </w:t>
      </w:r>
      <w:r>
        <w:rPr>
          <w:rFonts w:hint="eastAsia" w:ascii="Times New Roman" w:hAnsi="Times New Roman"/>
          <w:sz w:val="24"/>
        </w:rPr>
        <w:t>Y</w:t>
      </w:r>
      <w:r>
        <w:rPr>
          <w:rFonts w:ascii="Times New Roman" w:hAnsi="Times New Roman"/>
          <w:sz w:val="24"/>
        </w:rPr>
        <w:t>364</w:t>
      </w:r>
      <w:r>
        <w:rPr>
          <w:rFonts w:ascii="Times New Roman" w:hAnsi="Times New Roman" w:cs="Times New Roman"/>
          <w:sz w:val="24"/>
          <w:vertAlign w:val="superscript"/>
        </w:rPr>
        <w:t>7.53</w:t>
      </w:r>
      <w:r>
        <w:rPr>
          <w:rFonts w:hint="eastAsia" w:ascii="Times New Roman" w:hAnsi="Times New Roman"/>
          <w:sz w:val="24"/>
        </w:rPr>
        <w:t>). The unit of free energy values is kcal/mol. Color scale on the right is evaluated through free energy.</w:t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5179695" cy="4929505"/>
            <wp:effectExtent l="0" t="0" r="0" b="0"/>
            <wp:docPr id="7" name="图片 7" descr="Figure S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-3"/>
                    <pic:cNvPicPr>
                      <a:picLocks noChangeAspect="1"/>
                    </pic:cNvPicPr>
                  </pic:nvPicPr>
                  <pic:blipFill>
                    <a:blip r:embed="rId6"/>
                    <a:srcRect r="1486" b="18975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S3.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Implied timescale test for MSMs in</w:t>
      </w:r>
      <w:r>
        <w:rPr>
          <w:rFonts w:hint="eastAsia" w:ascii="Times New Roman" w:hAnsi="Times New Roman"/>
          <w:sz w:val="24"/>
        </w:rPr>
        <w:t xml:space="preserve"> the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>active NTSR1+SR48692 system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b/>
          <w:bCs/>
          <w:sz w:val="24"/>
        </w:rPr>
        <w:t>A</w:t>
      </w:r>
      <w:r>
        <w:rPr>
          <w:rFonts w:ascii="Times New Roman" w:hAnsi="Times New Roman"/>
          <w:sz w:val="24"/>
        </w:rPr>
        <w:t xml:space="preserve">) and </w:t>
      </w:r>
      <w:r>
        <w:rPr>
          <w:rFonts w:hint="eastAsia" w:ascii="Times New Roman" w:hAnsi="Times New Roman"/>
          <w:sz w:val="24"/>
        </w:rPr>
        <w:t>the active NTSR1+ML301 system</w:t>
      </w:r>
      <w:r>
        <w:rPr>
          <w:rFonts w:ascii="Times New Roman" w:hAnsi="Times New Roman"/>
          <w:sz w:val="24"/>
        </w:rPr>
        <w:t xml:space="preserve"> (</w:t>
      </w:r>
      <w:r>
        <w:rPr>
          <w:rFonts w:hint="eastAsia" w:ascii="Times New Roman" w:hAnsi="Times New Roman"/>
          <w:b/>
          <w:bCs/>
          <w:sz w:val="24"/>
        </w:rPr>
        <w:t>B</w:t>
      </w:r>
      <w:r>
        <w:rPr>
          <w:rFonts w:ascii="Times New Roman" w:hAnsi="Times New Roman"/>
          <w:sz w:val="24"/>
        </w:rPr>
        <w:t>) at different lag times. Blue, red, green, and cyan lines show the timescale τ1, τ2, τ3 and τ4. Black line represents x=y in logarithmic coordinates, which separates the area where the dynamics of the processes is resolvable (white) from the non-resolvable area (grey). Chapman-Kolmogorov test of metastable states for</w:t>
      </w:r>
      <w:r>
        <w:rPr>
          <w:rFonts w:hint="eastAsia" w:ascii="Times New Roman" w:hAnsi="Times New Roman"/>
          <w:sz w:val="24"/>
        </w:rPr>
        <w:t xml:space="preserve"> the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>active NTSR1+SR48692 system</w:t>
      </w:r>
      <w:r>
        <w:rPr>
          <w:rFonts w:ascii="Times New Roman" w:hAnsi="Times New Roman"/>
          <w:sz w:val="24"/>
        </w:rPr>
        <w:t xml:space="preserve"> (</w:t>
      </w:r>
      <w:r>
        <w:rPr>
          <w:rFonts w:hint="eastAsia" w:ascii="Times New Roman" w:hAnsi="Times New Roman"/>
          <w:b/>
          <w:bCs/>
          <w:sz w:val="24"/>
        </w:rPr>
        <w:t>C</w:t>
      </w:r>
      <w:r>
        <w:rPr>
          <w:rFonts w:ascii="Times New Roman" w:hAnsi="Times New Roman"/>
          <w:sz w:val="24"/>
        </w:rPr>
        <w:t xml:space="preserve">) and </w:t>
      </w:r>
      <w:r>
        <w:rPr>
          <w:rFonts w:hint="eastAsia" w:ascii="Times New Roman" w:hAnsi="Times New Roman"/>
          <w:sz w:val="24"/>
        </w:rPr>
        <w:t>the active NTSR1+ML301 system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b/>
          <w:bCs/>
          <w:sz w:val="24"/>
        </w:rPr>
        <w:t>D</w:t>
      </w:r>
      <w:r>
        <w:rPr>
          <w:rFonts w:ascii="Times New Roman" w:hAnsi="Times New Roman"/>
          <w:sz w:val="24"/>
        </w:rPr>
        <w:t>). The black solid estimate lines are the transition probability predicted by MSMs, while the blue dotted predict lines are practical transition probability observed in trajectories.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ascii="Times New Roman" w:hAnsi="Times New Roman" w:cs="Times New Roman"/>
          <w:sz w:val="24"/>
        </w:rPr>
        <w:t>Table S1.</w:t>
      </w:r>
      <w:r>
        <w:rPr>
          <w:rFonts w:hint="eastAsia" w:ascii="Times New Roman" w:hAnsi="Times New Roman" w:cs="Times New Roman"/>
          <w:sz w:val="24"/>
        </w:rPr>
        <w:t xml:space="preserve"> Frequency of Y319</w:t>
      </w:r>
      <w:r>
        <w:rPr>
          <w:rFonts w:hint="eastAsia" w:ascii="Times New Roman" w:hAnsi="Times New Roman" w:cs="Times New Roman"/>
          <w:sz w:val="24"/>
          <w:vertAlign w:val="superscript"/>
        </w:rPr>
        <w:t>6.51</w:t>
      </w:r>
      <w:r>
        <w:rPr>
          <w:rFonts w:hint="eastAsia" w:ascii="Times New Roman" w:hAnsi="Times New Roman" w:cs="Times New Roman"/>
          <w:sz w:val="24"/>
        </w:rPr>
        <w:t>-F353</w:t>
      </w:r>
      <w:r>
        <w:rPr>
          <w:rFonts w:hint="eastAsia" w:ascii="Times New Roman" w:hAnsi="Times New Roman" w:cs="Times New Roman"/>
          <w:sz w:val="24"/>
          <w:vertAlign w:val="superscript"/>
        </w:rPr>
        <w:t>7.42</w:t>
      </w:r>
      <w:r>
        <w:rPr>
          <w:rFonts w:hint="eastAsia" w:ascii="Times New Roman" w:hAnsi="Times New Roman" w:cs="Times New Roman"/>
          <w:sz w:val="24"/>
        </w:rPr>
        <w:t xml:space="preserve"> and F353</w:t>
      </w:r>
      <w:r>
        <w:rPr>
          <w:rFonts w:hint="eastAsia" w:ascii="Times New Roman" w:hAnsi="Times New Roman" w:cs="Times New Roman"/>
          <w:sz w:val="24"/>
          <w:vertAlign w:val="superscript"/>
        </w:rPr>
        <w:t>7.42</w:t>
      </w:r>
      <w:r>
        <w:rPr>
          <w:rFonts w:hint="eastAsia" w:ascii="Times New Roman" w:hAnsi="Times New Roman" w:cs="Times New Roman"/>
          <w:sz w:val="24"/>
        </w:rPr>
        <w:t>-R148</w:t>
      </w:r>
      <w:r>
        <w:rPr>
          <w:rFonts w:hint="eastAsia" w:ascii="Times New Roman" w:hAnsi="Times New Roman" w:cs="Times New Roman"/>
          <w:sz w:val="24"/>
          <w:vertAlign w:val="superscript"/>
        </w:rPr>
        <w:t>3.32</w:t>
      </w:r>
      <w:r>
        <w:rPr>
          <w:rFonts w:hint="eastAsia" w:ascii="Times New Roman" w:hAnsi="Times New Roman" w:cs="Times New Roman"/>
          <w:sz w:val="24"/>
        </w:rPr>
        <w:t xml:space="preserve"> interaction in the representative trajectories in the active NTSR1+SR48692 system and the active NTSR1+ML301 system.</w:t>
      </w: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854575" cy="1326515"/>
            <wp:effectExtent l="0" t="0" r="6985" b="14605"/>
            <wp:docPr id="5" name="图片 5" descr="frequ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requency"/>
                    <pic:cNvPicPr>
                      <a:picLocks noChangeAspect="1"/>
                    </pic:cNvPicPr>
                  </pic:nvPicPr>
                  <pic:blipFill>
                    <a:blip r:embed="rId7"/>
                    <a:srcRect l="4485" t="36091" r="8934" b="21860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6F5A6646"/>
    <w:rsid w:val="00047704"/>
    <w:rsid w:val="002527F5"/>
    <w:rsid w:val="00C73555"/>
    <w:rsid w:val="00F05BFF"/>
    <w:rsid w:val="00F3742B"/>
    <w:rsid w:val="0B4765DB"/>
    <w:rsid w:val="0C5F164F"/>
    <w:rsid w:val="17CC0594"/>
    <w:rsid w:val="1B87471A"/>
    <w:rsid w:val="22873A35"/>
    <w:rsid w:val="26542E4E"/>
    <w:rsid w:val="2EB64BBB"/>
    <w:rsid w:val="314B26DB"/>
    <w:rsid w:val="335C2374"/>
    <w:rsid w:val="458F7454"/>
    <w:rsid w:val="494931D0"/>
    <w:rsid w:val="4FE821E7"/>
    <w:rsid w:val="60EA4DA0"/>
    <w:rsid w:val="61506CC9"/>
    <w:rsid w:val="642D5C18"/>
    <w:rsid w:val="672506F4"/>
    <w:rsid w:val="687234C5"/>
    <w:rsid w:val="69DC778F"/>
    <w:rsid w:val="6EE3336E"/>
    <w:rsid w:val="6F5A6646"/>
    <w:rsid w:val="70EA0A40"/>
    <w:rsid w:val="7E71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358</Words>
  <Characters>2041</Characters>
  <Lines>17</Lines>
  <Paragraphs>4</Paragraphs>
  <TotalTime>3</TotalTime>
  <ScaleCrop>false</ScaleCrop>
  <LinksUpToDate>false</LinksUpToDate>
  <CharactersWithSpaces>2395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2023-05-27T07:01:00Z</dcterms:created>
  <dc:creator>WPS_1668081853</dc:creator>
  <cp:lastModifiedBy>WPS_1668081853</cp:lastModifiedBy>
  <dcterms:modified xsi:type="dcterms:W3CDTF">2023-06-14T01:03:01Z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1435D84BA5B244209C57774597D1AC5E_13</vt:lpwstr>
  </property>
</Properties>
</file>