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3C428" w14:textId="77777777" w:rsidR="008E06D9" w:rsidRDefault="008E06D9" w:rsidP="008E06D9">
      <w:pPr>
        <w:pStyle w:val="1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9B428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Supplementary materials</w:t>
      </w:r>
    </w:p>
    <w:p w14:paraId="7829240B" w14:textId="77777777" w:rsidR="008E06D9" w:rsidRDefault="008E06D9" w:rsidP="008E06D9">
      <w:pPr>
        <w:pStyle w:val="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4173A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Localized permeability of blood brain barrier for antibody-conjugates in the cuprizone model of </w:t>
      </w:r>
    </w:p>
    <w:p w14:paraId="5D58C164" w14:textId="77777777" w:rsidR="008E06D9" w:rsidRPr="004173A5" w:rsidRDefault="008E06D9" w:rsidP="008E06D9">
      <w:pPr>
        <w:pStyle w:val="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4173A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demyelination</w:t>
      </w:r>
    </w:p>
    <w:p w14:paraId="30FFFBDC" w14:textId="77777777" w:rsidR="008E06D9" w:rsidRPr="00553921" w:rsidRDefault="008E06D9" w:rsidP="008E06D9">
      <w:pPr>
        <w:pStyle w:val="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</w:pPr>
      <w:r w:rsidRPr="004173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Tatiana Abakumova, Anastasia </w:t>
      </w:r>
      <w:proofErr w:type="spellStart"/>
      <w:r w:rsidRPr="004173A5">
        <w:rPr>
          <w:rFonts w:ascii="Times New Roman" w:eastAsia="Times New Roman" w:hAnsi="Times New Roman" w:cs="Times New Roman"/>
          <w:sz w:val="24"/>
          <w:szCs w:val="24"/>
          <w:lang w:val="en-US"/>
        </w:rPr>
        <w:t>Kuzkina</w:t>
      </w:r>
      <w:proofErr w:type="spellEnd"/>
      <w:r w:rsidRPr="004173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Philipp Koshkin, Daria </w:t>
      </w:r>
      <w:proofErr w:type="spellStart"/>
      <w:r w:rsidRPr="004173A5">
        <w:rPr>
          <w:rFonts w:ascii="Times New Roman" w:eastAsia="Times New Roman" w:hAnsi="Times New Roman" w:cs="Times New Roman"/>
          <w:sz w:val="24"/>
          <w:szCs w:val="24"/>
          <w:lang w:val="en-US"/>
        </w:rPr>
        <w:t>Pozdeeva</w:t>
      </w:r>
      <w:proofErr w:type="spellEnd"/>
      <w:r w:rsidRPr="004173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Maxim </w:t>
      </w:r>
      <w:proofErr w:type="spellStart"/>
      <w:proofErr w:type="gramStart"/>
      <w:r w:rsidRPr="004173A5">
        <w:rPr>
          <w:rFonts w:ascii="Times New Roman" w:eastAsia="Times New Roman" w:hAnsi="Times New Roman" w:cs="Times New Roman"/>
          <w:sz w:val="24"/>
          <w:szCs w:val="24"/>
          <w:lang w:val="en-US"/>
        </w:rPr>
        <w:t>Abakumov</w:t>
      </w:r>
      <w:proofErr w:type="spellEnd"/>
      <w:r w:rsidRPr="004173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,</w:t>
      </w:r>
      <w:proofErr w:type="gramEnd"/>
      <w:r w:rsidRPr="004173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Pavel Melnikov, </w:t>
      </w:r>
      <w:proofErr w:type="spellStart"/>
      <w:r w:rsidRPr="004173A5">
        <w:rPr>
          <w:rFonts w:ascii="Times New Roman" w:eastAsia="Times New Roman" w:hAnsi="Times New Roman" w:cs="Times New Roman"/>
          <w:sz w:val="24"/>
          <w:szCs w:val="24"/>
          <w:lang w:val="en-US"/>
        </w:rPr>
        <w:t>Klavdia</w:t>
      </w:r>
      <w:proofErr w:type="spellEnd"/>
      <w:r w:rsidRPr="004173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3A5">
        <w:rPr>
          <w:rFonts w:ascii="Times New Roman" w:eastAsia="Times New Roman" w:hAnsi="Times New Roman" w:cs="Times New Roman"/>
          <w:sz w:val="24"/>
          <w:szCs w:val="24"/>
          <w:lang w:val="en-US"/>
        </w:rPr>
        <w:t>Ionova</w:t>
      </w:r>
      <w:proofErr w:type="spellEnd"/>
      <w:r w:rsidRPr="004173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Ilia </w:t>
      </w:r>
      <w:proofErr w:type="spellStart"/>
      <w:r w:rsidRPr="004173A5">
        <w:rPr>
          <w:rFonts w:ascii="Times New Roman" w:eastAsia="Times New Roman" w:hAnsi="Times New Roman" w:cs="Times New Roman"/>
          <w:sz w:val="24"/>
          <w:szCs w:val="24"/>
          <w:lang w:val="en-US"/>
        </w:rPr>
        <w:t>Gubskii</w:t>
      </w:r>
      <w:proofErr w:type="spellEnd"/>
      <w:r w:rsidRPr="004173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Olga </w:t>
      </w:r>
      <w:proofErr w:type="spellStart"/>
      <w:r w:rsidRPr="004173A5">
        <w:rPr>
          <w:rFonts w:ascii="Times New Roman" w:eastAsia="Times New Roman" w:hAnsi="Times New Roman" w:cs="Times New Roman"/>
          <w:sz w:val="24"/>
          <w:szCs w:val="24"/>
          <w:lang w:val="en-US"/>
        </w:rPr>
        <w:t>Gurina</w:t>
      </w:r>
      <w:proofErr w:type="spellEnd"/>
      <w:r w:rsidRPr="004173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Natalia </w:t>
      </w:r>
      <w:proofErr w:type="spellStart"/>
      <w:r w:rsidRPr="004173A5">
        <w:rPr>
          <w:rFonts w:ascii="Times New Roman" w:eastAsia="Times New Roman" w:hAnsi="Times New Roman" w:cs="Times New Roman"/>
          <w:sz w:val="24"/>
          <w:szCs w:val="24"/>
          <w:lang w:val="en-US"/>
        </w:rPr>
        <w:t>Nukolova</w:t>
      </w:r>
      <w:proofErr w:type="spellEnd"/>
      <w:r w:rsidRPr="004173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Vladimir </w:t>
      </w:r>
      <w:proofErr w:type="spellStart"/>
      <w:r w:rsidRPr="004173A5">
        <w:rPr>
          <w:rFonts w:ascii="Times New Roman" w:eastAsia="Times New Roman" w:hAnsi="Times New Roman" w:cs="Times New Roman"/>
          <w:sz w:val="24"/>
          <w:szCs w:val="24"/>
          <w:lang w:val="en-US"/>
        </w:rPr>
        <w:t>Chekhonin</w:t>
      </w:r>
      <w:proofErr w:type="spellEnd"/>
    </w:p>
    <w:p w14:paraId="676DFB4A" w14:textId="77777777" w:rsidR="008E06D9" w:rsidRPr="008F741D" w:rsidRDefault="008E06D9" w:rsidP="008E06D9">
      <w:pPr>
        <w:pStyle w:val="1"/>
        <w:ind w:left="1260"/>
        <w:jc w:val="both"/>
        <w:rPr>
          <w:rFonts w:ascii="Palatino Linotype" w:eastAsia="Times New Roman" w:hAnsi="Palatino Linotype" w:cs="Times New Roman"/>
          <w:noProof/>
          <w:sz w:val="20"/>
          <w:szCs w:val="20"/>
          <w:lang w:val="en-US"/>
        </w:rPr>
      </w:pPr>
      <w:r w:rsidRPr="008F741D">
        <w:rPr>
          <w:rFonts w:ascii="Palatino Linotype" w:eastAsia="Times New Roman" w:hAnsi="Palatino Linotype" w:cs="Times New Roman"/>
          <w:noProof/>
          <w:sz w:val="20"/>
          <w:szCs w:val="20"/>
          <w:lang w:val="en-US"/>
        </w:rPr>
        <w:t>Table S1. Specific primers for qPCR used in the study</w:t>
      </w:r>
    </w:p>
    <w:tbl>
      <w:tblPr>
        <w:tblStyle w:val="10"/>
        <w:tblW w:w="8850" w:type="dxa"/>
        <w:tblInd w:w="630" w:type="dxa"/>
        <w:tblBorders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35"/>
        <w:gridCol w:w="3870"/>
        <w:gridCol w:w="3945"/>
      </w:tblGrid>
      <w:tr w:rsidR="008E06D9" w:rsidRPr="00553921" w14:paraId="31740477" w14:textId="77777777" w:rsidTr="005C5864">
        <w:trPr>
          <w:trHeight w:val="235"/>
        </w:trPr>
        <w:tc>
          <w:tcPr>
            <w:tcW w:w="1035" w:type="dxa"/>
            <w:tcBorders>
              <w:top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E33F5" w14:textId="77777777" w:rsidR="008E06D9" w:rsidRPr="00C8106E" w:rsidRDefault="008E06D9" w:rsidP="005C58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b/>
                <w:bCs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BEAF6" w14:textId="77777777" w:rsidR="008E06D9" w:rsidRPr="00C8106E" w:rsidRDefault="008E06D9" w:rsidP="005C58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b/>
                <w:bCs/>
              </w:rPr>
            </w:pPr>
            <w:r w:rsidRPr="00C8106E">
              <w:rPr>
                <w:rFonts w:eastAsia="Times New Roman"/>
                <w:b/>
                <w:bCs/>
              </w:rPr>
              <w:t>Forward primer</w:t>
            </w:r>
          </w:p>
        </w:tc>
        <w:tc>
          <w:tcPr>
            <w:tcW w:w="3945" w:type="dxa"/>
            <w:tcBorders>
              <w:top w:val="nil"/>
              <w:left w:val="nil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1B89C" w14:textId="77777777" w:rsidR="008E06D9" w:rsidRPr="00C8106E" w:rsidRDefault="008E06D9" w:rsidP="005C58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b/>
                <w:bCs/>
              </w:rPr>
            </w:pPr>
            <w:r w:rsidRPr="00C8106E">
              <w:rPr>
                <w:rFonts w:eastAsia="Times New Roman"/>
                <w:b/>
                <w:bCs/>
              </w:rPr>
              <w:t>Reverse primer</w:t>
            </w:r>
          </w:p>
        </w:tc>
      </w:tr>
      <w:tr w:rsidR="008E06D9" w:rsidRPr="00553921" w14:paraId="329AF32D" w14:textId="77777777" w:rsidTr="005C5864">
        <w:trPr>
          <w:trHeight w:val="353"/>
        </w:trPr>
        <w:tc>
          <w:tcPr>
            <w:tcW w:w="1035" w:type="dxa"/>
            <w:tcBorders>
              <w:top w:val="single" w:sz="4" w:space="0" w:color="auto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C0583" w14:textId="77777777" w:rsidR="008E06D9" w:rsidRPr="00553921" w:rsidRDefault="008E06D9" w:rsidP="005C58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</w:rPr>
            </w:pPr>
            <w:r w:rsidRPr="00553921">
              <w:rPr>
                <w:rFonts w:eastAsia="Times New Roman"/>
              </w:rPr>
              <w:t>MBP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C3E3A" w14:textId="77777777" w:rsidR="008E06D9" w:rsidRPr="00553921" w:rsidRDefault="008E06D9" w:rsidP="005C58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</w:rPr>
            </w:pPr>
            <w:r w:rsidRPr="00553921">
              <w:rPr>
                <w:rFonts w:eastAsia="Times New Roman"/>
              </w:rPr>
              <w:t>GACTCACACACGAGAACTACC</w:t>
            </w: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C321A" w14:textId="77777777" w:rsidR="008E06D9" w:rsidRPr="00553921" w:rsidRDefault="008E06D9" w:rsidP="005C58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</w:rPr>
            </w:pPr>
            <w:r w:rsidRPr="00553921">
              <w:rPr>
                <w:rFonts w:eastAsia="Times New Roman"/>
              </w:rPr>
              <w:t>GAAGAAATGGACTACTGGGTTT</w:t>
            </w:r>
          </w:p>
        </w:tc>
      </w:tr>
      <w:tr w:rsidR="008E06D9" w:rsidRPr="00553921" w14:paraId="553B0EDF" w14:textId="77777777" w:rsidTr="005C5864">
        <w:trPr>
          <w:trHeight w:val="377"/>
        </w:trPr>
        <w:tc>
          <w:tcPr>
            <w:tcW w:w="1035" w:type="dxa"/>
            <w:tcBorders>
              <w:top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FD61E" w14:textId="77777777" w:rsidR="008E06D9" w:rsidRPr="00553921" w:rsidRDefault="008E06D9" w:rsidP="005C58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</w:rPr>
            </w:pPr>
            <w:r w:rsidRPr="00553921">
              <w:rPr>
                <w:rFonts w:eastAsia="Times New Roman"/>
              </w:rPr>
              <w:t>PLP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635C2" w14:textId="77777777" w:rsidR="008E06D9" w:rsidRPr="00553921" w:rsidRDefault="008E06D9" w:rsidP="005C58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</w:rPr>
            </w:pPr>
            <w:r w:rsidRPr="00553921">
              <w:rPr>
                <w:rFonts w:eastAsia="Times New Roman"/>
              </w:rPr>
              <w:t>ACCTGTTTATTGCTGCGTTTGTG</w:t>
            </w:r>
          </w:p>
        </w:tc>
        <w:tc>
          <w:tcPr>
            <w:tcW w:w="3945" w:type="dxa"/>
            <w:tcBorders>
              <w:top w:val="nil"/>
              <w:left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92CDE" w14:textId="77777777" w:rsidR="008E06D9" w:rsidRPr="00553921" w:rsidRDefault="008E06D9" w:rsidP="005C58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</w:rPr>
            </w:pPr>
            <w:r w:rsidRPr="00553921">
              <w:rPr>
                <w:rFonts w:eastAsia="Times New Roman"/>
              </w:rPr>
              <w:t>TTAAGGACGGCGAAGTTGTAAGT</w:t>
            </w:r>
          </w:p>
        </w:tc>
      </w:tr>
      <w:tr w:rsidR="008E06D9" w14:paraId="3FFAD38E" w14:textId="77777777" w:rsidTr="005C5864">
        <w:trPr>
          <w:trHeight w:val="500"/>
        </w:trPr>
        <w:tc>
          <w:tcPr>
            <w:tcW w:w="1035" w:type="dxa"/>
            <w:tcBorders>
              <w:top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67320" w14:textId="77777777" w:rsidR="008E06D9" w:rsidRPr="00553921" w:rsidRDefault="008E06D9" w:rsidP="005C58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</w:rPr>
            </w:pPr>
            <w:r w:rsidRPr="00553921">
              <w:rPr>
                <w:rFonts w:eastAsia="Times New Roman"/>
              </w:rPr>
              <w:t>HPRT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B84F7" w14:textId="77777777" w:rsidR="008E06D9" w:rsidRPr="00553921" w:rsidRDefault="008E06D9" w:rsidP="005C58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</w:rPr>
            </w:pPr>
            <w:r w:rsidRPr="00553921">
              <w:rPr>
                <w:rFonts w:eastAsia="Times New Roman"/>
              </w:rPr>
              <w:t>CGAGGAGTCCTGTTGATGTTG</w:t>
            </w:r>
          </w:p>
        </w:tc>
        <w:tc>
          <w:tcPr>
            <w:tcW w:w="3945" w:type="dxa"/>
            <w:tcBorders>
              <w:top w:val="nil"/>
              <w:left w:val="nil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8D89C" w14:textId="77777777" w:rsidR="008E06D9" w:rsidRPr="00D178F7" w:rsidRDefault="008E06D9" w:rsidP="005C58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</w:rPr>
            </w:pPr>
            <w:r w:rsidRPr="00553921">
              <w:rPr>
                <w:rFonts w:eastAsia="Times New Roman"/>
              </w:rPr>
              <w:t>GATAAGCGACAATCTACCAGAGG</w:t>
            </w:r>
          </w:p>
        </w:tc>
      </w:tr>
    </w:tbl>
    <w:p w14:paraId="1492C43B" w14:textId="77777777" w:rsidR="008E06D9" w:rsidRPr="008021B1" w:rsidRDefault="008E06D9" w:rsidP="008E06D9">
      <w:pPr>
        <w:pStyle w:val="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val="en-US"/>
        </w:rPr>
      </w:pPr>
    </w:p>
    <w:p w14:paraId="5D7ED683" w14:textId="77777777" w:rsidR="008E06D9" w:rsidRPr="009B4287" w:rsidRDefault="008E06D9" w:rsidP="008E06D9">
      <w:pPr>
        <w:pStyle w:val="1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08CB508" wp14:editId="7109DBD4">
            <wp:extent cx="3905250" cy="2673350"/>
            <wp:effectExtent l="0" t="0" r="0" b="0"/>
            <wp:docPr id="923577966" name="Рисунок 92357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83994" w14:textId="77777777" w:rsidR="008E06D9" w:rsidRPr="008F741D" w:rsidRDefault="008E06D9" w:rsidP="008E06D9">
      <w:pPr>
        <w:pStyle w:val="1"/>
        <w:ind w:left="510" w:firstLine="510"/>
        <w:jc w:val="both"/>
        <w:rPr>
          <w:rFonts w:ascii="Palatino Linotype" w:eastAsia="Times New Roman" w:hAnsi="Palatino Linotype" w:cs="Times New Roman"/>
          <w:noProof/>
          <w:sz w:val="20"/>
          <w:szCs w:val="20"/>
          <w:lang w:val="en-US"/>
        </w:rPr>
      </w:pPr>
      <w:r w:rsidRPr="008F741D">
        <w:rPr>
          <w:rFonts w:ascii="Palatino Linotype" w:eastAsia="Times New Roman" w:hAnsi="Palatino Linotype" w:cs="Times New Roman"/>
          <w:noProof/>
          <w:sz w:val="20"/>
          <w:szCs w:val="20"/>
          <w:lang w:val="en-US"/>
        </w:rPr>
        <w:t>Figure S1. Plot of the weight loss during cuprizone diet</w:t>
      </w:r>
      <w:r w:rsidRPr="008F741D" w:rsidDel="00535F81">
        <w:rPr>
          <w:rFonts w:ascii="Palatino Linotype" w:eastAsia="Times New Roman" w:hAnsi="Palatino Linotype" w:cs="Times New Roman"/>
          <w:noProof/>
          <w:sz w:val="20"/>
          <w:szCs w:val="20"/>
          <w:lang w:val="en-US"/>
        </w:rPr>
        <w:t xml:space="preserve"> </w:t>
      </w:r>
    </w:p>
    <w:p w14:paraId="7EC5C25F" w14:textId="77777777" w:rsidR="008E06D9" w:rsidRPr="004538A8" w:rsidRDefault="008E06D9" w:rsidP="008E06D9">
      <w:pPr>
        <w:pStyle w:val="1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lastRenderedPageBreak/>
        <w:drawing>
          <wp:inline distT="0" distB="0" distL="0" distR="0" wp14:anchorId="224351BF" wp14:editId="0BA3DE70">
            <wp:extent cx="5940425" cy="40119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EAE07" w14:textId="77777777" w:rsidR="008E06D9" w:rsidRPr="008F741D" w:rsidRDefault="008E06D9" w:rsidP="008E06D9">
      <w:pPr>
        <w:pStyle w:val="1"/>
        <w:jc w:val="both"/>
        <w:rPr>
          <w:rFonts w:ascii="Palatino Linotype" w:eastAsia="Times New Roman" w:hAnsi="Palatino Linotype" w:cs="Times New Roman"/>
          <w:noProof/>
          <w:sz w:val="20"/>
          <w:szCs w:val="20"/>
          <w:lang w:val="en-US"/>
        </w:rPr>
      </w:pPr>
      <w:r w:rsidRPr="008F741D">
        <w:rPr>
          <w:rFonts w:ascii="Palatino Linotype" w:eastAsia="Times New Roman" w:hAnsi="Palatino Linotype" w:cs="Times New Roman"/>
          <w:noProof/>
          <w:sz w:val="20"/>
          <w:szCs w:val="20"/>
          <w:lang w:val="en-US"/>
        </w:rPr>
        <w:t>Figure S2. Non-specific IgG were used as control for demyelinated (A) and remyelinated (B) brain in immunohistochemical analysis of cuprizone-treated mice and non-treated healthy control mice (C)</w:t>
      </w:r>
    </w:p>
    <w:p w14:paraId="4526EB3B" w14:textId="77777777" w:rsidR="008E06D9" w:rsidRDefault="008E06D9" w:rsidP="008E06D9">
      <w:pPr>
        <w:pStyle w:val="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11B021E" w14:textId="77777777" w:rsidR="008E06D9" w:rsidRDefault="008E06D9" w:rsidP="008E06D9">
      <w:pPr>
        <w:pStyle w:val="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42CD78C" w14:textId="77777777" w:rsidR="008E06D9" w:rsidRPr="00660F26" w:rsidRDefault="008E06D9" w:rsidP="008E06D9">
      <w:pPr>
        <w:pStyle w:val="1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60F2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8991E32" wp14:editId="15281DC9">
            <wp:extent cx="4065271" cy="39935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956" cy="399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55D480" w14:textId="77777777" w:rsidR="008E06D9" w:rsidRPr="008F741D" w:rsidRDefault="008E06D9" w:rsidP="008E06D9">
      <w:pPr>
        <w:pStyle w:val="1"/>
        <w:jc w:val="both"/>
        <w:rPr>
          <w:rFonts w:ascii="Palatino Linotype" w:eastAsia="Times New Roman" w:hAnsi="Palatino Linotype" w:cs="Times New Roman"/>
          <w:noProof/>
          <w:sz w:val="20"/>
          <w:szCs w:val="20"/>
          <w:lang w:val="en-US"/>
        </w:rPr>
      </w:pPr>
      <w:r w:rsidRPr="008F741D">
        <w:rPr>
          <w:rFonts w:ascii="Palatino Linotype" w:eastAsia="Times New Roman" w:hAnsi="Palatino Linotype" w:cs="Times New Roman"/>
          <w:noProof/>
          <w:sz w:val="20"/>
          <w:szCs w:val="20"/>
          <w:lang w:val="en-US"/>
        </w:rPr>
        <w:t>Figure S3. Evans blue accumulation in cuprizone-intoxicated mice (A,C) and C6 glioma (B, D) model using IVIS Spectrum CT. **-p-value&lt;0.005, ns-non-significant (in comparison with control)</w:t>
      </w:r>
    </w:p>
    <w:p w14:paraId="42C61224" w14:textId="77777777" w:rsidR="008E06D9" w:rsidRDefault="008E06D9" w:rsidP="008E06D9">
      <w:pPr>
        <w:pStyle w:val="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3F0B75A5" wp14:editId="35AD1BAD">
            <wp:extent cx="4070350" cy="3175000"/>
            <wp:effectExtent l="0" t="0" r="0" b="0"/>
            <wp:docPr id="103314076" name="Рисунок 103314076" descr="Изображение выглядит как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4076" name="Рисунок 103314076" descr="Изображение выглядит как логотип&#10;&#10;Автоматически созданное описание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85" b="5301"/>
                    <a:stretch/>
                  </pic:blipFill>
                  <pic:spPr bwMode="auto">
                    <a:xfrm>
                      <a:off x="0" y="0"/>
                      <a:ext cx="4070444" cy="3175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2CF49" w14:textId="77777777" w:rsidR="008E06D9" w:rsidRPr="008F741D" w:rsidRDefault="008E06D9" w:rsidP="008E06D9">
      <w:pPr>
        <w:pStyle w:val="1"/>
        <w:jc w:val="both"/>
        <w:rPr>
          <w:rFonts w:ascii="Palatino Linotype" w:eastAsia="Times New Roman" w:hAnsi="Palatino Linotype" w:cs="Times New Roman"/>
          <w:noProof/>
          <w:sz w:val="20"/>
          <w:szCs w:val="20"/>
          <w:lang w:val="en-US"/>
        </w:rPr>
      </w:pPr>
      <w:r w:rsidRPr="008F741D">
        <w:rPr>
          <w:rFonts w:ascii="Palatino Linotype" w:eastAsia="Times New Roman" w:hAnsi="Palatino Linotype" w:cs="Times New Roman"/>
          <w:noProof/>
          <w:sz w:val="20"/>
          <w:szCs w:val="20"/>
          <w:lang w:val="en-US"/>
        </w:rPr>
        <w:t xml:space="preserve">Figure S4. Quantification analysis of area of GFAP+ cells at immunofluorescent tissue staining of control (healthy) and cuprizone-treated mice at demyelination (4 week) and remyelination stage. **p-value &lt; 0.01 </w:t>
      </w:r>
    </w:p>
    <w:p w14:paraId="3DC7060D" w14:textId="77777777" w:rsidR="008E06D9" w:rsidRDefault="008E06D9" w:rsidP="008E06D9">
      <w:pPr>
        <w:pStyle w:val="1"/>
        <w:jc w:val="both"/>
        <w:rPr>
          <w:rFonts w:ascii="Times New Roman" w:eastAsia="Times New Roman" w:hAnsi="Times New Roman" w:cs="Times New Roman"/>
          <w:sz w:val="24"/>
          <w:szCs w:val="24"/>
          <w:lang w:val="en-A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AS"/>
        </w:rPr>
        <w:lastRenderedPageBreak/>
        <w:drawing>
          <wp:inline distT="0" distB="0" distL="0" distR="0" wp14:anchorId="4D0B826E" wp14:editId="4D9793D8">
            <wp:extent cx="5940425" cy="27889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FF518" w14:textId="77777777" w:rsidR="008E06D9" w:rsidRPr="008F741D" w:rsidRDefault="008E06D9" w:rsidP="008E06D9">
      <w:pPr>
        <w:pStyle w:val="1"/>
        <w:jc w:val="both"/>
        <w:rPr>
          <w:rFonts w:ascii="Palatino Linotype" w:eastAsia="Times New Roman" w:hAnsi="Palatino Linotype" w:cs="Times New Roman"/>
          <w:noProof/>
          <w:sz w:val="20"/>
          <w:szCs w:val="20"/>
          <w:lang w:val="en-US"/>
        </w:rPr>
      </w:pPr>
      <w:r w:rsidRPr="008F741D">
        <w:rPr>
          <w:rFonts w:ascii="Palatino Linotype" w:eastAsia="Times New Roman" w:hAnsi="Palatino Linotype" w:cs="Times New Roman"/>
          <w:noProof/>
          <w:sz w:val="20"/>
          <w:szCs w:val="20"/>
          <w:lang w:val="en-US"/>
        </w:rPr>
        <w:t>Figure S5. Accumulation of non-specific IgG -Alexa Fluor™ 488 conjugates in the corpus callosum of healthy (A) and cuprizone-treated mice (B).</w:t>
      </w:r>
    </w:p>
    <w:p w14:paraId="0BAA616E" w14:textId="77777777" w:rsidR="008E06D9" w:rsidRDefault="008E06D9" w:rsidP="008E06D9">
      <w:pPr>
        <w:pStyle w:val="MDPI21heading1"/>
        <w:ind w:left="708" w:firstLine="708"/>
        <w:jc w:val="center"/>
      </w:pPr>
      <w:r>
        <w:rPr>
          <w:noProof/>
        </w:rPr>
        <w:drawing>
          <wp:inline distT="0" distB="0" distL="0" distR="0" wp14:anchorId="4B0FB629" wp14:editId="34CC23ED">
            <wp:extent cx="4310989" cy="3474720"/>
            <wp:effectExtent l="0" t="0" r="0" b="0"/>
            <wp:docPr id="8733963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69" cy="34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6865EC" w14:textId="77777777" w:rsidR="008E06D9" w:rsidRPr="00553921" w:rsidRDefault="008E06D9" w:rsidP="008E06D9">
      <w:pPr>
        <w:rPr>
          <w:rFonts w:eastAsia="Times New Roman"/>
          <w:lang w:eastAsia="ru-RU"/>
        </w:rPr>
      </w:pPr>
      <w:r w:rsidRPr="00553921">
        <w:rPr>
          <w:rFonts w:eastAsia="Times New Roman"/>
          <w:lang w:eastAsia="ru-RU"/>
        </w:rPr>
        <w:t>Figure S6. Immunofluorescence staining with pAb anti-GFAP of the corpus callosum (CC) of the healthy (A) and cuprizone-treated mice on the 4th week of demyelination (B) and at the remyelination stage (in 2 weeks after cuprizone withdrawal) (C). Scale bar is 500 µm</w:t>
      </w:r>
    </w:p>
    <w:p w14:paraId="1A1AC19D" w14:textId="77777777" w:rsidR="008E06D9" w:rsidRPr="009368FE" w:rsidRDefault="008E06D9" w:rsidP="008E06D9">
      <w:pPr>
        <w:pStyle w:val="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F826454" w14:textId="77777777" w:rsidR="008E06D9" w:rsidRPr="006F194F" w:rsidRDefault="008E06D9" w:rsidP="008E06D9">
      <w:pPr>
        <w:pStyle w:val="MDPI63Notes"/>
      </w:pPr>
    </w:p>
    <w:p w14:paraId="184F9826" w14:textId="77777777" w:rsidR="008E06D9" w:rsidRPr="006F7353" w:rsidRDefault="008E06D9" w:rsidP="008E06D9">
      <w:pPr>
        <w:pStyle w:val="MDPI71References"/>
        <w:numPr>
          <w:ilvl w:val="0"/>
          <w:numId w:val="0"/>
        </w:numPr>
        <w:ind w:left="425"/>
      </w:pPr>
    </w:p>
    <w:p w14:paraId="60100441" w14:textId="77777777" w:rsidR="00DA60D9" w:rsidRDefault="00DA60D9"/>
    <w:sectPr w:rsidR="00DA60D9" w:rsidSect="008E06D9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A596" w14:textId="77777777" w:rsidR="0004400E" w:rsidRPr="00A71A3D" w:rsidRDefault="00000000" w:rsidP="0004400E">
    <w:pPr>
      <w:pStyle w:val="a3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22425" w14:textId="77777777" w:rsidR="00471F5A" w:rsidRDefault="00000000" w:rsidP="00A24869">
    <w:pPr>
      <w:pStyle w:val="MDPIfooterfirstpage"/>
      <w:pBdr>
        <w:top w:val="single" w:sz="4" w:space="0" w:color="000000"/>
      </w:pBdr>
      <w:adjustRightInd w:val="0"/>
      <w:snapToGrid w:val="0"/>
      <w:spacing w:before="480" w:line="100" w:lineRule="exact"/>
      <w:rPr>
        <w:i/>
        <w:iCs/>
        <w:lang w:val="fr-CH"/>
      </w:rPr>
    </w:pPr>
  </w:p>
  <w:p w14:paraId="3C81A005" w14:textId="77777777" w:rsidR="0004400E" w:rsidRPr="008B308E" w:rsidRDefault="00000000" w:rsidP="004340C2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lang w:val="fr-CH"/>
      </w:rPr>
    </w:pPr>
    <w:r w:rsidRPr="00B04A30">
      <w:rPr>
        <w:i/>
        <w:iCs/>
        <w:lang w:val="fr-CH"/>
      </w:rPr>
      <w:t xml:space="preserve">Int. J. </w:t>
    </w:r>
    <w:r w:rsidRPr="00B04A30">
      <w:rPr>
        <w:i/>
        <w:iCs/>
        <w:lang w:val="fr-CH"/>
      </w:rPr>
      <w:t>Mol. Sci.</w:t>
    </w:r>
    <w:r w:rsidRPr="00176A50">
      <w:rPr>
        <w:i/>
        <w:lang w:val="fr-CH"/>
      </w:rPr>
      <w:t xml:space="preserve"> </w:t>
    </w:r>
    <w:r>
      <w:rPr>
        <w:b/>
        <w:iCs/>
        <w:lang w:val="fr-CH"/>
      </w:rPr>
      <w:t>2023</w:t>
    </w:r>
    <w:r w:rsidRPr="00506BC0">
      <w:rPr>
        <w:iCs/>
        <w:lang w:val="fr-CH"/>
      </w:rPr>
      <w:t>,</w:t>
    </w:r>
    <w:r>
      <w:rPr>
        <w:i/>
        <w:iCs/>
        <w:lang w:val="fr-CH"/>
      </w:rPr>
      <w:t xml:space="preserve"> 24</w:t>
    </w:r>
    <w:r w:rsidRPr="00506BC0">
      <w:rPr>
        <w:iCs/>
        <w:lang w:val="fr-CH"/>
      </w:rPr>
      <w:t xml:space="preserve">, </w:t>
    </w:r>
    <w:r>
      <w:rPr>
        <w:iCs/>
        <w:lang w:val="fr-CH"/>
      </w:rPr>
      <w:t>x</w:t>
    </w:r>
    <w:r>
      <w:rPr>
        <w:iCs/>
        <w:lang w:val="fr-CH"/>
      </w:rPr>
      <w:t>. https://doi.org/10.3390/xxxxx</w:t>
    </w:r>
    <w:r w:rsidRPr="008B308E">
      <w:rPr>
        <w:lang w:val="fr-CH"/>
      </w:rPr>
      <w:tab/>
    </w:r>
    <w:r w:rsidRPr="008B308E">
      <w:rPr>
        <w:lang w:val="fr-CH"/>
      </w:rPr>
      <w:t>www.mdpi.com/journal/</w:t>
    </w:r>
    <w:proofErr w:type="spellStart"/>
    <w:r>
      <w:t>ijms</w:t>
    </w:r>
    <w:proofErr w:type="spellEnd"/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B1D8E" w14:textId="77777777" w:rsidR="0004400E" w:rsidRDefault="00000000" w:rsidP="0004400E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EBEBE" w14:textId="77777777" w:rsidR="00471F5A" w:rsidRDefault="00000000" w:rsidP="004340C2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Int. J. Mol. Sci. </w:t>
    </w:r>
    <w:r>
      <w:rPr>
        <w:b/>
        <w:sz w:val="16"/>
      </w:rPr>
      <w:t>2023</w:t>
    </w:r>
    <w:r w:rsidRPr="00506BC0">
      <w:rPr>
        <w:sz w:val="16"/>
      </w:rPr>
      <w:t>,</w:t>
    </w:r>
    <w:r>
      <w:rPr>
        <w:i/>
        <w:sz w:val="16"/>
      </w:rPr>
      <w:t xml:space="preserve"> 24</w:t>
    </w:r>
    <w:r>
      <w:rPr>
        <w:sz w:val="16"/>
      </w:rPr>
      <w:t>, x FOR PEER REVIEW</w:t>
    </w:r>
    <w:r>
      <w:rPr>
        <w:sz w:val="16"/>
      </w:rPr>
      <w:tab/>
    </w: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>
      <w:rPr>
        <w:sz w:val="16"/>
      </w:rPr>
      <w:t>5</w:t>
    </w:r>
    <w:r>
      <w:rPr>
        <w:sz w:val="16"/>
      </w:rPr>
      <w:fldChar w:fldCharType="end"/>
    </w:r>
    <w:r>
      <w:rPr>
        <w:sz w:val="16"/>
      </w:rPr>
      <w:t xml:space="preserve"> of 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>
      <w:rPr>
        <w:sz w:val="16"/>
      </w:rPr>
      <w:t>5</w:t>
    </w:r>
    <w:r>
      <w:rPr>
        <w:sz w:val="16"/>
      </w:rPr>
      <w:fldChar w:fldCharType="end"/>
    </w:r>
  </w:p>
  <w:p w14:paraId="6C582B9A" w14:textId="77777777" w:rsidR="0004400E" w:rsidRPr="003257E1" w:rsidRDefault="00000000" w:rsidP="00A24869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471F5A" w:rsidRPr="004340C2" w14:paraId="4BEC32CB" w14:textId="77777777" w:rsidTr="005332CC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1B667709" w14:textId="77777777" w:rsidR="00471F5A" w:rsidRPr="00762525" w:rsidRDefault="00000000" w:rsidP="004340C2">
          <w:pPr>
            <w:pStyle w:val="a5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762525">
            <w:rPr>
              <w:rFonts w:eastAsia="DengXian"/>
              <w:b/>
              <w:bCs/>
            </w:rPr>
            <w:drawing>
              <wp:inline distT="0" distB="0" distL="0" distR="0" wp14:anchorId="06F2C7E2" wp14:editId="2AEAD2D7">
                <wp:extent cx="1669415" cy="436245"/>
                <wp:effectExtent l="0" t="0" r="0" b="0"/>
                <wp:docPr id="1" name="Picture 3" descr="C:\Users\home\Desktop\logos\ijm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Desktop\logos\ijm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941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44F14A85" w14:textId="77777777" w:rsidR="00471F5A" w:rsidRPr="00762525" w:rsidRDefault="00000000" w:rsidP="004340C2">
          <w:pPr>
            <w:pStyle w:val="a5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77C49745" w14:textId="77777777" w:rsidR="00471F5A" w:rsidRPr="00762525" w:rsidRDefault="00000000" w:rsidP="005332CC">
          <w:pPr>
            <w:pStyle w:val="a5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</w:rPr>
            <w:drawing>
              <wp:inline distT="0" distB="0" distL="0" distR="0" wp14:anchorId="0DA73C41" wp14:editId="63BF3B4A">
                <wp:extent cx="540000" cy="360000"/>
                <wp:effectExtent l="0" t="0" r="0" b="254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F6571FC" w14:textId="77777777" w:rsidR="0004400E" w:rsidRPr="00471F5A" w:rsidRDefault="00000000" w:rsidP="00A24869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012E46"/>
    <w:multiLevelType w:val="hybridMultilevel"/>
    <w:tmpl w:val="72468278"/>
    <w:lvl w:ilvl="0" w:tplc="5C06B1C6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8388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6D9"/>
    <w:rsid w:val="008E06D9"/>
    <w:rsid w:val="00DA60D9"/>
    <w:rsid w:val="00DC1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C3F58"/>
  <w15:chartTrackingRefBased/>
  <w15:docId w15:val="{C0E4440C-62F6-4E02-B872-CF944395D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06D9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kern w:val="0"/>
      <w:sz w:val="20"/>
      <w:szCs w:val="20"/>
      <w:lang w:val="en-US" w:eastAsia="zh-C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E06D9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a4">
    <w:name w:val="Нижний колонтитул Знак"/>
    <w:basedOn w:val="a0"/>
    <w:link w:val="a3"/>
    <w:uiPriority w:val="99"/>
    <w:rsid w:val="008E06D9"/>
    <w:rPr>
      <w:rFonts w:ascii="Palatino Linotype" w:eastAsia="SimSun" w:hAnsi="Palatino Linotype" w:cs="Times New Roman"/>
      <w:noProof/>
      <w:color w:val="000000"/>
      <w:kern w:val="0"/>
      <w:sz w:val="20"/>
      <w:szCs w:val="18"/>
      <w:lang w:val="en-US" w:eastAsia="zh-CN"/>
      <w14:ligatures w14:val="none"/>
    </w:rPr>
  </w:style>
  <w:style w:type="paragraph" w:styleId="a5">
    <w:name w:val="header"/>
    <w:basedOn w:val="a"/>
    <w:link w:val="a6"/>
    <w:uiPriority w:val="99"/>
    <w:rsid w:val="008E06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8E06D9"/>
    <w:rPr>
      <w:rFonts w:ascii="Palatino Linotype" w:eastAsia="SimSun" w:hAnsi="Palatino Linotype" w:cs="Times New Roman"/>
      <w:noProof/>
      <w:color w:val="000000"/>
      <w:kern w:val="0"/>
      <w:sz w:val="20"/>
      <w:szCs w:val="18"/>
      <w:lang w:val="en-US" w:eastAsia="zh-CN"/>
      <w14:ligatures w14:val="none"/>
    </w:rPr>
  </w:style>
  <w:style w:type="paragraph" w:customStyle="1" w:styleId="MDPIfooterfirstpage">
    <w:name w:val="MDPI_footer_firstpage"/>
    <w:qFormat/>
    <w:rsid w:val="008E06D9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color w:val="000000"/>
      <w:kern w:val="0"/>
      <w:sz w:val="16"/>
      <w:szCs w:val="20"/>
      <w:lang w:val="en-US" w:eastAsia="de-DE"/>
      <w14:ligatures w14:val="none"/>
    </w:rPr>
  </w:style>
  <w:style w:type="paragraph" w:customStyle="1" w:styleId="MDPI21heading1">
    <w:name w:val="MDPI_2.1_heading1"/>
    <w:qFormat/>
    <w:rsid w:val="008E06D9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lang w:val="en-US" w:eastAsia="de-DE" w:bidi="en-US"/>
      <w14:ligatures w14:val="none"/>
    </w:rPr>
  </w:style>
  <w:style w:type="paragraph" w:customStyle="1" w:styleId="MDPI71References">
    <w:name w:val="MDPI_7.1_References"/>
    <w:qFormat/>
    <w:rsid w:val="008E06D9"/>
    <w:pPr>
      <w:numPr>
        <w:numId w:val="1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eastAsia="de-DE" w:bidi="en-US"/>
      <w14:ligatures w14:val="none"/>
    </w:rPr>
  </w:style>
  <w:style w:type="paragraph" w:customStyle="1" w:styleId="MDPI63Notes">
    <w:name w:val="MDPI_6.3_Notes"/>
    <w:qFormat/>
    <w:rsid w:val="008E06D9"/>
    <w:pPr>
      <w:adjustRightInd w:val="0"/>
      <w:snapToGrid w:val="0"/>
      <w:spacing w:before="240" w:after="0" w:line="228" w:lineRule="auto"/>
      <w:jc w:val="both"/>
    </w:pPr>
    <w:rPr>
      <w:rFonts w:ascii="Palatino Linotype" w:eastAsia="SimSun" w:hAnsi="Palatino Linotype" w:cs="Times New Roman"/>
      <w:snapToGrid w:val="0"/>
      <w:color w:val="000000"/>
      <w:kern w:val="0"/>
      <w:sz w:val="18"/>
      <w:szCs w:val="20"/>
      <w:lang w:val="en-US" w:bidi="en-US"/>
      <w14:ligatures w14:val="none"/>
    </w:rPr>
  </w:style>
  <w:style w:type="paragraph" w:customStyle="1" w:styleId="1">
    <w:name w:val="Обычный1"/>
    <w:link w:val="normal"/>
    <w:rsid w:val="008E06D9"/>
    <w:pPr>
      <w:spacing w:after="200" w:line="276" w:lineRule="auto"/>
    </w:pPr>
    <w:rPr>
      <w:rFonts w:ascii="Calibri" w:eastAsia="Calibri" w:hAnsi="Calibri" w:cs="Calibri"/>
      <w:color w:val="000000"/>
      <w:kern w:val="0"/>
      <w:lang w:eastAsia="ru-RU"/>
      <w14:ligatures w14:val="none"/>
    </w:rPr>
  </w:style>
  <w:style w:type="character" w:customStyle="1" w:styleId="normal">
    <w:name w:val="normal Знак"/>
    <w:link w:val="1"/>
    <w:rsid w:val="008E06D9"/>
    <w:rPr>
      <w:rFonts w:ascii="Calibri" w:eastAsia="Calibri" w:hAnsi="Calibri" w:cs="Calibri"/>
      <w:color w:val="000000"/>
      <w:kern w:val="0"/>
      <w:lang w:eastAsia="ru-RU"/>
      <w14:ligatures w14:val="none"/>
    </w:rPr>
  </w:style>
  <w:style w:type="table" w:customStyle="1" w:styleId="10">
    <w:name w:val="1"/>
    <w:basedOn w:val="a1"/>
    <w:rsid w:val="008E06D9"/>
    <w:rPr>
      <w:rFonts w:ascii="Calibri" w:eastAsia="Calibri" w:hAnsi="Calibri" w:cs="Calibri"/>
      <w:kern w:val="0"/>
      <w:lang w:val="en-US" w:eastAsia="ru-RU"/>
      <w14:ligatures w14:val="none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7">
    <w:name w:val="line number"/>
    <w:basedOn w:val="a0"/>
    <w:uiPriority w:val="99"/>
    <w:semiHidden/>
    <w:unhideWhenUsed/>
    <w:rsid w:val="008E06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header" Target="header1.xml"/><Relationship Id="rId5" Type="http://schemas.openxmlformats.org/officeDocument/2006/relationships/image" Target="media/image1.png"/><Relationship Id="rId15" Type="http://schemas.openxmlformats.org/officeDocument/2006/relationships/footer" Target="footer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244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Abakumova</dc:creator>
  <cp:keywords/>
  <dc:description/>
  <cp:lastModifiedBy>Tatiana Abakumova</cp:lastModifiedBy>
  <cp:revision>1</cp:revision>
  <dcterms:created xsi:type="dcterms:W3CDTF">2023-06-27T09:47:00Z</dcterms:created>
  <dcterms:modified xsi:type="dcterms:W3CDTF">2023-06-27T09:47:00Z</dcterms:modified>
</cp:coreProperties>
</file>