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7489FD" w14:textId="3CDB8EC9" w:rsidR="004A2841" w:rsidRDefault="003D20F5">
      <w:pPr>
        <w:rPr>
          <w:rFonts w:ascii="Palatino Linotype" w:hAnsi="Palatino Linotype"/>
          <w:sz w:val="20"/>
          <w:szCs w:val="20"/>
        </w:rPr>
      </w:pPr>
      <w:r>
        <w:rPr>
          <w:rFonts w:ascii="Palatino Linotype" w:hAnsi="Palatino Linotype"/>
          <w:sz w:val="20"/>
          <w:szCs w:val="20"/>
        </w:rPr>
        <w:t xml:space="preserve">Supplementary </w:t>
      </w:r>
      <w:r w:rsidR="007D11C1">
        <w:rPr>
          <w:rFonts w:ascii="Palatino Linotype" w:hAnsi="Palatino Linotype"/>
          <w:sz w:val="20"/>
          <w:szCs w:val="20"/>
        </w:rPr>
        <w:t>Materials</w:t>
      </w:r>
    </w:p>
    <w:p w14:paraId="73CA5B82" w14:textId="56CB86EF" w:rsidR="003D20F5" w:rsidRDefault="00917529" w:rsidP="005848EC">
      <w:pPr>
        <w:spacing w:before="120" w:after="240" w:line="240" w:lineRule="auto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</w:rPr>
        <w:drawing>
          <wp:inline distT="0" distB="0" distL="0" distR="0" wp14:anchorId="590464E0" wp14:editId="2A607797">
            <wp:extent cx="6691630" cy="6691630"/>
            <wp:effectExtent l="0" t="0" r="0" b="0"/>
            <wp:docPr id="1071462759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462759" name="Immagin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1630" cy="669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F64C5" w14:textId="6D70A436" w:rsidR="007C53BD" w:rsidRDefault="00BE6CB2" w:rsidP="00373894">
      <w:pPr>
        <w:spacing w:before="120" w:after="240" w:line="228" w:lineRule="auto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bCs/>
          <w:sz w:val="18"/>
          <w:szCs w:val="18"/>
        </w:rPr>
        <w:t>Figure S1</w:t>
      </w:r>
      <w:r w:rsidRPr="001B1AA2">
        <w:rPr>
          <w:rFonts w:ascii="Palatino Linotype" w:hAnsi="Palatino Linotype"/>
          <w:b/>
          <w:bCs/>
          <w:sz w:val="18"/>
          <w:szCs w:val="18"/>
        </w:rPr>
        <w:t>.</w:t>
      </w:r>
      <w:r w:rsidR="00305E24" w:rsidRPr="001B1AA2">
        <w:rPr>
          <w:rFonts w:ascii="Palatino Linotype" w:hAnsi="Palatino Linotype"/>
          <w:sz w:val="18"/>
          <w:szCs w:val="18"/>
        </w:rPr>
        <w:t xml:space="preserve"> </w:t>
      </w:r>
      <w:r w:rsidR="00B369DD">
        <w:rPr>
          <w:rFonts w:ascii="Palatino Linotype" w:hAnsi="Palatino Linotype"/>
          <w:sz w:val="18"/>
          <w:szCs w:val="18"/>
        </w:rPr>
        <w:t>Correlation plot</w:t>
      </w:r>
      <w:r w:rsidR="001B1AA2" w:rsidRPr="001B1AA2">
        <w:rPr>
          <w:rFonts w:ascii="Palatino Linotype" w:hAnsi="Palatino Linotype"/>
          <w:sz w:val="18"/>
          <w:szCs w:val="18"/>
        </w:rPr>
        <w:t xml:space="preserve"> displaying the</w:t>
      </w:r>
      <w:r w:rsidR="00637F6C">
        <w:rPr>
          <w:rFonts w:ascii="Palatino Linotype" w:hAnsi="Palatino Linotype"/>
          <w:sz w:val="18"/>
          <w:szCs w:val="18"/>
        </w:rPr>
        <w:t xml:space="preserve"> Pearson</w:t>
      </w:r>
      <w:r w:rsidR="001B1AA2" w:rsidRPr="001B1AA2">
        <w:rPr>
          <w:rFonts w:ascii="Palatino Linotype" w:hAnsi="Palatino Linotype"/>
          <w:sz w:val="18"/>
          <w:szCs w:val="18"/>
        </w:rPr>
        <w:t xml:space="preserve"> correlation </w:t>
      </w:r>
      <w:r w:rsidR="00F3604E">
        <w:rPr>
          <w:rFonts w:ascii="Palatino Linotype" w:hAnsi="Palatino Linotype"/>
          <w:sz w:val="18"/>
          <w:szCs w:val="18"/>
        </w:rPr>
        <w:t xml:space="preserve">coefficient </w:t>
      </w:r>
      <w:r w:rsidR="00F554EB">
        <w:rPr>
          <w:rFonts w:ascii="Palatino Linotype" w:hAnsi="Palatino Linotype"/>
          <w:sz w:val="18"/>
          <w:szCs w:val="18"/>
        </w:rPr>
        <w:t xml:space="preserve">between 110 PFAS vs. control contrasts across 11 datasets and 7 species. The color indicates the </w:t>
      </w:r>
      <w:r w:rsidR="006E238C">
        <w:rPr>
          <w:rFonts w:ascii="Palatino Linotype" w:hAnsi="Palatino Linotype"/>
          <w:sz w:val="18"/>
          <w:szCs w:val="18"/>
        </w:rPr>
        <w:t xml:space="preserve">correlation </w:t>
      </w:r>
      <w:r w:rsidR="00F554EB">
        <w:rPr>
          <w:rFonts w:ascii="Palatino Linotype" w:hAnsi="Palatino Linotype"/>
          <w:sz w:val="18"/>
          <w:szCs w:val="18"/>
        </w:rPr>
        <w:t>coefficient, from the most negative (-1, dark blue) through no correlation (0, white) to the most positive (+1, dark red).</w:t>
      </w:r>
      <w:r w:rsidR="001B1AA2" w:rsidRPr="001B1AA2">
        <w:rPr>
          <w:rFonts w:ascii="Palatino Linotype" w:hAnsi="Palatino Linotype"/>
          <w:sz w:val="18"/>
          <w:szCs w:val="18"/>
        </w:rPr>
        <w:t xml:space="preserve"> </w:t>
      </w:r>
      <w:r w:rsidR="00F554EB">
        <w:rPr>
          <w:rFonts w:ascii="Palatino Linotype" w:hAnsi="Palatino Linotype"/>
          <w:sz w:val="18"/>
          <w:szCs w:val="18"/>
        </w:rPr>
        <w:t>The legend indicates the colors used to depict the eleven datasets.</w:t>
      </w:r>
      <w:r w:rsidR="00AA0F9B">
        <w:rPr>
          <w:rFonts w:ascii="Palatino Linotype" w:hAnsi="Palatino Linotype"/>
          <w:sz w:val="18"/>
          <w:szCs w:val="18"/>
        </w:rPr>
        <w:t xml:space="preserve"> </w:t>
      </w:r>
    </w:p>
    <w:p w14:paraId="0F566F9C" w14:textId="03112825" w:rsidR="003E4957" w:rsidRDefault="003E4957" w:rsidP="003E4957">
      <w:pPr>
        <w:spacing w:before="120" w:after="240" w:line="240" w:lineRule="auto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</w:rPr>
        <w:lastRenderedPageBreak/>
        <w:drawing>
          <wp:inline distT="0" distB="0" distL="0" distR="0" wp14:anchorId="443DC5B8" wp14:editId="7F32BCB0">
            <wp:extent cx="6691630" cy="6691630"/>
            <wp:effectExtent l="0" t="0" r="0" b="0"/>
            <wp:docPr id="554634694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634694" name="Immagin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1630" cy="669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8B7131" w14:textId="79D8FFA3" w:rsidR="003E4957" w:rsidRDefault="00906CF1" w:rsidP="003E4957">
      <w:pPr>
        <w:spacing w:before="120" w:after="240" w:line="228" w:lineRule="auto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bCs/>
          <w:sz w:val="18"/>
          <w:szCs w:val="18"/>
        </w:rPr>
        <w:t>Figure S2.</w:t>
      </w:r>
      <w:r>
        <w:rPr>
          <w:rFonts w:ascii="Palatino Linotype" w:hAnsi="Palatino Linotype"/>
          <w:sz w:val="18"/>
          <w:szCs w:val="18"/>
        </w:rPr>
        <w:t xml:space="preserve"> </w:t>
      </w:r>
      <w:r w:rsidR="00F33B60">
        <w:rPr>
          <w:rFonts w:ascii="Palatino Linotype" w:hAnsi="Palatino Linotype"/>
          <w:sz w:val="18"/>
          <w:szCs w:val="18"/>
        </w:rPr>
        <w:t>Correlation plot</w:t>
      </w:r>
      <w:r>
        <w:rPr>
          <w:rFonts w:ascii="Palatino Linotype" w:hAnsi="Palatino Linotype"/>
          <w:sz w:val="18"/>
          <w:szCs w:val="18"/>
        </w:rPr>
        <w:t xml:space="preserve"> showing the </w:t>
      </w:r>
      <w:r w:rsidR="00AD0318">
        <w:rPr>
          <w:rFonts w:ascii="Palatino Linotype" w:hAnsi="Palatino Linotype"/>
          <w:sz w:val="18"/>
          <w:szCs w:val="18"/>
        </w:rPr>
        <w:t xml:space="preserve">Pearson </w:t>
      </w:r>
      <w:r>
        <w:rPr>
          <w:rFonts w:ascii="Palatino Linotype" w:hAnsi="Palatino Linotype"/>
          <w:sz w:val="18"/>
          <w:szCs w:val="18"/>
        </w:rPr>
        <w:t xml:space="preserve">correlation </w:t>
      </w:r>
      <w:r w:rsidR="00AD0318">
        <w:rPr>
          <w:rFonts w:ascii="Palatino Linotype" w:hAnsi="Palatino Linotype"/>
          <w:sz w:val="18"/>
          <w:szCs w:val="18"/>
        </w:rPr>
        <w:t xml:space="preserve">coefficient </w:t>
      </w:r>
      <w:r>
        <w:rPr>
          <w:rFonts w:ascii="Palatino Linotype" w:hAnsi="Palatino Linotype"/>
          <w:sz w:val="18"/>
          <w:szCs w:val="18"/>
        </w:rPr>
        <w:t>between</w:t>
      </w:r>
      <w:r w:rsidR="003251E0">
        <w:rPr>
          <w:rFonts w:ascii="Palatino Linotype" w:hAnsi="Palatino Linotype"/>
          <w:sz w:val="18"/>
          <w:szCs w:val="18"/>
        </w:rPr>
        <w:t xml:space="preserve"> contrasts derived from</w:t>
      </w:r>
      <w:r>
        <w:rPr>
          <w:rFonts w:ascii="Palatino Linotype" w:hAnsi="Palatino Linotype"/>
          <w:sz w:val="18"/>
          <w:szCs w:val="18"/>
        </w:rPr>
        <w:t xml:space="preserve"> </w:t>
      </w:r>
      <w:r w:rsidR="00E61BEB">
        <w:rPr>
          <w:rFonts w:ascii="Palatino Linotype" w:hAnsi="Palatino Linotype"/>
          <w:i/>
          <w:iCs/>
          <w:sz w:val="18"/>
          <w:szCs w:val="18"/>
        </w:rPr>
        <w:t>M. musculus</w:t>
      </w:r>
      <w:r w:rsidR="00E61BEB">
        <w:rPr>
          <w:rFonts w:ascii="Palatino Linotype" w:hAnsi="Palatino Linotype"/>
          <w:sz w:val="18"/>
          <w:szCs w:val="18"/>
        </w:rPr>
        <w:t xml:space="preserve"> and </w:t>
      </w:r>
      <w:r w:rsidR="00E61BEB">
        <w:rPr>
          <w:rFonts w:ascii="Palatino Linotype" w:hAnsi="Palatino Linotype"/>
          <w:i/>
          <w:iCs/>
          <w:sz w:val="18"/>
          <w:szCs w:val="18"/>
        </w:rPr>
        <w:t>H. sapiens</w:t>
      </w:r>
      <w:r w:rsidR="003251E0">
        <w:rPr>
          <w:rFonts w:ascii="Palatino Linotype" w:hAnsi="Palatino Linotype"/>
          <w:i/>
          <w:iCs/>
          <w:sz w:val="18"/>
          <w:szCs w:val="18"/>
        </w:rPr>
        <w:t xml:space="preserve"> </w:t>
      </w:r>
      <w:r w:rsidR="003251E0">
        <w:rPr>
          <w:rFonts w:ascii="Palatino Linotype" w:hAnsi="Palatino Linotype"/>
          <w:sz w:val="18"/>
          <w:szCs w:val="18"/>
        </w:rPr>
        <w:t>datasets</w:t>
      </w:r>
      <w:r w:rsidR="00E61BEB">
        <w:rPr>
          <w:rFonts w:ascii="Palatino Linotype" w:hAnsi="Palatino Linotype"/>
          <w:sz w:val="18"/>
          <w:szCs w:val="18"/>
        </w:rPr>
        <w:t>.</w:t>
      </w:r>
      <w:r w:rsidR="00AD0318">
        <w:rPr>
          <w:rFonts w:ascii="Palatino Linotype" w:hAnsi="Palatino Linotype"/>
          <w:sz w:val="18"/>
          <w:szCs w:val="18"/>
        </w:rPr>
        <w:t xml:space="preserve"> </w:t>
      </w:r>
      <w:r w:rsidR="006E238C">
        <w:rPr>
          <w:rFonts w:ascii="Palatino Linotype" w:hAnsi="Palatino Linotype"/>
          <w:sz w:val="18"/>
          <w:szCs w:val="18"/>
        </w:rPr>
        <w:t>The color indicates the correlation coefficient, from the most negative (-1, dark blue) through no correlation (0, white) to the most positive (+1, dark red).</w:t>
      </w:r>
      <w:r w:rsidR="006E238C" w:rsidRPr="001B1AA2">
        <w:rPr>
          <w:rFonts w:ascii="Palatino Linotype" w:hAnsi="Palatino Linotype"/>
          <w:sz w:val="18"/>
          <w:szCs w:val="18"/>
        </w:rPr>
        <w:t xml:space="preserve"> </w:t>
      </w:r>
      <w:r w:rsidR="006E238C">
        <w:rPr>
          <w:rFonts w:ascii="Palatino Linotype" w:hAnsi="Palatino Linotype"/>
          <w:sz w:val="18"/>
          <w:szCs w:val="18"/>
        </w:rPr>
        <w:t>The legend indicates the colors used to depict the six datasets.</w:t>
      </w:r>
    </w:p>
    <w:p w14:paraId="02C9FEEF" w14:textId="6FB4B881" w:rsidR="00B81BA4" w:rsidRDefault="00B81BA4" w:rsidP="00B81BA4">
      <w:pPr>
        <w:spacing w:before="120" w:after="240" w:line="240" w:lineRule="auto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</w:rPr>
        <w:lastRenderedPageBreak/>
        <w:drawing>
          <wp:inline distT="0" distB="0" distL="0" distR="0" wp14:anchorId="03172E6B" wp14:editId="6A66BA32">
            <wp:extent cx="5334011" cy="5334011"/>
            <wp:effectExtent l="0" t="0" r="0" b="0"/>
            <wp:docPr id="978429939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429939" name="Immagin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11" cy="5334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81E40" w14:textId="27AD1B7D" w:rsidR="00440251" w:rsidRDefault="00063C8F" w:rsidP="00440251">
      <w:pPr>
        <w:pStyle w:val="MDPI31text"/>
        <w:spacing w:before="120" w:after="240"/>
        <w:ind w:left="0" w:firstLine="0"/>
        <w:rPr>
          <w:color w:val="auto"/>
          <w:sz w:val="18"/>
          <w:szCs w:val="18"/>
        </w:rPr>
      </w:pPr>
      <w:r>
        <w:rPr>
          <w:b/>
          <w:bCs/>
          <w:sz w:val="18"/>
          <w:szCs w:val="18"/>
        </w:rPr>
        <w:t>Figure S3.</w:t>
      </w:r>
      <w:r>
        <w:rPr>
          <w:sz w:val="18"/>
          <w:szCs w:val="18"/>
        </w:rPr>
        <w:t xml:space="preserve"> </w:t>
      </w:r>
      <w:r w:rsidR="00842584">
        <w:rPr>
          <w:color w:val="auto"/>
          <w:sz w:val="18"/>
          <w:szCs w:val="18"/>
        </w:rPr>
        <w:t>Scatter</w:t>
      </w:r>
      <w:r w:rsidR="00F741EC">
        <w:rPr>
          <w:color w:val="auto"/>
          <w:sz w:val="18"/>
          <w:szCs w:val="18"/>
        </w:rPr>
        <w:t xml:space="preserve"> </w:t>
      </w:r>
      <w:r w:rsidR="00842584">
        <w:rPr>
          <w:color w:val="auto"/>
          <w:sz w:val="18"/>
          <w:szCs w:val="18"/>
        </w:rPr>
        <w:t>plot showing the</w:t>
      </w:r>
      <w:r w:rsidR="00841742">
        <w:rPr>
          <w:color w:val="auto"/>
          <w:sz w:val="18"/>
          <w:szCs w:val="18"/>
        </w:rPr>
        <w:t xml:space="preserve"> positive </w:t>
      </w:r>
      <w:r w:rsidR="00842584">
        <w:rPr>
          <w:color w:val="auto"/>
          <w:sz w:val="18"/>
          <w:szCs w:val="18"/>
        </w:rPr>
        <w:t xml:space="preserve">correlation </w:t>
      </w:r>
      <w:r w:rsidR="00A21F18">
        <w:rPr>
          <w:color w:val="auto"/>
          <w:sz w:val="18"/>
          <w:szCs w:val="18"/>
        </w:rPr>
        <w:t>between</w:t>
      </w:r>
      <w:r w:rsidR="00842584">
        <w:rPr>
          <w:color w:val="auto"/>
          <w:sz w:val="18"/>
          <w:szCs w:val="18"/>
        </w:rPr>
        <w:t xml:space="preserve"> two contrasts of </w:t>
      </w:r>
      <w:r w:rsidR="009921CC">
        <w:rPr>
          <w:i/>
          <w:iCs/>
          <w:color w:val="auto"/>
          <w:sz w:val="18"/>
          <w:szCs w:val="18"/>
        </w:rPr>
        <w:t>D. rerio</w:t>
      </w:r>
      <w:r w:rsidR="00842584">
        <w:rPr>
          <w:color w:val="auto"/>
          <w:sz w:val="18"/>
          <w:szCs w:val="18"/>
        </w:rPr>
        <w:t xml:space="preserve"> and </w:t>
      </w:r>
      <w:r w:rsidR="009921CC" w:rsidRPr="009921CC">
        <w:rPr>
          <w:i/>
          <w:iCs/>
          <w:color w:val="auto"/>
          <w:sz w:val="18"/>
          <w:szCs w:val="18"/>
        </w:rPr>
        <w:t>H. sapiens</w:t>
      </w:r>
      <w:r w:rsidR="00E73074">
        <w:rPr>
          <w:color w:val="auto"/>
          <w:sz w:val="18"/>
          <w:szCs w:val="18"/>
        </w:rPr>
        <w:t>.</w:t>
      </w:r>
      <w:r w:rsidR="00842584">
        <w:rPr>
          <w:color w:val="auto"/>
          <w:sz w:val="18"/>
          <w:szCs w:val="18"/>
        </w:rPr>
        <w:t xml:space="preserve"> The highlighted </w:t>
      </w:r>
      <w:r w:rsidR="008B1698">
        <w:rPr>
          <w:color w:val="auto"/>
          <w:sz w:val="18"/>
          <w:szCs w:val="18"/>
        </w:rPr>
        <w:t>and labeled genes are significantly (</w:t>
      </w:r>
      <w:r w:rsidR="008B1698">
        <w:rPr>
          <w:i/>
          <w:iCs/>
          <w:color w:val="auto"/>
          <w:sz w:val="18"/>
          <w:szCs w:val="18"/>
        </w:rPr>
        <w:t>p</w:t>
      </w:r>
      <w:r w:rsidR="008B1698">
        <w:rPr>
          <w:color w:val="auto"/>
          <w:sz w:val="18"/>
          <w:szCs w:val="18"/>
        </w:rPr>
        <w:t xml:space="preserve"> &lt;0.05) and concordantly differentially expressed in response to PFAS exposure in both datasets.</w:t>
      </w:r>
    </w:p>
    <w:p w14:paraId="5CA0A4D1" w14:textId="02316B93" w:rsidR="00842584" w:rsidRDefault="00842584" w:rsidP="00842584">
      <w:pPr>
        <w:pStyle w:val="MDPI31text"/>
        <w:spacing w:before="120" w:after="240"/>
        <w:ind w:left="0" w:firstLine="0"/>
        <w:rPr>
          <w:color w:val="auto"/>
          <w:sz w:val="18"/>
          <w:szCs w:val="18"/>
        </w:rPr>
      </w:pPr>
    </w:p>
    <w:p w14:paraId="26D12E2C" w14:textId="37A3C12D" w:rsidR="009C1A44" w:rsidRDefault="00917529" w:rsidP="009C1A44">
      <w:pPr>
        <w:pStyle w:val="MDPI31text"/>
        <w:spacing w:before="120" w:after="240" w:line="240" w:lineRule="auto"/>
        <w:ind w:left="0" w:firstLine="0"/>
        <w:rPr>
          <w:color w:val="auto"/>
          <w:sz w:val="18"/>
          <w:szCs w:val="18"/>
        </w:rPr>
      </w:pPr>
      <w:r>
        <w:rPr>
          <w:noProof/>
          <w:snapToGrid/>
          <w:color w:val="auto"/>
          <w:sz w:val="18"/>
          <w:szCs w:val="18"/>
          <w14:ligatures w14:val="standardContextual"/>
        </w:rPr>
        <w:lastRenderedPageBreak/>
        <w:drawing>
          <wp:inline distT="0" distB="0" distL="0" distR="0" wp14:anchorId="2036B291" wp14:editId="5E49A3F9">
            <wp:extent cx="6691630" cy="6691630"/>
            <wp:effectExtent l="0" t="0" r="0" b="0"/>
            <wp:docPr id="1031042005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042005" name="Immagin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1630" cy="669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756A5" w14:textId="68D80772" w:rsidR="00917308" w:rsidRDefault="009C1A44" w:rsidP="009C1A44">
      <w:pPr>
        <w:pStyle w:val="MDPI31text"/>
        <w:spacing w:before="120" w:after="240"/>
        <w:ind w:left="0" w:firstLine="0"/>
        <w:rPr>
          <w:color w:val="auto"/>
          <w:sz w:val="18"/>
          <w:szCs w:val="18"/>
        </w:rPr>
      </w:pPr>
      <w:r>
        <w:rPr>
          <w:b/>
          <w:bCs/>
          <w:color w:val="auto"/>
          <w:sz w:val="18"/>
          <w:szCs w:val="18"/>
        </w:rPr>
        <w:t xml:space="preserve">Figure S4. </w:t>
      </w:r>
      <w:r w:rsidR="00ED5784">
        <w:rPr>
          <w:sz w:val="18"/>
          <w:szCs w:val="18"/>
        </w:rPr>
        <w:t>Correlation plot showing the Pearson correlation coefficient between contrasts derived from</w:t>
      </w:r>
      <w:r w:rsidR="00F33B60" w:rsidRPr="003C3184">
        <w:rPr>
          <w:color w:val="auto"/>
          <w:sz w:val="18"/>
          <w:szCs w:val="18"/>
        </w:rPr>
        <w:t xml:space="preserve"> fish </w:t>
      </w:r>
      <w:r w:rsidR="00ED5784">
        <w:rPr>
          <w:color w:val="auto"/>
          <w:sz w:val="18"/>
          <w:szCs w:val="18"/>
        </w:rPr>
        <w:t>species.</w:t>
      </w:r>
      <w:r w:rsidR="006E238C">
        <w:rPr>
          <w:color w:val="auto"/>
          <w:sz w:val="18"/>
          <w:szCs w:val="18"/>
        </w:rPr>
        <w:t xml:space="preserve"> </w:t>
      </w:r>
      <w:r w:rsidR="006E238C">
        <w:rPr>
          <w:sz w:val="18"/>
          <w:szCs w:val="18"/>
        </w:rPr>
        <w:t>The color indicates the correlation coefficient, from the most negative (-1, dark blue) through no correlation (0, white) to the most positive (+1, dark red).</w:t>
      </w:r>
      <w:r w:rsidR="00C06AC8">
        <w:rPr>
          <w:sz w:val="18"/>
          <w:szCs w:val="18"/>
        </w:rPr>
        <w:t xml:space="preserve"> The legend indicates the colors used to depict the four datasets.</w:t>
      </w:r>
    </w:p>
    <w:p w14:paraId="4EDF2396" w14:textId="0C722A17" w:rsidR="009C1A44" w:rsidRDefault="00917308" w:rsidP="00917308">
      <w:pPr>
        <w:pStyle w:val="MDPI31text"/>
        <w:spacing w:before="120" w:after="240" w:line="240" w:lineRule="auto"/>
        <w:ind w:left="0" w:firstLine="0"/>
        <w:rPr>
          <w:color w:val="auto"/>
          <w:sz w:val="18"/>
          <w:szCs w:val="18"/>
        </w:rPr>
      </w:pPr>
      <w:r>
        <w:rPr>
          <w:noProof/>
          <w:snapToGrid/>
          <w:color w:val="auto"/>
          <w:sz w:val="18"/>
          <w:szCs w:val="18"/>
          <w14:ligatures w14:val="standardContextual"/>
        </w:rPr>
        <w:lastRenderedPageBreak/>
        <w:drawing>
          <wp:inline distT="0" distB="0" distL="0" distR="0" wp14:anchorId="12C55BFF" wp14:editId="7364735F">
            <wp:extent cx="6690783" cy="4014470"/>
            <wp:effectExtent l="0" t="0" r="0" b="5080"/>
            <wp:docPr id="1505421302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5421302" name="Immagine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0783" cy="401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645D">
        <w:rPr>
          <w:color w:val="auto"/>
          <w:sz w:val="18"/>
          <w:szCs w:val="18"/>
        </w:rPr>
        <w:t xml:space="preserve"> </w:t>
      </w:r>
    </w:p>
    <w:p w14:paraId="20240556" w14:textId="52C8C9B3" w:rsidR="00F5713A" w:rsidRPr="00554729" w:rsidRDefault="00917308" w:rsidP="00F5713A">
      <w:pPr>
        <w:pStyle w:val="MDPI31text"/>
        <w:spacing w:before="120" w:after="240"/>
        <w:ind w:left="0" w:firstLine="0"/>
        <w:rPr>
          <w:sz w:val="18"/>
          <w:szCs w:val="18"/>
        </w:rPr>
      </w:pPr>
      <w:r>
        <w:rPr>
          <w:b/>
          <w:bCs/>
          <w:color w:val="auto"/>
          <w:sz w:val="18"/>
          <w:szCs w:val="18"/>
        </w:rPr>
        <w:t xml:space="preserve">Figure S5. </w:t>
      </w:r>
      <w:r w:rsidR="00F5713A" w:rsidRPr="000B0B67">
        <w:rPr>
          <w:sz w:val="18"/>
          <w:szCs w:val="18"/>
        </w:rPr>
        <w:t>Line graph indicating the levels of expression of selected genes in response to PFAS molecules in different species</w:t>
      </w:r>
      <w:r w:rsidR="00106B11">
        <w:rPr>
          <w:sz w:val="18"/>
          <w:szCs w:val="18"/>
        </w:rPr>
        <w:t xml:space="preserve">, </w:t>
      </w:r>
      <w:r w:rsidR="0077218E">
        <w:rPr>
          <w:sz w:val="18"/>
          <w:szCs w:val="18"/>
        </w:rPr>
        <w:t xml:space="preserve">characterized by absolute integrated signature </w:t>
      </w:r>
      <w:r w:rsidR="0077218E" w:rsidRPr="0077218E">
        <w:rPr>
          <w:sz w:val="18"/>
          <w:szCs w:val="18"/>
        </w:rPr>
        <w:t>≥</w:t>
      </w:r>
      <w:r w:rsidR="0077218E">
        <w:rPr>
          <w:sz w:val="18"/>
          <w:szCs w:val="18"/>
        </w:rPr>
        <w:t xml:space="preserve"> 10 and standard deviation </w:t>
      </w:r>
      <w:r w:rsidR="0077218E" w:rsidRPr="0077218E">
        <w:rPr>
          <w:sz w:val="18"/>
          <w:szCs w:val="18"/>
        </w:rPr>
        <w:t xml:space="preserve">≥ </w:t>
      </w:r>
      <w:r w:rsidR="0077218E">
        <w:rPr>
          <w:sz w:val="18"/>
          <w:szCs w:val="18"/>
        </w:rPr>
        <w:t>10</w:t>
      </w:r>
      <w:r w:rsidR="00F5713A" w:rsidRPr="000B0B67">
        <w:rPr>
          <w:sz w:val="18"/>
          <w:szCs w:val="18"/>
        </w:rPr>
        <w:t xml:space="preserve">. </w:t>
      </w:r>
      <w:r w:rsidR="0024342B" w:rsidRPr="0024342B">
        <w:rPr>
          <w:sz w:val="18"/>
          <w:szCs w:val="18"/>
        </w:rPr>
        <w:t xml:space="preserve">Each line is one gene: the genes shown here are the most consistently up- or down- regulated with </w:t>
      </w:r>
      <w:r w:rsidR="00CB47E0">
        <w:rPr>
          <w:sz w:val="18"/>
          <w:szCs w:val="18"/>
        </w:rPr>
        <w:t>high</w:t>
      </w:r>
      <w:r w:rsidR="0024342B" w:rsidRPr="0024342B">
        <w:rPr>
          <w:sz w:val="18"/>
          <w:szCs w:val="18"/>
        </w:rPr>
        <w:t xml:space="preserve"> Standard deviation, </w:t>
      </w:r>
      <w:r w:rsidR="001E7D7B">
        <w:rPr>
          <w:sz w:val="18"/>
          <w:szCs w:val="18"/>
        </w:rPr>
        <w:t>as</w:t>
      </w:r>
      <w:r w:rsidR="0024342B" w:rsidRPr="0024342B">
        <w:rPr>
          <w:sz w:val="18"/>
          <w:szCs w:val="18"/>
        </w:rPr>
        <w:t xml:space="preserve"> extracted from the </w:t>
      </w:r>
      <w:r w:rsidR="001E7D7B">
        <w:rPr>
          <w:sz w:val="18"/>
          <w:szCs w:val="18"/>
        </w:rPr>
        <w:t>orange and cyan</w:t>
      </w:r>
      <w:r w:rsidR="0024342B" w:rsidRPr="0024342B">
        <w:rPr>
          <w:sz w:val="18"/>
          <w:szCs w:val="18"/>
        </w:rPr>
        <w:t xml:space="preserve"> points of Figure 4. X-axis reports all the 110 contrasts analyzed in the integrated dataset, grouped by species. Y-axis reports the signature for each gene, representing the significance (and sign) of the gene’s transcriptional response to PFAS. The horizontal lines delimit the p-value thresholds of 0.05.</w:t>
      </w:r>
    </w:p>
    <w:p w14:paraId="1C548384" w14:textId="20ED7A3A" w:rsidR="00917308" w:rsidRPr="00917308" w:rsidRDefault="00917308" w:rsidP="00917308">
      <w:pPr>
        <w:pStyle w:val="MDPI31text"/>
        <w:spacing w:before="120" w:after="240"/>
        <w:ind w:left="0" w:firstLine="0"/>
        <w:rPr>
          <w:b/>
          <w:bCs/>
          <w:color w:val="auto"/>
          <w:sz w:val="18"/>
          <w:szCs w:val="18"/>
        </w:rPr>
      </w:pPr>
    </w:p>
    <w:p w14:paraId="27E932D8" w14:textId="19DFDF3D" w:rsidR="00B81BA4" w:rsidRPr="00063C8F" w:rsidRDefault="00B81BA4" w:rsidP="005F7347">
      <w:pPr>
        <w:spacing w:before="120" w:after="240" w:line="228" w:lineRule="auto"/>
        <w:jc w:val="both"/>
        <w:rPr>
          <w:rFonts w:ascii="Palatino Linotype" w:hAnsi="Palatino Linotype"/>
          <w:sz w:val="18"/>
          <w:szCs w:val="18"/>
        </w:rPr>
      </w:pPr>
    </w:p>
    <w:sectPr w:rsidR="00B81BA4" w:rsidRPr="00063C8F" w:rsidSect="003D20F5">
      <w:pgSz w:w="12240" w:h="15840"/>
      <w:pgMar w:top="1134" w:right="851" w:bottom="1134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20F5"/>
    <w:rsid w:val="00017096"/>
    <w:rsid w:val="000557CE"/>
    <w:rsid w:val="00063C8F"/>
    <w:rsid w:val="000A3D59"/>
    <w:rsid w:val="000B2F32"/>
    <w:rsid w:val="000F408F"/>
    <w:rsid w:val="00106B11"/>
    <w:rsid w:val="001B1AA2"/>
    <w:rsid w:val="001E7D7B"/>
    <w:rsid w:val="00204AAA"/>
    <w:rsid w:val="0024342B"/>
    <w:rsid w:val="00291A10"/>
    <w:rsid w:val="00305E24"/>
    <w:rsid w:val="003251E0"/>
    <w:rsid w:val="00373894"/>
    <w:rsid w:val="003A19DA"/>
    <w:rsid w:val="003D20F5"/>
    <w:rsid w:val="003E4957"/>
    <w:rsid w:val="0042211D"/>
    <w:rsid w:val="0042484D"/>
    <w:rsid w:val="00440251"/>
    <w:rsid w:val="004A2841"/>
    <w:rsid w:val="004B645D"/>
    <w:rsid w:val="005848EC"/>
    <w:rsid w:val="00585C89"/>
    <w:rsid w:val="005F7347"/>
    <w:rsid w:val="006205D0"/>
    <w:rsid w:val="00637F6C"/>
    <w:rsid w:val="006E238C"/>
    <w:rsid w:val="0071681B"/>
    <w:rsid w:val="0077218E"/>
    <w:rsid w:val="007C53BD"/>
    <w:rsid w:val="007D11C1"/>
    <w:rsid w:val="00841742"/>
    <w:rsid w:val="00842584"/>
    <w:rsid w:val="008B1698"/>
    <w:rsid w:val="008D26D7"/>
    <w:rsid w:val="008D7305"/>
    <w:rsid w:val="00906CF1"/>
    <w:rsid w:val="00917308"/>
    <w:rsid w:val="00917529"/>
    <w:rsid w:val="009921CC"/>
    <w:rsid w:val="009C1A44"/>
    <w:rsid w:val="009F5A75"/>
    <w:rsid w:val="00A21F18"/>
    <w:rsid w:val="00A53EEB"/>
    <w:rsid w:val="00AA0F9B"/>
    <w:rsid w:val="00AA7021"/>
    <w:rsid w:val="00AD0318"/>
    <w:rsid w:val="00B369DD"/>
    <w:rsid w:val="00B81BA4"/>
    <w:rsid w:val="00BE6CB2"/>
    <w:rsid w:val="00C06AC8"/>
    <w:rsid w:val="00CB2E08"/>
    <w:rsid w:val="00CB47E0"/>
    <w:rsid w:val="00D5394C"/>
    <w:rsid w:val="00E61BEB"/>
    <w:rsid w:val="00E65C62"/>
    <w:rsid w:val="00E729CB"/>
    <w:rsid w:val="00E73074"/>
    <w:rsid w:val="00EB633A"/>
    <w:rsid w:val="00ED5784"/>
    <w:rsid w:val="00F33B60"/>
    <w:rsid w:val="00F3604E"/>
    <w:rsid w:val="00F554EB"/>
    <w:rsid w:val="00F5713A"/>
    <w:rsid w:val="00F741EC"/>
    <w:rsid w:val="00F93AB0"/>
    <w:rsid w:val="00FE5E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48D7F1"/>
  <w15:chartTrackingRefBased/>
  <w15:docId w15:val="{948690DD-4DCF-45E6-B932-ED25B259B2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7D11C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MDPI31text">
    <w:name w:val="MDPI_3.1_text"/>
    <w:qFormat/>
    <w:rsid w:val="00842584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5</Pages>
  <Words>306</Words>
  <Characters>1749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Alma Mater Studiorum Università di Bologna</Company>
  <LinksUpToDate>false</LinksUpToDate>
  <CharactersWithSpaces>2051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Livia Beccacece</dc:creator>
  <cp:keywords/>
  <dc:description/>
  <cp:lastModifiedBy>Federico Manuel Giorgi</cp:lastModifiedBy>
  <cp:revision>65</cp:revision>
  <dcterms:created xsi:type="dcterms:W3CDTF">2023-04-18T11:36:00Z</dcterms:created>
  <dcterms:modified xsi:type="dcterms:W3CDTF">2023-06-02T07:40:00Z</dcterms:modified>
</cp:coreProperties>
</file>