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8692D" w14:textId="77777777" w:rsidR="006276A8" w:rsidRDefault="00000000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eastAsia"/>
          <w:b/>
          <w:bCs/>
        </w:rPr>
        <w:t>S</w:t>
      </w:r>
      <w:r>
        <w:rPr>
          <w:rFonts w:ascii="Times New Roman" w:hAnsi="Times New Roman"/>
          <w:b/>
          <w:bCs/>
        </w:rPr>
        <w:t>upplementary Materials</w:t>
      </w:r>
    </w:p>
    <w:p w14:paraId="5A0793FA" w14:textId="77777777" w:rsidR="006276A8" w:rsidRDefault="006276A8">
      <w:pPr>
        <w:rPr>
          <w:rFonts w:ascii="Times New Roman" w:hAnsi="Times New Roman"/>
        </w:rPr>
      </w:pPr>
    </w:p>
    <w:p w14:paraId="6FC4B33C" w14:textId="77777777" w:rsidR="006276A8" w:rsidRDefault="00000000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090EA9DE" wp14:editId="129750B0">
            <wp:extent cx="5274310" cy="3103245"/>
            <wp:effectExtent l="0" t="0" r="0" b="0"/>
            <wp:docPr id="39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0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1D07B2" w14:textId="77777777" w:rsidR="006276A8" w:rsidRDefault="00000000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S</w:t>
      </w:r>
      <w:r>
        <w:rPr>
          <w:rFonts w:ascii="Times New Roman" w:hAnsi="Times New Roman"/>
        </w:rPr>
        <w:t>upplementary Figure 1. Illustration of the micro-diffusion dish.</w:t>
      </w:r>
    </w:p>
    <w:p w14:paraId="3CBD1E17" w14:textId="77777777" w:rsidR="006276A8" w:rsidRDefault="006276A8">
      <w:pPr>
        <w:rPr>
          <w:rFonts w:ascii="Times New Roman" w:hAnsi="Times New Roman"/>
        </w:rPr>
      </w:pPr>
    </w:p>
    <w:p w14:paraId="59876C96" w14:textId="77777777" w:rsidR="006276A8" w:rsidRDefault="006276A8">
      <w:pPr>
        <w:rPr>
          <w:rFonts w:ascii="Times New Roman" w:hAnsi="Times New Roman"/>
        </w:rPr>
      </w:pPr>
    </w:p>
    <w:p w14:paraId="3B5DA889" w14:textId="77777777" w:rsidR="006276A8" w:rsidRDefault="006276A8">
      <w:pPr>
        <w:rPr>
          <w:rFonts w:ascii="Times New Roman" w:hAnsi="Times New Roman"/>
        </w:rPr>
      </w:pPr>
    </w:p>
    <w:p w14:paraId="131754C8" w14:textId="77777777" w:rsidR="006276A8" w:rsidRDefault="006276A8"/>
    <w:p w14:paraId="011C3B4D" w14:textId="77777777" w:rsidR="006276A8" w:rsidRDefault="00000000">
      <w:r>
        <w:rPr>
          <w:noProof/>
        </w:rPr>
        <w:drawing>
          <wp:inline distT="0" distB="0" distL="0" distR="0" wp14:anchorId="11C70B92" wp14:editId="1C138E92">
            <wp:extent cx="4572000" cy="2743200"/>
            <wp:effectExtent l="0" t="0" r="0" b="0"/>
            <wp:docPr id="1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331BA6C1" w14:textId="17C2ABC9" w:rsidR="006276A8" w:rsidRDefault="00000000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S</w:t>
      </w:r>
      <w:r>
        <w:rPr>
          <w:rFonts w:ascii="Times New Roman" w:hAnsi="Times New Roman"/>
        </w:rPr>
        <w:t xml:space="preserve">upplementary Figure </w:t>
      </w:r>
      <w:r w:rsidR="00195867">
        <w:rPr>
          <w:rFonts w:ascii="Times New Roman" w:hAnsi="Times New Roman"/>
        </w:rPr>
        <w:t>2</w:t>
      </w:r>
      <w:r>
        <w:rPr>
          <w:rFonts w:ascii="Times New Roman" w:hAnsi="Times New Roman"/>
        </w:rPr>
        <w:t>. Lightness (L*) of large-mouth fillet subjected to different freezing/frozen storage treatments. “-“, fresh sample; Group A, Freeze at -18 °C and storage at -18 °C; Group B, Freeze at -60 °C and storage at -18 °C; Group C, Freeze at -60 °C with forced air circulation (wind speed 2 m/s) and storage at -18 °C</w:t>
      </w:r>
      <w:r>
        <w:rPr>
          <w:rFonts w:ascii="Times New Roman" w:hAnsi="Times New Roman"/>
        </w:rPr>
        <w:t>；</w:t>
      </w:r>
      <w:r>
        <w:rPr>
          <w:rFonts w:ascii="Times New Roman" w:hAnsi="Times New Roman"/>
        </w:rPr>
        <w:t>Group D, Freeze at -60 °C and storage at -40 °C</w:t>
      </w:r>
      <w:r>
        <w:rPr>
          <w:rFonts w:ascii="Times New Roman" w:hAnsi="Times New Roman"/>
        </w:rPr>
        <w:t>；</w:t>
      </w:r>
      <w:r>
        <w:rPr>
          <w:rFonts w:ascii="Times New Roman" w:hAnsi="Times New Roman"/>
        </w:rPr>
        <w:t>Group E, Freeze at -60 °C and storage at -60 °C.</w:t>
      </w:r>
    </w:p>
    <w:p w14:paraId="46D91347" w14:textId="77777777" w:rsidR="006276A8" w:rsidRDefault="006276A8"/>
    <w:p w14:paraId="7CCABF02" w14:textId="77777777" w:rsidR="006276A8" w:rsidRDefault="006276A8"/>
    <w:sectPr w:rsidR="006276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VlMWYzNWUwMDdjY2NlMjY5YmYzMTIyYTllNDQzMGIifQ=="/>
  </w:docVars>
  <w:rsids>
    <w:rsidRoot w:val="00B41BCC"/>
    <w:rsid w:val="00053BFC"/>
    <w:rsid w:val="00195867"/>
    <w:rsid w:val="002E6CE0"/>
    <w:rsid w:val="00354E4B"/>
    <w:rsid w:val="00565556"/>
    <w:rsid w:val="00607D88"/>
    <w:rsid w:val="006276A8"/>
    <w:rsid w:val="007C3C79"/>
    <w:rsid w:val="008926AF"/>
    <w:rsid w:val="00915819"/>
    <w:rsid w:val="00A835E1"/>
    <w:rsid w:val="00B02688"/>
    <w:rsid w:val="00B41BCC"/>
    <w:rsid w:val="00C61242"/>
    <w:rsid w:val="00D85B43"/>
    <w:rsid w:val="00EF53FF"/>
    <w:rsid w:val="00FD28D5"/>
    <w:rsid w:val="1DB2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2531C"/>
  <w15:docId w15:val="{65C4A3E1-1C52-4E46-B253-FEC98550E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27743;&#33487;&#22823;&#23398;&#24037;&#20316;\&#25991;&#31456;&#25776;&#20889;&#65288;&#27743;&#33487;&#22823;&#23398;&#65289;\&#24453;&#20889;&#35770;&#25991;\&#20919;&#20923;&#40072;&#40060;&#35770;&#25991;\largemouth-DATASET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752077865266801"/>
          <c:y val="5.0925925925925902E-2"/>
          <c:w val="0.83192366579177601"/>
          <c:h val="0.790439268008166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solidFill>
                <a:schemeClr val="tx1"/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bg1">
                  <a:lumMod val="75000"/>
                </a:schemeClr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36EE-4945-92D1-705F39C9723C}"/>
              </c:ext>
            </c:extLst>
          </c:dPt>
          <c:dPt>
            <c:idx val="1"/>
            <c:invertIfNegative val="0"/>
            <c:bubble3D val="0"/>
            <c:spPr>
              <a:pattFill prst="ltUpDiag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36EE-4945-92D1-705F39C9723C}"/>
              </c:ext>
            </c:extLst>
          </c:dPt>
          <c:dPt>
            <c:idx val="2"/>
            <c:invertIfNegative val="0"/>
            <c:bubble3D val="0"/>
            <c:spPr>
              <a:pattFill prst="ltUpDiag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36EE-4945-92D1-705F39C9723C}"/>
              </c:ext>
            </c:extLst>
          </c:dPt>
          <c:dPt>
            <c:idx val="3"/>
            <c:invertIfNegative val="0"/>
            <c:bubble3D val="0"/>
            <c:spPr>
              <a:pattFill prst="ltUpDiag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36EE-4945-92D1-705F39C9723C}"/>
              </c:ext>
            </c:extLst>
          </c:dPt>
          <c:dPt>
            <c:idx val="4"/>
            <c:invertIfNegative val="0"/>
            <c:bubble3D val="0"/>
            <c:spPr>
              <a:pattFill prst="ltUpDiag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36EE-4945-92D1-705F39C9723C}"/>
              </c:ext>
            </c:extLst>
          </c:dPt>
          <c:dPt>
            <c:idx val="5"/>
            <c:invertIfNegative val="0"/>
            <c:bubble3D val="0"/>
            <c:spPr>
              <a:pattFill prst="ltUpDiag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36EE-4945-92D1-705F39C9723C}"/>
              </c:ext>
            </c:extLst>
          </c:dPt>
          <c:dPt>
            <c:idx val="6"/>
            <c:invertIfNegative val="0"/>
            <c:bubble3D val="0"/>
            <c:spPr>
              <a:pattFill prst="wdDnDiag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36EE-4945-92D1-705F39C9723C}"/>
              </c:ext>
            </c:extLst>
          </c:dPt>
          <c:dPt>
            <c:idx val="7"/>
            <c:invertIfNegative val="0"/>
            <c:bubble3D val="0"/>
            <c:spPr>
              <a:pattFill prst="wdDnDiag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F-36EE-4945-92D1-705F39C9723C}"/>
              </c:ext>
            </c:extLst>
          </c:dPt>
          <c:dPt>
            <c:idx val="8"/>
            <c:invertIfNegative val="0"/>
            <c:bubble3D val="0"/>
            <c:spPr>
              <a:pattFill prst="wdDnDiag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1-36EE-4945-92D1-705F39C9723C}"/>
              </c:ext>
            </c:extLst>
          </c:dPt>
          <c:dPt>
            <c:idx val="9"/>
            <c:invertIfNegative val="0"/>
            <c:bubble3D val="0"/>
            <c:spPr>
              <a:pattFill prst="wdDnDiag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3-36EE-4945-92D1-705F39C9723C}"/>
              </c:ext>
            </c:extLst>
          </c:dPt>
          <c:dPt>
            <c:idx val="10"/>
            <c:invertIfNegative val="0"/>
            <c:bubble3D val="0"/>
            <c:spPr>
              <a:pattFill prst="wdDnDiag">
                <a:fgClr>
                  <a:schemeClr val="tx1"/>
                </a:fgClr>
                <a:bgClr>
                  <a:schemeClr val="bg1"/>
                </a:bgClr>
              </a:patt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5-36EE-4945-92D1-705F39C9723C}"/>
              </c:ext>
            </c:extLst>
          </c:dPt>
          <c:errBars>
            <c:errBarType val="both"/>
            <c:errValType val="cust"/>
            <c:noEndCap val="0"/>
            <c:plus>
              <c:numRef>
                <c:f>'color-L  value '!$I$2:$I$12</c:f>
                <c:numCache>
                  <c:formatCode>General</c:formatCode>
                  <c:ptCount val="11"/>
                  <c:pt idx="0">
                    <c:v>1.32488112674308</c:v>
                  </c:pt>
                  <c:pt idx="1">
                    <c:v>1.41799090768796</c:v>
                  </c:pt>
                  <c:pt idx="2">
                    <c:v>1.2988251101155499</c:v>
                  </c:pt>
                  <c:pt idx="3">
                    <c:v>1.1992275291481</c:v>
                  </c:pt>
                  <c:pt idx="4">
                    <c:v>1.30085228472208</c:v>
                  </c:pt>
                  <c:pt idx="5">
                    <c:v>2.1720351439759602</c:v>
                  </c:pt>
                  <c:pt idx="6">
                    <c:v>2.1494526435040799</c:v>
                  </c:pt>
                  <c:pt idx="7">
                    <c:v>2.0873204513602301</c:v>
                  </c:pt>
                  <c:pt idx="8">
                    <c:v>1.69985195433798</c:v>
                  </c:pt>
                  <c:pt idx="9">
                    <c:v>1.5338057243340799</c:v>
                  </c:pt>
                  <c:pt idx="10">
                    <c:v>2.1021195652642302</c:v>
                  </c:pt>
                </c:numCache>
              </c:numRef>
            </c:plus>
            <c:minus>
              <c:numRef>
                <c:f>'color-L  value '!$I$2:$I$12</c:f>
                <c:numCache>
                  <c:formatCode>General</c:formatCode>
                  <c:ptCount val="11"/>
                  <c:pt idx="0">
                    <c:v>1.32488112674308</c:v>
                  </c:pt>
                  <c:pt idx="1">
                    <c:v>1.41799090768796</c:v>
                  </c:pt>
                  <c:pt idx="2">
                    <c:v>1.2988251101155499</c:v>
                  </c:pt>
                  <c:pt idx="3">
                    <c:v>1.1992275291481</c:v>
                  </c:pt>
                  <c:pt idx="4">
                    <c:v>1.30085228472208</c:v>
                  </c:pt>
                  <c:pt idx="5">
                    <c:v>2.1720351439759602</c:v>
                  </c:pt>
                  <c:pt idx="6">
                    <c:v>2.1494526435040799</c:v>
                  </c:pt>
                  <c:pt idx="7">
                    <c:v>2.0873204513602301</c:v>
                  </c:pt>
                  <c:pt idx="8">
                    <c:v>1.69985195433798</c:v>
                  </c:pt>
                  <c:pt idx="9">
                    <c:v>1.5338057243340799</c:v>
                  </c:pt>
                  <c:pt idx="10">
                    <c:v>2.1021195652642302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multiLvlStrRef>
              <c:f>'color-L  value '!$F$2:$G$12</c:f>
              <c:multiLvlStrCache>
                <c:ptCount val="11"/>
                <c:lvl>
                  <c:pt idx="0">
                    <c:v>-</c:v>
                  </c:pt>
                  <c:pt idx="1">
                    <c:v>A</c:v>
                  </c:pt>
                  <c:pt idx="2">
                    <c:v>B</c:v>
                  </c:pt>
                  <c:pt idx="3">
                    <c:v>C</c:v>
                  </c:pt>
                  <c:pt idx="4">
                    <c:v>D</c:v>
                  </c:pt>
                  <c:pt idx="5">
                    <c:v>E</c:v>
                  </c:pt>
                  <c:pt idx="6">
                    <c:v>A</c:v>
                  </c:pt>
                  <c:pt idx="7">
                    <c:v>B</c:v>
                  </c:pt>
                  <c:pt idx="8">
                    <c:v>C</c:v>
                  </c:pt>
                  <c:pt idx="9">
                    <c:v>D</c:v>
                  </c:pt>
                  <c:pt idx="10">
                    <c:v>E</c:v>
                  </c:pt>
                </c:lvl>
                <c:lvl>
                  <c:pt idx="0">
                    <c:v>0</c:v>
                  </c:pt>
                  <c:pt idx="1">
                    <c:v>30</c:v>
                  </c:pt>
                  <c:pt idx="2">
                    <c:v>30</c:v>
                  </c:pt>
                  <c:pt idx="3">
                    <c:v>30</c:v>
                  </c:pt>
                  <c:pt idx="4">
                    <c:v>30</c:v>
                  </c:pt>
                  <c:pt idx="5">
                    <c:v>30</c:v>
                  </c:pt>
                  <c:pt idx="6">
                    <c:v>90</c:v>
                  </c:pt>
                  <c:pt idx="7">
                    <c:v>90</c:v>
                  </c:pt>
                  <c:pt idx="8">
                    <c:v>90</c:v>
                  </c:pt>
                  <c:pt idx="9">
                    <c:v>90</c:v>
                  </c:pt>
                  <c:pt idx="10">
                    <c:v>90</c:v>
                  </c:pt>
                </c:lvl>
              </c:multiLvlStrCache>
            </c:multiLvlStrRef>
          </c:cat>
          <c:val>
            <c:numRef>
              <c:f>'color-L  value '!$H$2:$H$12</c:f>
              <c:numCache>
                <c:formatCode>General</c:formatCode>
                <c:ptCount val="11"/>
                <c:pt idx="0">
                  <c:v>40.305</c:v>
                </c:pt>
                <c:pt idx="1">
                  <c:v>45.21875</c:v>
                </c:pt>
                <c:pt idx="2">
                  <c:v>47.683333333333302</c:v>
                </c:pt>
                <c:pt idx="3">
                  <c:v>45.773333333333298</c:v>
                </c:pt>
                <c:pt idx="4">
                  <c:v>47.308333333333302</c:v>
                </c:pt>
                <c:pt idx="5">
                  <c:v>46.3883333333333</c:v>
                </c:pt>
                <c:pt idx="6">
                  <c:v>48.016666666666701</c:v>
                </c:pt>
                <c:pt idx="7">
                  <c:v>49.496666666666698</c:v>
                </c:pt>
                <c:pt idx="8">
                  <c:v>50.271666666666697</c:v>
                </c:pt>
                <c:pt idx="9">
                  <c:v>48.85</c:v>
                </c:pt>
                <c:pt idx="10">
                  <c:v>49.266666666666701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6-36EE-4945-92D1-705F39C972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01379920"/>
        <c:axId val="301362864"/>
      </c:barChart>
      <c:catAx>
        <c:axId val="3013799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en-US" altLang="zh-CN" sz="1000" b="1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endParaRPr lang="zh-CN"/>
          </a:p>
        </c:txPr>
        <c:crossAx val="301362864"/>
        <c:crosses val="autoZero"/>
        <c:auto val="1"/>
        <c:lblAlgn val="ctr"/>
        <c:lblOffset val="100"/>
        <c:noMultiLvlLbl val="1"/>
      </c:catAx>
      <c:valAx>
        <c:axId val="301362864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lang="en-US" altLang="zh-CN" sz="1000" b="1" i="0" u="none" strike="noStrike" kern="1200" baseline="0">
                    <a:solidFill>
                      <a:schemeClr val="tx1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  <a:r>
                  <a:rPr lang="en-US" altLang="zh-CN" b="1">
                    <a:latin typeface="Times New Roman" panose="02020603050405020304" charset="0"/>
                    <a:cs typeface="Times New Roman" panose="02020603050405020304" charset="0"/>
                  </a:rPr>
                  <a:t>Color (L*)</a:t>
                </a:r>
                <a:endParaRPr lang="zh-CN" altLang="en-US" b="1">
                  <a:latin typeface="Times New Roman" panose="02020603050405020304" charset="0"/>
                  <a:cs typeface="Times New Roman" panose="02020603050405020304" charset="0"/>
                </a:endParaRPr>
              </a:p>
            </c:rich>
          </c:tx>
          <c:layout>
            <c:manualLayout>
              <c:xMode val="edge"/>
              <c:yMode val="edge"/>
              <c:x val="2.7777777777777801E-2"/>
              <c:y val="0.3274650043744529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lang="en-US" altLang="zh-CN" sz="1000" b="1" i="0" u="none" strike="noStrike" kern="1200" baseline="0">
                  <a:solidFill>
                    <a:schemeClr val="tx1"/>
                  </a:solidFill>
                  <a:latin typeface="Times New Roman" panose="02020603050405020304" charset="0"/>
                  <a:ea typeface="+mn-ea"/>
                  <a:cs typeface="Times New Roman" panose="02020603050405020304" charset="0"/>
                </a:defRPr>
              </a:pPr>
              <a:endParaRPr lang="zh-CN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en-US" altLang="zh-CN" sz="1000" b="1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  <a:endParaRPr lang="zh-CN"/>
          </a:p>
        </c:txPr>
        <c:crossAx val="3013799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en-US" altLang="zh-CN" sz="1000" b="0" i="0" u="none" strike="noStrike" kern="1200" baseline="0">
          <a:solidFill>
            <a:schemeClr val="tx1"/>
          </a:solidFill>
          <a:latin typeface="+mn-lt"/>
          <a:ea typeface="+mn-ea"/>
          <a:cs typeface="+mn-cs"/>
        </a:defRPr>
      </a:pPr>
      <a:endParaRPr lang="zh-CN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Bao Yulong</dc:creator>
  <cp:lastModifiedBy>unknown</cp:lastModifiedBy>
  <cp:revision>15</cp:revision>
  <dcterms:created xsi:type="dcterms:W3CDTF">2022-09-06T08:08:00Z</dcterms:created>
  <dcterms:modified xsi:type="dcterms:W3CDTF">2022-12-27T09:27:00Z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16D0C14F73A444A080057A3DDB003D1F</vt:lpwstr>
  </property>
</Properties>
</file>