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0185" w14:textId="7A006B84" w:rsidR="000F41BD" w:rsidRPr="005924DC" w:rsidRDefault="008A661F" w:rsidP="000F41BD">
      <w:pPr>
        <w:spacing w:line="276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5924DC">
        <w:rPr>
          <w:rFonts w:ascii="Times New Roman" w:eastAsia="宋体" w:hAnsi="Times New Roman" w:cs="Times New Roman"/>
          <w:b/>
          <w:bCs/>
          <w:sz w:val="28"/>
          <w:szCs w:val="28"/>
        </w:rPr>
        <w:t>Supplement 1</w:t>
      </w:r>
      <w:r w:rsidRPr="005924DC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.</w:t>
      </w:r>
      <w:r w:rsidR="000F41BD" w:rsidRPr="005924DC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 </w:t>
      </w:r>
      <w:r w:rsidR="005924DC" w:rsidRPr="005924DC">
        <w:rPr>
          <w:rFonts w:ascii="Times New Roman" w:eastAsia="宋体" w:hAnsi="Times New Roman" w:cs="Times New Roman"/>
          <w:b/>
          <w:bCs/>
          <w:sz w:val="28"/>
          <w:szCs w:val="28"/>
        </w:rPr>
        <w:t>Influence of 20(</w:t>
      </w:r>
      <w:r w:rsidR="005924DC" w:rsidRPr="00EA2EE2">
        <w:rPr>
          <w:rFonts w:ascii="Times New Roman" w:eastAsia="宋体" w:hAnsi="Times New Roman" w:cs="Times New Roman"/>
          <w:b/>
          <w:bCs/>
          <w:i/>
          <w:sz w:val="28"/>
          <w:szCs w:val="28"/>
        </w:rPr>
        <w:t>S</w:t>
      </w:r>
      <w:r w:rsidR="005924DC" w:rsidRPr="005924DC">
        <w:rPr>
          <w:rFonts w:ascii="Times New Roman" w:eastAsia="宋体" w:hAnsi="Times New Roman" w:cs="Times New Roman"/>
          <w:b/>
          <w:bCs/>
          <w:sz w:val="28"/>
          <w:szCs w:val="28"/>
        </w:rPr>
        <w:t>)-PPT on the combination of PCSK9 and LDLR</w:t>
      </w:r>
    </w:p>
    <w:p w14:paraId="1B6EA003" w14:textId="2B863A80" w:rsidR="001C2017" w:rsidRDefault="001C2017" w:rsidP="005924DC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117780334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W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e tested if 20(</w:t>
      </w:r>
      <w:r w:rsidRPr="001C20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)-PPT inhibited the binding of PCSK9 and LDLR </w:t>
      </w:r>
      <w:proofErr w:type="gramStart"/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similar to</w:t>
      </w:r>
      <w:proofErr w:type="gramEnd"/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the monoclonal antibodies of PCSK9. Surface plasmon Resonance (SPR) technology was used to detect the effects of different concentrations of </w:t>
      </w:r>
      <w:r w:rsidR="006D6E2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20(</w:t>
      </w:r>
      <w:r w:rsidR="006D6E27" w:rsidRPr="001C20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</w:t>
      </w:r>
      <w:r w:rsidR="006D6E2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)-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PP</w:t>
      </w:r>
      <w:r w:rsidR="006D6E27"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>T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8-32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μM</w:t>
      </w:r>
      <w:proofErr w:type="spellEnd"/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on the binding of PCSK9 to LDLR. The results showed that </w:t>
      </w:r>
      <w:r w:rsidR="006D6E2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20(</w:t>
      </w:r>
      <w:r w:rsidR="006D6E27" w:rsidRPr="001C201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S</w:t>
      </w:r>
      <w:r w:rsidR="006D6E2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)-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PP</w:t>
      </w:r>
      <w:r w:rsidR="006D6E27"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>T</w:t>
      </w:r>
      <w:r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inhibited the binding of PCSK9 to LDLR in a concentration-dependent manner (Fig. S1).</w:t>
      </w:r>
    </w:p>
    <w:p w14:paraId="621DB510" w14:textId="77777777" w:rsidR="005924DC" w:rsidRPr="00B342F4" w:rsidRDefault="005924DC" w:rsidP="005924DC">
      <w:pPr>
        <w:spacing w:line="360" w:lineRule="auto"/>
        <w:ind w:firstLine="4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2F4">
        <w:rPr>
          <w:rFonts w:ascii="Times New Roman" w:hAnsi="Times New Roman" w:cs="Times New Roman"/>
          <w:noProof/>
        </w:rPr>
        <w:drawing>
          <wp:inline distT="0" distB="0" distL="0" distR="0" wp14:anchorId="7A588555" wp14:editId="484588B9">
            <wp:extent cx="4421115" cy="2523067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697" cy="252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0167" w14:textId="2177AC46" w:rsidR="005924DC" w:rsidRPr="007D0CF6" w:rsidRDefault="00EA2EE2" w:rsidP="005924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D0C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Figure S1. </w:t>
      </w:r>
      <w:r w:rsidR="005924DC" w:rsidRPr="007D0C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Influence of 20(</w:t>
      </w:r>
      <w:r w:rsidR="005924DC" w:rsidRPr="007D0CF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S</w:t>
      </w:r>
      <w:r w:rsidR="005924DC" w:rsidRPr="007D0C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)-PPT on the combination of PCSK9 and LDLR</w:t>
      </w:r>
    </w:p>
    <w:p w14:paraId="09C356DD" w14:textId="5391B36C" w:rsidR="001C2017" w:rsidRPr="00260EFD" w:rsidRDefault="00EA2EE2" w:rsidP="001C2017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 xml:space="preserve">The kinetic analysis of the interactions between PCSK9 and LDLR under different concentrations of </w:t>
      </w:r>
      <w:r w:rsidRPr="00260E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20(</w:t>
      </w:r>
      <w:r w:rsidRPr="00260EFD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</w:t>
      </w:r>
      <w:r w:rsidRPr="00260E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)-PPT</w:t>
      </w:r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 xml:space="preserve"> (8-32 </w:t>
      </w:r>
      <w:proofErr w:type="spellStart"/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>μM</w:t>
      </w:r>
      <w:proofErr w:type="spellEnd"/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 xml:space="preserve">), as measured with the </w:t>
      </w:r>
      <w:proofErr w:type="spellStart"/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>Biacore</w:t>
      </w:r>
      <w:proofErr w:type="spellEnd"/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 xml:space="preserve"> S200 instrument (GE Healthcare, Uppsala, Sweden). As shown, </w:t>
      </w:r>
      <w:r w:rsidRPr="00260E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20(</w:t>
      </w:r>
      <w:r w:rsidRPr="00260EFD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S</w:t>
      </w:r>
      <w:r w:rsidRPr="00260EF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)-PPT</w:t>
      </w:r>
      <w:r w:rsidRPr="00260EFD">
        <w:rPr>
          <w:rFonts w:ascii="Times New Roman" w:eastAsiaTheme="minorHAnsi" w:hAnsi="Times New Roman" w:cs="Times New Roman"/>
          <w:bCs/>
          <w:sz w:val="24"/>
          <w:szCs w:val="24"/>
        </w:rPr>
        <w:t xml:space="preserve"> decreases the binding of PCKS9 to LDLR in a concentration dependent manner.</w:t>
      </w:r>
    </w:p>
    <w:p w14:paraId="04555385" w14:textId="77777777" w:rsidR="00940BB3" w:rsidRDefault="005924DC" w:rsidP="00940BB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In addition, </w:t>
      </w:r>
      <w:proofErr w:type="spellStart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>Autodock</w:t>
      </w:r>
      <w:proofErr w:type="spellEnd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docking software was used to simulate the effect of 20(</w:t>
      </w:r>
      <w:r w:rsidRPr="00940B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)-PPT on the combination of LDLR and PCSK9, and </w:t>
      </w:r>
      <w:proofErr w:type="spellStart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>Pymol</w:t>
      </w:r>
      <w:proofErr w:type="spellEnd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and </w:t>
      </w:r>
      <w:proofErr w:type="spellStart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>Ligplot</w:t>
      </w:r>
      <w:proofErr w:type="spellEnd"/>
      <w:r w:rsidRPr="00940BB3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+</w:t>
      </w:r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software </w:t>
      </w:r>
      <w:proofErr w:type="gramStart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>were</w:t>
      </w:r>
      <w:proofErr w:type="gramEnd"/>
      <w:r w:rsidRPr="00CE6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used to conduct visual analysis of the results, as shown in the </w:t>
      </w:r>
      <w:r w:rsidR="001C201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Figure S2.</w:t>
      </w:r>
    </w:p>
    <w:p w14:paraId="361A970C" w14:textId="4D886346" w:rsidR="005924DC" w:rsidRPr="00B342F4" w:rsidRDefault="005924DC" w:rsidP="00940BB3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42F4"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114300" distR="114300" wp14:anchorId="6A5CCB0C" wp14:editId="04E66E45">
            <wp:extent cx="4947907" cy="4686300"/>
            <wp:effectExtent l="0" t="0" r="5715" b="0"/>
            <wp:docPr id="3" name="图片 3" descr="PPT-Fi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PT-Fig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354" cy="469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17DE7" w14:textId="56D07BC3" w:rsidR="005924DC" w:rsidRPr="009F01CE" w:rsidRDefault="001C2017" w:rsidP="005924D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F01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Figure S2. </w:t>
      </w:r>
      <w:r w:rsidR="005924DC" w:rsidRPr="009F01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Molecular docking simulation 20(</w:t>
      </w:r>
      <w:r w:rsidR="005924DC" w:rsidRPr="00FF0FCC">
        <w:rPr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S</w:t>
      </w:r>
      <w:r w:rsidR="005924DC" w:rsidRPr="009F01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)-PPT inhibited the binding of PCSK9 to LDLR</w:t>
      </w:r>
    </w:p>
    <w:p w14:paraId="60E7D8E3" w14:textId="2F91DBDC" w:rsidR="005924DC" w:rsidRPr="009F01CE" w:rsidRDefault="005924DC" w:rsidP="005924DC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a, </w:t>
      </w:r>
      <w:proofErr w:type="spellStart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>Pymol</w:t>
      </w:r>
      <w:proofErr w:type="spellEnd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visual analysis of the combination of 20(</w:t>
      </w:r>
      <w:r w:rsidRPr="009F01C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)-PPT and LDLR; b, </w:t>
      </w:r>
      <w:proofErr w:type="spellStart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>Pymol</w:t>
      </w:r>
      <w:proofErr w:type="spellEnd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visualized analysis of the combination of LDLR and PCSK9; c, </w:t>
      </w:r>
      <w:proofErr w:type="spellStart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>Pymol</w:t>
      </w:r>
      <w:proofErr w:type="spellEnd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visual analysis 20(</w:t>
      </w:r>
      <w:r w:rsidRPr="009F01C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)-PPT inhibited the binding of LDLR and PCSK9; d, </w:t>
      </w:r>
      <w:proofErr w:type="spellStart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>Ligplot</w:t>
      </w:r>
      <w:proofErr w:type="spellEnd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visual analysis of the hydrophobic interaction between 20(</w:t>
      </w:r>
      <w:r w:rsidRPr="009F01C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)-PPT and LDLR; e, </w:t>
      </w:r>
      <w:proofErr w:type="spellStart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>Ligplot</w:t>
      </w:r>
      <w:proofErr w:type="spellEnd"/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visual analysis of 20(</w:t>
      </w:r>
      <w:r w:rsidRPr="009F01C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</w:t>
      </w:r>
      <w:r w:rsidRPr="009F01CE">
        <w:rPr>
          <w:rFonts w:ascii="Times New Roman" w:hAnsi="Times New Roman" w:cs="Times New Roman"/>
          <w:sz w:val="24"/>
          <w:szCs w:val="24"/>
          <w:shd w:val="clear" w:color="auto" w:fill="FFFFFF"/>
        </w:rPr>
        <w:t>)-PPT hydrophobic interaction with LDLR and PCSK9</w:t>
      </w:r>
      <w:r w:rsidRPr="009F01CE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.</w:t>
      </w:r>
    </w:p>
    <w:p w14:paraId="397871BA" w14:textId="77777777" w:rsidR="005924DC" w:rsidRDefault="005924DC" w:rsidP="005924DC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81A588" w14:textId="52ABACE5" w:rsidR="003F4367" w:rsidRPr="001C2017" w:rsidRDefault="005924DC" w:rsidP="001C2017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We used the ligand-receptor docking model to simulate the molecular recognition and binding mecha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nism of 20(</w:t>
      </w:r>
      <w:r w:rsidRPr="00940B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)-PPT and LDLR.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Molecular docking shows that the ABCD ring of 20(</w:t>
      </w:r>
      <w:r w:rsidRPr="00940B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)-PPT is inserted into the active pocket position of the LDLR (Figure </w:t>
      </w:r>
      <w:r w:rsidR="001C201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S2</w:t>
      </w:r>
      <w:r w:rsid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a). We used the same docking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method to explore the combination of LDLR and PCSK9 (Figure </w:t>
      </w:r>
      <w:r w:rsidR="001C201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S2</w:t>
      </w:r>
      <w:r w:rsid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b) and the influence of 20(</w:t>
      </w:r>
      <w:r w:rsidRPr="0056553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)-PPT on the combination of LDLR and PCSK9 (Figure </w:t>
      </w:r>
      <w:r w:rsidR="001C201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S2</w:t>
      </w:r>
      <w:r w:rsid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c). The results showed that LDLR and PCSK9 were able to bind closely, but in the presence of 20(</w:t>
      </w:r>
      <w:r w:rsidRPr="00940B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)-PPT, the conformation of LDLR changed, which affected the binding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with PCSK9.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Through </w:t>
      </w:r>
      <w:proofErr w:type="spellStart"/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Ligplot</w:t>
      </w:r>
      <w:proofErr w:type="spellEnd"/>
      <w:r w:rsidRPr="00940BB3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+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analysis, it is found that </w:t>
      </w:r>
      <w:proofErr w:type="gramStart"/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a large number of</w:t>
      </w:r>
      <w:proofErr w:type="gramEnd"/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hydrophobic bonds can be formed between 20(</w:t>
      </w:r>
      <w:r w:rsidRPr="00940B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)-PPT and LDLR protein (Figure </w:t>
      </w:r>
      <w:r w:rsidR="001C201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S2</w:t>
      </w:r>
      <w:r w:rsid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d), and 20(</w:t>
      </w:r>
      <w:r w:rsidRPr="00940BB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S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)-PPT can directly produce hydrogen bonds with three amino acid residues (Ala291, Tyr315, Gly302) on LDLR protei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n.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The bond lengths were 2.95 </w:t>
      </w:r>
      <w:r w:rsidRPr="00B342F4">
        <w:rPr>
          <w:rFonts w:ascii="Times New Roman" w:hAnsi="Times New Roman" w:cs="Times New Roman"/>
          <w:sz w:val="28"/>
          <w:szCs w:val="28"/>
          <w:shd w:val="clear" w:color="auto" w:fill="FFFFFF"/>
        </w:rPr>
        <w:t>Å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3.16 </w:t>
      </w:r>
      <w:r w:rsidRPr="00B342F4">
        <w:rPr>
          <w:rFonts w:ascii="Times New Roman" w:hAnsi="Times New Roman" w:cs="Times New Roman"/>
          <w:sz w:val="28"/>
          <w:szCs w:val="28"/>
          <w:shd w:val="clear" w:color="auto" w:fill="FFFFFF"/>
        </w:rPr>
        <w:t>Å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and 2.80 </w:t>
      </w:r>
      <w:r w:rsidRPr="00B342F4">
        <w:rPr>
          <w:rFonts w:ascii="Times New Roman" w:hAnsi="Times New Roman" w:cs="Times New Roman"/>
          <w:sz w:val="28"/>
          <w:szCs w:val="28"/>
          <w:shd w:val="clear" w:color="auto" w:fill="FFFFFF"/>
        </w:rPr>
        <w:t>Å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respectively (Figure </w:t>
      </w:r>
      <w:r w:rsidR="001C2017" w:rsidRP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>S2</w:t>
      </w:r>
      <w:r w:rsidR="001C20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0E04">
        <w:rPr>
          <w:rFonts w:ascii="Times New Roman" w:hAnsi="Times New Roman" w:cs="Times New Roman"/>
          <w:sz w:val="28"/>
          <w:szCs w:val="28"/>
          <w:shd w:val="clear" w:color="auto" w:fill="FFFFFF"/>
        </w:rPr>
        <w:t>e), which resulted in a conformational change of LDLR protein.</w:t>
      </w:r>
      <w:bookmarkEnd w:id="0"/>
    </w:p>
    <w:sectPr w:rsidR="003F4367" w:rsidRPr="001C20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7FA84" w14:textId="77777777" w:rsidR="00732DCD" w:rsidRDefault="00732DCD" w:rsidP="005E76F2">
      <w:r>
        <w:separator/>
      </w:r>
    </w:p>
  </w:endnote>
  <w:endnote w:type="continuationSeparator" w:id="0">
    <w:p w14:paraId="35E16BFE" w14:textId="77777777" w:rsidR="00732DCD" w:rsidRDefault="00732DCD" w:rsidP="005E7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6BB51" w14:textId="77777777" w:rsidR="00732DCD" w:rsidRDefault="00732DCD" w:rsidP="005E76F2">
      <w:r>
        <w:separator/>
      </w:r>
    </w:p>
  </w:footnote>
  <w:footnote w:type="continuationSeparator" w:id="0">
    <w:p w14:paraId="4DE191C6" w14:textId="77777777" w:rsidR="00732DCD" w:rsidRDefault="00732DCD" w:rsidP="005E7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A3A"/>
    <w:rsid w:val="00015700"/>
    <w:rsid w:val="000A366E"/>
    <w:rsid w:val="000C3B6A"/>
    <w:rsid w:val="000F41BD"/>
    <w:rsid w:val="001C2017"/>
    <w:rsid w:val="00260EFD"/>
    <w:rsid w:val="00283FFA"/>
    <w:rsid w:val="00316864"/>
    <w:rsid w:val="003F4367"/>
    <w:rsid w:val="004A10D1"/>
    <w:rsid w:val="00565534"/>
    <w:rsid w:val="0056647B"/>
    <w:rsid w:val="00575D22"/>
    <w:rsid w:val="005924DC"/>
    <w:rsid w:val="005E76F2"/>
    <w:rsid w:val="006D6E27"/>
    <w:rsid w:val="00732DCD"/>
    <w:rsid w:val="007D0CF6"/>
    <w:rsid w:val="008A661F"/>
    <w:rsid w:val="00914D37"/>
    <w:rsid w:val="00940BB3"/>
    <w:rsid w:val="009F01CE"/>
    <w:rsid w:val="00A94541"/>
    <w:rsid w:val="00B76A3A"/>
    <w:rsid w:val="00D10514"/>
    <w:rsid w:val="00EA2EE2"/>
    <w:rsid w:val="00EB5FD9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326A9"/>
  <w15:chartTrackingRefBased/>
  <w15:docId w15:val="{5A37E65E-E6FE-46C6-AF34-B296AB96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7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76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7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76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立甜</dc:creator>
  <cp:keywords/>
  <dc:description/>
  <cp:lastModifiedBy>540619693@qq.com</cp:lastModifiedBy>
  <cp:revision>6</cp:revision>
  <dcterms:created xsi:type="dcterms:W3CDTF">2023-04-21T04:27:00Z</dcterms:created>
  <dcterms:modified xsi:type="dcterms:W3CDTF">2023-04-21T04:43:00Z</dcterms:modified>
</cp:coreProperties>
</file>