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3A678" w14:textId="77777777" w:rsidR="009E5513" w:rsidRPr="00702E2C" w:rsidRDefault="009E5513" w:rsidP="009E5513">
      <w:pPr>
        <w:jc w:val="both"/>
        <w:rPr>
          <w:rFonts w:ascii="Arial" w:hAnsi="Arial" w:cs="Arial"/>
          <w:b/>
          <w:color w:val="000000" w:themeColor="text1"/>
          <w:sz w:val="24"/>
          <w:szCs w:val="24"/>
          <w:shd w:val="clear" w:color="auto" w:fill="FFFFFF"/>
        </w:rPr>
      </w:pPr>
      <w:r w:rsidRPr="00702E2C">
        <w:rPr>
          <w:rFonts w:ascii="Arial" w:hAnsi="Arial" w:cs="Arial"/>
          <w:b/>
          <w:color w:val="000000" w:themeColor="text1"/>
          <w:sz w:val="24"/>
          <w:szCs w:val="24"/>
          <w:shd w:val="clear" w:color="auto" w:fill="FFFFFF"/>
        </w:rPr>
        <w:t>SUPPLEMENTARY FIGURE LEGENDS</w:t>
      </w:r>
    </w:p>
    <w:p w14:paraId="45463D35" w14:textId="2ED7E3D8" w:rsidR="009E5513" w:rsidRPr="00702E2C" w:rsidRDefault="00281F1B" w:rsidP="009E5513">
      <w:pPr>
        <w:spacing w:line="480" w:lineRule="auto"/>
        <w:jc w:val="both"/>
        <w:rPr>
          <w:rFonts w:ascii="Arial" w:hAnsi="Arial" w:cs="Arial"/>
          <w:b/>
          <w:bCs/>
          <w:color w:val="000000" w:themeColor="text1"/>
          <w:sz w:val="24"/>
          <w:szCs w:val="24"/>
        </w:rPr>
      </w:pPr>
      <w:r>
        <w:rPr>
          <w:rFonts w:ascii="Arial" w:hAnsi="Arial" w:cs="Arial"/>
          <w:b/>
          <w:bCs/>
          <w:noProof/>
          <w:color w:val="000000" w:themeColor="text1"/>
          <w:sz w:val="24"/>
          <w:szCs w:val="24"/>
        </w:rPr>
        <w:drawing>
          <wp:inline distT="0" distB="0" distL="0" distR="0" wp14:anchorId="2B4C9BAE" wp14:editId="221B8247">
            <wp:extent cx="6400800" cy="1896745"/>
            <wp:effectExtent l="0" t="0" r="0" b="825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6"/>
                    <a:stretch>
                      <a:fillRect/>
                    </a:stretch>
                  </pic:blipFill>
                  <pic:spPr>
                    <a:xfrm>
                      <a:off x="0" y="0"/>
                      <a:ext cx="6400800" cy="1896745"/>
                    </a:xfrm>
                    <a:prstGeom prst="rect">
                      <a:avLst/>
                    </a:prstGeom>
                  </pic:spPr>
                </pic:pic>
              </a:graphicData>
            </a:graphic>
          </wp:inline>
        </w:drawing>
      </w:r>
    </w:p>
    <w:p w14:paraId="32A6FE82" w14:textId="77777777" w:rsidR="009E5513" w:rsidRPr="00702E2C" w:rsidRDefault="009E5513" w:rsidP="009E5513">
      <w:pPr>
        <w:spacing w:line="480" w:lineRule="auto"/>
        <w:jc w:val="both"/>
        <w:rPr>
          <w:rFonts w:ascii="Arial" w:hAnsi="Arial" w:cs="Arial"/>
          <w:i/>
          <w:iCs/>
          <w:color w:val="000000" w:themeColor="text1"/>
          <w:sz w:val="24"/>
          <w:szCs w:val="24"/>
        </w:rPr>
      </w:pPr>
      <w:r w:rsidRPr="00702E2C">
        <w:rPr>
          <w:rFonts w:ascii="Arial" w:hAnsi="Arial" w:cs="Arial"/>
          <w:b/>
          <w:bCs/>
          <w:color w:val="000000" w:themeColor="text1"/>
          <w:sz w:val="24"/>
          <w:szCs w:val="24"/>
        </w:rPr>
        <w:t>Figure S1. Effects of Metformin on cell viability in the context of HIV and viral Nef expression</w:t>
      </w:r>
      <w:r w:rsidRPr="00702E2C">
        <w:rPr>
          <w:rFonts w:ascii="Arial" w:hAnsi="Arial" w:cs="Arial"/>
          <w:color w:val="000000" w:themeColor="text1"/>
          <w:sz w:val="24"/>
          <w:szCs w:val="24"/>
        </w:rPr>
        <w:t>. 293T were plated in a 24-well plate at a density of 0.6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per well, cultured for 24 h, transfected with 0.8 μg pNL4-3, continued to culture for 16 h, replaced the medium, treated with either PBS or metformin for 48 h, and processed for the MTT assay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or for Western blotting against an anti-Nef, anti-p24 or anti-</w:t>
      </w:r>
      <w:r w:rsidRPr="00702E2C">
        <w:rPr>
          <w:rFonts w:ascii="Arial" w:hAnsi="Arial" w:cs="Arial"/>
          <w:color w:val="000000" w:themeColor="text1"/>
          <w:sz w:val="24"/>
          <w:szCs w:val="24"/>
        </w:rPr>
        <w:sym w:font="Symbol" w:char="0062"/>
      </w:r>
      <w:r w:rsidRPr="00702E2C">
        <w:rPr>
          <w:rFonts w:ascii="Arial" w:hAnsi="Arial" w:cs="Arial"/>
          <w:color w:val="000000" w:themeColor="text1"/>
          <w:sz w:val="24"/>
          <w:szCs w:val="24"/>
        </w:rPr>
        <w:t>-actin antibody (</w:t>
      </w:r>
      <w:r w:rsidRPr="00702E2C">
        <w:rPr>
          <w:rFonts w:ascii="Arial" w:hAnsi="Arial" w:cs="Arial"/>
          <w:b/>
          <w:color w:val="000000" w:themeColor="text1"/>
          <w:sz w:val="24"/>
          <w:szCs w:val="24"/>
        </w:rPr>
        <w:t>B)</w:t>
      </w:r>
      <w:r w:rsidRPr="00702E2C">
        <w:rPr>
          <w:rFonts w:ascii="Arial" w:hAnsi="Arial" w:cs="Arial"/>
          <w:color w:val="000000" w:themeColor="text1"/>
        </w:rPr>
        <w:t xml:space="preserve">. </w:t>
      </w:r>
      <w:r w:rsidRPr="00702E2C">
        <w:rPr>
          <w:rFonts w:ascii="Arial" w:hAnsi="Arial" w:cs="Arial"/>
          <w:color w:val="000000" w:themeColor="text1"/>
          <w:sz w:val="24"/>
          <w:szCs w:val="24"/>
        </w:rPr>
        <w:t xml:space="preserve">Nef expression was quantitated by densitometry, normalized to </w:t>
      </w:r>
      <w:r w:rsidRPr="00702E2C">
        <w:rPr>
          <w:rFonts w:ascii="Arial" w:hAnsi="Arial" w:cs="Arial"/>
          <w:color w:val="000000" w:themeColor="text1"/>
          <w:sz w:val="24"/>
          <w:szCs w:val="24"/>
        </w:rPr>
        <w:sym w:font="Symbol" w:char="0062"/>
      </w:r>
      <w:r w:rsidRPr="00702E2C">
        <w:rPr>
          <w:rFonts w:ascii="Arial" w:hAnsi="Arial" w:cs="Arial"/>
          <w:color w:val="000000" w:themeColor="text1"/>
          <w:sz w:val="24"/>
          <w:szCs w:val="24"/>
        </w:rPr>
        <w:t>-actin, and expressed in fold-change in reference to the first sample without Metformin treatment. The data were Mean ± SD of 6 replicates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or representative of two independent experiments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w:t>
      </w:r>
      <w:r w:rsidRPr="00702E2C">
        <w:rPr>
          <w:rFonts w:ascii="Arial" w:hAnsi="Arial" w:cs="Arial"/>
          <w:i/>
          <w:iCs/>
          <w:color w:val="000000" w:themeColor="text1"/>
          <w:sz w:val="24"/>
          <w:szCs w:val="24"/>
        </w:rPr>
        <w:t> </w:t>
      </w:r>
    </w:p>
    <w:p w14:paraId="4B7E9C6A" w14:textId="7ED52CD0" w:rsidR="009E5513" w:rsidRPr="00702E2C" w:rsidRDefault="00281F1B" w:rsidP="009E5513">
      <w:pPr>
        <w:spacing w:line="48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3251781" wp14:editId="176BB30D">
            <wp:extent cx="5239512" cy="2084832"/>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7"/>
                    <a:stretch>
                      <a:fillRect/>
                    </a:stretch>
                  </pic:blipFill>
                  <pic:spPr>
                    <a:xfrm>
                      <a:off x="0" y="0"/>
                      <a:ext cx="5239512" cy="2084832"/>
                    </a:xfrm>
                    <a:prstGeom prst="rect">
                      <a:avLst/>
                    </a:prstGeom>
                  </pic:spPr>
                </pic:pic>
              </a:graphicData>
            </a:graphic>
          </wp:inline>
        </w:drawing>
      </w:r>
    </w:p>
    <w:p w14:paraId="53436A85" w14:textId="77777777" w:rsidR="009E5513" w:rsidRPr="00702E2C" w:rsidRDefault="009E5513" w:rsidP="009E5513">
      <w:pPr>
        <w:spacing w:line="480" w:lineRule="auto"/>
        <w:jc w:val="both"/>
        <w:rPr>
          <w:rFonts w:ascii="Arial" w:hAnsi="Arial" w:cs="Arial"/>
          <w:color w:val="000000" w:themeColor="text1"/>
          <w:sz w:val="24"/>
          <w:szCs w:val="24"/>
        </w:rPr>
      </w:pPr>
      <w:bookmarkStart w:id="0" w:name="_Hlk113829967"/>
      <w:r w:rsidRPr="00702E2C">
        <w:rPr>
          <w:rFonts w:ascii="Arial" w:hAnsi="Arial" w:cs="Arial"/>
          <w:b/>
          <w:bCs/>
          <w:color w:val="000000" w:themeColor="text1"/>
          <w:sz w:val="24"/>
          <w:szCs w:val="24"/>
        </w:rPr>
        <w:lastRenderedPageBreak/>
        <w:t>Figure S2. Effects of Metformin on viability and proliferation of HIV-infected Jurkat.</w:t>
      </w:r>
      <w:r w:rsidRPr="00702E2C">
        <w:rPr>
          <w:rFonts w:ascii="Arial" w:hAnsi="Arial" w:cs="Arial"/>
          <w:color w:val="000000" w:themeColor="text1"/>
          <w:sz w:val="24"/>
          <w:szCs w:val="24"/>
        </w:rPr>
        <w:t xml:space="preserve">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HIV-infected Jurkat were plated in a 24-well plate at the density of 0.6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per well, cultured for 24 h, and treated with metformin for 48 h. The medium was removed and replaced with a fresh RPMI 1640 medium and processed for the MTT assay. </w:t>
      </w:r>
      <w:r w:rsidRPr="00702E2C">
        <w:rPr>
          <w:rFonts w:ascii="Arial" w:hAnsi="Arial" w:cs="Arial"/>
          <w:b/>
          <w:bCs/>
          <w:color w:val="000000" w:themeColor="text1"/>
          <w:sz w:val="24"/>
          <w:szCs w:val="24"/>
        </w:rPr>
        <w:t>B.</w:t>
      </w:r>
      <w:r w:rsidRPr="00702E2C">
        <w:rPr>
          <w:rFonts w:ascii="Arial" w:hAnsi="Arial" w:cs="Arial"/>
          <w:color w:val="000000" w:themeColor="text1"/>
          <w:sz w:val="24"/>
          <w:szCs w:val="24"/>
        </w:rPr>
        <w:t xml:space="preserve"> HIV-infected Jurkat were plated in a 96-well white tissue culture plate with a clear bottom at a density of 1 x 10</w:t>
      </w:r>
      <w:r w:rsidRPr="00702E2C">
        <w:rPr>
          <w:rFonts w:ascii="Arial" w:hAnsi="Arial" w:cs="Arial"/>
          <w:color w:val="000000" w:themeColor="text1"/>
          <w:sz w:val="24"/>
          <w:szCs w:val="24"/>
          <w:vertAlign w:val="superscript"/>
        </w:rPr>
        <w:t>4</w:t>
      </w:r>
      <w:r w:rsidRPr="00702E2C">
        <w:rPr>
          <w:rFonts w:ascii="Arial" w:hAnsi="Arial" w:cs="Arial"/>
          <w:color w:val="000000" w:themeColor="text1"/>
          <w:sz w:val="24"/>
          <w:szCs w:val="24"/>
        </w:rPr>
        <w:t xml:space="preserve"> per well, cultured for 24 h, treated with or without metformin for 48 h, and processed for the fluorometric cell proliferation assay. The results are expressed and statistically analyzed using the PBS control as a reference. The data were Mean ± SD of 6 replicates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or 5 replicates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w:t>
      </w:r>
    </w:p>
    <w:p w14:paraId="5C5A4C41" w14:textId="0FCCCEAF" w:rsidR="009E5513" w:rsidRPr="00702E2C" w:rsidRDefault="00281F1B" w:rsidP="009E5513">
      <w:pPr>
        <w:spacing w:line="48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3F21D87B" wp14:editId="77895C27">
            <wp:extent cx="6400800" cy="1668780"/>
            <wp:effectExtent l="0" t="0" r="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
                    <a:stretch>
                      <a:fillRect/>
                    </a:stretch>
                  </pic:blipFill>
                  <pic:spPr>
                    <a:xfrm>
                      <a:off x="0" y="0"/>
                      <a:ext cx="6400800" cy="1668780"/>
                    </a:xfrm>
                    <a:prstGeom prst="rect">
                      <a:avLst/>
                    </a:prstGeom>
                  </pic:spPr>
                </pic:pic>
              </a:graphicData>
            </a:graphic>
          </wp:inline>
        </w:drawing>
      </w:r>
    </w:p>
    <w:p w14:paraId="0F2C2E96" w14:textId="77777777" w:rsidR="009E5513" w:rsidRPr="00702E2C" w:rsidRDefault="009E5513" w:rsidP="009E5513">
      <w:pPr>
        <w:spacing w:line="480" w:lineRule="auto"/>
        <w:jc w:val="both"/>
        <w:rPr>
          <w:rFonts w:ascii="Arial" w:hAnsi="Arial" w:cs="Arial"/>
          <w:color w:val="000000" w:themeColor="text1"/>
          <w:sz w:val="24"/>
          <w:szCs w:val="24"/>
        </w:rPr>
      </w:pPr>
      <w:r w:rsidRPr="00702E2C">
        <w:rPr>
          <w:rFonts w:ascii="Arial" w:hAnsi="Arial" w:cs="Arial"/>
          <w:b/>
          <w:bCs/>
          <w:color w:val="000000" w:themeColor="text1"/>
          <w:sz w:val="24"/>
          <w:szCs w:val="24"/>
        </w:rPr>
        <w:t>Figure S3. Effects of Metformin on the Ap-1 and NF-</w:t>
      </w:r>
      <w:r w:rsidRPr="00702E2C">
        <w:rPr>
          <w:rFonts w:ascii="Arial" w:hAnsi="Arial" w:cs="Arial"/>
          <w:b/>
          <w:bCs/>
          <w:color w:val="000000" w:themeColor="text1"/>
          <w:sz w:val="24"/>
          <w:szCs w:val="24"/>
        </w:rPr>
        <w:sym w:font="Symbol" w:char="F06B"/>
      </w:r>
      <w:r w:rsidRPr="00702E2C">
        <w:rPr>
          <w:rFonts w:ascii="Arial" w:hAnsi="Arial" w:cs="Arial"/>
          <w:b/>
          <w:bCs/>
          <w:color w:val="000000" w:themeColor="text1"/>
          <w:sz w:val="24"/>
          <w:szCs w:val="24"/>
        </w:rPr>
        <w:t>B binding sites-driven, and TATA Box-driven promoter activities</w:t>
      </w:r>
      <w:r w:rsidRPr="00702E2C">
        <w:rPr>
          <w:rFonts w:ascii="Arial" w:hAnsi="Arial" w:cs="Arial"/>
          <w:color w:val="000000" w:themeColor="text1"/>
          <w:sz w:val="24"/>
          <w:szCs w:val="24"/>
        </w:rPr>
        <w:t>. 293T were plated in a 12-well plate at a density of 1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cells/well, transfected with 0.15 μg Ap-1-Luc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0.3 µg NF-</w:t>
      </w:r>
      <w:r w:rsidRPr="00702E2C">
        <w:rPr>
          <w:rFonts w:ascii="Arial" w:hAnsi="Arial" w:cs="Arial"/>
          <w:color w:val="000000" w:themeColor="text1"/>
          <w:sz w:val="24"/>
          <w:szCs w:val="24"/>
        </w:rPr>
        <w:sym w:font="Symbol" w:char="F06B"/>
      </w:r>
      <w:r w:rsidRPr="00702E2C">
        <w:rPr>
          <w:rFonts w:ascii="Arial" w:hAnsi="Arial" w:cs="Arial"/>
          <w:color w:val="000000" w:themeColor="text1"/>
          <w:sz w:val="24"/>
          <w:szCs w:val="24"/>
        </w:rPr>
        <w:t>B-Luc (</w:t>
      </w:r>
      <w:r w:rsidRPr="00702E2C">
        <w:rPr>
          <w:rFonts w:ascii="Arial" w:hAnsi="Arial" w:cs="Arial"/>
          <w:b/>
          <w:bCs/>
          <w:color w:val="000000" w:themeColor="text1"/>
          <w:sz w:val="24"/>
          <w:szCs w:val="24"/>
        </w:rPr>
        <w:t>B</w:t>
      </w:r>
      <w:r w:rsidRPr="00702E2C">
        <w:rPr>
          <w:rFonts w:ascii="Arial" w:hAnsi="Arial" w:cs="Arial"/>
          <w:color w:val="000000" w:themeColor="text1"/>
          <w:sz w:val="24"/>
          <w:szCs w:val="24"/>
        </w:rPr>
        <w:t>), or 30 ng TATA-Luc (</w:t>
      </w:r>
      <w:r w:rsidRPr="00702E2C">
        <w:rPr>
          <w:rFonts w:ascii="Arial" w:hAnsi="Arial" w:cs="Arial"/>
          <w:b/>
          <w:bCs/>
          <w:color w:val="000000" w:themeColor="text1"/>
          <w:sz w:val="24"/>
          <w:szCs w:val="24"/>
        </w:rPr>
        <w:t>C</w:t>
      </w:r>
      <w:r w:rsidRPr="00702E2C">
        <w:rPr>
          <w:rFonts w:ascii="Arial" w:hAnsi="Arial" w:cs="Arial"/>
          <w:color w:val="000000" w:themeColor="text1"/>
          <w:sz w:val="24"/>
          <w:szCs w:val="24"/>
        </w:rPr>
        <w:t>) adjusted the final DNA concentration for transfection to 1.5 µg using pcDNA3 cultured for 16 h, changed with fresh medium, added Metformin, continued to culture for 48 h, and harvested for the Luc reporter gene assay. The Luc activity was normalized to the cellular proteins.</w:t>
      </w:r>
      <w:r w:rsidRPr="00702E2C">
        <w:rPr>
          <w:rStyle w:val="CommentReference"/>
          <w:rFonts w:ascii="Arial" w:hAnsi="Arial" w:cs="Arial"/>
          <w:color w:val="000000" w:themeColor="text1"/>
          <w:sz w:val="24"/>
          <w:szCs w:val="24"/>
        </w:rPr>
        <w:t xml:space="preserve"> T</w:t>
      </w:r>
      <w:r w:rsidRPr="00702E2C">
        <w:rPr>
          <w:rFonts w:ascii="Arial" w:hAnsi="Arial" w:cs="Arial"/>
          <w:color w:val="000000" w:themeColor="text1"/>
          <w:sz w:val="24"/>
          <w:szCs w:val="24"/>
        </w:rPr>
        <w:t xml:space="preserve">he data were Mean ± SD of multiple replicates (8 replicates for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xml:space="preserve">, 3 replicates for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 xml:space="preserve">, and 6 replicates for </w:t>
      </w:r>
      <w:r w:rsidRPr="00F7091F">
        <w:rPr>
          <w:rFonts w:ascii="Arial" w:hAnsi="Arial" w:cs="Arial"/>
          <w:b/>
          <w:color w:val="000000" w:themeColor="text1"/>
          <w:sz w:val="24"/>
          <w:szCs w:val="24"/>
        </w:rPr>
        <w:t>C</w:t>
      </w:r>
      <w:r w:rsidRPr="00702E2C">
        <w:rPr>
          <w:rFonts w:ascii="Arial" w:hAnsi="Arial" w:cs="Arial"/>
          <w:color w:val="000000" w:themeColor="text1"/>
          <w:sz w:val="24"/>
          <w:szCs w:val="24"/>
        </w:rPr>
        <w:t>).</w:t>
      </w:r>
    </w:p>
    <w:p w14:paraId="2D03E338" w14:textId="77777777" w:rsidR="009E5513" w:rsidRPr="00702E2C" w:rsidRDefault="009E5513" w:rsidP="009E5513">
      <w:pPr>
        <w:spacing w:line="480" w:lineRule="auto"/>
        <w:jc w:val="both"/>
        <w:rPr>
          <w:rFonts w:ascii="Arial" w:hAnsi="Arial" w:cs="Arial"/>
          <w:b/>
          <w:bCs/>
          <w:color w:val="000000" w:themeColor="text1"/>
          <w:sz w:val="24"/>
          <w:szCs w:val="24"/>
        </w:rPr>
      </w:pPr>
    </w:p>
    <w:p w14:paraId="213C6B21" w14:textId="18211325" w:rsidR="00281F1B" w:rsidRDefault="00281F1B" w:rsidP="009E5513">
      <w:pPr>
        <w:spacing w:line="480" w:lineRule="auto"/>
        <w:jc w:val="both"/>
        <w:rPr>
          <w:rFonts w:ascii="Arial" w:hAnsi="Arial" w:cs="Arial"/>
          <w:b/>
          <w:bCs/>
          <w:color w:val="000000" w:themeColor="text1"/>
          <w:sz w:val="24"/>
          <w:szCs w:val="24"/>
        </w:rPr>
      </w:pPr>
      <w:r>
        <w:rPr>
          <w:rFonts w:ascii="Arial" w:hAnsi="Arial" w:cs="Arial"/>
          <w:b/>
          <w:bCs/>
          <w:noProof/>
          <w:color w:val="000000" w:themeColor="text1"/>
          <w:sz w:val="24"/>
          <w:szCs w:val="24"/>
        </w:rPr>
        <w:lastRenderedPageBreak/>
        <w:drawing>
          <wp:inline distT="0" distB="0" distL="0" distR="0" wp14:anchorId="47E83ABF" wp14:editId="29A6B123">
            <wp:extent cx="2267712" cy="233172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9"/>
                    <a:stretch>
                      <a:fillRect/>
                    </a:stretch>
                  </pic:blipFill>
                  <pic:spPr>
                    <a:xfrm>
                      <a:off x="0" y="0"/>
                      <a:ext cx="2267712" cy="2331720"/>
                    </a:xfrm>
                    <a:prstGeom prst="rect">
                      <a:avLst/>
                    </a:prstGeom>
                  </pic:spPr>
                </pic:pic>
              </a:graphicData>
            </a:graphic>
          </wp:inline>
        </w:drawing>
      </w:r>
    </w:p>
    <w:p w14:paraId="0930B410" w14:textId="6BA12CB1" w:rsidR="009E5513" w:rsidRPr="00702E2C" w:rsidRDefault="009E5513" w:rsidP="009E5513">
      <w:pPr>
        <w:spacing w:line="480" w:lineRule="auto"/>
        <w:jc w:val="both"/>
        <w:rPr>
          <w:rFonts w:ascii="Arial" w:hAnsi="Arial" w:cs="Arial"/>
          <w:b/>
          <w:bCs/>
          <w:color w:val="000000" w:themeColor="text1"/>
          <w:sz w:val="24"/>
          <w:szCs w:val="24"/>
        </w:rPr>
      </w:pPr>
      <w:r w:rsidRPr="00702E2C">
        <w:rPr>
          <w:rFonts w:ascii="Arial" w:hAnsi="Arial" w:cs="Arial"/>
          <w:b/>
          <w:bCs/>
          <w:color w:val="000000" w:themeColor="text1"/>
          <w:sz w:val="24"/>
          <w:szCs w:val="24"/>
        </w:rPr>
        <w:t xml:space="preserve">Figure S4. Effects of Metformin on the HIV LTR core promoter-driven promoter. </w:t>
      </w:r>
      <w:r w:rsidRPr="00702E2C">
        <w:rPr>
          <w:rFonts w:ascii="Arial" w:hAnsi="Arial" w:cs="Arial"/>
          <w:color w:val="000000" w:themeColor="text1"/>
          <w:sz w:val="24"/>
          <w:szCs w:val="24"/>
        </w:rPr>
        <w:t>293T were plated in a 12-well plate at a density of 1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cells/well, transfected with 0.125 μg LTR core promoter-driven Luc reporter construct plus 1.5 µg pcDNA3, cultured for 16 h, replaced with fresh medium, and treated with Metformin. PBS was added as the treatment control for Metformin. Cells were harvested for the Luc reporter gene assay 48 h post transfection. </w:t>
      </w:r>
      <w:r w:rsidRPr="00702E2C">
        <w:rPr>
          <w:rStyle w:val="CommentReference"/>
          <w:rFonts w:ascii="Arial" w:hAnsi="Arial" w:cs="Arial"/>
          <w:color w:val="000000" w:themeColor="text1"/>
          <w:sz w:val="24"/>
          <w:szCs w:val="24"/>
        </w:rPr>
        <w:t>T</w:t>
      </w:r>
      <w:r w:rsidRPr="00702E2C">
        <w:rPr>
          <w:rFonts w:ascii="Arial" w:hAnsi="Arial" w:cs="Arial"/>
          <w:color w:val="000000" w:themeColor="text1"/>
          <w:sz w:val="24"/>
          <w:szCs w:val="24"/>
        </w:rPr>
        <w:t>he data were Mean ± SD of 6 replicates.</w:t>
      </w:r>
    </w:p>
    <w:bookmarkEnd w:id="0"/>
    <w:p w14:paraId="2C787FB0" w14:textId="6FF03700" w:rsidR="009E5513" w:rsidRPr="00702E2C" w:rsidRDefault="00281F1B" w:rsidP="009E5513">
      <w:pPr>
        <w:spacing w:line="480" w:lineRule="auto"/>
        <w:jc w:val="both"/>
        <w:rPr>
          <w:rFonts w:ascii="Arial" w:hAnsi="Arial" w:cs="Arial"/>
          <w:b/>
          <w:bCs/>
          <w:color w:val="000000" w:themeColor="text1"/>
          <w:sz w:val="24"/>
          <w:szCs w:val="24"/>
        </w:rPr>
      </w:pPr>
      <w:r>
        <w:rPr>
          <w:rFonts w:ascii="Arial" w:hAnsi="Arial" w:cs="Arial"/>
          <w:b/>
          <w:bCs/>
          <w:noProof/>
          <w:color w:val="000000" w:themeColor="text1"/>
          <w:sz w:val="24"/>
          <w:szCs w:val="24"/>
        </w:rPr>
        <w:lastRenderedPageBreak/>
        <w:drawing>
          <wp:inline distT="0" distB="0" distL="0" distR="0" wp14:anchorId="6D7B0132" wp14:editId="23F0840D">
            <wp:extent cx="5221224" cy="5004816"/>
            <wp:effectExtent l="0" t="0" r="0" b="5715"/>
            <wp:docPr id="5" name="Picture 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ematic&#10;&#10;Description automatically generated with medium confidence"/>
                    <pic:cNvPicPr/>
                  </pic:nvPicPr>
                  <pic:blipFill>
                    <a:blip r:embed="rId10"/>
                    <a:stretch>
                      <a:fillRect/>
                    </a:stretch>
                  </pic:blipFill>
                  <pic:spPr>
                    <a:xfrm>
                      <a:off x="0" y="0"/>
                      <a:ext cx="5221224" cy="5004816"/>
                    </a:xfrm>
                    <a:prstGeom prst="rect">
                      <a:avLst/>
                    </a:prstGeom>
                  </pic:spPr>
                </pic:pic>
              </a:graphicData>
            </a:graphic>
          </wp:inline>
        </w:drawing>
      </w:r>
    </w:p>
    <w:p w14:paraId="25C74D6B" w14:textId="77777777" w:rsidR="009E5513" w:rsidRPr="00702E2C" w:rsidRDefault="009E5513" w:rsidP="009E5513">
      <w:pPr>
        <w:spacing w:line="480" w:lineRule="auto"/>
        <w:jc w:val="both"/>
        <w:rPr>
          <w:rFonts w:ascii="Arial" w:hAnsi="Arial" w:cs="Arial"/>
          <w:color w:val="000000" w:themeColor="text1"/>
          <w:sz w:val="24"/>
          <w:szCs w:val="24"/>
        </w:rPr>
      </w:pPr>
      <w:r w:rsidRPr="00702E2C">
        <w:rPr>
          <w:rFonts w:ascii="Arial" w:hAnsi="Arial" w:cs="Arial"/>
          <w:b/>
          <w:bCs/>
          <w:color w:val="000000" w:themeColor="text1"/>
          <w:sz w:val="24"/>
          <w:szCs w:val="24"/>
        </w:rPr>
        <w:t>Figure S5. Effects of Metformin on HIV p24 expression, transcription, CREB expression and phosphorylation in J1.1 cells latently infected with HIV</w:t>
      </w:r>
      <w:r w:rsidRPr="00702E2C">
        <w:rPr>
          <w:rFonts w:ascii="Arial" w:hAnsi="Arial" w:cs="Arial"/>
          <w:color w:val="000000" w:themeColor="text1"/>
          <w:sz w:val="24"/>
          <w:szCs w:val="24"/>
        </w:rPr>
        <w:t>. J1.1 were plated in a 6-well plate at a density of 2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per well, added Metformin, cultured for 72 h, and harvested for Western blotting against an anti-p24 antibody followed by </w:t>
      </w:r>
      <w:r w:rsidR="00F7091F" w:rsidRPr="00702E2C">
        <w:rPr>
          <w:rFonts w:ascii="Arial" w:hAnsi="Arial" w:cs="Arial"/>
          <w:color w:val="000000" w:themeColor="text1"/>
          <w:sz w:val="24"/>
          <w:szCs w:val="24"/>
        </w:rPr>
        <w:t>densitometry</w:t>
      </w:r>
      <w:r w:rsidRPr="00702E2C">
        <w:rPr>
          <w:rFonts w:ascii="Arial" w:hAnsi="Arial" w:cs="Arial"/>
          <w:color w:val="000000" w:themeColor="text1"/>
          <w:sz w:val="24"/>
          <w:szCs w:val="24"/>
        </w:rPr>
        <w:t xml:space="preserve"> quantitation for p24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xml:space="preserve">), or an anti-p-CREB, CREB, or GAPDH antibody followed by </w:t>
      </w:r>
      <w:r w:rsidR="00F7091F" w:rsidRPr="00702E2C">
        <w:rPr>
          <w:rFonts w:ascii="Arial" w:hAnsi="Arial" w:cs="Arial"/>
          <w:color w:val="000000" w:themeColor="text1"/>
          <w:sz w:val="24"/>
          <w:szCs w:val="24"/>
        </w:rPr>
        <w:t>densitometry</w:t>
      </w:r>
      <w:r w:rsidRPr="00702E2C">
        <w:rPr>
          <w:rFonts w:ascii="Arial" w:hAnsi="Arial" w:cs="Arial"/>
          <w:color w:val="000000" w:themeColor="text1"/>
          <w:sz w:val="24"/>
          <w:szCs w:val="24"/>
        </w:rPr>
        <w:t xml:space="preserve"> quantitation for CREB and p-CREB (</w:t>
      </w:r>
      <w:r w:rsidRPr="00702E2C">
        <w:rPr>
          <w:rFonts w:ascii="Arial" w:hAnsi="Arial" w:cs="Arial"/>
          <w:b/>
          <w:bCs/>
          <w:color w:val="000000" w:themeColor="text1"/>
          <w:sz w:val="24"/>
          <w:szCs w:val="24"/>
        </w:rPr>
        <w:t>D</w:t>
      </w:r>
      <w:r w:rsidRPr="00702E2C">
        <w:rPr>
          <w:rFonts w:ascii="Arial" w:hAnsi="Arial" w:cs="Arial"/>
          <w:color w:val="000000" w:themeColor="text1"/>
          <w:sz w:val="24"/>
          <w:szCs w:val="24"/>
        </w:rPr>
        <w:t>) or RNA isolation followed by qRT-PCR (</w:t>
      </w:r>
      <w:r w:rsidRPr="00702E2C">
        <w:rPr>
          <w:rFonts w:ascii="Arial" w:hAnsi="Arial" w:cs="Arial"/>
          <w:b/>
          <w:bCs/>
          <w:color w:val="000000" w:themeColor="text1"/>
          <w:sz w:val="24"/>
          <w:szCs w:val="24"/>
        </w:rPr>
        <w:t>B &amp; C</w:t>
      </w:r>
      <w:r w:rsidRPr="00702E2C">
        <w:rPr>
          <w:rFonts w:ascii="Arial" w:hAnsi="Arial" w:cs="Arial"/>
          <w:color w:val="000000" w:themeColor="text1"/>
          <w:sz w:val="24"/>
          <w:szCs w:val="24"/>
        </w:rPr>
        <w:t>). TNF-</w:t>
      </w:r>
      <w:r w:rsidRPr="00702E2C">
        <w:rPr>
          <w:rFonts w:ascii="Arial" w:hAnsi="Arial" w:cs="Arial"/>
          <w:color w:val="000000" w:themeColor="text1"/>
          <w:sz w:val="24"/>
          <w:szCs w:val="24"/>
        </w:rPr>
        <w:sym w:font="Symbol" w:char="F061"/>
      </w:r>
      <w:r w:rsidRPr="00702E2C">
        <w:rPr>
          <w:rFonts w:ascii="Arial" w:hAnsi="Arial" w:cs="Arial"/>
          <w:color w:val="000000" w:themeColor="text1"/>
          <w:sz w:val="24"/>
          <w:szCs w:val="24"/>
        </w:rPr>
        <w:t xml:space="preserve"> (10 ng/ml) was included as a positive control. All protein expression was normalized to the loading control </w:t>
      </w:r>
      <w:r w:rsidRPr="00702E2C">
        <w:rPr>
          <w:rFonts w:ascii="Arial" w:hAnsi="Arial" w:cs="Arial"/>
          <w:color w:val="000000" w:themeColor="text1"/>
          <w:sz w:val="24"/>
          <w:szCs w:val="24"/>
        </w:rPr>
        <w:lastRenderedPageBreak/>
        <w:t>GAPDH. The data were representative of thee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and two (</w:t>
      </w:r>
      <w:r w:rsidRPr="00F7091F">
        <w:rPr>
          <w:rFonts w:ascii="Arial" w:hAnsi="Arial" w:cs="Arial"/>
          <w:b/>
          <w:color w:val="000000" w:themeColor="text1"/>
          <w:sz w:val="24"/>
          <w:szCs w:val="24"/>
        </w:rPr>
        <w:t>D</w:t>
      </w:r>
      <w:r w:rsidRPr="00702E2C">
        <w:rPr>
          <w:rFonts w:ascii="Arial" w:hAnsi="Arial" w:cs="Arial"/>
          <w:color w:val="000000" w:themeColor="text1"/>
          <w:sz w:val="24"/>
          <w:szCs w:val="24"/>
        </w:rPr>
        <w:t>) independent experiments or Mean ± SD of multiple replicates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 xml:space="preserve"> &amp; </w:t>
      </w:r>
      <w:r w:rsidRPr="00F7091F">
        <w:rPr>
          <w:rFonts w:ascii="Arial" w:hAnsi="Arial" w:cs="Arial"/>
          <w:b/>
          <w:color w:val="000000" w:themeColor="text1"/>
          <w:sz w:val="24"/>
          <w:szCs w:val="24"/>
        </w:rPr>
        <w:t>C</w:t>
      </w:r>
      <w:r w:rsidRPr="00702E2C">
        <w:rPr>
          <w:rFonts w:ascii="Arial" w:hAnsi="Arial" w:cs="Arial"/>
          <w:color w:val="000000" w:themeColor="text1"/>
          <w:sz w:val="24"/>
          <w:szCs w:val="24"/>
        </w:rPr>
        <w:t>).</w:t>
      </w:r>
    </w:p>
    <w:p w14:paraId="69F1CA79" w14:textId="63CBEBE0" w:rsidR="009E5513" w:rsidRPr="00702E2C" w:rsidRDefault="00281F1B" w:rsidP="009E5513">
      <w:pPr>
        <w:spacing w:line="48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124DBF9" wp14:editId="7FF97EBF">
            <wp:extent cx="5495544" cy="4791456"/>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stretch>
                      <a:fillRect/>
                    </a:stretch>
                  </pic:blipFill>
                  <pic:spPr>
                    <a:xfrm>
                      <a:off x="0" y="0"/>
                      <a:ext cx="5495544" cy="4791456"/>
                    </a:xfrm>
                    <a:prstGeom prst="rect">
                      <a:avLst/>
                    </a:prstGeom>
                  </pic:spPr>
                </pic:pic>
              </a:graphicData>
            </a:graphic>
          </wp:inline>
        </w:drawing>
      </w:r>
    </w:p>
    <w:p w14:paraId="7BF18488" w14:textId="77777777" w:rsidR="009E5513" w:rsidRPr="00702E2C" w:rsidRDefault="009E5513" w:rsidP="009E5513">
      <w:pPr>
        <w:spacing w:line="480" w:lineRule="auto"/>
        <w:jc w:val="both"/>
        <w:rPr>
          <w:rFonts w:ascii="Arial" w:hAnsi="Arial" w:cs="Arial"/>
          <w:color w:val="000000" w:themeColor="text1"/>
          <w:sz w:val="24"/>
          <w:szCs w:val="24"/>
        </w:rPr>
      </w:pPr>
      <w:r w:rsidRPr="00702E2C">
        <w:rPr>
          <w:rFonts w:ascii="Arial" w:hAnsi="Arial" w:cs="Arial"/>
          <w:b/>
          <w:bCs/>
          <w:color w:val="000000" w:themeColor="text1"/>
          <w:sz w:val="24"/>
          <w:szCs w:val="24"/>
        </w:rPr>
        <w:t>Figure S6. Effects of Metformin on HIV p24 expression, transcription, CREB expression, and phosphorylation in U1 cells latently infected with HIV</w:t>
      </w:r>
      <w:r w:rsidRPr="00702E2C">
        <w:rPr>
          <w:rFonts w:ascii="Arial" w:hAnsi="Arial" w:cs="Arial"/>
          <w:color w:val="000000" w:themeColor="text1"/>
          <w:sz w:val="24"/>
          <w:szCs w:val="24"/>
        </w:rPr>
        <w:t>. U1 were plated in a 6-well plate at a density of 2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per well, added Metformin, cultured for 72 h, and harvested for Western blotting against an anti-p24 antibody and graphed for the relative expression of p55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xml:space="preserve">), or an anti-p-CREB, CREB, or GAPDH antibody followed by </w:t>
      </w:r>
      <w:r w:rsidR="00F7091F" w:rsidRPr="00702E2C">
        <w:rPr>
          <w:rFonts w:ascii="Arial" w:hAnsi="Arial" w:cs="Arial"/>
          <w:color w:val="000000" w:themeColor="text1"/>
          <w:sz w:val="24"/>
          <w:szCs w:val="24"/>
        </w:rPr>
        <w:t>densitometry</w:t>
      </w:r>
      <w:r w:rsidRPr="00702E2C">
        <w:rPr>
          <w:rFonts w:ascii="Arial" w:hAnsi="Arial" w:cs="Arial"/>
          <w:color w:val="000000" w:themeColor="text1"/>
          <w:sz w:val="24"/>
          <w:szCs w:val="24"/>
        </w:rPr>
        <w:t xml:space="preserve"> quantitation for CREB and p-CREB (</w:t>
      </w:r>
      <w:r w:rsidRPr="00702E2C">
        <w:rPr>
          <w:rFonts w:ascii="Arial" w:hAnsi="Arial" w:cs="Arial"/>
          <w:b/>
          <w:bCs/>
          <w:color w:val="000000" w:themeColor="text1"/>
          <w:sz w:val="24"/>
          <w:szCs w:val="24"/>
        </w:rPr>
        <w:t>D</w:t>
      </w:r>
      <w:r w:rsidRPr="00702E2C">
        <w:rPr>
          <w:rFonts w:ascii="Arial" w:hAnsi="Arial" w:cs="Arial"/>
          <w:color w:val="000000" w:themeColor="text1"/>
          <w:sz w:val="24"/>
          <w:szCs w:val="24"/>
        </w:rPr>
        <w:t>) or RNA isolation followed by qRT-PCR (</w:t>
      </w:r>
      <w:r w:rsidRPr="00702E2C">
        <w:rPr>
          <w:rFonts w:ascii="Arial" w:hAnsi="Arial" w:cs="Arial"/>
          <w:b/>
          <w:bCs/>
          <w:color w:val="000000" w:themeColor="text1"/>
          <w:sz w:val="24"/>
          <w:szCs w:val="24"/>
        </w:rPr>
        <w:t>B &amp; C</w:t>
      </w:r>
      <w:r w:rsidRPr="00702E2C">
        <w:rPr>
          <w:rFonts w:ascii="Arial" w:hAnsi="Arial" w:cs="Arial"/>
          <w:color w:val="000000" w:themeColor="text1"/>
          <w:sz w:val="24"/>
          <w:szCs w:val="24"/>
        </w:rPr>
        <w:t>). TNF-</w:t>
      </w:r>
      <w:r w:rsidRPr="00702E2C">
        <w:rPr>
          <w:rFonts w:ascii="Arial" w:hAnsi="Arial" w:cs="Arial"/>
          <w:color w:val="000000" w:themeColor="text1"/>
          <w:sz w:val="24"/>
          <w:szCs w:val="24"/>
        </w:rPr>
        <w:sym w:font="Symbol" w:char="F061"/>
      </w:r>
      <w:r w:rsidRPr="00702E2C">
        <w:rPr>
          <w:rFonts w:ascii="Arial" w:hAnsi="Arial" w:cs="Arial"/>
          <w:color w:val="000000" w:themeColor="text1"/>
          <w:sz w:val="24"/>
          <w:szCs w:val="24"/>
        </w:rPr>
        <w:t xml:space="preserve"> (10 ng/ml) was included as a positive control. All protein expression was normalized to the loading control GAPDH. The </w:t>
      </w:r>
      <w:r w:rsidRPr="00702E2C">
        <w:rPr>
          <w:rFonts w:ascii="Arial" w:hAnsi="Arial" w:cs="Arial"/>
          <w:color w:val="000000" w:themeColor="text1"/>
          <w:sz w:val="24"/>
          <w:szCs w:val="24"/>
        </w:rPr>
        <w:lastRenderedPageBreak/>
        <w:t>data were representative of two independent experiments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xml:space="preserve"> &amp; </w:t>
      </w:r>
      <w:r w:rsidRPr="00F7091F">
        <w:rPr>
          <w:rFonts w:ascii="Arial" w:hAnsi="Arial" w:cs="Arial"/>
          <w:b/>
          <w:color w:val="000000" w:themeColor="text1"/>
          <w:sz w:val="24"/>
          <w:szCs w:val="24"/>
        </w:rPr>
        <w:t>D</w:t>
      </w:r>
      <w:r w:rsidRPr="00702E2C">
        <w:rPr>
          <w:rFonts w:ascii="Arial" w:hAnsi="Arial" w:cs="Arial"/>
          <w:color w:val="000000" w:themeColor="text1"/>
          <w:sz w:val="24"/>
          <w:szCs w:val="24"/>
        </w:rPr>
        <w:t>) or Mean ± SD of two replicates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 xml:space="preserve"> &amp; </w:t>
      </w:r>
      <w:r w:rsidRPr="00F7091F">
        <w:rPr>
          <w:rFonts w:ascii="Arial" w:hAnsi="Arial" w:cs="Arial"/>
          <w:b/>
          <w:color w:val="000000" w:themeColor="text1"/>
          <w:sz w:val="24"/>
          <w:szCs w:val="24"/>
        </w:rPr>
        <w:t>C</w:t>
      </w:r>
      <w:r w:rsidRPr="00702E2C">
        <w:rPr>
          <w:rFonts w:ascii="Arial" w:hAnsi="Arial" w:cs="Arial"/>
          <w:color w:val="000000" w:themeColor="text1"/>
          <w:sz w:val="24"/>
          <w:szCs w:val="24"/>
        </w:rPr>
        <w:t>).</w:t>
      </w:r>
    </w:p>
    <w:p w14:paraId="7B7649EB" w14:textId="545ED3D8" w:rsidR="009E5513" w:rsidRPr="00702E2C" w:rsidRDefault="00281F1B" w:rsidP="009E5513">
      <w:pPr>
        <w:spacing w:line="480" w:lineRule="auto"/>
        <w:jc w:val="both"/>
        <w:rPr>
          <w:rFonts w:ascii="Arial" w:hAnsi="Arial" w:cs="Arial"/>
          <w:b/>
          <w:bCs/>
          <w:color w:val="000000" w:themeColor="text1"/>
          <w:sz w:val="24"/>
          <w:szCs w:val="24"/>
        </w:rPr>
      </w:pPr>
      <w:r>
        <w:rPr>
          <w:rFonts w:ascii="Arial" w:hAnsi="Arial" w:cs="Arial"/>
          <w:b/>
          <w:bCs/>
          <w:noProof/>
          <w:color w:val="000000" w:themeColor="text1"/>
          <w:sz w:val="24"/>
          <w:szCs w:val="24"/>
        </w:rPr>
        <w:drawing>
          <wp:inline distT="0" distB="0" distL="0" distR="0" wp14:anchorId="54F1D6D7" wp14:editId="02D42CB8">
            <wp:extent cx="6062472" cy="3611880"/>
            <wp:effectExtent l="0" t="0" r="0" b="762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2"/>
                    <a:stretch>
                      <a:fillRect/>
                    </a:stretch>
                  </pic:blipFill>
                  <pic:spPr>
                    <a:xfrm>
                      <a:off x="0" y="0"/>
                      <a:ext cx="6062472" cy="3611880"/>
                    </a:xfrm>
                    <a:prstGeom prst="rect">
                      <a:avLst/>
                    </a:prstGeom>
                  </pic:spPr>
                </pic:pic>
              </a:graphicData>
            </a:graphic>
          </wp:inline>
        </w:drawing>
      </w:r>
    </w:p>
    <w:p w14:paraId="03FEA799" w14:textId="77777777" w:rsidR="00F7091F" w:rsidRPr="00702E2C" w:rsidRDefault="009E5513" w:rsidP="00F7091F">
      <w:pPr>
        <w:spacing w:line="480" w:lineRule="auto"/>
        <w:jc w:val="both"/>
        <w:rPr>
          <w:rFonts w:ascii="Arial" w:eastAsia="Times New Roman" w:hAnsi="Arial" w:cs="Arial"/>
          <w:b/>
          <w:bCs/>
          <w:color w:val="000000" w:themeColor="text1"/>
          <w:sz w:val="24"/>
          <w:szCs w:val="24"/>
        </w:rPr>
      </w:pPr>
      <w:r w:rsidRPr="00702E2C">
        <w:rPr>
          <w:rFonts w:ascii="Arial" w:hAnsi="Arial" w:cs="Arial"/>
          <w:b/>
          <w:bCs/>
          <w:color w:val="000000" w:themeColor="text1"/>
          <w:sz w:val="24"/>
          <w:szCs w:val="24"/>
        </w:rPr>
        <w:t>Figure S7. Effects of Metformin on HIV p24 expression, CREB expression and phosphorylation in ACH-2 latently infected with HIV and HIV transcription in NLGi-infected latent Jurkat</w:t>
      </w:r>
      <w:r w:rsidRPr="00702E2C">
        <w:rPr>
          <w:rFonts w:ascii="Arial" w:hAnsi="Arial" w:cs="Arial"/>
          <w:color w:val="000000" w:themeColor="text1"/>
          <w:sz w:val="24"/>
          <w:szCs w:val="24"/>
        </w:rPr>
        <w:t xml:space="preserve">. </w:t>
      </w:r>
      <w:r w:rsidRPr="00702E2C">
        <w:rPr>
          <w:rFonts w:ascii="Arial" w:hAnsi="Arial" w:cs="Arial"/>
          <w:b/>
          <w:color w:val="000000" w:themeColor="text1"/>
          <w:sz w:val="24"/>
          <w:szCs w:val="24"/>
        </w:rPr>
        <w:t>A</w:t>
      </w:r>
      <w:r w:rsidRPr="00702E2C">
        <w:rPr>
          <w:rFonts w:ascii="Arial" w:hAnsi="Arial" w:cs="Arial"/>
          <w:color w:val="000000" w:themeColor="text1"/>
          <w:sz w:val="24"/>
          <w:szCs w:val="24"/>
        </w:rPr>
        <w:t xml:space="preserve"> &amp; </w:t>
      </w:r>
      <w:r w:rsidRPr="00702E2C">
        <w:rPr>
          <w:rFonts w:ascii="Arial" w:hAnsi="Arial" w:cs="Arial"/>
          <w:b/>
          <w:color w:val="000000" w:themeColor="text1"/>
          <w:sz w:val="24"/>
          <w:szCs w:val="24"/>
        </w:rPr>
        <w:t>B.</w:t>
      </w:r>
      <w:r w:rsidRPr="00702E2C">
        <w:rPr>
          <w:rFonts w:ascii="Arial" w:hAnsi="Arial" w:cs="Arial"/>
          <w:color w:val="000000" w:themeColor="text1"/>
          <w:sz w:val="24"/>
          <w:szCs w:val="24"/>
        </w:rPr>
        <w:t xml:space="preserve"> ACH-2 were plated in a 6-well plate at a density of 2 x 10</w:t>
      </w:r>
      <w:r w:rsidRPr="00702E2C">
        <w:rPr>
          <w:rFonts w:ascii="Arial" w:hAnsi="Arial" w:cs="Arial"/>
          <w:color w:val="000000" w:themeColor="text1"/>
          <w:sz w:val="24"/>
          <w:szCs w:val="24"/>
          <w:vertAlign w:val="superscript"/>
        </w:rPr>
        <w:t>5</w:t>
      </w:r>
      <w:r w:rsidRPr="00702E2C">
        <w:rPr>
          <w:rFonts w:ascii="Arial" w:hAnsi="Arial" w:cs="Arial"/>
          <w:color w:val="000000" w:themeColor="text1"/>
          <w:sz w:val="24"/>
          <w:szCs w:val="24"/>
        </w:rPr>
        <w:t xml:space="preserve"> per well, treated with Metformin, cultured for 72 h, and harvested for Western blotting against an anti-p24 antibody (</w:t>
      </w:r>
      <w:r w:rsidRPr="00702E2C">
        <w:rPr>
          <w:rFonts w:ascii="Arial" w:hAnsi="Arial" w:cs="Arial"/>
          <w:b/>
          <w:bCs/>
          <w:color w:val="000000" w:themeColor="text1"/>
          <w:sz w:val="24"/>
          <w:szCs w:val="24"/>
        </w:rPr>
        <w:t>A</w:t>
      </w:r>
      <w:r w:rsidRPr="00702E2C">
        <w:rPr>
          <w:rFonts w:ascii="Arial" w:hAnsi="Arial" w:cs="Arial"/>
          <w:color w:val="000000" w:themeColor="text1"/>
          <w:sz w:val="24"/>
          <w:szCs w:val="24"/>
        </w:rPr>
        <w:t>), or an anti-p-CREB, CREB, or GAPDH antibody (</w:t>
      </w:r>
      <w:r w:rsidRPr="00702E2C">
        <w:rPr>
          <w:rFonts w:ascii="Arial" w:hAnsi="Arial" w:cs="Arial"/>
          <w:b/>
          <w:bCs/>
          <w:color w:val="000000" w:themeColor="text1"/>
          <w:sz w:val="24"/>
          <w:szCs w:val="24"/>
        </w:rPr>
        <w:t>B</w:t>
      </w:r>
      <w:r w:rsidRPr="00702E2C">
        <w:rPr>
          <w:rFonts w:ascii="Arial" w:hAnsi="Arial" w:cs="Arial"/>
          <w:color w:val="000000" w:themeColor="text1"/>
          <w:sz w:val="24"/>
          <w:szCs w:val="24"/>
        </w:rPr>
        <w:t>). TNF-</w:t>
      </w:r>
      <w:r w:rsidRPr="00702E2C">
        <w:rPr>
          <w:rFonts w:ascii="Arial" w:hAnsi="Arial" w:cs="Arial"/>
          <w:color w:val="000000" w:themeColor="text1"/>
          <w:sz w:val="24"/>
          <w:szCs w:val="24"/>
        </w:rPr>
        <w:sym w:font="Symbol" w:char="F061"/>
      </w:r>
      <w:r w:rsidRPr="00702E2C">
        <w:rPr>
          <w:rFonts w:ascii="Arial" w:hAnsi="Arial" w:cs="Arial"/>
          <w:color w:val="000000" w:themeColor="text1"/>
          <w:sz w:val="24"/>
          <w:szCs w:val="24"/>
        </w:rPr>
        <w:t xml:space="preserve"> (10 ng/ml) was included as a positive control. All protein expression was normalized to the loading control GAPDH while p-CREB was normalized to the corresponding CREB. </w:t>
      </w:r>
      <w:r w:rsidRPr="00702E2C">
        <w:rPr>
          <w:rFonts w:ascii="Arial" w:hAnsi="Arial" w:cs="Arial"/>
          <w:b/>
          <w:bCs/>
          <w:color w:val="000000" w:themeColor="text1"/>
          <w:sz w:val="24"/>
          <w:szCs w:val="24"/>
        </w:rPr>
        <w:t>C</w:t>
      </w:r>
      <w:r w:rsidRPr="00702E2C">
        <w:rPr>
          <w:rFonts w:ascii="Arial" w:hAnsi="Arial" w:cs="Arial"/>
          <w:color w:val="000000" w:themeColor="text1"/>
          <w:sz w:val="24"/>
          <w:szCs w:val="24"/>
        </w:rPr>
        <w:t>. Jurkat (1x10</w:t>
      </w:r>
      <w:r w:rsidRPr="00702E2C">
        <w:rPr>
          <w:rFonts w:ascii="Arial" w:hAnsi="Arial" w:cs="Arial"/>
          <w:color w:val="000000" w:themeColor="text1"/>
          <w:sz w:val="24"/>
          <w:szCs w:val="24"/>
          <w:vertAlign w:val="superscript"/>
        </w:rPr>
        <w:t>6</w:t>
      </w:r>
      <w:r w:rsidRPr="00702E2C">
        <w:rPr>
          <w:rFonts w:ascii="Arial" w:hAnsi="Arial" w:cs="Arial"/>
          <w:color w:val="000000" w:themeColor="text1"/>
          <w:sz w:val="24"/>
          <w:szCs w:val="24"/>
        </w:rPr>
        <w:t xml:space="preserve">) were infected with 10,000 cpm-equivalent NLGi. The infected Jurkat were cultured and maintained for 63 days while the media was refreshed every thee days to obtain NLGi-infected latent cells. These cells were treated with PBS or Metformin for 72 h, followed by TRIzol RNA extraction </w:t>
      </w:r>
      <w:r w:rsidRPr="00702E2C">
        <w:rPr>
          <w:rFonts w:ascii="Arial" w:hAnsi="Arial" w:cs="Arial"/>
          <w:color w:val="000000" w:themeColor="text1"/>
          <w:sz w:val="24"/>
          <w:szCs w:val="24"/>
        </w:rPr>
        <w:lastRenderedPageBreak/>
        <w:t>and Real-Time qRT-PCR to measure gag-pol transcripts. The data were representative of thee (</w:t>
      </w:r>
      <w:r w:rsidRPr="00F7091F">
        <w:rPr>
          <w:rFonts w:ascii="Arial" w:hAnsi="Arial" w:cs="Arial"/>
          <w:b/>
          <w:color w:val="000000" w:themeColor="text1"/>
          <w:sz w:val="24"/>
          <w:szCs w:val="24"/>
        </w:rPr>
        <w:t>A</w:t>
      </w:r>
      <w:r w:rsidRPr="00702E2C">
        <w:rPr>
          <w:rFonts w:ascii="Arial" w:hAnsi="Arial" w:cs="Arial"/>
          <w:color w:val="000000" w:themeColor="text1"/>
          <w:sz w:val="24"/>
          <w:szCs w:val="24"/>
        </w:rPr>
        <w:t>) and two (</w:t>
      </w:r>
      <w:r w:rsidRPr="00F7091F">
        <w:rPr>
          <w:rFonts w:ascii="Arial" w:hAnsi="Arial" w:cs="Arial"/>
          <w:b/>
          <w:color w:val="000000" w:themeColor="text1"/>
          <w:sz w:val="24"/>
          <w:szCs w:val="24"/>
        </w:rPr>
        <w:t>B</w:t>
      </w:r>
      <w:r w:rsidRPr="00702E2C">
        <w:rPr>
          <w:rFonts w:ascii="Arial" w:hAnsi="Arial" w:cs="Arial"/>
          <w:color w:val="000000" w:themeColor="text1"/>
          <w:sz w:val="24"/>
          <w:szCs w:val="24"/>
        </w:rPr>
        <w:t>) independent experiments or Mean ± SD of triplicates (</w:t>
      </w:r>
      <w:r w:rsidRPr="00F7091F">
        <w:rPr>
          <w:rFonts w:ascii="Arial" w:hAnsi="Arial" w:cs="Arial"/>
          <w:b/>
          <w:color w:val="000000" w:themeColor="text1"/>
          <w:sz w:val="24"/>
          <w:szCs w:val="24"/>
        </w:rPr>
        <w:t>C</w:t>
      </w:r>
      <w:r w:rsidRPr="00702E2C">
        <w:rPr>
          <w:rFonts w:ascii="Arial" w:hAnsi="Arial" w:cs="Arial"/>
          <w:color w:val="000000" w:themeColor="text1"/>
          <w:sz w:val="24"/>
          <w:szCs w:val="24"/>
        </w:rPr>
        <w:t>).</w:t>
      </w:r>
      <w:r w:rsidRPr="00702E2C">
        <w:rPr>
          <w:rFonts w:eastAsiaTheme="minorEastAsia" w:hAnsi="Calibri"/>
          <w:color w:val="000000" w:themeColor="text1"/>
          <w:kern w:val="24"/>
          <w:sz w:val="21"/>
          <w:szCs w:val="21"/>
        </w:rPr>
        <w:t xml:space="preserve"> </w:t>
      </w:r>
    </w:p>
    <w:p w14:paraId="5B70495C" w14:textId="77777777" w:rsidR="009E5513" w:rsidRPr="00702E2C" w:rsidRDefault="009E5513" w:rsidP="009E5513">
      <w:pPr>
        <w:rPr>
          <w:rFonts w:ascii="Arial" w:eastAsia="Times New Roman" w:hAnsi="Arial" w:cs="Arial"/>
          <w:b/>
          <w:bCs/>
          <w:color w:val="000000" w:themeColor="text1"/>
          <w:sz w:val="24"/>
          <w:szCs w:val="24"/>
        </w:rPr>
      </w:pPr>
    </w:p>
    <w:sectPr w:rsidR="009E5513" w:rsidRPr="00702E2C" w:rsidSect="009E5513">
      <w:footerReference w:type="even" r:id="rId13"/>
      <w:footerReference w:type="default" r:id="rId14"/>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724F4" w14:textId="77777777" w:rsidR="0048094C" w:rsidRDefault="0048094C" w:rsidP="009E5513">
      <w:pPr>
        <w:spacing w:after="0" w:line="240" w:lineRule="auto"/>
      </w:pPr>
      <w:r>
        <w:separator/>
      </w:r>
    </w:p>
  </w:endnote>
  <w:endnote w:type="continuationSeparator" w:id="0">
    <w:p w14:paraId="505319F5" w14:textId="77777777" w:rsidR="0048094C" w:rsidRDefault="0048094C" w:rsidP="009E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AF3F" w14:textId="77777777" w:rsidR="009E5513" w:rsidRDefault="009E5513" w:rsidP="00ED2F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44BA10" w14:textId="77777777" w:rsidR="009E5513" w:rsidRDefault="009E5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11F5" w14:textId="77777777" w:rsidR="009E5513" w:rsidRDefault="009E5513" w:rsidP="00ED2F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091F">
      <w:rPr>
        <w:rStyle w:val="PageNumber"/>
        <w:noProof/>
      </w:rPr>
      <w:t>1</w:t>
    </w:r>
    <w:r>
      <w:rPr>
        <w:rStyle w:val="PageNumber"/>
      </w:rPr>
      <w:fldChar w:fldCharType="end"/>
    </w:r>
  </w:p>
  <w:p w14:paraId="3927BFB8" w14:textId="77777777" w:rsidR="009E5513" w:rsidRDefault="009E5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C3081" w14:textId="77777777" w:rsidR="0048094C" w:rsidRDefault="0048094C" w:rsidP="009E5513">
      <w:pPr>
        <w:spacing w:after="0" w:line="240" w:lineRule="auto"/>
      </w:pPr>
      <w:r>
        <w:separator/>
      </w:r>
    </w:p>
  </w:footnote>
  <w:footnote w:type="continuationSeparator" w:id="0">
    <w:p w14:paraId="38117CC2" w14:textId="77777777" w:rsidR="0048094C" w:rsidRDefault="0048094C" w:rsidP="009E55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513"/>
    <w:rsid w:val="00281F1B"/>
    <w:rsid w:val="00403738"/>
    <w:rsid w:val="0048094C"/>
    <w:rsid w:val="009E4576"/>
    <w:rsid w:val="009E5513"/>
    <w:rsid w:val="00BD303A"/>
    <w:rsid w:val="00CF04ED"/>
    <w:rsid w:val="00F709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DD3C44"/>
  <w15:docId w15:val="{8095E15E-A82C-4366-9DBC-00C8DB43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513"/>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E5513"/>
    <w:rPr>
      <w:sz w:val="18"/>
      <w:szCs w:val="18"/>
    </w:rPr>
  </w:style>
  <w:style w:type="paragraph" w:styleId="Footer">
    <w:name w:val="footer"/>
    <w:basedOn w:val="Normal"/>
    <w:link w:val="FooterChar"/>
    <w:uiPriority w:val="99"/>
    <w:unhideWhenUsed/>
    <w:rsid w:val="009E55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5513"/>
    <w:rPr>
      <w:rFonts w:eastAsiaTheme="minorHAnsi"/>
      <w:sz w:val="22"/>
      <w:szCs w:val="22"/>
      <w:lang w:eastAsia="en-US"/>
    </w:rPr>
  </w:style>
  <w:style w:type="character" w:styleId="PageNumber">
    <w:name w:val="page number"/>
    <w:basedOn w:val="DefaultParagraphFont"/>
    <w:uiPriority w:val="99"/>
    <w:semiHidden/>
    <w:unhideWhenUsed/>
    <w:rsid w:val="009E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876</Words>
  <Characters>4333</Characters>
  <Application>Microsoft Office Word</Application>
  <DocSecurity>0</DocSecurity>
  <Lines>69</Lines>
  <Paragraphs>9</Paragraphs>
  <ScaleCrop>false</ScaleCrop>
  <Company>Indiana University School of Medicine</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He</dc:creator>
  <cp:keywords/>
  <dc:description/>
  <cp:lastModifiedBy>MDPI</cp:lastModifiedBy>
  <cp:revision>4</cp:revision>
  <dcterms:created xsi:type="dcterms:W3CDTF">2023-04-17T23:43:00Z</dcterms:created>
  <dcterms:modified xsi:type="dcterms:W3CDTF">2023-04-18T07:32:00Z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ee6bc423856d1bf28f1597de02a13b5ecd19bc3fc22aa4decaae463c393aec84</vt:lpwstr>
  </property>
</Properties>
</file>