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Table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Primer sequences</w:t>
      </w:r>
    </w:p>
    <w:tbl>
      <w:tblPr>
        <w:tblStyle w:val="5"/>
        <w:tblW w:w="5000" w:type="pct"/>
        <w:tblInd w:w="0" w:type="dxa"/>
        <w:tblBorders>
          <w:top w:val="single" w:color="auto" w:sz="12" w:space="0"/>
          <w:left w:val="none" w:color="auto" w:sz="6" w:space="0"/>
          <w:bottom w:val="single" w:color="auto" w:sz="12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90"/>
        <w:gridCol w:w="3592"/>
        <w:gridCol w:w="3580"/>
      </w:tblGrid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</w:trPr>
        <w:tc>
          <w:tcPr>
            <w:tcW w:w="1250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Gene name</w:t>
            </w:r>
          </w:p>
        </w:tc>
        <w:tc>
          <w:tcPr>
            <w:tcW w:w="3774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Forward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（</w:t>
            </w:r>
            <w:r>
              <w:rPr>
                <w:rFonts w:cs="Times New Roman"/>
                <w:sz w:val="21"/>
                <w:szCs w:val="21"/>
                <w:lang w:bidi="ar"/>
              </w:rPr>
              <w:t>5-3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）</w:t>
            </w:r>
          </w:p>
        </w:tc>
        <w:tc>
          <w:tcPr>
            <w:tcW w:w="3762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Reverse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（</w:t>
            </w:r>
            <w:r>
              <w:rPr>
                <w:rFonts w:cs="Times New Roman"/>
                <w:sz w:val="21"/>
                <w:szCs w:val="21"/>
                <w:lang w:bidi="ar"/>
              </w:rPr>
              <w:t>3-5</w:t>
            </w: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</w:trPr>
        <w:tc>
          <w:tcPr>
            <w:tcW w:w="1250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α-SMA</w:t>
            </w:r>
          </w:p>
        </w:tc>
        <w:tc>
          <w:tcPr>
            <w:tcW w:w="3774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GCGTGGCTATTCCTTCGTGACTAC</w:t>
            </w:r>
          </w:p>
        </w:tc>
        <w:tc>
          <w:tcPr>
            <w:tcW w:w="3762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CGTCAGGCAGTTCGTAGCTCTTC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LC3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GAA CAG GAGAAG GATGAA GACGG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AAT CCA CTG GGG ACT GAA ATA GC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Beclin-1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CCA GGA ACT CAC AGC TCC ATT AC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GGA TGA ATC TTC GAG AGA CAC CA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PTEN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GCT GAG AGA CAT TAT GACACC GC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TTA CAC CAG TCC GTC CCT TTC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5" w:hRule="atLeast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HES1</w:t>
            </w:r>
          </w:p>
        </w:tc>
        <w:tc>
          <w:tcPr>
            <w:tcW w:w="3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TGG AGA GGC TGC CAA GGT TT</w:t>
            </w:r>
          </w:p>
        </w:tc>
        <w:tc>
          <w:tcPr>
            <w:tcW w:w="3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ACT GGA AGG TGA CAC TGC GTT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25" w:hRule="atLeast"/>
        </w:trPr>
        <w:tc>
          <w:tcPr>
            <w:tcW w:w="125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GAPDH</w:t>
            </w:r>
          </w:p>
        </w:tc>
        <w:tc>
          <w:tcPr>
            <w:tcW w:w="3774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CGT GTT CCT ACC CCC AAT GTG</w:t>
            </w:r>
          </w:p>
        </w:tc>
        <w:tc>
          <w:tcPr>
            <w:tcW w:w="3762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TAG CCC AAG ATG CCC TTC AGT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Table 2 PCR procedure</w:t>
      </w:r>
    </w:p>
    <w:tbl>
      <w:tblPr>
        <w:tblStyle w:val="5"/>
        <w:tblW w:w="7482" w:type="dxa"/>
        <w:jc w:val="center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28"/>
        <w:gridCol w:w="3454"/>
      </w:tblGrid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4028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Cycle</w:t>
            </w:r>
          </w:p>
        </w:tc>
        <w:tc>
          <w:tcPr>
            <w:tcW w:w="3454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Cycle Point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4028" w:type="dxa"/>
            <w:tcBorders>
              <w:top w:val="single" w:color="auto" w:sz="4" w:space="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color w:val="000000"/>
                <w:szCs w:val="21"/>
                <w:lang w:val="da-DK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lang w:val="da-DK"/>
              </w:rPr>
              <w:t>Hold at 95℃，30s</w:t>
            </w:r>
          </w:p>
        </w:tc>
        <w:tc>
          <w:tcPr>
            <w:tcW w:w="3454" w:type="dxa"/>
            <w:tcBorders>
              <w:top w:val="single" w:color="auto" w:sz="4" w:space="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color w:val="000000"/>
                <w:szCs w:val="21"/>
                <w:lang w:val="da-DK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  <w:lang w:val="da-DK"/>
              </w:rPr>
              <w:t> 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4028" w:type="dxa"/>
            <w:vMerge w:val="restart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 xml:space="preserve">Cycling (40 repeats) </w:t>
            </w:r>
          </w:p>
        </w:tc>
        <w:tc>
          <w:tcPr>
            <w:tcW w:w="3454" w:type="dxa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Step 1 95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lang w:eastAsia="ja-JP"/>
              </w:rPr>
              <w:t>℃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，5 s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4028" w:type="dxa"/>
            <w:vMerge w:val="continue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3454" w:type="dxa"/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Step 2 60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  <w:lang w:eastAsia="ja-JP"/>
              </w:rPr>
              <w:t>℃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，20 s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4028" w:type="dxa"/>
            <w:tcBorders>
              <w:bottom w:val="single" w:color="auto" w:sz="4" w:space="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Melt (65-95℃)</w:t>
            </w:r>
          </w:p>
        </w:tc>
        <w:tc>
          <w:tcPr>
            <w:tcW w:w="3454" w:type="dxa"/>
            <w:tcBorders>
              <w:bottom w:val="single" w:color="auto" w:sz="4" w:space="0"/>
            </w:tcBorders>
            <w:shd w:val="clear" w:color="auto" w:fill="FFFFFF" w:themeFill="background1"/>
            <w:tcMar>
              <w:top w:w="40" w:type="dxa"/>
              <w:left w:w="40" w:type="dxa"/>
              <w:bottom w:w="40" w:type="dxa"/>
              <w:right w:w="40" w:type="dxa"/>
            </w:tcMar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2.2℃/s</w:t>
            </w:r>
          </w:p>
        </w:tc>
      </w:tr>
    </w:tbl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Table 3:  Effect of the expression of PTEN, LC3, Beclin-1, α-SMA, and HES1 mRNA in mouse liver fibrosis induced by sodium arsenite</w:t>
      </w:r>
    </w:p>
    <w:tbl>
      <w:tblPr>
        <w:tblStyle w:val="5"/>
        <w:tblW w:w="5001" w:type="pct"/>
        <w:tblInd w:w="0" w:type="dxa"/>
        <w:tblBorders>
          <w:top w:val="single" w:color="auto" w:sz="12" w:space="0"/>
          <w:left w:val="none" w:color="auto" w:sz="6" w:space="0"/>
          <w:bottom w:val="single" w:color="auto" w:sz="12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6"/>
        <w:gridCol w:w="1525"/>
        <w:gridCol w:w="1446"/>
        <w:gridCol w:w="1446"/>
        <w:gridCol w:w="1446"/>
        <w:gridCol w:w="1435"/>
      </w:tblGrid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066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Group</w:t>
            </w:r>
          </w:p>
        </w:tc>
        <w:tc>
          <w:tcPr>
            <w:tcW w:w="1525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LC3</w:t>
            </w:r>
          </w:p>
        </w:tc>
        <w:tc>
          <w:tcPr>
            <w:tcW w:w="1446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Beclin-1</w:t>
            </w:r>
          </w:p>
        </w:tc>
        <w:tc>
          <w:tcPr>
            <w:tcW w:w="1446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PTEN</w:t>
            </w:r>
          </w:p>
        </w:tc>
        <w:tc>
          <w:tcPr>
            <w:tcW w:w="1446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α-SMA</w:t>
            </w:r>
          </w:p>
        </w:tc>
        <w:tc>
          <w:tcPr>
            <w:tcW w:w="1435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HES1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066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1525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1.04±0.05</w:t>
            </w:r>
          </w:p>
        </w:tc>
        <w:tc>
          <w:tcPr>
            <w:tcW w:w="1446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1.03±0.03</w:t>
            </w:r>
          </w:p>
        </w:tc>
        <w:tc>
          <w:tcPr>
            <w:tcW w:w="1446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1.03±0.04</w:t>
            </w:r>
          </w:p>
        </w:tc>
        <w:tc>
          <w:tcPr>
            <w:tcW w:w="1446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1.02±0.02</w:t>
            </w:r>
          </w:p>
        </w:tc>
        <w:tc>
          <w:tcPr>
            <w:tcW w:w="1435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1.03±0.08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low-dose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2.66±0.37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1.84±0.17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1.79±0.17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3.05±0.52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1.49±0.22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high-dose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3.25±0.29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ab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1.09±0.10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b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0.84±0.10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b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1.12±0.13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b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1.09±0.70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  <w:lang w:bidi="ar"/>
              </w:rPr>
              <w:t>F</w:t>
            </w:r>
          </w:p>
        </w:tc>
        <w:tc>
          <w:tcPr>
            <w:tcW w:w="1525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54.111</w:t>
            </w:r>
          </w:p>
        </w:tc>
        <w:tc>
          <w:tcPr>
            <w:tcW w:w="1446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47.218</w:t>
            </w:r>
          </w:p>
        </w:tc>
        <w:tc>
          <w:tcPr>
            <w:tcW w:w="1446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56.167</w:t>
            </w:r>
          </w:p>
        </w:tc>
        <w:tc>
          <w:tcPr>
            <w:tcW w:w="1446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41.351</w:t>
            </w:r>
          </w:p>
        </w:tc>
        <w:tc>
          <w:tcPr>
            <w:tcW w:w="1435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9.951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06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  <w:lang w:bidi="ar"/>
              </w:rPr>
              <w:t>P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＜</w:t>
            </w:r>
            <w:r>
              <w:rPr>
                <w:rFonts w:cs="Times New Roman"/>
                <w:sz w:val="21"/>
                <w:szCs w:val="21"/>
                <w:lang w:bidi="ar"/>
              </w:rPr>
              <w:t>0.001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＜</w:t>
            </w:r>
            <w:r>
              <w:rPr>
                <w:rFonts w:cs="Times New Roman"/>
                <w:sz w:val="21"/>
                <w:szCs w:val="21"/>
                <w:lang w:bidi="ar"/>
              </w:rPr>
              <w:t>0.001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＜</w:t>
            </w:r>
            <w:r>
              <w:rPr>
                <w:rFonts w:cs="Times New Roman"/>
                <w:sz w:val="21"/>
                <w:szCs w:val="21"/>
                <w:lang w:bidi="ar"/>
              </w:rPr>
              <w:t>0.001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＜</w:t>
            </w:r>
            <w:r>
              <w:rPr>
                <w:rFonts w:cs="Times New Roman"/>
                <w:sz w:val="21"/>
                <w:szCs w:val="21"/>
                <w:lang w:bidi="ar"/>
              </w:rPr>
              <w:t>0.001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.012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Table 4:  Effects of the protein expression of PTEN, LC3, Beclin-1, α-SMA, and Hes 1 in mouse liver fibrosis induced by sodium arsenite</w:t>
      </w:r>
    </w:p>
    <w:p>
      <w:pPr>
        <w:jc w:val="both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5"/>
        <w:tblpPr w:leftFromText="180" w:rightFromText="180" w:vertAnchor="text" w:horzAnchor="page" w:tblpX="1569" w:tblpY="778"/>
        <w:tblOverlap w:val="never"/>
        <w:tblW w:w="4999" w:type="pct"/>
        <w:tblInd w:w="0" w:type="dxa"/>
        <w:tblBorders>
          <w:top w:val="single" w:color="auto" w:sz="12" w:space="0"/>
          <w:left w:val="none" w:color="auto" w:sz="6" w:space="0"/>
          <w:bottom w:val="single" w:color="auto" w:sz="12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0"/>
        <w:gridCol w:w="1376"/>
        <w:gridCol w:w="1417"/>
        <w:gridCol w:w="1520"/>
        <w:gridCol w:w="1417"/>
        <w:gridCol w:w="1431"/>
      </w:tblGrid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Group</w:t>
            </w:r>
          </w:p>
        </w:tc>
        <w:tc>
          <w:tcPr>
            <w:tcW w:w="1376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LC3</w:t>
            </w:r>
          </w:p>
        </w:tc>
        <w:tc>
          <w:tcPr>
            <w:tcW w:w="1417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Beclin-1</w:t>
            </w:r>
          </w:p>
        </w:tc>
        <w:tc>
          <w:tcPr>
            <w:tcW w:w="1520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PTEN</w:t>
            </w:r>
          </w:p>
        </w:tc>
        <w:tc>
          <w:tcPr>
            <w:tcW w:w="1417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α-SMA</w:t>
            </w:r>
          </w:p>
        </w:tc>
        <w:tc>
          <w:tcPr>
            <w:tcW w:w="1431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HES1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1376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0.72±0.07</w:t>
            </w:r>
          </w:p>
        </w:tc>
        <w:tc>
          <w:tcPr>
            <w:tcW w:w="1417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0.10±0.03</w:t>
            </w:r>
          </w:p>
        </w:tc>
        <w:tc>
          <w:tcPr>
            <w:tcW w:w="1520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1.01±0.07</w:t>
            </w:r>
          </w:p>
        </w:tc>
        <w:tc>
          <w:tcPr>
            <w:tcW w:w="1417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0.15±0.03</w:t>
            </w:r>
          </w:p>
        </w:tc>
        <w:tc>
          <w:tcPr>
            <w:tcW w:w="1431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0.54±0.11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low-dose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0.77±0.10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0.22±0.04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0.81±0.07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0.26±0.04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0.97±0.11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high-dose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0.43±0.14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 xml:space="preserve"> ab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0.42±0.07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0.56±0.08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ab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0.43±0.02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a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0.51±0.09</w:t>
            </w:r>
            <w:r>
              <w:rPr>
                <w:rFonts w:cs="Times New Roman"/>
                <w:sz w:val="21"/>
                <w:szCs w:val="21"/>
                <w:vertAlign w:val="superscript"/>
                <w:lang w:bidi="ar"/>
              </w:rPr>
              <w:t>b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i/>
                <w:iCs/>
                <w:sz w:val="21"/>
                <w:szCs w:val="21"/>
                <w:lang w:bidi="ar"/>
              </w:rPr>
              <w:t>F</w:t>
            </w:r>
          </w:p>
        </w:tc>
        <w:tc>
          <w:tcPr>
            <w:tcW w:w="1376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8.809</w:t>
            </w:r>
          </w:p>
        </w:tc>
        <w:tc>
          <w:tcPr>
            <w:tcW w:w="1417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0.669</w:t>
            </w:r>
          </w:p>
        </w:tc>
        <w:tc>
          <w:tcPr>
            <w:tcW w:w="1520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24.849</w:t>
            </w:r>
          </w:p>
        </w:tc>
        <w:tc>
          <w:tcPr>
            <w:tcW w:w="1417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69.346</w:t>
            </w:r>
          </w:p>
        </w:tc>
        <w:tc>
          <w:tcPr>
            <w:tcW w:w="1431" w:type="dxa"/>
            <w:tcBorders>
              <w:top w:val="single" w:color="auto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17.210</w:t>
            </w:r>
          </w:p>
        </w:tc>
      </w:tr>
      <w:tr>
        <w:tblPrEx>
          <w:tblBorders>
            <w:top w:val="single" w:color="auto" w:sz="12" w:space="0"/>
            <w:left w:val="none" w:color="auto" w:sz="6" w:space="0"/>
            <w:bottom w:val="single" w:color="auto" w:sz="12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i/>
                <w:iCs/>
                <w:sz w:val="21"/>
                <w:szCs w:val="21"/>
                <w:lang w:bidi="ar"/>
              </w:rPr>
              <w:t>P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0.016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color w:val="auto"/>
                <w:sz w:val="21"/>
                <w:szCs w:val="21"/>
                <w:lang w:bidi="ar"/>
              </w:rPr>
              <w:t>0.547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0.003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bidi="ar"/>
              </w:rPr>
              <w:t>＜</w:t>
            </w:r>
            <w:r>
              <w:rPr>
                <w:rFonts w:cs="Times New Roman"/>
                <w:sz w:val="21"/>
                <w:szCs w:val="21"/>
                <w:lang w:bidi="ar"/>
              </w:rPr>
              <w:t>0.001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  <w:lang w:bidi="ar"/>
              </w:rPr>
              <w:t>0.003</w:t>
            </w:r>
          </w:p>
        </w:tc>
      </w:tr>
    </w:tbl>
    <w:p>
      <w:pPr>
        <w:jc w:val="both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Times New Roman" w:hAnsi="Times New Roman" w:cs="Times New Roman"/>
          <w:sz w:val="15"/>
          <w:szCs w:val="15"/>
        </w:rPr>
      </w:pPr>
    </w:p>
    <w:p>
      <w:pPr>
        <w:jc w:val="center"/>
        <w:rPr>
          <w:rFonts w:cs="Times New Roman" w:eastAsiaTheme="minorEastAsia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Table 5: </w:t>
      </w:r>
      <w:r>
        <w:rPr>
          <w:rFonts w:cs="Times New Roman" w:eastAsiaTheme="minorEastAsia"/>
          <w:b/>
          <w:sz w:val="21"/>
          <w:szCs w:val="21"/>
        </w:rPr>
        <w:t>Effect of PTEN overexpression on sodium arsenite on Notch1/HES1/PTEN and autophagy-related protein expression in fibrosis-causing LX-2 cells</w:t>
      </w: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328"/>
        <w:gridCol w:w="1133"/>
        <w:gridCol w:w="1000"/>
        <w:gridCol w:w="1114"/>
        <w:gridCol w:w="1619"/>
        <w:gridCol w:w="116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tblHeader/>
        </w:trPr>
        <w:tc>
          <w:tcPr>
            <w:tcW w:w="2328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Group</w:t>
            </w:r>
          </w:p>
        </w:tc>
        <w:tc>
          <w:tcPr>
            <w:tcW w:w="1133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Notch1</w:t>
            </w:r>
          </w:p>
        </w:tc>
        <w:tc>
          <w:tcPr>
            <w:tcW w:w="10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HES1</w:t>
            </w:r>
          </w:p>
        </w:tc>
        <w:tc>
          <w:tcPr>
            <w:tcW w:w="1114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PTEN</w:t>
            </w:r>
          </w:p>
        </w:tc>
        <w:tc>
          <w:tcPr>
            <w:tcW w:w="1619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Beclin-1</w:t>
            </w:r>
          </w:p>
        </w:tc>
        <w:tc>
          <w:tcPr>
            <w:tcW w:w="1168" w:type="dxa"/>
            <w:tcBorders>
              <w:top w:val="single" w:color="auto" w:sz="12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LC3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328" w:type="dxa"/>
            <w:tcBorders>
              <w:top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1133" w:type="dxa"/>
            <w:tcBorders>
              <w:top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0.27±0.05</w:t>
            </w:r>
          </w:p>
        </w:tc>
        <w:tc>
          <w:tcPr>
            <w:tcW w:w="1000" w:type="dxa"/>
            <w:tcBorders>
              <w:top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0.44±0.09</w:t>
            </w:r>
          </w:p>
        </w:tc>
        <w:tc>
          <w:tcPr>
            <w:tcW w:w="1114" w:type="dxa"/>
            <w:tcBorders>
              <w:top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0.99±0.12</w:t>
            </w:r>
          </w:p>
        </w:tc>
        <w:tc>
          <w:tcPr>
            <w:tcW w:w="1619" w:type="dxa"/>
            <w:tcBorders>
              <w:top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0.88±0.04</w:t>
            </w:r>
          </w:p>
        </w:tc>
        <w:tc>
          <w:tcPr>
            <w:tcW w:w="1168" w:type="dxa"/>
            <w:tcBorders>
              <w:top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0.60±0.07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32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blank plasmid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0.19±0.03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0.36±0.05</w:t>
            </w:r>
          </w:p>
        </w:tc>
        <w:tc>
          <w:tcPr>
            <w:tcW w:w="111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0.88±0.07</w:t>
            </w: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0.76±0.04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0.52±0.05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32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high-concentration sodium arsenite + blank plasmid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0.42±0.03</w:t>
            </w:r>
            <w:r>
              <w:rPr>
                <w:sz w:val="21"/>
                <w:szCs w:val="21"/>
                <w:vertAlign w:val="superscript"/>
              </w:rPr>
              <w:t>a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0.96±0.04</w:t>
            </w:r>
            <w:r>
              <w:rPr>
                <w:sz w:val="21"/>
                <w:szCs w:val="21"/>
                <w:vertAlign w:val="superscript"/>
              </w:rPr>
              <w:t>a</w:t>
            </w:r>
          </w:p>
        </w:tc>
        <w:tc>
          <w:tcPr>
            <w:tcW w:w="111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0.66±0.14</w:t>
            </w:r>
            <w:r>
              <w:rPr>
                <w:sz w:val="21"/>
                <w:szCs w:val="21"/>
                <w:vertAlign w:val="superscript"/>
              </w:rPr>
              <w:t>a</w:t>
            </w: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1.17±0.06</w:t>
            </w:r>
            <w:r>
              <w:rPr>
                <w:sz w:val="21"/>
                <w:szCs w:val="21"/>
                <w:vertAlign w:val="superscript"/>
              </w:rPr>
              <w:t>a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1.10±0.18</w:t>
            </w:r>
            <w:r>
              <w:rPr>
                <w:sz w:val="21"/>
                <w:szCs w:val="21"/>
                <w:vertAlign w:val="superscript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32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PTEN overexpression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group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0.12±0.04</w:t>
            </w:r>
            <w:r>
              <w:rPr>
                <w:sz w:val="21"/>
                <w:szCs w:val="21"/>
                <w:vertAlign w:val="superscript"/>
              </w:rPr>
              <w:t>b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0.44±0.02</w:t>
            </w:r>
            <w:r>
              <w:rPr>
                <w:sz w:val="21"/>
                <w:szCs w:val="21"/>
                <w:vertAlign w:val="superscript"/>
              </w:rPr>
              <w:t>b</w:t>
            </w:r>
          </w:p>
        </w:tc>
        <w:tc>
          <w:tcPr>
            <w:tcW w:w="111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1.26±0.03</w:t>
            </w:r>
            <w:r>
              <w:rPr>
                <w:sz w:val="21"/>
                <w:szCs w:val="21"/>
                <w:vertAlign w:val="superscript"/>
              </w:rPr>
              <w:t>b</w:t>
            </w: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0.71±0.03</w:t>
            </w:r>
            <w:r>
              <w:rPr>
                <w:sz w:val="21"/>
                <w:szCs w:val="21"/>
                <w:vertAlign w:val="superscript"/>
              </w:rPr>
              <w:t>b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0.52±0.08</w:t>
            </w:r>
            <w:r>
              <w:rPr>
                <w:sz w:val="21"/>
                <w:szCs w:val="21"/>
                <w:vertAlign w:val="superscript"/>
              </w:rPr>
              <w:t>b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32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cs="Times New Roman"/>
                <w:sz w:val="24"/>
                <w:szCs w:val="24"/>
              </w:rPr>
              <w:t>high-concentration sodium arsenite + PTEN overexpression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group </w:t>
            </w:r>
            <w:bookmarkEnd w:id="0"/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0.16±0.03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0.48±0.10</w:t>
            </w:r>
          </w:p>
        </w:tc>
        <w:tc>
          <w:tcPr>
            <w:tcW w:w="111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0.87±0.11</w:t>
            </w:r>
            <w:r>
              <w:rPr>
                <w:sz w:val="21"/>
                <w:szCs w:val="21"/>
                <w:vertAlign w:val="superscript"/>
              </w:rPr>
              <w:t>a</w:t>
            </w: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0.82±0.06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0.54±0.12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328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F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34.569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38.920</w:t>
            </w:r>
          </w:p>
        </w:tc>
        <w:tc>
          <w:tcPr>
            <w:tcW w:w="111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13.469</w:t>
            </w: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42.223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15.295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328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P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＜0.001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＜0.001</w:t>
            </w:r>
          </w:p>
        </w:tc>
        <w:tc>
          <w:tcPr>
            <w:tcW w:w="111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＜0.001</w:t>
            </w:r>
          </w:p>
        </w:tc>
        <w:tc>
          <w:tcPr>
            <w:tcW w:w="1619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＜0.001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＜0.001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Table 6:  Effect of PTEN overexpression on LX-2 cell fibrosis caused by sodium arsenite</w:t>
      </w: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5000" w:type="pct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30"/>
        <w:gridCol w:w="2293"/>
        <w:gridCol w:w="2939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3289" w:type="dxa"/>
            <w:tcBorders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Group</w:t>
            </w:r>
          </w:p>
        </w:tc>
        <w:tc>
          <w:tcPr>
            <w:tcW w:w="2409" w:type="dxa"/>
            <w:tcBorders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α-SMA</w:t>
            </w:r>
          </w:p>
        </w:tc>
        <w:tc>
          <w:tcPr>
            <w:tcW w:w="3088" w:type="dxa"/>
            <w:tcBorders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Collagen</w:t>
            </w:r>
            <w:r>
              <w:rPr>
                <w:rFonts w:hint="eastAsia" w:ascii="宋体" w:hAnsi="宋体" w:cs="宋体"/>
                <w:sz w:val="21"/>
                <w:szCs w:val="21"/>
              </w:rPr>
              <w:t>Ⅰ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3289" w:type="dxa"/>
            <w:tcBorders>
              <w:top w:val="single" w:color="auto" w:sz="6" w:space="0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2409" w:type="dxa"/>
            <w:tcBorders>
              <w:top w:val="single" w:color="auto" w:sz="6" w:space="0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0.64±0.06</w:t>
            </w:r>
          </w:p>
        </w:tc>
        <w:tc>
          <w:tcPr>
            <w:tcW w:w="3088" w:type="dxa"/>
            <w:tcBorders>
              <w:top w:val="single" w:color="auto" w:sz="6" w:space="0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0.09±0.01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3289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blank plasmid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0.59±0.02</w:t>
            </w:r>
          </w:p>
        </w:tc>
        <w:tc>
          <w:tcPr>
            <w:tcW w:w="3088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0.11±0.01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3289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high-concentration sodium arsenite + blank plasmid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1.02±0.11</w:t>
            </w:r>
            <w:r>
              <w:rPr>
                <w:sz w:val="21"/>
                <w:szCs w:val="21"/>
                <w:vertAlign w:val="superscript"/>
              </w:rPr>
              <w:t>a</w:t>
            </w:r>
          </w:p>
        </w:tc>
        <w:tc>
          <w:tcPr>
            <w:tcW w:w="3088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0.21±0.00</w:t>
            </w:r>
            <w:r>
              <w:rPr>
                <w:sz w:val="21"/>
                <w:szCs w:val="21"/>
                <w:vertAlign w:val="superscript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3289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PTEN overexpression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group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0.63±0.06</w:t>
            </w:r>
            <w:r>
              <w:rPr>
                <w:sz w:val="21"/>
                <w:szCs w:val="21"/>
                <w:vertAlign w:val="superscript"/>
              </w:rPr>
              <w:t>b</w:t>
            </w:r>
          </w:p>
        </w:tc>
        <w:tc>
          <w:tcPr>
            <w:tcW w:w="3088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0.11±0.00</w:t>
            </w:r>
            <w:r>
              <w:rPr>
                <w:sz w:val="21"/>
                <w:szCs w:val="21"/>
                <w:vertAlign w:val="superscript"/>
              </w:rPr>
              <w:t>b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3289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high-concentration sodium arsenite + PTEN overexpression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group 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0.60±0.07</w:t>
            </w:r>
          </w:p>
        </w:tc>
        <w:tc>
          <w:tcPr>
            <w:tcW w:w="3088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0.15±0.01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328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F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20.115</w:t>
            </w:r>
          </w:p>
        </w:tc>
        <w:tc>
          <w:tcPr>
            <w:tcW w:w="308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47.257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3289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P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＜0.001</w:t>
            </w:r>
          </w:p>
        </w:tc>
        <w:tc>
          <w:tcPr>
            <w:tcW w:w="3088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＜0.001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Times New Roman" w:hAnsi="Times New Roman" w:cs="Times New Roman"/>
          <w:sz w:val="15"/>
          <w:szCs w:val="15"/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Times New Roman" w:hAnsi="Times New Roman" w:cs="Times New Roman" w:eastAsiaTheme="minorEastAsia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</w:pP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spacing w:line="360" w:lineRule="auto"/>
        <w:rPr>
          <w:rFonts w:ascii="Times New Roman" w:hAnsi="Times New Roman" w:cs="Times New Roman"/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default" w:ascii="Times New Roman" w:hAnsi="Times New Roman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0OGZjZDQwYTFkMmE5NmE3MTA1YjA4NGQ3OTU5ZTEifQ=="/>
  </w:docVars>
  <w:rsids>
    <w:rsidRoot w:val="6F6E6B94"/>
    <w:rsid w:val="005101D2"/>
    <w:rsid w:val="008A1B2D"/>
    <w:rsid w:val="00DD730D"/>
    <w:rsid w:val="00F04123"/>
    <w:rsid w:val="01967DCC"/>
    <w:rsid w:val="038E3EE8"/>
    <w:rsid w:val="07AD2E51"/>
    <w:rsid w:val="0D7D62E4"/>
    <w:rsid w:val="10AE4FAE"/>
    <w:rsid w:val="153676D4"/>
    <w:rsid w:val="17B52555"/>
    <w:rsid w:val="1DAF7A0B"/>
    <w:rsid w:val="1E094D51"/>
    <w:rsid w:val="1EFD1EF6"/>
    <w:rsid w:val="274033BA"/>
    <w:rsid w:val="33B51A84"/>
    <w:rsid w:val="344E43B3"/>
    <w:rsid w:val="35B01AF3"/>
    <w:rsid w:val="3670428D"/>
    <w:rsid w:val="39E1138E"/>
    <w:rsid w:val="3A614098"/>
    <w:rsid w:val="3D6637FA"/>
    <w:rsid w:val="42360234"/>
    <w:rsid w:val="45336CAD"/>
    <w:rsid w:val="4DE60FA8"/>
    <w:rsid w:val="56464A92"/>
    <w:rsid w:val="57243FF4"/>
    <w:rsid w:val="5BB54B15"/>
    <w:rsid w:val="60094F80"/>
    <w:rsid w:val="606C3347"/>
    <w:rsid w:val="615D67AE"/>
    <w:rsid w:val="62CF0D8A"/>
    <w:rsid w:val="63730E90"/>
    <w:rsid w:val="6C215CE2"/>
    <w:rsid w:val="6E602011"/>
    <w:rsid w:val="6F6E6B94"/>
    <w:rsid w:val="6F6F54BF"/>
    <w:rsid w:val="71A24560"/>
    <w:rsid w:val="72203EA6"/>
    <w:rsid w:val="769530A5"/>
    <w:rsid w:val="773330BD"/>
    <w:rsid w:val="7E0A3176"/>
    <w:rsid w:val="7F01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qFormat/>
    <w:uiPriority w:val="0"/>
    <w:pPr>
      <w:jc w:val="left"/>
    </w:p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annotation subject"/>
    <w:basedOn w:val="2"/>
    <w:next w:val="2"/>
    <w:link w:val="9"/>
    <w:qFormat/>
    <w:uiPriority w:val="0"/>
    <w:rPr>
      <w:b/>
      <w:bCs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批注文字 Char"/>
    <w:basedOn w:val="6"/>
    <w:link w:val="2"/>
    <w:qFormat/>
    <w:uiPriority w:val="0"/>
    <w:rPr>
      <w:kern w:val="2"/>
      <w:sz w:val="21"/>
      <w:szCs w:val="24"/>
    </w:rPr>
  </w:style>
  <w:style w:type="character" w:customStyle="1" w:styleId="9">
    <w:name w:val="批注主题 Char"/>
    <w:basedOn w:val="8"/>
    <w:link w:val="4"/>
    <w:qFormat/>
    <w:uiPriority w:val="0"/>
    <w:rPr>
      <w:b/>
      <w:bCs/>
      <w:kern w:val="2"/>
      <w:sz w:val="21"/>
      <w:szCs w:val="24"/>
    </w:rPr>
  </w:style>
  <w:style w:type="character" w:customStyle="1" w:styleId="10">
    <w:name w:val="批注框文本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394</Words>
  <Characters>2182</Characters>
  <Lines>14</Lines>
  <Paragraphs>4</Paragraphs>
  <TotalTime>3</TotalTime>
  <ScaleCrop>false</ScaleCrop>
  <LinksUpToDate>false</LinksUpToDate>
  <CharactersWithSpaces>2379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2022-09-18T06:02:00Z</dcterms:created>
  <dc:creator>香草吧噗～</dc:creator>
  <cp:lastModifiedBy>香草吧噗～</cp:lastModifiedBy>
  <dcterms:modified xsi:type="dcterms:W3CDTF">2023-04-10T17:29:59Z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6A6003986B0E4D4EA7E423D9C410DDE7</vt:lpwstr>
  </property>
</Properties>
</file>