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D1F2F" w14:textId="6338FFE4" w:rsidR="009F21FA" w:rsidRPr="00C6674F" w:rsidRDefault="009F21FA" w:rsidP="00D67DBB">
      <w:pPr>
        <w:pStyle w:val="MDPI11articletype"/>
      </w:pPr>
      <w:bookmarkStart w:id="0" w:name="_Hlk94628201"/>
      <w:bookmarkStart w:id="1" w:name="_Hlk107488500"/>
      <w:r w:rsidRPr="00C6674F">
        <w:t>Supplementary Materials</w:t>
      </w:r>
    </w:p>
    <w:p w14:paraId="14120D3E" w14:textId="77777777" w:rsidR="009F21FA" w:rsidRPr="00C6674F" w:rsidRDefault="009F21FA" w:rsidP="00D67DBB">
      <w:pPr>
        <w:pStyle w:val="MDPI12title"/>
      </w:pPr>
      <w:r w:rsidRPr="00C6674F">
        <w:t>Correlating the Macrostructural Variations of an Ion gel with its Carbon Dioxide Sorption Capacity</w:t>
      </w:r>
      <w:bookmarkEnd w:id="0"/>
    </w:p>
    <w:p w14:paraId="1392BBB9" w14:textId="77777777" w:rsidR="009F21FA" w:rsidRPr="00C6674F" w:rsidRDefault="009F21FA" w:rsidP="00D67DBB">
      <w:pPr>
        <w:pStyle w:val="MDPI13authornames"/>
      </w:pPr>
      <w:r w:rsidRPr="00C6674F">
        <w:t>Tung Nguyen, Mona Bavarian and Siamak Nejati *</w:t>
      </w:r>
    </w:p>
    <w:p w14:paraId="7F386485" w14:textId="77777777" w:rsidR="009F21FA" w:rsidRPr="00C6674F" w:rsidRDefault="009F21FA" w:rsidP="00D67DBB">
      <w:pPr>
        <w:pStyle w:val="MDPI16affiliation"/>
        <w:ind w:left="2608" w:firstLine="0"/>
      </w:pPr>
      <w:r w:rsidRPr="00C6674F">
        <w:t>Department of Chemical and Biomolecular Engineering, University of Nebraska-Lincoln</w:t>
      </w:r>
    </w:p>
    <w:p w14:paraId="31754AFD" w14:textId="77777777" w:rsidR="009F21FA" w:rsidRPr="00C6674F" w:rsidRDefault="009F21FA" w:rsidP="00D67DBB">
      <w:pPr>
        <w:pStyle w:val="MDPI16affiliation"/>
      </w:pPr>
      <w:r w:rsidRPr="00C6674F">
        <w:rPr>
          <w:b/>
        </w:rPr>
        <w:t>*</w:t>
      </w:r>
      <w:r w:rsidRPr="00C6674F">
        <w:tab/>
        <w:t xml:space="preserve">Correspondence: </w:t>
      </w:r>
      <w:hyperlink r:id="rId8" w:history="1">
        <w:r w:rsidRPr="00C6674F">
          <w:rPr>
            <w:rStyle w:val="Hyperlink"/>
            <w:color w:val="1155CC"/>
          </w:rPr>
          <w:t>snejati2@unl.edu</w:t>
        </w:r>
      </w:hyperlink>
    </w:p>
    <w:bookmarkEnd w:id="1"/>
    <w:p w14:paraId="5F17A561" w14:textId="77777777" w:rsidR="00562240" w:rsidRPr="00C6674F" w:rsidRDefault="00562240" w:rsidP="00D67DBB">
      <w:pPr>
        <w:adjustRightInd w:val="0"/>
        <w:snapToGrid w:val="0"/>
        <w:spacing w:after="160" w:line="259" w:lineRule="auto"/>
        <w:rPr>
          <w:rFonts w:ascii="Times New Roman" w:hAnsi="Times New Roman"/>
          <w:b/>
          <w:bCs/>
          <w:noProof w:val="0"/>
        </w:rPr>
      </w:pPr>
      <w:r w:rsidRPr="00C6674F">
        <w:rPr>
          <w:rFonts w:ascii="Times New Roman" w:hAnsi="Times New Roman"/>
          <w:b/>
          <w:bCs/>
          <w:noProof w:val="0"/>
        </w:rPr>
        <w:br w:type="page"/>
      </w:r>
    </w:p>
    <w:p w14:paraId="293075F2" w14:textId="089429FC" w:rsidR="00562240" w:rsidRPr="00C6674F" w:rsidRDefault="00562240" w:rsidP="00D67DBB">
      <w:pPr>
        <w:pStyle w:val="MDPI21heading1"/>
      </w:pPr>
      <w:r w:rsidRPr="00C6674F">
        <w:rPr>
          <w:bCs/>
        </w:rPr>
        <w:lastRenderedPageBreak/>
        <w:t xml:space="preserve">Section </w:t>
      </w:r>
      <w:r w:rsidR="000002D4" w:rsidRPr="00C6674F">
        <w:rPr>
          <w:bCs/>
        </w:rPr>
        <w:t>S</w:t>
      </w:r>
      <w:r w:rsidRPr="00C6674F">
        <w:rPr>
          <w:bCs/>
        </w:rPr>
        <w:t>1.</w:t>
      </w:r>
      <w:r w:rsidRPr="00C6674F">
        <w:t xml:space="preserve"> Experimental Methods</w:t>
      </w:r>
    </w:p>
    <w:p w14:paraId="43299A7B" w14:textId="0A3127AA" w:rsidR="00562240" w:rsidRPr="00C6674F" w:rsidRDefault="000002D4" w:rsidP="00D67DBB">
      <w:pPr>
        <w:pStyle w:val="MDPI22heading2"/>
        <w:rPr>
          <w:noProof w:val="0"/>
        </w:rPr>
      </w:pPr>
      <w:r w:rsidRPr="00C6674F">
        <w:rPr>
          <w:noProof w:val="0"/>
        </w:rPr>
        <w:t>S</w:t>
      </w:r>
      <w:r w:rsidR="00A25069" w:rsidRPr="00C6674F">
        <w:rPr>
          <w:noProof w:val="0"/>
        </w:rPr>
        <w:t xml:space="preserve">1.1. </w:t>
      </w:r>
      <w:r w:rsidR="00562240" w:rsidRPr="00C6674F">
        <w:rPr>
          <w:noProof w:val="0"/>
        </w:rPr>
        <w:t>Thick Film Preparation</w:t>
      </w:r>
    </w:p>
    <w:p w14:paraId="2E184B28" w14:textId="7F55E5B6" w:rsidR="00562240" w:rsidRPr="00C6674F" w:rsidRDefault="00562240" w:rsidP="00D67DBB">
      <w:pPr>
        <w:pStyle w:val="MDPI31text"/>
      </w:pPr>
      <w:r w:rsidRPr="00C6674F">
        <w:t xml:space="preserve">Before casting, for 24 </w:t>
      </w:r>
      <w:r w:rsidR="00D67DBB" w:rsidRPr="00C6674F">
        <w:t>h</w:t>
      </w:r>
      <w:r w:rsidRPr="00C6674F">
        <w:t>, all solutions were heated and mixed at 95 °C and 310 rpm, respectively. To prepare a thick film, a solution was directly poured into aluminum-based casting wells, with 1 cm diameter and 1.5 mm depth. The following steps were taken to cast films; the cast polymer was transferred to a heating vacuum oven, preset at 60 °C; the oven temperature was ramped to 90 °C with a ramp rate of 1.3 °C/min</w:t>
      </w:r>
      <w:r w:rsidR="00C6674F">
        <w:t>,</w:t>
      </w:r>
      <w:r w:rsidRPr="00C6674F">
        <w:t xml:space="preserve"> and the wells were left in the oven for two hours and 30 </w:t>
      </w:r>
      <w:r w:rsidR="00D67DBB" w:rsidRPr="00C6674F">
        <w:t>min</w:t>
      </w:r>
      <w:r w:rsidRPr="00C6674F">
        <w:t>. Then, the oven temperature was increased to 150 °C with a ramp rate of 1.4 °C/</w:t>
      </w:r>
      <w:proofErr w:type="spellStart"/>
      <w:r w:rsidRPr="00C6674F">
        <w:t>mi</w:t>
      </w:r>
      <w:r w:rsidR="00C6674F">
        <w:t>,</w:t>
      </w:r>
      <w:r w:rsidRPr="00C6674F">
        <w:t>n</w:t>
      </w:r>
      <w:proofErr w:type="spellEnd"/>
      <w:r w:rsidRPr="00C6674F">
        <w:t xml:space="preserve"> and the samples were heated for 24 </w:t>
      </w:r>
      <w:r w:rsidR="00D67DBB" w:rsidRPr="00C6674F">
        <w:t>h</w:t>
      </w:r>
      <w:r w:rsidRPr="00C6674F">
        <w:t xml:space="preserve"> to remove the residual TEP. At this point, the oven temperature was decreased to 110 °C, it was evacuated using a rotary vane pump, and the drying process continued for another 72 </w:t>
      </w:r>
      <w:r w:rsidR="00D67DBB" w:rsidRPr="00C6674F">
        <w:t>h</w:t>
      </w:r>
      <w:r w:rsidRPr="00C6674F">
        <w:t>. The samples were kept in the vacuum oven until they were used for measurement.</w:t>
      </w:r>
    </w:p>
    <w:p w14:paraId="75081BA3" w14:textId="1A9B73D6" w:rsidR="00562240" w:rsidRPr="00C6674F" w:rsidRDefault="000002D4" w:rsidP="00D67DBB">
      <w:pPr>
        <w:pStyle w:val="MDPI22heading2"/>
        <w:spacing w:before="240"/>
        <w:rPr>
          <w:noProof w:val="0"/>
        </w:rPr>
      </w:pPr>
      <w:bookmarkStart w:id="2" w:name="_Toc91710537"/>
      <w:r w:rsidRPr="00C6674F">
        <w:rPr>
          <w:noProof w:val="0"/>
        </w:rPr>
        <w:t>S</w:t>
      </w:r>
      <w:r w:rsidR="00A25069" w:rsidRPr="00C6674F">
        <w:rPr>
          <w:noProof w:val="0"/>
        </w:rPr>
        <w:t xml:space="preserve">1.2. </w:t>
      </w:r>
      <w:r w:rsidR="00562240" w:rsidRPr="00C6674F">
        <w:rPr>
          <w:noProof w:val="0"/>
        </w:rPr>
        <w:t>Film composition</w:t>
      </w:r>
      <w:bookmarkEnd w:id="2"/>
    </w:p>
    <w:p w14:paraId="531941D0" w14:textId="3C5E346C" w:rsidR="00562240" w:rsidRPr="00C6674F" w:rsidRDefault="00562240" w:rsidP="00D67DBB">
      <w:pPr>
        <w:pStyle w:val="MDPI31text"/>
      </w:pPr>
      <w:bookmarkStart w:id="3" w:name="_Hlk92031245"/>
      <w:r w:rsidRPr="00C6674F">
        <w:t xml:space="preserve">To establish a correlation between the composition of the spin-coated films and the mixtures used for casting, six different compositions of Polymer:IL of 10, 30, 40, 45, 50, and 55 wt % were prepared and used for spin-coating. Figure S1a shows the normalized FTIR signal of the films </w:t>
      </w:r>
      <w:r w:rsidR="00C6674F">
        <w:t>cast</w:t>
      </w:r>
      <w:r w:rsidRPr="00C6674F">
        <w:t xml:space="preserve"> on the glass slide. Here, we used the peak area located in between 1307 to 1370 cm</w:t>
      </w:r>
      <w:r w:rsidR="00D67DBB" w:rsidRPr="00C6674F">
        <w:rPr>
          <w:vertAlign w:val="superscript"/>
        </w:rPr>
        <w:t>−1</w:t>
      </w:r>
      <w:r w:rsidRPr="00C6674F">
        <w:t xml:space="preserve"> and utilized the strong sulfonyl vibration of IL at 1330 cm</w:t>
      </w:r>
      <w:r w:rsidR="00D67DBB" w:rsidRPr="00C6674F">
        <w:rPr>
          <w:vertAlign w:val="superscript"/>
        </w:rPr>
        <w:t>−1</w:t>
      </w:r>
      <w:r w:rsidRPr="00C6674F">
        <w:t xml:space="preserve"> to deconvolute the signals. Figure S1b shows the deconvoluted peaks used to establish the calibration line presented in Figure S1b. Each data point is representative of three experiments using the same casting solution.</w:t>
      </w:r>
      <w:bookmarkEnd w:id="3"/>
    </w:p>
    <w:p w14:paraId="0AFE9D4F" w14:textId="77777777" w:rsidR="00562240" w:rsidRPr="00C6674F" w:rsidRDefault="00562240" w:rsidP="00D67DBB">
      <w:pPr>
        <w:pStyle w:val="MDPI52figure"/>
        <w:ind w:left="2608"/>
        <w:jc w:val="left"/>
      </w:pPr>
      <w:r w:rsidRPr="00C6674F">
        <w:rPr>
          <w:noProof/>
        </w:rPr>
        <w:drawing>
          <wp:inline distT="0" distB="0" distL="0" distR="0" wp14:anchorId="62AEBF08" wp14:editId="3F427C80">
            <wp:extent cx="4920711" cy="2266950"/>
            <wp:effectExtent l="0" t="0" r="0" b="0"/>
            <wp:docPr id="12" name="Picture 12" descr="A picture containing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ght, dark&#10;&#10;Description automatically generated"/>
                    <pic:cNvPicPr/>
                  </pic:nvPicPr>
                  <pic:blipFill rotWithShape="1">
                    <a:blip r:embed="rId9" cstate="print">
                      <a:extLst>
                        <a:ext uri="{28A0092B-C50C-407E-A947-70E740481C1C}">
                          <a14:useLocalDpi xmlns:a14="http://schemas.microsoft.com/office/drawing/2010/main" val="0"/>
                        </a:ext>
                      </a:extLst>
                    </a:blip>
                    <a:srcRect l="9070"/>
                    <a:stretch/>
                  </pic:blipFill>
                  <pic:spPr bwMode="auto">
                    <a:xfrm>
                      <a:off x="0" y="0"/>
                      <a:ext cx="4942572" cy="2277021"/>
                    </a:xfrm>
                    <a:prstGeom prst="rect">
                      <a:avLst/>
                    </a:prstGeom>
                    <a:ln>
                      <a:noFill/>
                    </a:ln>
                    <a:extLst>
                      <a:ext uri="{53640926-AAD7-44D8-BBD7-CCE9431645EC}">
                        <a14:shadowObscured xmlns:a14="http://schemas.microsoft.com/office/drawing/2010/main"/>
                      </a:ext>
                    </a:extLst>
                  </pic:spPr>
                </pic:pic>
              </a:graphicData>
            </a:graphic>
          </wp:inline>
        </w:drawing>
      </w:r>
    </w:p>
    <w:p w14:paraId="64E5A3E2" w14:textId="20EB7795" w:rsidR="00562240" w:rsidRPr="00C6674F" w:rsidRDefault="00A25069" w:rsidP="00D67DBB">
      <w:pPr>
        <w:pStyle w:val="MDPI51figurecaption"/>
        <w:jc w:val="both"/>
      </w:pPr>
      <w:r w:rsidRPr="00C6674F">
        <w:rPr>
          <w:b/>
        </w:rPr>
        <w:t xml:space="preserve">Figure S1. </w:t>
      </w:r>
      <w:r w:rsidR="00562240" w:rsidRPr="00C6674F">
        <w:t>(A) FTIR fingerprint of polymeric films; the red box indicates the range used for developing a calibration curve for estimating films’ composition; (B) the established calibration curve for estimating the film composition cast from known mixtures.</w:t>
      </w:r>
    </w:p>
    <w:p w14:paraId="58CCFA2E" w14:textId="37F15683" w:rsidR="00562240" w:rsidRPr="00C6674F" w:rsidRDefault="00562240" w:rsidP="00D67DBB">
      <w:pPr>
        <w:pStyle w:val="MDPI31text"/>
      </w:pPr>
      <w:r w:rsidRPr="00C6674F">
        <w:t>The peak deconvolution was performed, using the OriginPro software. Briefly, the peak fitting was done by correcting the baseline using Shirley’s baseline; two peaks at 1331 and 1348 cm</w:t>
      </w:r>
      <w:r w:rsidR="00D67DBB" w:rsidRPr="00C6674F">
        <w:rPr>
          <w:vertAlign w:val="superscript"/>
        </w:rPr>
        <w:t>−1</w:t>
      </w:r>
      <w:r w:rsidRPr="00C6674F">
        <w:t>, corresponding to the β-phase peak (PVDF-HFP) and SO</w:t>
      </w:r>
      <w:r w:rsidRPr="00C6674F">
        <w:rPr>
          <w:vertAlign w:val="subscript"/>
        </w:rPr>
        <w:t>2</w:t>
      </w:r>
      <w:r w:rsidRPr="00C6674F">
        <w:t xml:space="preserve"> peak (IL), respectively,</w:t>
      </w:r>
      <w:r w:rsidRPr="00C6674F">
        <w:fldChar w:fldCharType="begin"/>
      </w:r>
      <w:r w:rsidRPr="00C6674F">
        <w:instrText xml:space="preserve"> ADDIN ZOTERO_ITEM CSL_CITATION {"citationID":"4I4sPeYF","properties":{"formattedCitation":"\\super 1,2\\nosupersub{}","plainCitation":"1,2","noteIndex":0},"citationItems":[{"id":357,"uris":["http://zotero.org/groups/4545406/items/TUTA7GHA"],"itemData":{"id":357,"type":"article-journal","abstract":"In situ Ag nanoparticles are produced on reduction of Ag+ with N,N-dimethylformamide in the presence of poly(vinylidene fluoride) (PVF2). The plasmon band transition is monitored with time in the reaction mixture for three sets of experiments by UV−vis spectroscopy. The plasmon band absorbance increases sigmoidally with log(time). Analysis of the data with the Avrami equation yields an exponent n value between 1.5 and 2.0, indicating two-dimensional nucleation with linear or diffusion controlled growth. The TEM study of the polymer nanocomposites (PNC) indicates both spherical and rodlike morphology for PNC0.5 and PNC2.5 samples, whereas the PNC11 sample has spherical and agglomerated structures (the numerical number associated with PNC indicates percentage (w/w) of Ag in the nanocomposite). The WAXS and FTIR studies indicate the formation of piezoelectric β-polymorphic PVF2 in the nanocomposites. The DSC study indicates some increase of the melting point and enthalpy of fusion of PVF2 in the nanocomposite, although with increase in Ag nanoparticle concentration the increase is smaller. The crystallization temperatures of PNCs also increased, indicating nucleating effect of Ag nanoparticles in the composite. In the TGA curves, the PNCs exhibit a three-step degradation process. The degradation temperatures of PNCs are lower than that of PVF2. The storage modulus data indicate a significant reinforcement of the mechanical property in the PNCs where also the reinforcement effect decreases with increasing nanoparticle concentration. Both the loss modulus and tan δ plots indicate two peaks; the lower temperature peak has been attributed for glass transition temperature, whereas the higher one has been attributed to a similar type relaxation process for the crystalline−amorphous interface. The increase in the glass transition is marginal for the PNCs, but the increase of later transition temperature is somewhat higher. The FTIR study shows that the dipolar interaction of the &gt;CF2 dipole with the surface charges of Ag nanoparticle stabilizes the nanoparticle in the nanocomposite.","container-title":"The Journal of Physical Chemistry B","DOI":"10.1021/jp061445y","ISSN":"1520-6106","issue":"25","journalAbbreviation":"J. Phys. Chem. B","note":"publisher: American Chemical Society","page":"12318-12326","source":"ACS Publications","title":"Preparation and Characterization of Silver−Poly(vinylidene fluoride) Nanocomposites:  Formation of Piezoelectric Polymorph of Poly(vinylidene fluoride)","title-short":"Preparation and Characterization of Silver−Poly(vinylidene fluoride) Nanocomposites","volume":"110","author":[{"family":"Manna","given":"Swarup"},{"family":"Batabyal","given":"Sudip K."},{"family":"Nandi","given":"Arun K."}],"issued":{"date-parts":[["2006",6,1]]}}},{"id":107,"uris":["http://zotero.org/groups/4545406/items/Y794I8C2"],"itemData":{"id":107,"type":"article-journal","abstract":"The reflection−absorption infrared (RAIRS) spectra of 1-ethyl-3-methylimidazolium bis(trifluoromethylsulfonyl)imide ([EMIM]Tf2N) are presented as a function of temperature between 114 and 292 K. A comparison is made with the corresponding infrared spectra (obtained with transmission spectroscopy) from bulk [EMIM]Tf2N. The liquid and amorphous films show rather similar spectra, indicating that the film structure is similar in both cases. On the other hand, these spectra differ considerably from those of crystalline films. Characteristic differences seen between the film and bulk spectra are attributed to the different structures of the respective networks. There are, however, indications that under all studied conditions the cation−anion interaction is between the C−H groups of the [EMIM] ring and the SO2 groups of the anion.","container-title":"Langmuir","DOI":"10.1021/la802045j","ISSN":"0743-7463","issue":"20","journalAbbreviation":"Langmuir","note":"publisher: American Chemical Society","page":"11562-11566","source":"ACS Publications","title":"Investigations with Infrared Spectroscopy on Films of the Ionic Liquid [EMIM]Tf2N","volume":"24","author":[{"family":"Höfft","given":"O."},{"family":"Bahr","given":"S."},{"family":"Kempter","given":"V."}],"issued":{"date-parts":[["2008",10,21]]}}}],"schema":"https://github.com/citation-style-language/schema/raw/master/csl-citation.json"} </w:instrText>
      </w:r>
      <w:r w:rsidRPr="00C6674F">
        <w:fldChar w:fldCharType="separate"/>
      </w:r>
      <w:r w:rsidRPr="00C6674F">
        <w:rPr>
          <w:szCs w:val="24"/>
          <w:vertAlign w:val="superscript"/>
        </w:rPr>
        <w:t>1,2</w:t>
      </w:r>
      <w:r w:rsidRPr="00C6674F">
        <w:fldChar w:fldCharType="end"/>
      </w:r>
      <w:r w:rsidRPr="00C6674F">
        <w:t xml:space="preserve"> are chosen for the deconvolution purpose. For the “Fit Control” parameters, the Gaussian method is applied, with the fixed base, while other parameters are adjusted to fit the data. Here we used 200 iterations and tolerance of 1E</w:t>
      </w:r>
      <w:r w:rsidR="00D67DBB" w:rsidRPr="00C6674F">
        <w:rPr>
          <w:vertAlign w:val="superscript"/>
        </w:rPr>
        <w:t>−6</w:t>
      </w:r>
      <w:r w:rsidRPr="00C6674F">
        <w:t xml:space="preserve"> for variations for the residual error.</w:t>
      </w:r>
    </w:p>
    <w:p w14:paraId="4AA691D3" w14:textId="5FB3BF18" w:rsidR="00562240" w:rsidRPr="00C6674F" w:rsidRDefault="000002D4" w:rsidP="00D67DBB">
      <w:pPr>
        <w:pStyle w:val="MDPI22heading2"/>
        <w:spacing w:before="240"/>
        <w:rPr>
          <w:noProof w:val="0"/>
        </w:rPr>
      </w:pPr>
      <w:r w:rsidRPr="00C6674F">
        <w:rPr>
          <w:noProof w:val="0"/>
        </w:rPr>
        <w:t>S</w:t>
      </w:r>
      <w:r w:rsidR="00A25069" w:rsidRPr="00C6674F">
        <w:rPr>
          <w:noProof w:val="0"/>
        </w:rPr>
        <w:t xml:space="preserve">1.3. </w:t>
      </w:r>
      <w:r w:rsidR="00562240" w:rsidRPr="00C6674F">
        <w:rPr>
          <w:noProof w:val="0"/>
        </w:rPr>
        <w:t>Spin-coating parameters condition</w:t>
      </w:r>
    </w:p>
    <w:p w14:paraId="733520B1" w14:textId="77777777" w:rsidR="00562240" w:rsidRPr="00C6674F" w:rsidRDefault="00562240" w:rsidP="00D67DBB">
      <w:pPr>
        <w:pStyle w:val="MDPI31text"/>
        <w:rPr>
          <w:b/>
          <w:bCs/>
        </w:rPr>
      </w:pPr>
      <w:r w:rsidRPr="00C6674F">
        <w:t>To spin coat a thin film, the substrates were placed on the chuck of a spin coater (Laurell H6-8, Laurell Technologies Corporation) and the conditions were set accordingly. The setting parameters for the spin coater are given in Table S1.</w:t>
      </w:r>
    </w:p>
    <w:p w14:paraId="58342CB9" w14:textId="5AE04291" w:rsidR="00562240" w:rsidRPr="00C6674F" w:rsidRDefault="00A25069" w:rsidP="00D67DBB">
      <w:pPr>
        <w:pStyle w:val="MDPI41tablecaption"/>
      </w:pPr>
      <w:r w:rsidRPr="00C6674F">
        <w:rPr>
          <w:b/>
          <w:bCs/>
        </w:rPr>
        <w:lastRenderedPageBreak/>
        <w:t xml:space="preserve">Table S1. </w:t>
      </w:r>
      <w:r w:rsidR="00562240" w:rsidRPr="00C6674F">
        <w:t>Conditions for the spin-coating method.</w:t>
      </w:r>
    </w:p>
    <w:tbl>
      <w:tblPr>
        <w:tblW w:w="7857" w:type="dxa"/>
        <w:tblInd w:w="2608" w:type="dxa"/>
        <w:tblLayout w:type="fixed"/>
        <w:tblCellMar>
          <w:left w:w="0" w:type="dxa"/>
          <w:right w:w="0" w:type="dxa"/>
        </w:tblCellMar>
        <w:tblLook w:val="04A0" w:firstRow="1" w:lastRow="0" w:firstColumn="1" w:lastColumn="0" w:noHBand="0" w:noVBand="1"/>
      </w:tblPr>
      <w:tblGrid>
        <w:gridCol w:w="1012"/>
        <w:gridCol w:w="1617"/>
        <w:gridCol w:w="2223"/>
        <w:gridCol w:w="3005"/>
      </w:tblGrid>
      <w:tr w:rsidR="00E02BFC" w:rsidRPr="00C6674F" w14:paraId="4501B667" w14:textId="77777777" w:rsidTr="00E02BFC">
        <w:tc>
          <w:tcPr>
            <w:tcW w:w="709" w:type="dxa"/>
            <w:tcBorders>
              <w:top w:val="single" w:sz="8" w:space="0" w:color="auto"/>
              <w:bottom w:val="single" w:sz="4" w:space="0" w:color="auto"/>
            </w:tcBorders>
            <w:shd w:val="clear" w:color="auto" w:fill="auto"/>
            <w:vAlign w:val="center"/>
          </w:tcPr>
          <w:p w14:paraId="64A489F3"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Step</w:t>
            </w:r>
          </w:p>
        </w:tc>
        <w:tc>
          <w:tcPr>
            <w:tcW w:w="1134" w:type="dxa"/>
            <w:tcBorders>
              <w:top w:val="single" w:sz="8" w:space="0" w:color="auto"/>
              <w:bottom w:val="single" w:sz="4" w:space="0" w:color="auto"/>
            </w:tcBorders>
            <w:shd w:val="clear" w:color="auto" w:fill="auto"/>
            <w:vAlign w:val="center"/>
          </w:tcPr>
          <w:p w14:paraId="174D19D4"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Time (s)</w:t>
            </w:r>
          </w:p>
        </w:tc>
        <w:tc>
          <w:tcPr>
            <w:tcW w:w="1559" w:type="dxa"/>
            <w:tcBorders>
              <w:top w:val="single" w:sz="8" w:space="0" w:color="auto"/>
              <w:bottom w:val="single" w:sz="4" w:space="0" w:color="auto"/>
            </w:tcBorders>
            <w:shd w:val="clear" w:color="auto" w:fill="auto"/>
            <w:vAlign w:val="center"/>
          </w:tcPr>
          <w:p w14:paraId="03E498BC"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Speed (rpm)</w:t>
            </w:r>
          </w:p>
        </w:tc>
        <w:tc>
          <w:tcPr>
            <w:tcW w:w="2107" w:type="dxa"/>
            <w:tcBorders>
              <w:top w:val="single" w:sz="8" w:space="0" w:color="auto"/>
              <w:bottom w:val="single" w:sz="4" w:space="0" w:color="auto"/>
            </w:tcBorders>
            <w:shd w:val="clear" w:color="auto" w:fill="auto"/>
            <w:vAlign w:val="center"/>
          </w:tcPr>
          <w:p w14:paraId="73C4190B"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Acceleration (rpm)</w:t>
            </w:r>
          </w:p>
        </w:tc>
      </w:tr>
      <w:tr w:rsidR="00E02BFC" w:rsidRPr="00C6674F" w14:paraId="7EB6A85B" w14:textId="77777777" w:rsidTr="00E02BFC">
        <w:tc>
          <w:tcPr>
            <w:tcW w:w="709" w:type="dxa"/>
            <w:tcBorders>
              <w:top w:val="single" w:sz="4" w:space="0" w:color="auto"/>
            </w:tcBorders>
            <w:shd w:val="clear" w:color="auto" w:fill="auto"/>
            <w:vAlign w:val="center"/>
          </w:tcPr>
          <w:p w14:paraId="6DBF6D8C"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w:t>
            </w:r>
          </w:p>
        </w:tc>
        <w:tc>
          <w:tcPr>
            <w:tcW w:w="1134" w:type="dxa"/>
            <w:tcBorders>
              <w:top w:val="single" w:sz="4" w:space="0" w:color="auto"/>
            </w:tcBorders>
            <w:shd w:val="clear" w:color="auto" w:fill="auto"/>
            <w:vAlign w:val="center"/>
          </w:tcPr>
          <w:p w14:paraId="63DA95C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w:t>
            </w:r>
          </w:p>
        </w:tc>
        <w:tc>
          <w:tcPr>
            <w:tcW w:w="1559" w:type="dxa"/>
            <w:tcBorders>
              <w:top w:val="single" w:sz="4" w:space="0" w:color="auto"/>
            </w:tcBorders>
            <w:shd w:val="clear" w:color="auto" w:fill="auto"/>
            <w:vAlign w:val="center"/>
          </w:tcPr>
          <w:p w14:paraId="53B118A9"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1000</w:t>
            </w:r>
          </w:p>
        </w:tc>
        <w:tc>
          <w:tcPr>
            <w:tcW w:w="2107" w:type="dxa"/>
            <w:vMerge w:val="restart"/>
            <w:tcBorders>
              <w:top w:val="single" w:sz="4" w:space="0" w:color="auto"/>
            </w:tcBorders>
            <w:shd w:val="clear" w:color="auto" w:fill="auto"/>
            <w:vAlign w:val="center"/>
          </w:tcPr>
          <w:p w14:paraId="4C0BE0AA"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1000</w:t>
            </w:r>
          </w:p>
        </w:tc>
      </w:tr>
      <w:tr w:rsidR="00E02BFC" w:rsidRPr="00C6674F" w14:paraId="577761AF" w14:textId="77777777" w:rsidTr="00E02BFC">
        <w:tc>
          <w:tcPr>
            <w:tcW w:w="709" w:type="dxa"/>
            <w:shd w:val="clear" w:color="auto" w:fill="auto"/>
            <w:vAlign w:val="center"/>
          </w:tcPr>
          <w:p w14:paraId="406599A7"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w:t>
            </w:r>
          </w:p>
        </w:tc>
        <w:tc>
          <w:tcPr>
            <w:tcW w:w="1134" w:type="dxa"/>
            <w:shd w:val="clear" w:color="auto" w:fill="auto"/>
            <w:vAlign w:val="center"/>
          </w:tcPr>
          <w:p w14:paraId="14C4796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37</w:t>
            </w:r>
          </w:p>
        </w:tc>
        <w:tc>
          <w:tcPr>
            <w:tcW w:w="1559" w:type="dxa"/>
            <w:shd w:val="clear" w:color="auto" w:fill="auto"/>
            <w:vAlign w:val="center"/>
          </w:tcPr>
          <w:p w14:paraId="5072472C"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2500</w:t>
            </w:r>
          </w:p>
        </w:tc>
        <w:tc>
          <w:tcPr>
            <w:tcW w:w="2107" w:type="dxa"/>
            <w:vMerge/>
            <w:shd w:val="clear" w:color="auto" w:fill="auto"/>
            <w:vAlign w:val="center"/>
          </w:tcPr>
          <w:p w14:paraId="4B214C42" w14:textId="77777777" w:rsidR="00562240" w:rsidRPr="00C6674F" w:rsidRDefault="00562240" w:rsidP="00D67DBB">
            <w:pPr>
              <w:adjustRightInd w:val="0"/>
              <w:snapToGrid w:val="0"/>
              <w:spacing w:line="240" w:lineRule="auto"/>
              <w:jc w:val="center"/>
              <w:rPr>
                <w:rFonts w:ascii="Times New Roman" w:hAnsi="Times New Roman"/>
                <w:noProof w:val="0"/>
              </w:rPr>
            </w:pPr>
          </w:p>
        </w:tc>
      </w:tr>
      <w:tr w:rsidR="00E02BFC" w:rsidRPr="00C6674F" w14:paraId="4BD1E89D" w14:textId="77777777" w:rsidTr="00E02BFC">
        <w:tc>
          <w:tcPr>
            <w:tcW w:w="709" w:type="dxa"/>
            <w:tcBorders>
              <w:bottom w:val="single" w:sz="8" w:space="0" w:color="auto"/>
            </w:tcBorders>
            <w:shd w:val="clear" w:color="auto" w:fill="auto"/>
            <w:vAlign w:val="center"/>
          </w:tcPr>
          <w:p w14:paraId="19EB4B0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3</w:t>
            </w:r>
          </w:p>
        </w:tc>
        <w:tc>
          <w:tcPr>
            <w:tcW w:w="1134" w:type="dxa"/>
            <w:tcBorders>
              <w:bottom w:val="single" w:sz="8" w:space="0" w:color="auto"/>
            </w:tcBorders>
            <w:shd w:val="clear" w:color="auto" w:fill="auto"/>
            <w:vAlign w:val="center"/>
          </w:tcPr>
          <w:p w14:paraId="72A9CD7D"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59.1</w:t>
            </w:r>
          </w:p>
        </w:tc>
        <w:tc>
          <w:tcPr>
            <w:tcW w:w="1559" w:type="dxa"/>
            <w:tcBorders>
              <w:bottom w:val="single" w:sz="8" w:space="0" w:color="auto"/>
            </w:tcBorders>
            <w:shd w:val="clear" w:color="auto" w:fill="auto"/>
            <w:vAlign w:val="center"/>
          </w:tcPr>
          <w:p w14:paraId="773D29F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2000</w:t>
            </w:r>
          </w:p>
        </w:tc>
        <w:tc>
          <w:tcPr>
            <w:tcW w:w="2107" w:type="dxa"/>
            <w:vMerge/>
            <w:tcBorders>
              <w:bottom w:val="single" w:sz="8" w:space="0" w:color="auto"/>
            </w:tcBorders>
            <w:shd w:val="clear" w:color="auto" w:fill="auto"/>
            <w:vAlign w:val="center"/>
          </w:tcPr>
          <w:p w14:paraId="00800F27" w14:textId="77777777" w:rsidR="00562240" w:rsidRPr="00C6674F" w:rsidRDefault="00562240" w:rsidP="00D67DBB">
            <w:pPr>
              <w:adjustRightInd w:val="0"/>
              <w:snapToGrid w:val="0"/>
              <w:spacing w:line="240" w:lineRule="auto"/>
              <w:jc w:val="center"/>
              <w:rPr>
                <w:rFonts w:ascii="Times New Roman" w:hAnsi="Times New Roman"/>
                <w:noProof w:val="0"/>
              </w:rPr>
            </w:pPr>
          </w:p>
        </w:tc>
      </w:tr>
    </w:tbl>
    <w:p w14:paraId="77F2BD08" w14:textId="1B74E568" w:rsidR="00562240" w:rsidRPr="00C6674F" w:rsidRDefault="00562240" w:rsidP="00D67DBB">
      <w:pPr>
        <w:pStyle w:val="MDPI21heading1"/>
      </w:pPr>
      <w:r w:rsidRPr="00C6674F">
        <w:rPr>
          <w:bCs/>
        </w:rPr>
        <w:t xml:space="preserve">Section </w:t>
      </w:r>
      <w:r w:rsidR="000002D4" w:rsidRPr="00C6674F">
        <w:rPr>
          <w:bCs/>
        </w:rPr>
        <w:t>S</w:t>
      </w:r>
      <w:r w:rsidRPr="00C6674F">
        <w:rPr>
          <w:bCs/>
        </w:rPr>
        <w:t>2</w:t>
      </w:r>
      <w:r w:rsidRPr="00C6674F">
        <w:t>. Carbon Capture Absorption Experiment</w:t>
      </w:r>
    </w:p>
    <w:p w14:paraId="364ACD6C" w14:textId="77777777" w:rsidR="00562240" w:rsidRPr="00C6674F" w:rsidRDefault="00562240" w:rsidP="00D67DBB">
      <w:pPr>
        <w:pStyle w:val="MDPI31text"/>
      </w:pPr>
      <w:r w:rsidRPr="00C6674F">
        <w:t>To measure CO</w:t>
      </w:r>
      <w:r w:rsidRPr="00C6674F">
        <w:rPr>
          <w:vertAlign w:val="subscript"/>
        </w:rPr>
        <w:t>2</w:t>
      </w:r>
      <w:r w:rsidRPr="00C6674F">
        <w:t xml:space="preserve"> absorption, we used both dynamic and static methods. The dynamic method was adopted from a previous report,</w:t>
      </w:r>
      <w:r w:rsidRPr="00C6674F">
        <w:fldChar w:fldCharType="begin"/>
      </w:r>
      <w:r w:rsidRPr="00C6674F">
        <w:instrText xml:space="preserve"> ADDIN ZOTERO_ITEM CSL_CITATION {"citationID":"Vt3fYZsx","properties":{"formattedCitation":"\\super 3\\nosupersub{}","plainCitation":"3","noteIndex":0},"citationItems":[{"id":153,"uris":["http://zotero.org/groups/4545406/items/L62LIYSS"],"itemData":{"id":153,"type":"article-journal","abstract":"The solubility of carbon dioxide in a series of imidazolium-based room-temperature ionic liquids has been determined using a quartz crystal microbalance. Henry's constants were obtained for CO2 in nine different ionic liquids:  1-methyl-3-propylimidazolium bis[trifluoromethylsulfonyl]amide (C3mimTf2N), 1-n-butyl-3-methylimidazolium bis[trifluoromethylsulfonyl]amide (C4mimTf2N), C4mimTf2N with polyethylenimine, 1-n-hexyl-3-methylimidazolium bis[trifluoromethylsulfonyl]amide (C6mimTf2N), 1-methyl-3-n-octylimidazolium bis[trifluoromethylsulfonyl]amide (C8mimTf2N), 1-methyl-3-(3,3,4,4,5,5,6,6,7,7,8,8,8-tridecafluorooctyl)imidazolium bis[trifluoromethylsulfonyl]amide (C8F13mimTf2N), 1,4-dibutyl-3-phenylimidazolium bis[trifluoromethylsulfonyl]amide, 1-butyl-3-phenylimidazolium bis[trifluoromethylsulfonyl]amide, and 1-methyl-3-propylimidazolium hexafluorophosphate (C3mimPF6). All results were obtained at 25 °C with CO2 pressures at or less than 1 bar. A comparison of results helps in understanding the role of chemical structure on the separation capabilities of these materials. Notable among the results is a significantly greater measured CO2 solubility in the ionic liquid having the fluorine-substituted cation as compared to the corresponding ionic liquid with a nonfluorinated cation. CO2 solubility was found to be lower in the ionic liquid containing PF6- than for the corresponding liquid with Tf2N- anion. Addition of an imine polymer to the ionic liquid did not significantly change CO2 solubility characteristics. The presence of water had a minor effect on CO2 solubility for C8mimTf2N for environments with a relative humidity of 40% or less. Henry's constant for CO2 in C3mimPF6 obtained in this study is in good agreement with previously reported Henry's constant values for CO2 in C4mimPF6 that were obtained by other means. This study not only provides some important thermodynamic property information for these unique materials but also illustrates the utility of using a quartz crystal microbalance to obtain this information.","container-title":"The Journal of Physical Chemistry B","DOI":"10.1021/jp036051a","ISSN":"1520-6106","issue":"2","journalAbbreviation":"J. Phys. Chem. B","note":"publisher: American Chemical Society","page":"721-727","source":"ACS Publications","title":"Low-Pressure Solubility of Carbon Dioxide in Room-Temperature Ionic Liquids Measured with a Quartz Crystal Microbalance","volume":"108","author":[{"family":"Baltus","given":"Ruth E."},{"family":"Culbertson","given":"Benjamin H."},{"family":"Dai","given":"Sheng"},{"family":"Luo","given":"Huimin"},{"family":"DePaoli","given":"David W."}],"issued":{"date-parts":[["2004",1,1]]}}}],"schema":"https://github.com/citation-style-language/schema/raw/master/csl-citation.json"} </w:instrText>
      </w:r>
      <w:r w:rsidRPr="00C6674F">
        <w:fldChar w:fldCharType="separate"/>
      </w:r>
      <w:r w:rsidRPr="00C6674F">
        <w:rPr>
          <w:szCs w:val="24"/>
          <w:vertAlign w:val="superscript"/>
        </w:rPr>
        <w:t>3</w:t>
      </w:r>
      <w:r w:rsidRPr="00C6674F">
        <w:fldChar w:fldCharType="end"/>
      </w:r>
      <w:r w:rsidRPr="00C6674F">
        <w:t xml:space="preserve"> where a high-pressure chamber equipped with a quartz crystal microbalance (QCM) was used to measure gas sorption within the film through the gravimetric measurement. The static method is a variation of pressure drop approach.</w:t>
      </w:r>
      <w:r w:rsidRPr="00C6674F">
        <w:fldChar w:fldCharType="begin"/>
      </w:r>
      <w:r w:rsidRPr="00C6674F">
        <w:instrText xml:space="preserve"> ADDIN ZOTERO_ITEM CSL_CITATION {"citationID":"Nbqty1Dk","properties":{"formattedCitation":"\\super 4,5\\nosupersub{}","plainCitation":"4,5","noteIndex":0},"citationItems":[{"id":360,"uris":["http://zotero.org/groups/4545406/items/BPBIMEJG"],"itemData":{"id":360,"type":"article-journal","abstract":"This work presents the solubility of nine different gases in 1-n-butyl-3-methylimidazolium hexafluorophosphate. The gases considered include carbon dioxide, ethylene, ethane, methane, argon, oxygen, carbon monoxide, hydrogen, and nitrogen. We also report the associated Henry's constants and enthalpies and entropies of absorption. We found carbon dioxide to have the highest solubility and strongest interactions with the ionic liquid, followed by ethylene and ethane. Argon and oxygen had very low solubilities and immeasurably weak interactions. Carbon monoxide, hydrogen, and nitrogen all had solubilities below the detection limit of our apparatus. Our results suggest that the mass transfer of gases into ionic liquids likely will be an important issue for reactions involving these gases. We also determined that ionic liquids show good potential for use as a gas-separation medium.","container-title":"The Journal of Physical Chemistry B","DOI":"10.1021/jp020631a","ISSN":"1520-6106","issue":"29","journalAbbreviation":"J. Phys. Chem. B","note":"publisher: American Chemical Society","page":"7315-7320","source":"ACS Publications","title":"Solubilities and Thermodynamic Properties of Gases in the Ionic Liquid 1-n-Butyl-3-methylimidazolium Hexafluorophosphate","volume":"106","author":[{"family":"Anthony","given":"Jennifer L."},{"family":"Maginn","given":"Edward J."},{"family":"Brennecke","given":"Joan F."}],"issued":{"date-parts":[["2002",7,1]]}}},{"id":382,"uris":["http://zotero.org/groups/4545406/items/Z9WR2U7C"],"itemData":{"id":382,"type":"article-journal","abstract":"In this Perspective, we provide a detailed discussion of the techniques and methods used for determining the solubility of gases in ionic liquids (ILs). This includes various experimental measurement techniques, equation of state (EOS) modeling, and predictive molecular-based modeling. Many of the key papers from the past 15 years are discussed and put into the context of the latest advances in the field. Limitations of these methods plus future developments and new research opportunities are discussed. © 2017 American Institute of Chemical Engineers AIChE J, 2017","container-title":"AIChE Journal","DOI":"10.1002/aic.15957","ISSN":"1547-5905","issue":"11","language":"en","note":"_eprint: https://onlinelibrary.wiley.com/doi/pdf/10.1002/aic.15957","page":"4722-4737","source":"Wiley Online Library","title":"The solubility of gases in ionic liquids","volume":"63","author":[{"family":"Shiflett","given":"Mark B."},{"family":"Maginn","given":"Edward J."}],"issued":{"date-parts":[["2017"]]}}}],"schema":"https://github.com/citation-style-language/schema/raw/master/csl-citation.json"} </w:instrText>
      </w:r>
      <w:r w:rsidRPr="00C6674F">
        <w:fldChar w:fldCharType="separate"/>
      </w:r>
      <w:r w:rsidRPr="00C6674F">
        <w:rPr>
          <w:szCs w:val="24"/>
          <w:vertAlign w:val="superscript"/>
        </w:rPr>
        <w:t>4,5</w:t>
      </w:r>
      <w:r w:rsidRPr="00C6674F">
        <w:fldChar w:fldCharType="end"/>
      </w:r>
      <w:r w:rsidRPr="00C6674F">
        <w:t xml:space="preserve"> Because obtaining reliable data for IL, via dynamic approach, was challenging, we only relied on the result from the static method and compared the results against the reported data in the literature.</w:t>
      </w:r>
      <w:r w:rsidRPr="00C6674F">
        <w:fldChar w:fldCharType="begin"/>
      </w:r>
      <w:r w:rsidRPr="00C6674F">
        <w:instrText xml:space="preserve"> ADDIN ZOTERO_ITEM CSL_CITATION {"citationID":"Ec1Qr0lp","properties":{"formattedCitation":"\\super 6\\nosupersub{}","plainCitation":"6","noteIndex":0},"citationItems":[{"id":367,"uris":["http://zotero.org/groups/4545406/items/LJ46GM4C"],"itemData":{"id":367,"type":"article-journal","abstract":"Experimental and molecular modeling studies are conducted to investigate the underlying mechanisms for the high solubility of CO2 in imidazolium-based ionic liquids. CO2 absorption isotherms at 10, 25, and 50 °C are reported for six different ionic liquids formed by pairing three different anions with two cations that differ only in the nature of the “acidic” site at the 2-position on the imidazolium ring. Molecular dynamics simulations of these two cations paired with hexafluorophosphate in the pure state and mixed with CO2 are also described. Both the experimental and the simulation results indicate that the anion has the greatest impact on the solubility of CO2. Experimentally, it is found that the bis(trifluoromethylsulfonyl)imide anion has the greatest affinity for CO2, while there is little difference in CO2 solubility between ionic liquids having the tetrafluoroborate or hexafluorophosphate anion. The simulations show strong organization of CO2 about hexafluorophosphate anions, but only small differences in CO2 structure about the different cations. This is consistent with the experimental finding that, for a given anion, there are only small differences in CO2 solubility for the two cations. Computed and measured densities, partial molar volumes, and thermal expansion coefficients are also reported.","container-title":"Journal of the American Chemical Society","DOI":"10.1021/ja039615x","ISSN":"0002-7863","issue":"16","journalAbbreviation":"J. Am. Chem. Soc.","note":"publisher: American Chemical Society","page":"5300-5308","source":"ACS Publications","title":"Why Is CO2 So Soluble in Imidazolium-Based Ionic Liquids?","volume":"126","author":[{"family":"Cadena","given":"Cesar"},{"family":"Anthony","given":"Jennifer L."},{"family":"Shah","given":"Jindal K."},{"family":"Morrow","given":"Timothy I."},{"family":"Brennecke","given":"Joan F."},{"family":"Maginn","given":"Edward J."}],"issued":{"date-parts":[["2004",4,28]]}}}],"schema":"https://github.com/citation-style-language/schema/raw/master/csl-citation.json"} </w:instrText>
      </w:r>
      <w:r w:rsidRPr="00C6674F">
        <w:fldChar w:fldCharType="separate"/>
      </w:r>
      <w:r w:rsidRPr="00C6674F">
        <w:rPr>
          <w:szCs w:val="24"/>
          <w:vertAlign w:val="superscript"/>
        </w:rPr>
        <w:t>6</w:t>
      </w:r>
      <w:r w:rsidRPr="00C6674F">
        <w:fldChar w:fldCharType="end"/>
      </w:r>
      <w:r w:rsidRPr="00C6674F">
        <w:t xml:space="preserve"> These data are shown in Table S2.</w:t>
      </w:r>
    </w:p>
    <w:p w14:paraId="6EB78944" w14:textId="52573DA6" w:rsidR="00562240" w:rsidRPr="00C6674F" w:rsidRDefault="000002D4" w:rsidP="00D67DBB">
      <w:pPr>
        <w:pStyle w:val="MDPI22heading2"/>
        <w:spacing w:before="240"/>
        <w:rPr>
          <w:noProof w:val="0"/>
        </w:rPr>
      </w:pPr>
      <w:bookmarkStart w:id="4" w:name="_Toc91710539"/>
      <w:r w:rsidRPr="00C6674F">
        <w:rPr>
          <w:noProof w:val="0"/>
        </w:rPr>
        <w:t>S</w:t>
      </w:r>
      <w:r w:rsidR="00A25069" w:rsidRPr="00C6674F">
        <w:rPr>
          <w:noProof w:val="0"/>
        </w:rPr>
        <w:t xml:space="preserve">2.1. </w:t>
      </w:r>
      <w:r w:rsidR="00562240" w:rsidRPr="00C6674F">
        <w:rPr>
          <w:noProof w:val="0"/>
        </w:rPr>
        <w:t>Dynamic Method</w:t>
      </w:r>
      <w:bookmarkEnd w:id="4"/>
    </w:p>
    <w:p w14:paraId="1219D829" w14:textId="0C38629B" w:rsidR="00562240" w:rsidRPr="00C6674F" w:rsidRDefault="000002D4" w:rsidP="00D67DBB">
      <w:pPr>
        <w:pStyle w:val="MDPI23heading3"/>
      </w:pPr>
      <w:r w:rsidRPr="00C6674F">
        <w:t>S</w:t>
      </w:r>
      <w:r w:rsidR="00A25069" w:rsidRPr="00C6674F">
        <w:t xml:space="preserve">2.1.1. </w:t>
      </w:r>
      <w:r w:rsidR="00562240" w:rsidRPr="00C6674F">
        <w:t>Experimental Apparatus</w:t>
      </w:r>
    </w:p>
    <w:p w14:paraId="04866A73" w14:textId="77777777" w:rsidR="00562240" w:rsidRPr="00C6674F" w:rsidRDefault="00562240" w:rsidP="00D67DBB">
      <w:pPr>
        <w:pStyle w:val="MDPI31text"/>
      </w:pPr>
      <w:r w:rsidRPr="00C6674F">
        <w:t>Figure S2 illustrates a schematic representation of the experimental apparatus used measuring CO</w:t>
      </w:r>
      <w:r w:rsidRPr="00C6674F">
        <w:rPr>
          <w:vertAlign w:val="subscript"/>
        </w:rPr>
        <w:t>2</w:t>
      </w:r>
      <w:r w:rsidRPr="00C6674F">
        <w:t xml:space="preserve"> sorption. As shown in Figure S2, a QCM flange is connected to a 4-way Standard Cross purchased, serving as a pressure chamber, and isolated from the gas tank by a pressure regulator (Equilibar Inc., EPR 500). A pressure readout (MKS Baratron Pressure Transducer, 870B-24539), attached to the cross, is used to read the overhead pressure of the QCM module. The chamber is evacuated using a rotary vane pump (Edwards RV5 One-Stage), and in inline valve was used for isolation during sorption measurement. The pressure readout data is transferred in real-time to a desktop via a microcontroller (Arduino Uno Rev 3), and the data is logged into LabVIEW. To record the frequency and temperature of the QCM, the flange is connected to the Eon-LT sensor (not shown in Figure S2), and data are logged. To maintain the temperature of QCM at its set point, a recirculating chiller (PolyScience, AD15R-30-A11B) is used.</w:t>
      </w:r>
    </w:p>
    <w:p w14:paraId="33AE712E" w14:textId="77777777" w:rsidR="00562240" w:rsidRPr="00C6674F" w:rsidRDefault="00562240" w:rsidP="00D67DBB">
      <w:pPr>
        <w:pStyle w:val="MDPI52figure"/>
        <w:ind w:left="2608"/>
        <w:jc w:val="left"/>
      </w:pPr>
      <w:r w:rsidRPr="00C6674F">
        <w:rPr>
          <w:noProof/>
        </w:rPr>
        <w:drawing>
          <wp:inline distT="0" distB="0" distL="0" distR="0" wp14:anchorId="08422D06" wp14:editId="6DC60636">
            <wp:extent cx="2937753" cy="2201431"/>
            <wp:effectExtent l="0" t="0" r="0" b="8890"/>
            <wp:docPr id="6" name="Picture 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55374" cy="2214635"/>
                    </a:xfrm>
                    <a:prstGeom prst="rect">
                      <a:avLst/>
                    </a:prstGeom>
                  </pic:spPr>
                </pic:pic>
              </a:graphicData>
            </a:graphic>
          </wp:inline>
        </w:drawing>
      </w:r>
    </w:p>
    <w:p w14:paraId="4638BC6A" w14:textId="0F225AF5" w:rsidR="00562240" w:rsidRPr="00C6674F" w:rsidRDefault="00A25069" w:rsidP="00D67DBB">
      <w:pPr>
        <w:pStyle w:val="MDPI51figurecaption"/>
        <w:jc w:val="both"/>
      </w:pPr>
      <w:r w:rsidRPr="00C6674F">
        <w:rPr>
          <w:b/>
          <w:bCs/>
        </w:rPr>
        <w:t xml:space="preserve">Figure S2. </w:t>
      </w:r>
      <w:r w:rsidR="00562240" w:rsidRPr="00C6674F">
        <w:t>A schematic of an experimental apparatus for the dynamic method. The QCM flange shown in this figure only displays for the representative. Please refer to an experimental apparatus for an accurate dimension.</w:t>
      </w:r>
    </w:p>
    <w:p w14:paraId="09A10C06" w14:textId="3EF25E2A" w:rsidR="00562240" w:rsidRPr="00C6674F" w:rsidRDefault="000002D4" w:rsidP="00D67DBB">
      <w:pPr>
        <w:pStyle w:val="MDPI23heading3"/>
        <w:spacing w:before="240"/>
      </w:pPr>
      <w:r w:rsidRPr="00C6674F">
        <w:t>S</w:t>
      </w:r>
      <w:r w:rsidR="00A25069" w:rsidRPr="00C6674F">
        <w:t xml:space="preserve">2.1.2. </w:t>
      </w:r>
      <w:r w:rsidR="00562240" w:rsidRPr="00C6674F">
        <w:t>Experimental Analysis</w:t>
      </w:r>
    </w:p>
    <w:p w14:paraId="0256E9AC" w14:textId="35211B88" w:rsidR="00562240" w:rsidRPr="00C6674F" w:rsidRDefault="00562240" w:rsidP="00D67DBB">
      <w:pPr>
        <w:pStyle w:val="MDPI31text"/>
      </w:pPr>
      <w:r w:rsidRPr="00C6674F">
        <w:t>To estimate the adsorbed mass of CO</w:t>
      </w:r>
      <w:r w:rsidRPr="00C6674F">
        <w:rPr>
          <w:vertAlign w:val="subscript"/>
        </w:rPr>
        <w:t>2</w:t>
      </w:r>
      <w:r w:rsidR="00D67DBB" w:rsidRPr="00C6674F">
        <w:t xml:space="preserve"> </w:t>
      </w:r>
      <w:r w:rsidRPr="00C6674F">
        <w:t>within thin films Equation 1 was used.</w:t>
      </w:r>
    </w:p>
    <w:p w14:paraId="5B4F1465" w14:textId="77777777" w:rsidR="00562240" w:rsidRPr="00C6674F" w:rsidRDefault="00562240" w:rsidP="00D67DBB">
      <w:pPr>
        <w:adjustRightInd w:val="0"/>
        <w:snapToGrid w:val="0"/>
        <w:rPr>
          <w:rFonts w:ascii="Times New Roman" w:hAnsi="Times New Roman"/>
          <w:noProof w:val="0"/>
        </w:rPr>
      </w:pPr>
    </w:p>
    <w:p w14:paraId="03CE4748" w14:textId="38E5A705" w:rsidR="00562240" w:rsidRPr="00C6674F" w:rsidRDefault="00562240" w:rsidP="00D67DBB">
      <w:pPr>
        <w:pStyle w:val="MDPI31text"/>
      </w:pPr>
      <w:r w:rsidRPr="00C6674F">
        <w:rPr>
          <w:rFonts w:eastAsia="Calibri"/>
        </w:rPr>
        <w:t>m</w:t>
      </w:r>
      <w:r w:rsidRPr="00C6674F">
        <w:rPr>
          <w:rFonts w:eastAsia="Calibri"/>
          <w:vertAlign w:val="subscript"/>
        </w:rPr>
        <w:t>CO2</w:t>
      </w:r>
      <w:r w:rsidR="00D67DBB" w:rsidRPr="00C6674F">
        <w:rPr>
          <w:rFonts w:eastAsia="Calibri"/>
          <w:vertAlign w:val="subscript"/>
        </w:rPr>
        <w:t xml:space="preserve"> </w:t>
      </w:r>
      <w:r w:rsidRPr="00C6674F">
        <w:rPr>
          <w:rFonts w:eastAsia="Calibri"/>
        </w:rPr>
        <w:t>/ m</w:t>
      </w:r>
      <w:r w:rsidRPr="00C6674F">
        <w:rPr>
          <w:rFonts w:eastAsia="Calibri"/>
          <w:vertAlign w:val="subscript"/>
        </w:rPr>
        <w:t>film</w:t>
      </w:r>
      <w:r w:rsidRPr="00C6674F">
        <w:rPr>
          <w:rFonts w:eastAsia="Calibri"/>
        </w:rPr>
        <w:t xml:space="preserve"> = [(</w:t>
      </w:r>
      <w:r w:rsidRPr="00C6674F">
        <w:t>ƒ</w:t>
      </w:r>
      <w:r w:rsidRPr="00C6674F">
        <w:rPr>
          <w:vertAlign w:val="subscript"/>
        </w:rPr>
        <w:t>film,Pi</w:t>
      </w:r>
      <w:r w:rsidRPr="00C6674F">
        <w:t xml:space="preserve"> - ƒ</w:t>
      </w:r>
      <w:r w:rsidRPr="00C6674F">
        <w:rPr>
          <w:vertAlign w:val="subscript"/>
        </w:rPr>
        <w:t>film,Po</w:t>
      </w:r>
      <w:r w:rsidRPr="00C6674F">
        <w:rPr>
          <w:rFonts w:eastAsia="Calibri"/>
        </w:rPr>
        <w:t>) - (</w:t>
      </w:r>
      <w:r w:rsidRPr="00C6674F">
        <w:t>ƒ</w:t>
      </w:r>
      <w:r w:rsidRPr="00C6674F">
        <w:rPr>
          <w:vertAlign w:val="subscript"/>
        </w:rPr>
        <w:t>QC,Pi</w:t>
      </w:r>
      <w:r w:rsidR="00D67DBB" w:rsidRPr="00C6674F">
        <w:rPr>
          <w:vertAlign w:val="subscript"/>
        </w:rPr>
        <w:t xml:space="preserve"> </w:t>
      </w:r>
      <w:r w:rsidRPr="00C6674F">
        <w:t>- ƒ</w:t>
      </w:r>
      <w:r w:rsidRPr="00C6674F">
        <w:rPr>
          <w:vertAlign w:val="subscript"/>
        </w:rPr>
        <w:t>QC,Po</w:t>
      </w:r>
      <w:r w:rsidRPr="00C6674F">
        <w:rPr>
          <w:rFonts w:eastAsia="Calibri"/>
        </w:rPr>
        <w:t>)] / (</w:t>
      </w:r>
      <w:r w:rsidRPr="00C6674F">
        <w:t>ƒ</w:t>
      </w:r>
      <w:r w:rsidRPr="00C6674F">
        <w:rPr>
          <w:vertAlign w:val="subscript"/>
        </w:rPr>
        <w:t>film,Po</w:t>
      </w:r>
      <w:r w:rsidRPr="00C6674F">
        <w:t xml:space="preserve"> - ƒ</w:t>
      </w:r>
      <w:r w:rsidRPr="00C6674F">
        <w:rPr>
          <w:vertAlign w:val="subscript"/>
        </w:rPr>
        <w:t>QC,Po</w:t>
      </w:r>
      <w:r w:rsidRPr="00C6674F">
        <w:rPr>
          <w:rFonts w:eastAsia="Calibri"/>
        </w:rPr>
        <w:t>)</w:t>
      </w:r>
      <w:r w:rsidRPr="00C6674F">
        <w:rPr>
          <w:rFonts w:eastAsia="Calibri"/>
        </w:rPr>
        <w:tab/>
        <w:t>(1)</w:t>
      </w:r>
    </w:p>
    <w:p w14:paraId="1B913E72" w14:textId="77777777" w:rsidR="00562240" w:rsidRPr="00C6674F" w:rsidRDefault="00562240" w:rsidP="00D67DBB">
      <w:pPr>
        <w:shd w:val="clear" w:color="auto" w:fill="FFFFFF"/>
        <w:adjustRightInd w:val="0"/>
        <w:snapToGrid w:val="0"/>
        <w:rPr>
          <w:rFonts w:ascii="Times New Roman" w:hAnsi="Times New Roman"/>
          <w:noProof w:val="0"/>
        </w:rPr>
      </w:pPr>
    </w:p>
    <w:p w14:paraId="2E15521D" w14:textId="5D454255" w:rsidR="00562240" w:rsidRPr="00C6674F" w:rsidRDefault="00562240" w:rsidP="00D67DBB">
      <w:pPr>
        <w:pStyle w:val="MDPI31text"/>
      </w:pPr>
      <w:r w:rsidRPr="00C6674F">
        <w:t>Where</w:t>
      </w:r>
    </w:p>
    <w:p w14:paraId="02FBECF1" w14:textId="77777777" w:rsidR="00562240" w:rsidRPr="00C6674F" w:rsidRDefault="00562240" w:rsidP="00D67DBB">
      <w:pPr>
        <w:pStyle w:val="MDPI31text"/>
        <w:rPr>
          <w:rFonts w:eastAsia="Calibri"/>
        </w:rPr>
      </w:pPr>
      <w:r w:rsidRPr="00C6674F">
        <w:rPr>
          <w:rFonts w:eastAsia="Calibri"/>
          <w:i/>
          <w:iCs/>
        </w:rPr>
        <w:lastRenderedPageBreak/>
        <w:t>m</w:t>
      </w:r>
      <w:r w:rsidRPr="00C6674F">
        <w:rPr>
          <w:rFonts w:eastAsia="Calibri"/>
          <w:i/>
          <w:iCs/>
          <w:vertAlign w:val="subscript"/>
        </w:rPr>
        <w:t>CO2</w:t>
      </w:r>
      <w:r w:rsidRPr="00C6674F">
        <w:rPr>
          <w:rFonts w:eastAsia="Calibri"/>
        </w:rPr>
        <w:tab/>
      </w:r>
      <w:r w:rsidRPr="00C6674F">
        <w:t>Adsorbed mass of Carbon Dioxide (mg)</w:t>
      </w:r>
      <w:r w:rsidRPr="00C6674F">
        <w:rPr>
          <w:rFonts w:eastAsia="Calibri"/>
        </w:rPr>
        <w:tab/>
      </w:r>
    </w:p>
    <w:p w14:paraId="15BD9B31" w14:textId="450E96B6" w:rsidR="00562240" w:rsidRPr="00C6674F" w:rsidRDefault="00562240" w:rsidP="00D67DBB">
      <w:pPr>
        <w:pStyle w:val="MDPI31text"/>
      </w:pPr>
      <w:r w:rsidRPr="00C6674F">
        <w:rPr>
          <w:rFonts w:eastAsia="Calibri"/>
          <w:i/>
          <w:iCs/>
        </w:rPr>
        <w:t>m</w:t>
      </w:r>
      <w:r w:rsidRPr="00C6674F">
        <w:rPr>
          <w:rFonts w:eastAsia="Calibri"/>
          <w:i/>
          <w:iCs/>
          <w:vertAlign w:val="subscript"/>
        </w:rPr>
        <w:t>film</w:t>
      </w:r>
      <w:r w:rsidRPr="00C6674F">
        <w:rPr>
          <w:rFonts w:eastAsia="Calibri"/>
        </w:rPr>
        <w:tab/>
      </w:r>
      <w:r w:rsidRPr="00C6674F">
        <w:t>Mass of coated film (mg)</w:t>
      </w:r>
    </w:p>
    <w:p w14:paraId="25F75EC7" w14:textId="5BB8AA2B" w:rsidR="00562240" w:rsidRPr="00C6674F" w:rsidRDefault="00562240" w:rsidP="00D67DBB">
      <w:pPr>
        <w:pStyle w:val="MDPI31text"/>
        <w:rPr>
          <w:i/>
          <w:iCs/>
          <w:vertAlign w:val="subscript"/>
        </w:rPr>
      </w:pPr>
      <w:r w:rsidRPr="00C6674F">
        <w:rPr>
          <w:i/>
          <w:iCs/>
        </w:rPr>
        <w:t>ƒ</w:t>
      </w:r>
      <w:r w:rsidRPr="00C6674F">
        <w:rPr>
          <w:i/>
          <w:iCs/>
          <w:vertAlign w:val="subscript"/>
        </w:rPr>
        <w:t>film,Pi</w:t>
      </w:r>
      <w:r w:rsidRPr="00C6674F">
        <w:rPr>
          <w:i/>
          <w:iCs/>
          <w:vertAlign w:val="subscript"/>
        </w:rPr>
        <w:tab/>
      </w:r>
      <w:r w:rsidRPr="00C6674F">
        <w:t>Frequency of coated film exposed at pressure,</w:t>
      </w:r>
      <w:r w:rsidRPr="00C6674F">
        <w:rPr>
          <w:i/>
        </w:rPr>
        <w:t xml:space="preserve"> P</w:t>
      </w:r>
      <w:r w:rsidRPr="00C6674F">
        <w:rPr>
          <w:i/>
          <w:vertAlign w:val="subscript"/>
        </w:rPr>
        <w:t>i</w:t>
      </w:r>
      <w:r w:rsidR="00D67DBB" w:rsidRPr="00C6674F">
        <w:rPr>
          <w:i/>
          <w:vertAlign w:val="subscript"/>
        </w:rPr>
        <w:t xml:space="preserve"> </w:t>
      </w:r>
      <w:r w:rsidRPr="00C6674F">
        <w:t>(Hz)</w:t>
      </w:r>
      <w:r w:rsidRPr="00C6674F">
        <w:rPr>
          <w:rFonts w:eastAsia="Calibri"/>
        </w:rPr>
        <w:tab/>
      </w:r>
    </w:p>
    <w:p w14:paraId="1DFBB6B6" w14:textId="0006DF6B" w:rsidR="00562240" w:rsidRPr="00C6674F" w:rsidRDefault="00562240" w:rsidP="00D67DBB">
      <w:pPr>
        <w:pStyle w:val="MDPI31text"/>
        <w:rPr>
          <w:i/>
          <w:iCs/>
          <w:vertAlign w:val="subscript"/>
        </w:rPr>
      </w:pPr>
      <w:r w:rsidRPr="00C6674F">
        <w:rPr>
          <w:i/>
          <w:iCs/>
        </w:rPr>
        <w:t>ƒ</w:t>
      </w:r>
      <w:r w:rsidRPr="00C6674F">
        <w:rPr>
          <w:i/>
          <w:iCs/>
          <w:vertAlign w:val="subscript"/>
        </w:rPr>
        <w:t>film,Po</w:t>
      </w:r>
      <w:r w:rsidRPr="00C6674F">
        <w:rPr>
          <w:rFonts w:eastAsia="Calibri"/>
        </w:rPr>
        <w:tab/>
      </w:r>
      <w:r w:rsidRPr="00C6674F">
        <w:t>Frequency of coated film in vacuum,</w:t>
      </w:r>
      <w:r w:rsidRPr="00C6674F">
        <w:rPr>
          <w:i/>
        </w:rPr>
        <w:t xml:space="preserve"> P</w:t>
      </w:r>
      <w:r w:rsidRPr="00C6674F">
        <w:rPr>
          <w:i/>
          <w:vertAlign w:val="subscript"/>
        </w:rPr>
        <w:t>0</w:t>
      </w:r>
      <w:r w:rsidR="00D67DBB" w:rsidRPr="00C6674F">
        <w:rPr>
          <w:i/>
          <w:vertAlign w:val="subscript"/>
        </w:rPr>
        <w:t xml:space="preserve"> </w:t>
      </w:r>
      <w:r w:rsidRPr="00C6674F">
        <w:t>(Hz)</w:t>
      </w:r>
    </w:p>
    <w:p w14:paraId="5C9D235B" w14:textId="22B5CA70" w:rsidR="00562240" w:rsidRPr="00C6674F" w:rsidRDefault="00562240" w:rsidP="00D67DBB">
      <w:pPr>
        <w:pStyle w:val="MDPI31text"/>
      </w:pPr>
      <w:r w:rsidRPr="00C6674F">
        <w:rPr>
          <w:i/>
          <w:iCs/>
        </w:rPr>
        <w:t>ƒ</w:t>
      </w:r>
      <w:r w:rsidRPr="00C6674F">
        <w:rPr>
          <w:i/>
          <w:iCs/>
          <w:vertAlign w:val="subscript"/>
        </w:rPr>
        <w:t>QC,Pi</w:t>
      </w:r>
      <w:r w:rsidRPr="00C6674F">
        <w:rPr>
          <w:rFonts w:eastAsia="Calibri"/>
        </w:rPr>
        <w:tab/>
      </w:r>
      <w:r w:rsidRPr="00C6674F">
        <w:t>Frequency of bare QC exposed at pressure,</w:t>
      </w:r>
      <w:r w:rsidRPr="00C6674F">
        <w:rPr>
          <w:i/>
        </w:rPr>
        <w:t xml:space="preserve"> P</w:t>
      </w:r>
      <w:r w:rsidRPr="00C6674F">
        <w:rPr>
          <w:i/>
          <w:vertAlign w:val="subscript"/>
        </w:rPr>
        <w:t>i</w:t>
      </w:r>
      <w:r w:rsidR="00D67DBB" w:rsidRPr="00C6674F">
        <w:rPr>
          <w:i/>
          <w:vertAlign w:val="subscript"/>
        </w:rPr>
        <w:t xml:space="preserve"> </w:t>
      </w:r>
      <w:r w:rsidRPr="00C6674F">
        <w:t>(Hz)</w:t>
      </w:r>
    </w:p>
    <w:p w14:paraId="13623F97" w14:textId="3323F7DE" w:rsidR="00562240" w:rsidRPr="00C6674F" w:rsidRDefault="00562240" w:rsidP="00D67DBB">
      <w:pPr>
        <w:pStyle w:val="MDPI31text"/>
      </w:pPr>
      <w:r w:rsidRPr="00C6674F">
        <w:rPr>
          <w:i/>
          <w:iCs/>
        </w:rPr>
        <w:t>ƒ</w:t>
      </w:r>
      <w:r w:rsidRPr="00C6674F">
        <w:rPr>
          <w:i/>
          <w:iCs/>
          <w:vertAlign w:val="subscript"/>
        </w:rPr>
        <w:t>QC,Po</w:t>
      </w:r>
      <w:r w:rsidRPr="00C6674F">
        <w:rPr>
          <w:rFonts w:eastAsia="Calibri"/>
        </w:rPr>
        <w:tab/>
      </w:r>
      <w:r w:rsidRPr="00C6674F">
        <w:t>Frequency of bare QC in vacuum,</w:t>
      </w:r>
      <w:r w:rsidRPr="00C6674F">
        <w:rPr>
          <w:i/>
        </w:rPr>
        <w:t xml:space="preserve"> P</w:t>
      </w:r>
      <w:r w:rsidRPr="00C6674F">
        <w:rPr>
          <w:i/>
          <w:vertAlign w:val="subscript"/>
        </w:rPr>
        <w:t>0</w:t>
      </w:r>
      <w:r w:rsidR="00D67DBB" w:rsidRPr="00C6674F">
        <w:rPr>
          <w:i/>
          <w:vertAlign w:val="subscript"/>
        </w:rPr>
        <w:t xml:space="preserve"> </w:t>
      </w:r>
      <w:r w:rsidRPr="00C6674F">
        <w:t>(Hz)</w:t>
      </w:r>
    </w:p>
    <w:p w14:paraId="77C2A166" w14:textId="77777777" w:rsidR="00562240" w:rsidRPr="00C6674F" w:rsidRDefault="00562240" w:rsidP="00D67DBB">
      <w:pPr>
        <w:pStyle w:val="MDPI31text"/>
      </w:pPr>
      <w:r w:rsidRPr="00C6674F">
        <w:t>Figure S3 illustrates one typical pressure and frequency trajectory collected for both bare and coated QCM at three different pressure – 100, 150, and 200 PSI. Here for each experiment, we recorded the frequency and pressure traces at four different temperatures of 10, 20, 30, and 40 °C – and eight different pressures of 50, 100, 125, 150, 175, 200, 225, 250 PSI.</w:t>
      </w:r>
    </w:p>
    <w:p w14:paraId="00B6CEBA" w14:textId="77777777" w:rsidR="00562240" w:rsidRPr="00C6674F" w:rsidRDefault="00562240" w:rsidP="00997633">
      <w:pPr>
        <w:pStyle w:val="MDPI52figure"/>
        <w:ind w:left="2040"/>
      </w:pPr>
      <w:r w:rsidRPr="00C6674F">
        <w:rPr>
          <w:noProof/>
        </w:rPr>
        <w:drawing>
          <wp:inline distT="0" distB="0" distL="0" distR="0" wp14:anchorId="60E926F3" wp14:editId="4B45721C">
            <wp:extent cx="4979434" cy="1891759"/>
            <wp:effectExtent l="0" t="0" r="0" b="0"/>
            <wp:docPr id="7" name="Picture 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9923" cy="1895744"/>
                    </a:xfrm>
                    <a:prstGeom prst="rect">
                      <a:avLst/>
                    </a:prstGeom>
                  </pic:spPr>
                </pic:pic>
              </a:graphicData>
            </a:graphic>
          </wp:inline>
        </w:drawing>
      </w:r>
    </w:p>
    <w:p w14:paraId="0025750A" w14:textId="4DBC06CF" w:rsidR="00562240" w:rsidRPr="00C6674F" w:rsidRDefault="00A25069" w:rsidP="00D67DBB">
      <w:pPr>
        <w:pStyle w:val="MDPI51figurecaption"/>
        <w:jc w:val="both"/>
      </w:pPr>
      <w:r w:rsidRPr="00C6674F">
        <w:rPr>
          <w:b/>
          <w:bCs/>
        </w:rPr>
        <w:t xml:space="preserve">Figure S3. </w:t>
      </w:r>
      <w:r w:rsidR="00562240" w:rsidRPr="00C6674F">
        <w:t>Typical pressure and frequency traces, collected from the QCM module. Here the data is collected at 10 °C and the pressure set points were 100,150, 200 PSI. (A) Bare and (B) coated</w:t>
      </w:r>
      <w:r w:rsidR="00D67DBB" w:rsidRPr="00C6674F">
        <w:t xml:space="preserve"> </w:t>
      </w:r>
      <w:r w:rsidR="00562240" w:rsidRPr="00C6674F">
        <w:t>QC</w:t>
      </w:r>
      <w:r w:rsidR="00D67DBB" w:rsidRPr="00C6674F">
        <w:t xml:space="preserve"> </w:t>
      </w:r>
      <w:r w:rsidR="00562240" w:rsidRPr="00C6674F">
        <w:t>with 50:50 wt % PVDF-HFP:IL.</w:t>
      </w:r>
    </w:p>
    <w:p w14:paraId="3807AE57" w14:textId="3501ED10" w:rsidR="00562240" w:rsidRPr="00C6674F" w:rsidRDefault="000002D4" w:rsidP="00D67DBB">
      <w:pPr>
        <w:pStyle w:val="MDPI22heading2"/>
        <w:spacing w:before="240"/>
        <w:rPr>
          <w:noProof w:val="0"/>
        </w:rPr>
      </w:pPr>
      <w:bookmarkStart w:id="5" w:name="_Toc91710540"/>
      <w:r w:rsidRPr="00C6674F">
        <w:rPr>
          <w:noProof w:val="0"/>
        </w:rPr>
        <w:t>S</w:t>
      </w:r>
      <w:r w:rsidR="00A25069" w:rsidRPr="00C6674F">
        <w:rPr>
          <w:noProof w:val="0"/>
        </w:rPr>
        <w:t xml:space="preserve">2.2. </w:t>
      </w:r>
      <w:r w:rsidR="00562240" w:rsidRPr="00C6674F">
        <w:rPr>
          <w:noProof w:val="0"/>
        </w:rPr>
        <w:t>Static Gravimetric Method</w:t>
      </w:r>
      <w:bookmarkEnd w:id="5"/>
    </w:p>
    <w:p w14:paraId="19B81D4E" w14:textId="5DE22075" w:rsidR="00562240" w:rsidRPr="00C6674F" w:rsidRDefault="000002D4" w:rsidP="00D67DBB">
      <w:pPr>
        <w:pStyle w:val="MDPI23heading3"/>
      </w:pPr>
      <w:r w:rsidRPr="00C6674F">
        <w:t>S</w:t>
      </w:r>
      <w:r w:rsidR="00A25069" w:rsidRPr="00C6674F">
        <w:t xml:space="preserve">2.2.1. </w:t>
      </w:r>
      <w:r w:rsidR="00562240" w:rsidRPr="00C6674F">
        <w:t>Experimental Apparatus</w:t>
      </w:r>
    </w:p>
    <w:p w14:paraId="4748F14F" w14:textId="415E2012" w:rsidR="00562240" w:rsidRPr="00C6674F" w:rsidRDefault="00562240" w:rsidP="00D67DBB">
      <w:pPr>
        <w:pStyle w:val="MDPI31text"/>
      </w:pPr>
      <w:r w:rsidRPr="00C6674F">
        <w:t>Figure S4a illustrates an experimental apparatus used for the static gravimetric method in this study. As shown in Figure S4a, the main cell, which contains adsorbents, is attached to a manifold, connected to a gas tank through the pressure regulator. A pressure transducer (Honeywell, PX2AN1XX200PSAAX) is connected to the cell, and the pressure data is logged into LabVIEW. The main cell (except for a section connected the pressure read-out) is emerged in the chiller (PolyScience, AD15R-30-A11B) for maintaining a constant temperature.</w:t>
      </w:r>
    </w:p>
    <w:p w14:paraId="545E3179" w14:textId="77777777" w:rsidR="00562240" w:rsidRPr="00C6674F" w:rsidRDefault="00562240" w:rsidP="00D67DBB">
      <w:pPr>
        <w:pStyle w:val="MDPI52figure"/>
        <w:ind w:left="2608"/>
        <w:jc w:val="left"/>
      </w:pPr>
      <w:r w:rsidRPr="00C6674F">
        <w:rPr>
          <w:noProof/>
        </w:rPr>
        <w:drawing>
          <wp:inline distT="0" distB="0" distL="0" distR="0" wp14:anchorId="5DE6DDAC" wp14:editId="1D023CD7">
            <wp:extent cx="4902767" cy="2324100"/>
            <wp:effectExtent l="0" t="0" r="0" b="0"/>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4047" cy="2334188"/>
                    </a:xfrm>
                    <a:prstGeom prst="rect">
                      <a:avLst/>
                    </a:prstGeom>
                  </pic:spPr>
                </pic:pic>
              </a:graphicData>
            </a:graphic>
          </wp:inline>
        </w:drawing>
      </w:r>
    </w:p>
    <w:p w14:paraId="3C9CDDA0" w14:textId="48B77596" w:rsidR="00562240" w:rsidRPr="00C6674F" w:rsidRDefault="00A25069" w:rsidP="00D67DBB">
      <w:pPr>
        <w:pStyle w:val="MDPI51figurecaption"/>
        <w:jc w:val="both"/>
      </w:pPr>
      <w:r w:rsidRPr="00C6674F">
        <w:rPr>
          <w:b/>
          <w:bCs/>
        </w:rPr>
        <w:lastRenderedPageBreak/>
        <w:t xml:space="preserve">Figure S4. </w:t>
      </w:r>
      <w:r w:rsidR="00562240" w:rsidRPr="00C6674F">
        <w:t xml:space="preserve">(A) A schematic of the gas manifold and the component of the apparatus used for measurement using static method. (B) Typical pressure trajectory gathered from the cell. The pressure approached a plateau after ~10 </w:t>
      </w:r>
      <w:r w:rsidR="00D67DBB" w:rsidRPr="00C6674F">
        <w:t>h</w:t>
      </w:r>
      <w:r w:rsidR="00562240" w:rsidRPr="00C6674F">
        <w:t>.</w:t>
      </w:r>
    </w:p>
    <w:p w14:paraId="68EF27D4" w14:textId="177A6740" w:rsidR="00562240" w:rsidRPr="00C6674F" w:rsidRDefault="000002D4" w:rsidP="00D67DBB">
      <w:pPr>
        <w:pStyle w:val="MDPI23heading3"/>
        <w:spacing w:before="240"/>
      </w:pPr>
      <w:r w:rsidRPr="00C6674F">
        <w:t>S</w:t>
      </w:r>
      <w:r w:rsidR="00A25069" w:rsidRPr="00C6674F">
        <w:t xml:space="preserve">2.2.2. </w:t>
      </w:r>
      <w:r w:rsidR="00562240" w:rsidRPr="00C6674F">
        <w:t>Experimental Method</w:t>
      </w:r>
    </w:p>
    <w:p w14:paraId="39D7CEA7" w14:textId="09F38786" w:rsidR="00562240" w:rsidRPr="00C6674F" w:rsidRDefault="00562240" w:rsidP="00D67DBB">
      <w:pPr>
        <w:pStyle w:val="MDPI31text"/>
      </w:pPr>
      <w:r w:rsidRPr="00C6674F">
        <w:t xml:space="preserve">Before testing, the cell (Swagelok 316-SS Welded VCR Face Seal Fitting, 1/4 in. Rotating Female Union) and a cell’s cap (Swagelok 316-SS VCR Face Seal Fitting, 1/4 in. Plug) were cleaned with soap followed by acetone; then, they were transferred into a beaker of 250-mL acetone and sonicated for 10 </w:t>
      </w:r>
      <w:r w:rsidR="00D67DBB" w:rsidRPr="00C6674F">
        <w:t>min</w:t>
      </w:r>
      <w:r w:rsidRPr="00C6674F">
        <w:t xml:space="preserve"> followed by being heated in an oven at 95 °C for 4 </w:t>
      </w:r>
      <w:r w:rsidR="00D67DBB" w:rsidRPr="00C6674F">
        <w:t>h</w:t>
      </w:r>
      <w:r w:rsidRPr="00C6674F">
        <w:t xml:space="preserve"> and cooled down to the room temperature. A clean and dry cell, capped on 1-end, was placed on an analytical balance (Satorius, MSA225P100DI Cubis Analytical Balance</w:t>
      </w:r>
      <w:r w:rsidRPr="00C6674F">
        <w:rPr>
          <w:rFonts w:eastAsia="Arial Unicode MS"/>
        </w:rPr>
        <w:t>) and tared</w:t>
      </w:r>
      <w:r w:rsidRPr="00C6674F">
        <w:t>. After the weight was initialized, IL solution was pipetted into the cell using a glass disposable pipette tip, and the weight was recorded. Then, the cell was sealed on the main manifold as shown in Figure S4. The whole system was evacuated, and the temperature on the circulating bath was set. Initially, the system was heated at 75-76</w:t>
      </w:r>
      <w:r w:rsidRPr="00C6674F">
        <w:rPr>
          <w:rFonts w:eastAsia="Palanquin Dark"/>
        </w:rPr>
        <w:t xml:space="preserve"> °C</w:t>
      </w:r>
      <w:r w:rsidRPr="00C6674F">
        <w:t xml:space="preserve"> for ~ 10 </w:t>
      </w:r>
      <w:r w:rsidR="00D67DBB" w:rsidRPr="00C6674F">
        <w:t>h</w:t>
      </w:r>
      <w:r w:rsidRPr="00C6674F">
        <w:t xml:space="preserve"> continuously, while being evacuated, then it was cooled down to the desired temperature and allowed to reach equilibrium (~ 8 </w:t>
      </w:r>
      <w:r w:rsidR="00D67DBB" w:rsidRPr="00C6674F">
        <w:t>h</w:t>
      </w:r>
      <w:r w:rsidRPr="00C6674F">
        <w:t>). Before introducing CO</w:t>
      </w:r>
      <w:r w:rsidRPr="00C6674F">
        <w:rPr>
          <w:vertAlign w:val="subscript"/>
        </w:rPr>
        <w:t>2</w:t>
      </w:r>
      <w:r w:rsidRPr="00C6674F">
        <w:t xml:space="preserve"> to the system, the vacuum-line valve was closed, and the pressure logger was initiated. When the desired pressure was reached, the inlet valve was closed; when the pressure reached a plateau, the test was stopped. For the regeneration process, the vacuum pump was turned on, and</w:t>
      </w:r>
      <w:r w:rsidR="00D67DBB" w:rsidRPr="00C6674F">
        <w:t xml:space="preserve"> </w:t>
      </w:r>
      <w:r w:rsidRPr="00C6674F">
        <w:t>the vacuum-line valve was gradually opened to evacuate the system. Figure S4b illustrates the typical pressure trajectory from the transducer.</w:t>
      </w:r>
    </w:p>
    <w:p w14:paraId="271F9FF5" w14:textId="22504AC2" w:rsidR="00562240" w:rsidRPr="00C6674F" w:rsidRDefault="000002D4" w:rsidP="00D67DBB">
      <w:pPr>
        <w:pStyle w:val="MDPI23heading3"/>
        <w:spacing w:before="240"/>
      </w:pPr>
      <w:r w:rsidRPr="00C6674F">
        <w:t>S</w:t>
      </w:r>
      <w:r w:rsidR="00A25069" w:rsidRPr="00C6674F">
        <w:t xml:space="preserve">2.2.3. </w:t>
      </w:r>
      <w:r w:rsidR="00562240" w:rsidRPr="00C6674F">
        <w:t>Absorption from static cell</w:t>
      </w:r>
    </w:p>
    <w:p w14:paraId="034831D4" w14:textId="77777777" w:rsidR="00562240" w:rsidRPr="00C6674F" w:rsidRDefault="00562240" w:rsidP="00D67DBB">
      <w:pPr>
        <w:pStyle w:val="MDPI31text"/>
      </w:pPr>
      <w:r w:rsidRPr="00C6674F">
        <w:t>To calculate adsorbed mass of CO</w:t>
      </w:r>
      <w:r w:rsidRPr="00C6674F">
        <w:rPr>
          <w:vertAlign w:val="subscript"/>
        </w:rPr>
        <w:t>2</w:t>
      </w:r>
      <w:r w:rsidRPr="00C6674F">
        <w:t>, the Peng-Robinson Equation of State (PR-EOS) is used, and it can be shown in Equation 2a:</w:t>
      </w:r>
    </w:p>
    <w:p w14:paraId="04CD0F1D" w14:textId="77777777" w:rsidR="00562240" w:rsidRPr="00C6674F" w:rsidRDefault="00562240" w:rsidP="00D67DBB">
      <w:pPr>
        <w:pStyle w:val="MDPI31text"/>
      </w:pPr>
      <w:bookmarkStart w:id="6" w:name="_Hlk92645435"/>
      <w:r w:rsidRPr="00C6674F">
        <w:t>P = RT/(V-b) – aα/[V(V+b)+b(V-b)]</w:t>
      </w:r>
      <w:r w:rsidRPr="00C6674F">
        <w:tab/>
        <w:t>(2a)</w:t>
      </w:r>
      <w:r w:rsidRPr="00C6674F">
        <w:tab/>
      </w:r>
    </w:p>
    <w:bookmarkEnd w:id="6"/>
    <w:p w14:paraId="49C979C2" w14:textId="6EA03BF4" w:rsidR="00562240" w:rsidRPr="00C6674F" w:rsidRDefault="00562240" w:rsidP="00D67DBB">
      <w:pPr>
        <w:pStyle w:val="MDPI31text"/>
      </w:pPr>
      <w:r w:rsidRPr="00C6674F">
        <w:t>a = 0.45724R</w:t>
      </w:r>
      <w:r w:rsidRPr="00C6674F">
        <w:rPr>
          <w:vertAlign w:val="superscript"/>
        </w:rPr>
        <w:t>2</w:t>
      </w:r>
      <w:r w:rsidRPr="00C6674F">
        <w:t>(T</w:t>
      </w:r>
      <w:r w:rsidRPr="00C6674F">
        <w:rPr>
          <w:vertAlign w:val="subscript"/>
        </w:rPr>
        <w:t>C</w:t>
      </w:r>
      <w:r w:rsidRPr="00C6674F">
        <w:t>)</w:t>
      </w:r>
      <w:r w:rsidRPr="00C6674F">
        <w:rPr>
          <w:vertAlign w:val="superscript"/>
        </w:rPr>
        <w:t>2</w:t>
      </w:r>
      <w:r w:rsidRPr="00C6674F">
        <w:t>/P</w:t>
      </w:r>
      <w:r w:rsidRPr="00C6674F">
        <w:rPr>
          <w:vertAlign w:val="subscript"/>
        </w:rPr>
        <w:t xml:space="preserve">c </w:t>
      </w:r>
      <w:r w:rsidRPr="00C6674F">
        <w:t>;</w:t>
      </w:r>
    </w:p>
    <w:p w14:paraId="5150D4D4" w14:textId="1428E04D" w:rsidR="00562240" w:rsidRPr="00C6674F" w:rsidRDefault="00562240" w:rsidP="00D67DBB">
      <w:pPr>
        <w:pStyle w:val="MDPI31text"/>
      </w:pPr>
      <w:r w:rsidRPr="00C6674F">
        <w:t>b = 0.07780RT</w:t>
      </w:r>
      <w:r w:rsidRPr="00C6674F">
        <w:rPr>
          <w:vertAlign w:val="subscript"/>
        </w:rPr>
        <w:t>C</w:t>
      </w:r>
      <w:r w:rsidRPr="00C6674F">
        <w:t>/P</w:t>
      </w:r>
      <w:r w:rsidRPr="00C6674F">
        <w:rPr>
          <w:vertAlign w:val="subscript"/>
        </w:rPr>
        <w:t xml:space="preserve">c </w:t>
      </w:r>
      <w:r w:rsidRPr="00C6674F">
        <w:t>;</w:t>
      </w:r>
    </w:p>
    <w:p w14:paraId="2501BBA8" w14:textId="77777777" w:rsidR="00562240" w:rsidRPr="00C6674F" w:rsidRDefault="00562240" w:rsidP="00D67DBB">
      <w:pPr>
        <w:pStyle w:val="MDPI31text"/>
        <w:rPr>
          <w:vertAlign w:val="superscript"/>
        </w:rPr>
      </w:pPr>
      <w:r w:rsidRPr="00C6674F">
        <w:t>a = [1+(0.37464+1.54226ω -0.2699ω</w:t>
      </w:r>
      <w:r w:rsidRPr="00C6674F">
        <w:rPr>
          <w:vertAlign w:val="superscript"/>
        </w:rPr>
        <w:t>2</w:t>
      </w:r>
      <w:r w:rsidRPr="00C6674F">
        <w:t>)(1-(T</w:t>
      </w:r>
      <w:r w:rsidRPr="00C6674F">
        <w:rPr>
          <w:vertAlign w:val="subscript"/>
        </w:rPr>
        <w:t>r</w:t>
      </w:r>
      <w:r w:rsidRPr="00C6674F">
        <w:t>)</w:t>
      </w:r>
      <w:r w:rsidRPr="00C6674F">
        <w:rPr>
          <w:vertAlign w:val="superscript"/>
        </w:rPr>
        <w:t>2</w:t>
      </w:r>
      <w:r w:rsidRPr="00C6674F">
        <w:t>)]</w:t>
      </w:r>
      <w:r w:rsidRPr="00C6674F">
        <w:rPr>
          <w:vertAlign w:val="superscript"/>
        </w:rPr>
        <w:t>2</w:t>
      </w:r>
    </w:p>
    <w:p w14:paraId="76C903A1" w14:textId="14DF085D" w:rsidR="00562240" w:rsidRPr="00C6674F" w:rsidRDefault="00562240" w:rsidP="00D67DBB">
      <w:pPr>
        <w:pStyle w:val="MDPI31text"/>
      </w:pPr>
      <w:r w:rsidRPr="00C6674F">
        <w:t>Whereas P and T are the pressure of the adsorbate at equilibrium (PSI) and the absolute temperature (K), respectively; R is the ideal gas constant (8.314 Jmol</w:t>
      </w:r>
      <w:r w:rsidR="00D67DBB" w:rsidRPr="00C6674F">
        <w:rPr>
          <w:vertAlign w:val="superscript"/>
        </w:rPr>
        <w:t>−1</w:t>
      </w:r>
      <w:r w:rsidRPr="00C6674F">
        <w:t>K</w:t>
      </w:r>
      <w:r w:rsidR="00D67DBB" w:rsidRPr="00C6674F">
        <w:rPr>
          <w:vertAlign w:val="superscript"/>
        </w:rPr>
        <w:t>−1</w:t>
      </w:r>
      <w:r w:rsidRPr="00C6674F">
        <w:t>); V is the volume of the cell (mL); ω is the acentric factor of CO</w:t>
      </w:r>
      <w:r w:rsidRPr="00C6674F">
        <w:rPr>
          <w:vertAlign w:val="subscript"/>
        </w:rPr>
        <w:t>2</w:t>
      </w:r>
      <w:r w:rsidRPr="00C6674F">
        <w:t>; T</w:t>
      </w:r>
      <w:r w:rsidRPr="00C6674F">
        <w:rPr>
          <w:vertAlign w:val="subscript"/>
        </w:rPr>
        <w:t>C</w:t>
      </w:r>
      <w:r w:rsidRPr="00C6674F">
        <w:t xml:space="preserve"> and P</w:t>
      </w:r>
      <w:r w:rsidRPr="00C6674F">
        <w:rPr>
          <w:vertAlign w:val="subscript"/>
        </w:rPr>
        <w:t>C</w:t>
      </w:r>
      <w:r w:rsidRPr="00C6674F">
        <w:t xml:space="preserve"> is the critical pressure of CO</w:t>
      </w:r>
      <w:r w:rsidRPr="00C6674F">
        <w:rPr>
          <w:vertAlign w:val="subscript"/>
        </w:rPr>
        <w:t>2</w:t>
      </w:r>
      <w:r w:rsidRPr="00C6674F">
        <w:t>.</w:t>
      </w:r>
    </w:p>
    <w:p w14:paraId="189D34FF" w14:textId="77777777" w:rsidR="00562240" w:rsidRPr="00C6674F" w:rsidRDefault="00562240" w:rsidP="00D67DBB">
      <w:pPr>
        <w:pStyle w:val="MDPI31text"/>
      </w:pPr>
      <w:r w:rsidRPr="00C6674F">
        <w:t>Eq. (2a) is then re-stated into polynomial form, which is shown in Equation 2b:</w:t>
      </w:r>
      <w:r w:rsidRPr="00C6674F">
        <w:tab/>
      </w:r>
    </w:p>
    <w:p w14:paraId="6206D7B4" w14:textId="77777777" w:rsidR="00562240" w:rsidRPr="00C6674F" w:rsidRDefault="00562240" w:rsidP="00D67DBB">
      <w:pPr>
        <w:pStyle w:val="MDPI31text"/>
      </w:pPr>
      <w:r w:rsidRPr="00C6674F">
        <w:t>Z</w:t>
      </w:r>
      <w:r w:rsidRPr="00C6674F">
        <w:rPr>
          <w:vertAlign w:val="superscript"/>
        </w:rPr>
        <w:t>3</w:t>
      </w:r>
      <w:r w:rsidRPr="00C6674F">
        <w:t xml:space="preserve"> – (1-B)Z</w:t>
      </w:r>
      <w:r w:rsidRPr="00C6674F">
        <w:rPr>
          <w:vertAlign w:val="superscript"/>
        </w:rPr>
        <w:t xml:space="preserve">2 </w:t>
      </w:r>
      <w:r w:rsidRPr="00C6674F">
        <w:t>+ (A-2B-3B</w:t>
      </w:r>
      <w:r w:rsidRPr="00C6674F">
        <w:rPr>
          <w:vertAlign w:val="superscript"/>
        </w:rPr>
        <w:t>2</w:t>
      </w:r>
      <w:r w:rsidRPr="00C6674F">
        <w:t>)Z – (AB-B</w:t>
      </w:r>
      <w:r w:rsidRPr="00C6674F">
        <w:rPr>
          <w:vertAlign w:val="superscript"/>
        </w:rPr>
        <w:t>2</w:t>
      </w:r>
      <w:r w:rsidRPr="00C6674F">
        <w:t>-B</w:t>
      </w:r>
      <w:r w:rsidRPr="00C6674F">
        <w:rPr>
          <w:vertAlign w:val="superscript"/>
        </w:rPr>
        <w:t>3</w:t>
      </w:r>
      <w:r w:rsidRPr="00C6674F">
        <w:t xml:space="preserve">) = 0 </w:t>
      </w:r>
      <w:r w:rsidRPr="00C6674F">
        <w:tab/>
        <w:t>(2b)</w:t>
      </w:r>
    </w:p>
    <w:p w14:paraId="3B8DEFA7" w14:textId="0DCABDD4" w:rsidR="00562240" w:rsidRPr="00C6674F" w:rsidRDefault="00562240" w:rsidP="00D67DBB">
      <w:pPr>
        <w:pStyle w:val="MDPI31text"/>
      </w:pPr>
      <w:r w:rsidRPr="00C6674F">
        <w:t>A = 0.45724aP</w:t>
      </w:r>
      <w:r w:rsidRPr="00C6674F">
        <w:rPr>
          <w:vertAlign w:val="subscript"/>
        </w:rPr>
        <w:t>r</w:t>
      </w:r>
      <w:r w:rsidRPr="00C6674F">
        <w:t>(T</w:t>
      </w:r>
      <w:r w:rsidRPr="00C6674F">
        <w:rPr>
          <w:vertAlign w:val="subscript"/>
        </w:rPr>
        <w:t>r</w:t>
      </w:r>
      <w:r w:rsidRPr="00C6674F">
        <w:t>)</w:t>
      </w:r>
      <w:r w:rsidR="00D67DBB" w:rsidRPr="00C6674F">
        <w:rPr>
          <w:vertAlign w:val="superscript"/>
        </w:rPr>
        <w:t>−2</w:t>
      </w:r>
    </w:p>
    <w:p w14:paraId="4F2FBCA6" w14:textId="77777777" w:rsidR="00562240" w:rsidRPr="00C6674F" w:rsidRDefault="00562240" w:rsidP="00D67DBB">
      <w:pPr>
        <w:pStyle w:val="MDPI31text"/>
      </w:pPr>
      <w:r w:rsidRPr="00C6674F">
        <w:t>B = 0.45724aP</w:t>
      </w:r>
      <w:r w:rsidRPr="00C6674F">
        <w:rPr>
          <w:vertAlign w:val="subscript"/>
        </w:rPr>
        <w:t>r</w:t>
      </w:r>
      <w:r w:rsidRPr="00C6674F">
        <w:t>T</w:t>
      </w:r>
      <w:r w:rsidRPr="00C6674F">
        <w:rPr>
          <w:vertAlign w:val="subscript"/>
        </w:rPr>
        <w:t>r</w:t>
      </w:r>
      <w:r w:rsidRPr="00C6674F">
        <w:tab/>
      </w:r>
    </w:p>
    <w:p w14:paraId="7565041E" w14:textId="77777777" w:rsidR="00562240" w:rsidRPr="00C6674F" w:rsidRDefault="00562240" w:rsidP="00D67DBB">
      <w:pPr>
        <w:pStyle w:val="MDPI31text"/>
      </w:pPr>
      <w:r w:rsidRPr="00C6674F">
        <w:t>Z = PV/nRT</w:t>
      </w:r>
    </w:p>
    <w:p w14:paraId="44DD85F4" w14:textId="77777777" w:rsidR="00562240" w:rsidRPr="00C6674F" w:rsidRDefault="00562240" w:rsidP="00D67DBB">
      <w:pPr>
        <w:pStyle w:val="MDPI31text"/>
      </w:pPr>
      <w:r w:rsidRPr="00C6674F">
        <w:t>Whereas P</w:t>
      </w:r>
      <w:r w:rsidRPr="00C6674F">
        <w:rPr>
          <w:vertAlign w:val="subscript"/>
        </w:rPr>
        <w:t xml:space="preserve">r </w:t>
      </w:r>
      <w:r w:rsidRPr="00C6674F">
        <w:t>is the reduced pressure; T</w:t>
      </w:r>
      <w:r w:rsidRPr="00C6674F">
        <w:rPr>
          <w:vertAlign w:val="subscript"/>
        </w:rPr>
        <w:t xml:space="preserve">r </w:t>
      </w:r>
      <w:r w:rsidRPr="00C6674F">
        <w:t>is the reduced temperature; Z is the compressibility factor, which is calculated by applying Newton-Raphson method to solve the cubic equation. With Equation 2 a-b mentioned above, the final value is computed by using MATLAB software.</w:t>
      </w:r>
    </w:p>
    <w:p w14:paraId="0168ACB9" w14:textId="64405C13" w:rsidR="00562240" w:rsidRPr="00C6674F" w:rsidRDefault="000002D4" w:rsidP="00D67DBB">
      <w:pPr>
        <w:pStyle w:val="MDPI22heading2"/>
        <w:spacing w:before="240"/>
        <w:rPr>
          <w:noProof w:val="0"/>
        </w:rPr>
      </w:pPr>
      <w:bookmarkStart w:id="7" w:name="_Toc91710541"/>
      <w:r w:rsidRPr="00C6674F">
        <w:rPr>
          <w:noProof w:val="0"/>
        </w:rPr>
        <w:t>S</w:t>
      </w:r>
      <w:r w:rsidR="00A25069" w:rsidRPr="00C6674F">
        <w:rPr>
          <w:noProof w:val="0"/>
        </w:rPr>
        <w:t xml:space="preserve">2.3. </w:t>
      </w:r>
      <w:r w:rsidR="00562240" w:rsidRPr="00C6674F">
        <w:rPr>
          <w:noProof w:val="0"/>
        </w:rPr>
        <w:t>Sorption Results</w:t>
      </w:r>
      <w:bookmarkEnd w:id="7"/>
    </w:p>
    <w:p w14:paraId="27B6E8D6" w14:textId="79459A8A" w:rsidR="00562240" w:rsidRPr="00C6674F" w:rsidRDefault="000002D4" w:rsidP="00D67DBB">
      <w:pPr>
        <w:pStyle w:val="MDPI23heading3"/>
      </w:pPr>
      <w:r w:rsidRPr="00C6674F">
        <w:t>S</w:t>
      </w:r>
      <w:r w:rsidR="00A25069" w:rsidRPr="00C6674F">
        <w:t xml:space="preserve">2.3.1. </w:t>
      </w:r>
      <w:r w:rsidR="00562240" w:rsidRPr="00C6674F">
        <w:t>Static Method</w:t>
      </w:r>
    </w:p>
    <w:p w14:paraId="2F0F12FD" w14:textId="7E038671" w:rsidR="00562240" w:rsidRPr="00C6674F" w:rsidRDefault="00562240" w:rsidP="00D67DBB">
      <w:pPr>
        <w:pStyle w:val="MDPI41tablecaption"/>
        <w:jc w:val="both"/>
      </w:pPr>
      <w:r w:rsidRPr="00C6674F">
        <w:rPr>
          <w:b/>
          <w:bCs/>
        </w:rPr>
        <w:t>Table S2</w:t>
      </w:r>
      <w:r w:rsidRPr="00C6674F">
        <w:rPr>
          <w:b/>
        </w:rPr>
        <w:t xml:space="preserve">. </w:t>
      </w:r>
      <w:r w:rsidRPr="00C6674F">
        <w:t>The static gravimetric isotherm sorption results of [EMIM][TF</w:t>
      </w:r>
      <w:r w:rsidRPr="00C6674F">
        <w:rPr>
          <w:vertAlign w:val="subscript"/>
        </w:rPr>
        <w:t>2</w:t>
      </w:r>
      <w:r w:rsidRPr="00C6674F">
        <w:t>N] (Mole CO</w:t>
      </w:r>
      <w:r w:rsidRPr="00C6674F">
        <w:rPr>
          <w:vertAlign w:val="subscript"/>
        </w:rPr>
        <w:t>2</w:t>
      </w:r>
      <w:r w:rsidRPr="00C6674F">
        <w:t xml:space="preserve"> per kg IL) at 4 different pressures (PSI) and temperatures (K). At 100 and 150 PSI, an average and standard deviation were reported based on 3 different prepared tests. At 200 PSI, an average and standard deviation were reported based on 2 different prepared tests. Data is compared with interpolated reported values.</w:t>
      </w:r>
      <w:r w:rsidRPr="00C6674F">
        <w:fldChar w:fldCharType="begin"/>
      </w:r>
      <w:r w:rsidRPr="00C6674F">
        <w:instrText xml:space="preserve"> ADDIN ZOTERO_ITEM CSL_CITATION {"citationID":"sBifIh25","properties":{"formattedCitation":"\\super 6\\uc0\\u8211{}9\\nosupersub{}","plainCitation":"6–9","noteIndex":0},"citationItems":[{"id":367,"uris":["http://zotero.org/groups/4545406/items/LJ46GM4C"],"itemData":{"id":367,"type":"article-journal","abstract":"Experimental and molecular modeling studies are conducted to investigate the underlying mechanisms for the high solubility of CO2 in imidazolium-based ionic liquids. CO2 absorption isotherms at 10, 25, and 50 °C are reported for six different ionic liquids formed by pairing three different anions with two cations that differ only in the nature of the “acidic” site at the 2-position on the imidazolium ring. Molecular dynamics simulations of these two cations paired with hexafluorophosphate in the pure state and mixed with CO2 are also described. Both the experimental and the simulation results indicate that the anion has the greatest impact on the solubility of CO2. Experimentally, it is found that the bis(trifluoromethylsulfonyl)imide anion has the greatest affinity for CO2, while there is little difference in CO2 solubility between ionic liquids having the tetrafluoroborate or hexafluorophosphate anion. The simulations show strong organization of CO2 about hexafluorophosphate anions, but only small differences in CO2 structure about the different cations. This is consistent with the experimental finding that, for a given anion, there are only small differences in CO2 solubility for the two cations. Computed and measured densities, partial molar volumes, and thermal expansion coefficients are also reported.","container-title":"Journal of the American Chemical Society","DOI":"10.1021/ja039615x","ISSN":"0002-7863","issue":"16","journalAbbreviation":"J. Am. Chem. Soc.","note":"publisher: American Chemical Society","page":"5300-5308","source":"ACS Publications","title":"Why Is CO2 So Soluble in Imidazolium-Based Ionic Liquids?","volume":"126","author":[{"family":"Cadena","given":"Cesar"},{"family":"Anthony","given":"Jennifer L."},{"family":"Shah","given":"Jindal K."},{"family":"Morrow","given":"Timothy I."},{"family":"Brennecke","given":"Joan F."},{"family":"Maginn","given":"Edward J."}],"issued":{"date-parts":[["2004",4,28]]}}},{"id":373,"uris":["http://zotero.org/groups/4545406/items/33VCUJRM"],"itemData":{"id":373,"type":"article-journal","abstract":"In this work, the phase behaviour of the binary system of carbon dioxide and the ionic liquid 1-ethyl-3-methylimidazolium bis(trifluoromethylsulfonyl)imide ([emim][Tf2N]) has been studied experimentally. The equipment used for the experiments is the Cailletet set-up, based on visual observations of phase transitions of systems with constant overall composition. Results are reported for carbon dioxide concentrations ranging from 12.3 to 59.3mol%, and within temperature and pressure ranges of 310–450K and 0–15MPa, respectively. The data reveal an extremely high capacity of the selected ionic liquid for dissolving CO2 gas, for example, reaching up to about 60mol% within the above-mentioned pressure and temperature range. Also, the solubility of CO2 in the ionic liquid [emim][Tf2N] is compared to the solubility of CO2 in the ionic liquid [emim][PF6], an ionic liquid that shares the same cation.","collection-title":"Jurgen Gmehling Honour Issue","container-title":"Fluid Phase Equilibria","DOI":"10.1016/j.fluid.2007.06.003","ISSN":"0378-3812","issue":"1","journalAbbreviation":"Fluid Phase Equilibria","language":"en","page":"19-22","source":"ScienceDirect","title":"Solubility of carbon dioxide in the ionic liquid 1-ethyl-3-methylimidazolium bis(trifluoromethylsulfonyl)imide","volume":"260","author":[{"family":"Schilderman","given":"Astrid M."},{"family":"Raeissi","given":"Sona"},{"family":"Peters","given":"Cor J."}],"issued":{"date-parts":[["2007",10,25]]}}},{"id":365,"uris":["http://zotero.org/groups/4545406/items/HA86RV9L"],"itemData":{"id":365,"type":"article-journal","abstract":"This paper proposes artificial neural networks (ANNs) technique as a new approach to predict solubility of CO2 in ethanol–[EMIM][Tf2N] ionic liquid mixtures. The solubility equilibrium data of CO2 were measured at 0, 20, 50 and 80 and 100wt.% mixture of [EMIM][Tf2N] ionic liquid, temperatures of 313.2 and 333.2°C, and pressure range of 0–7MPa. A feed-forward multilayer perceptron (MLP) neural network with Levenberg-Marquardt learning algorithm was developed for prediction task. The ANN model was trained, validated and tested using 70%, 15% and 15% of all solubility data, respectively. An optimization procedure was performed based on genetic algorithm to select the best ANN architecture. Therefore, a three layer feed-forward neural network with Levenberg-Marquardt back-propagation training algorithm was developed and designed with four variables as inputs and one variable as output, 15 neurons in the hidden layer, log-sigmoid transfer function in the hidden layer and linear transfer function in the output layer. Based upon statistical analysis, results obtained demonstrated that there is a very little difference between predicted and experimental data of CO2 capture rate giving very low value of average absolute deviation (AAD) and high value of least square (R2) very close to one, indicating high accuracy of this model to predict output variable. The results also proved that the developed ANN model outperforms the Peng-Robinson model.","container-title":"Fluid Phase Equilibria","DOI":"10.1016/j.fluid.2014.02.030","ISSN":"0378-3812","journalAbbreviation":"Fluid Phase Equilibria","language":"en","page":"6-14","source":"ScienceDirect","title":"Prediction of solubility of CO2 in ethanol–[EMIM][Tf2N] ionic liquid mixtures using artificial neural networks based on genetic algorithm","volume":"371","author":[{"family":"Mirarab","given":"Meysam"},{"family":"Sharifi","given":"Maysam"},{"family":"Ghayyem","given":"Mohammad Ali"},{"family":"Mirarab","given":"Fatemeh"}],"issued":{"date-parts":[["2014",6,15]]}}},{"id":378,"uris":["http://zotero.org/groups/4545406/items/JR7Q6JXJ"],"itemData":{"id":378,"type":"article-journal","abstract":"New standards concerning environmental and safety issues are creating an increasing interest on ionic liquids as alternative solvents for a wide range of industrial applications. In this work, a new apparatus developed to measure vapor–liquid phase equilibrium in a wide range of pressures and temperatures was used to measure the phase behavior of the binary systems of carbon dioxide (CO2)+1-ethyl-3-methyl-imidazolium bis(trifluoromethylsulfonyl)imide ([C2mim][Tf2N]) and CO2+1-methyl-3-pentyl-imidazolium bis(trifluoromethylsulfonyl)imide ([C5mim][Tf2N]) at temperatures up to 363K and pressures up to 50MPa. A thermodynamic consistency test, developed for systems with incomplete PTxy data and based on the Gibbs–Duhem equation, was applied to the experimental data measured in this work and the Peng–Robinson EoS using the Wong–Sandler mixing rule was used to describe the experimental data with excellent results.","container-title":"The Journal of Supercritical Fluids","DOI":"10.1016/j.supflu.2008.10.012","ISSN":"0896-8446","issue":"2","journalAbbreviation":"The Journal of Supercritical Fluids","language":"en","page":"99-107","source":"ScienceDirect","title":"High pressure phase behavior of carbon dioxide in 1-alkyl-3-methylimidazolium bis(trifluoromethylsulfonyl)imide ionic liquids","volume":"48","author":[{"family":"Carvalho","given":"Pedro J."},{"family":"Álvarez","given":"Víctor H."},{"family":"Machado","given":"José J. B."},{"family":"Pauly","given":"Jérôme"},{"family":"Daridon","given":"Jean-Luc"},{"family":"Marrucho","given":"Isabel M."},{"family":"Aznar","given":"Martín"},{"family":"Coutinho","given":"João A. P."}],"issued":{"date-parts":[["2009",3,1]]}}}],"schema":"https://github.com/citation-style-language/schema/raw/master/csl-citation.json"} </w:instrText>
      </w:r>
      <w:r w:rsidRPr="00C6674F">
        <w:fldChar w:fldCharType="separate"/>
      </w:r>
      <w:r w:rsidRPr="00C6674F">
        <w:rPr>
          <w:szCs w:val="24"/>
          <w:vertAlign w:val="superscript"/>
        </w:rPr>
        <w:t>6–9</w:t>
      </w:r>
      <w:r w:rsidRPr="00C6674F">
        <w:fldChar w:fldCharType="end"/>
      </w:r>
      <w:r w:rsidR="00A25069" w:rsidRPr="00C6674F">
        <w:t>.</w:t>
      </w:r>
    </w:p>
    <w:p w14:paraId="68499EE6" w14:textId="77777777" w:rsidR="00BC6F0D" w:rsidRPr="00C6674F" w:rsidRDefault="00BC6F0D" w:rsidP="00D67DBB">
      <w:pPr>
        <w:pStyle w:val="MDPI41tablecaption"/>
        <w:jc w:val="both"/>
      </w:pP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4"/>
        <w:gridCol w:w="1013"/>
        <w:gridCol w:w="1054"/>
        <w:gridCol w:w="1053"/>
        <w:gridCol w:w="1071"/>
        <w:gridCol w:w="691"/>
        <w:gridCol w:w="757"/>
        <w:gridCol w:w="735"/>
        <w:gridCol w:w="739"/>
      </w:tblGrid>
      <w:tr w:rsidR="00E02BFC" w:rsidRPr="00C6674F" w14:paraId="5593EFE3" w14:textId="77777777" w:rsidTr="00E02BFC">
        <w:tc>
          <w:tcPr>
            <w:tcW w:w="900" w:type="dxa"/>
            <w:vMerge w:val="restart"/>
            <w:tcBorders>
              <w:top w:val="single" w:sz="8" w:space="0" w:color="auto"/>
            </w:tcBorders>
            <w:shd w:val="clear" w:color="auto" w:fill="auto"/>
            <w:vAlign w:val="center"/>
          </w:tcPr>
          <w:p w14:paraId="7058508E" w14:textId="77777777" w:rsidR="00562240" w:rsidRPr="00C6674F" w:rsidRDefault="00562240" w:rsidP="00D67DBB">
            <w:pPr>
              <w:adjustRightInd w:val="0"/>
              <w:snapToGrid w:val="0"/>
              <w:spacing w:line="240" w:lineRule="auto"/>
              <w:jc w:val="center"/>
              <w:rPr>
                <w:rFonts w:ascii="Times New Roman" w:hAnsi="Times New Roman"/>
                <w:b/>
                <w:bCs/>
                <w:iCs/>
                <w:noProof w:val="0"/>
              </w:rPr>
            </w:pPr>
            <w:r w:rsidRPr="00C6674F">
              <w:rPr>
                <w:rFonts w:ascii="Times New Roman" w:hAnsi="Times New Roman"/>
                <w:b/>
                <w:bCs/>
                <w:iCs/>
                <w:noProof w:val="0"/>
              </w:rPr>
              <w:t>T (ºC)</w:t>
            </w:r>
          </w:p>
        </w:tc>
        <w:tc>
          <w:tcPr>
            <w:tcW w:w="5075" w:type="dxa"/>
            <w:gridSpan w:val="4"/>
            <w:tcBorders>
              <w:top w:val="single" w:sz="8" w:space="0" w:color="auto"/>
            </w:tcBorders>
            <w:shd w:val="clear" w:color="auto" w:fill="auto"/>
            <w:vAlign w:val="center"/>
          </w:tcPr>
          <w:p w14:paraId="07175B93" w14:textId="77777777" w:rsidR="00562240" w:rsidRPr="00C6674F" w:rsidRDefault="00562240" w:rsidP="00D67DBB">
            <w:pPr>
              <w:adjustRightInd w:val="0"/>
              <w:snapToGrid w:val="0"/>
              <w:spacing w:line="240" w:lineRule="auto"/>
              <w:jc w:val="center"/>
              <w:rPr>
                <w:rFonts w:ascii="Times New Roman" w:hAnsi="Times New Roman"/>
                <w:b/>
                <w:bCs/>
                <w:iCs/>
                <w:noProof w:val="0"/>
              </w:rPr>
            </w:pPr>
            <w:r w:rsidRPr="00C6674F">
              <w:rPr>
                <w:rFonts w:ascii="Times New Roman" w:hAnsi="Times New Roman"/>
                <w:b/>
                <w:bCs/>
                <w:iCs/>
                <w:noProof w:val="0"/>
              </w:rPr>
              <w:t>This work</w:t>
            </w:r>
          </w:p>
        </w:tc>
        <w:tc>
          <w:tcPr>
            <w:tcW w:w="3532" w:type="dxa"/>
            <w:gridSpan w:val="4"/>
            <w:tcBorders>
              <w:top w:val="single" w:sz="8" w:space="0" w:color="auto"/>
            </w:tcBorders>
            <w:shd w:val="clear" w:color="auto" w:fill="auto"/>
            <w:vAlign w:val="center"/>
          </w:tcPr>
          <w:p w14:paraId="2620DB90" w14:textId="77777777" w:rsidR="00562240" w:rsidRPr="00C6674F" w:rsidRDefault="00562240" w:rsidP="00D67DBB">
            <w:pPr>
              <w:adjustRightInd w:val="0"/>
              <w:snapToGrid w:val="0"/>
              <w:spacing w:line="240" w:lineRule="auto"/>
              <w:jc w:val="center"/>
              <w:rPr>
                <w:rFonts w:ascii="Times New Roman" w:hAnsi="Times New Roman"/>
                <w:b/>
                <w:bCs/>
                <w:iCs/>
                <w:noProof w:val="0"/>
              </w:rPr>
            </w:pPr>
            <w:r w:rsidRPr="00C6674F">
              <w:rPr>
                <w:rFonts w:ascii="Times New Roman" w:hAnsi="Times New Roman"/>
                <w:b/>
                <w:bCs/>
                <w:iCs/>
                <w:noProof w:val="0"/>
              </w:rPr>
              <w:t xml:space="preserve">Report </w:t>
            </w:r>
            <w:r w:rsidRPr="00C6674F">
              <w:rPr>
                <w:rFonts w:ascii="Times New Roman" w:hAnsi="Times New Roman"/>
                <w:b/>
                <w:bCs/>
                <w:noProof w:val="0"/>
              </w:rPr>
              <w:fldChar w:fldCharType="begin"/>
            </w:r>
            <w:r w:rsidRPr="00C6674F">
              <w:rPr>
                <w:rFonts w:ascii="Times New Roman" w:hAnsi="Times New Roman"/>
                <w:b/>
                <w:bCs/>
                <w:noProof w:val="0"/>
              </w:rPr>
              <w:instrText xml:space="preserve"> ADDIN ZOTERO_ITEM CSL_CITATION {"citationID":"kQb29BLG","properties":{"formattedCitation":"\\super 6\\uc0\\u8211{}9\\nosupersub{}","plainCitation":"6–9","noteIndex":0},"citationItems":[{"id":367,"uris":["http://zotero.org/groups/4545406/items/LJ46GM4C"],"itemData":{"id":367,"type":"article-journal","abstract":"Experimental and molecular modeling studies are conducted to investigate the underlying mechanisms for the high solubility of CO2 in imidazolium-based ionic liquids. CO2 absorption isotherms at 10, 25, and 50 °C are reported for six different ionic liquids formed by pairing three different anions with two cations that differ only in the nature of the “acidic” site at the 2-position on the imidazolium ring. Molecular dynamics simulations of these two cations paired with hexafluorophosphate in the pure state and mixed with CO2 are also described. Both the experimental and the simulation results indicate that the anion has the greatest impact on the solubility of CO2. Experimentally, it is found that the bis(trifluoromethylsulfonyl)imide anion has the greatest affinity for CO2, while there is little difference in CO2 solubility between ionic liquids having the tetrafluoroborate or hexafluorophosphate anion. The simulations show strong organization of CO2 about hexafluorophosphate anions, but only small differences in CO2 structure about the different cations. This is consistent with the experimental finding that, for a given anion, there are only small differences in CO2 solubility for the two cations. Computed and measured densities, partial molar volumes, and thermal expansion coefficients are also reported.","container-title":"Journal of the American Chemical Society","DOI":"10.1021/ja039615x","ISSN":"0002-7863","issue":"16","journalAbbreviation":"J. Am. Chem. Soc.","note":"publisher: American Chemical Society","page":"5300-5308","source":"ACS Publications","title":"Why Is CO2 So Soluble in Imidazolium-Based Ionic Liquids?","volume":"126","author":[{"family":"Cadena","given":"Cesar"},{"family":"Anthony","given":"Jennifer L."},{"family":"Shah","given":"Jindal K."},{"family":"Morrow","given":"Timothy I."},{"family":"Brennecke","given":"Joan F."},{"family":"Maginn","given":"Edward J."}],"issued":{"date-parts":[["2004",4,28]]}}},{"id":373,"uris":["http://zotero.org/groups/4545406/items/33VCUJRM"],"itemData":{"id":373,"type":"article-journal","abstract":"In this work, the phase behaviour of the binary system of carbon dioxide and the ionic liquid 1-ethyl-3-methylimidazolium bis(trifluoromethylsulfonyl)imide ([emim][Tf2N]) has been studied experimentally. The equipment used for the experiments is the Cailletet set-up, based on visual observations of phase transitions of systems with constant overall composition. Results are reported for carbon dioxide concentrations ranging from 12.3 to 59.3mol%, and within temperature and pressure ranges of 310–450K and 0–15MPa, respectively. The data reveal an extremely high capacity of the selected ionic liquid for dissolving CO2 gas, for example, reaching up to about 60mol% within the above-mentioned pressure and temperature range. Also, the solubility of CO2 in the ionic liquid [emim][Tf2N] is compared to the solubility of CO2 in the ionic liquid [emim][PF6], an ionic liquid that shares the same cation.","collection-title":"Jurgen Gmehling Honour Issue","container-title":"Fluid Phase Equilibria","DOI":"10.1016/j.fluid.2007.06.003","ISSN":"0378-3812","issue":"1","journalAbbreviation":"Fluid Phase Equilibria","language":"en","page":"19-22","source":"ScienceDirect","title":"Solubility of carbon dioxide in the ionic liquid 1-ethyl-3-methylimidazolium bis(trifluoromethylsulfonyl)imide","volume":"260","author":[{"family":"Schilderman","given":"Astrid M."},{"family":"Raeissi","given":"Sona"},{"family":"Peters","given":"Cor J."}],"issued":{"date-parts":[["2007",10,25]]}}},{"id":365,"uris":["http://zotero.org/groups/4545406/items/HA86RV9L"],"itemData":{"id":365,"type":"article-journal","abstract":"This paper proposes artificial neural networks (ANNs) technique as a new approach to predict solubility of CO2 in ethanol–[EMIM][Tf2N] ionic liquid mixtures. The solubility equilibrium data of CO2 were measured at 0, 20, 50 and 80 and 100wt.% mixture of [EMIM][Tf2N] ionic liquid, temperatures of 313.2 and 333.2°C, and pressure range of 0–7MPa. A feed-forward multilayer perceptron (MLP) neural network with Levenberg-Marquardt learning algorithm was developed for prediction task. The ANN model was trained, validated and tested using 70%, 15% and 15% of all solubility data, respectively. An optimization procedure was performed based on genetic algorithm to select the best ANN architecture. Therefore, a three layer feed-forward neural network with Levenberg-Marquardt back-propagation training algorithm was developed and designed with four variables as inputs and one variable as output, 15 neurons in the hidden layer, log-sigmoid transfer function in the hidden layer and linear transfer function in the output layer. Based upon statistical analysis, results obtained demonstrated that there is a very little difference between predicted and experimental data of CO2 capture rate giving very low value of average absolute deviation (AAD) and high value of least square (R2) very close to one, indicating high accuracy of this model to predict output variable. The results also proved that the developed ANN model outperforms the Peng-Robinson model.","container-title":"Fluid Phase Equilibria","DOI":"10.1016/j.fluid.2014.02.030","ISSN":"0378-3812","journalAbbreviation":"Fluid Phase Equilibria","language":"en","page":"6-14","source":"ScienceDirect","title":"Prediction of solubility of CO2 in ethanol–[EMIM][Tf2N] ionic liquid mixtures using artificial neural networks based on genetic algorithm","volume":"371","author":[{"family":"Mirarab","given":"Meysam"},{"family":"Sharifi","given":"Maysam"},{"family":"Ghayyem","given":"Mohammad Ali"},{"family":"Mirarab","given":"Fatemeh"}],"issued":{"date-parts":[["2014",6,15]]}}},{"id":378,"uris":["http://zotero.org/groups/4545406/items/JR7Q6JXJ"],"itemData":{"id":378,"type":"article-journal","abstract":"New standards concerning environmental and safety issues are creating an increasing interest on ionic liquids as alternative solvents for a wide range of industrial applications. In this work, a new apparatus developed to measure vapor–liquid phase equilibrium in a wide range of pressures and temperatures was used to measure the phase behavior of the binary systems of carbon dioxide (CO2)+1-ethyl-3-methyl-imidazolium bis(trifluoromethylsulfonyl)imide ([C2mim][Tf2N]) and CO2+1-methyl-3-pentyl-imidazolium bis(trifluoromethylsulfonyl)imide ([C5mim][Tf2N]) at temperatures up to 363K and pressures up to 50MPa. A thermodynamic consistency test, developed for systems with incomplete PTxy data and based on the Gibbs–Duhem equation, was applied to the experimental data measured in this work and the Peng–Robinson EoS using the Wong–Sandler mixing rule was used to describe the experimental data with excellent results.","container-title":"The Journal of Supercritical Fluids","DOI":"10.1016/j.supflu.2008.10.012","ISSN":"0896-8446","issue":"2","journalAbbreviation":"The Journal of Supercritical Fluids","language":"en","page":"99-107","source":"ScienceDirect","title":"High pressure phase behavior of carbon dioxide in 1-alkyl-3-methylimidazolium bis(trifluoromethylsulfonyl)imide ionic liquids","volume":"48","author":[{"family":"Carvalho","given":"Pedro J."},{"family":"Álvarez","given":"Víctor H."},{"family":"Machado","given":"José J. B."},{"family":"Pauly","given":"Jérôme"},{"family":"Daridon","given":"Jean-Luc"},{"family":"Marrucho","given":"Isabel M."},{"family":"Aznar","given":"Martín"},{"family":"Coutinho","given":"João A. P."}],"issued":{"date-parts":[["2009",3,1]]}}}],"schema":"https://github.com/citation-style-language/schema/raw/master/csl-citation.json"} </w:instrText>
            </w:r>
            <w:r w:rsidRPr="00C6674F">
              <w:rPr>
                <w:rFonts w:ascii="Times New Roman" w:hAnsi="Times New Roman"/>
                <w:b/>
                <w:bCs/>
                <w:noProof w:val="0"/>
              </w:rPr>
              <w:fldChar w:fldCharType="separate"/>
            </w:r>
            <w:r w:rsidRPr="00C6674F">
              <w:rPr>
                <w:rFonts w:ascii="Times New Roman" w:hAnsi="Times New Roman"/>
                <w:b/>
                <w:bCs/>
                <w:noProof w:val="0"/>
                <w:szCs w:val="24"/>
                <w:vertAlign w:val="superscript"/>
              </w:rPr>
              <w:t>6–9</w:t>
            </w:r>
            <w:r w:rsidRPr="00C6674F">
              <w:rPr>
                <w:rFonts w:ascii="Times New Roman" w:hAnsi="Times New Roman"/>
                <w:b/>
                <w:bCs/>
                <w:noProof w:val="0"/>
              </w:rPr>
              <w:fldChar w:fldCharType="end"/>
            </w:r>
          </w:p>
        </w:tc>
      </w:tr>
      <w:tr w:rsidR="00E02BFC" w:rsidRPr="00C6674F" w14:paraId="054F5A7E" w14:textId="77777777" w:rsidTr="00E02BFC">
        <w:tc>
          <w:tcPr>
            <w:tcW w:w="900" w:type="dxa"/>
            <w:vMerge/>
            <w:tcBorders>
              <w:bottom w:val="single" w:sz="4" w:space="0" w:color="auto"/>
            </w:tcBorders>
            <w:shd w:val="clear" w:color="auto" w:fill="auto"/>
            <w:vAlign w:val="center"/>
          </w:tcPr>
          <w:p w14:paraId="2766C9BB" w14:textId="77777777" w:rsidR="00562240" w:rsidRPr="00C6674F" w:rsidRDefault="00562240" w:rsidP="00D67DBB">
            <w:pPr>
              <w:adjustRightInd w:val="0"/>
              <w:snapToGrid w:val="0"/>
              <w:spacing w:line="240" w:lineRule="auto"/>
              <w:jc w:val="center"/>
              <w:rPr>
                <w:rFonts w:ascii="Times New Roman" w:hAnsi="Times New Roman"/>
                <w:iCs/>
                <w:noProof w:val="0"/>
              </w:rPr>
            </w:pPr>
          </w:p>
        </w:tc>
        <w:tc>
          <w:tcPr>
            <w:tcW w:w="1227" w:type="dxa"/>
            <w:tcBorders>
              <w:bottom w:val="single" w:sz="4" w:space="0" w:color="auto"/>
            </w:tcBorders>
            <w:shd w:val="clear" w:color="auto" w:fill="auto"/>
            <w:vAlign w:val="center"/>
          </w:tcPr>
          <w:p w14:paraId="2D55E4D9" w14:textId="77777777" w:rsidR="00562240" w:rsidRPr="00C6674F" w:rsidRDefault="00562240" w:rsidP="00D67DBB">
            <w:pPr>
              <w:adjustRightInd w:val="0"/>
              <w:snapToGrid w:val="0"/>
              <w:spacing w:line="240" w:lineRule="auto"/>
              <w:jc w:val="center"/>
              <w:rPr>
                <w:rFonts w:ascii="Times New Roman" w:hAnsi="Times New Roman"/>
                <w:i/>
                <w:noProof w:val="0"/>
              </w:rPr>
            </w:pPr>
            <w:r w:rsidRPr="00C6674F">
              <w:rPr>
                <w:rFonts w:ascii="Times New Roman" w:hAnsi="Times New Roman"/>
                <w:i/>
                <w:noProof w:val="0"/>
              </w:rPr>
              <w:t>283.15</w:t>
            </w:r>
          </w:p>
        </w:tc>
        <w:tc>
          <w:tcPr>
            <w:tcW w:w="1276" w:type="dxa"/>
            <w:tcBorders>
              <w:bottom w:val="single" w:sz="4" w:space="0" w:color="auto"/>
            </w:tcBorders>
            <w:shd w:val="clear" w:color="auto" w:fill="auto"/>
            <w:vAlign w:val="center"/>
          </w:tcPr>
          <w:p w14:paraId="53393179" w14:textId="77777777" w:rsidR="00562240" w:rsidRPr="00C6674F" w:rsidRDefault="00562240" w:rsidP="00D67DBB">
            <w:pPr>
              <w:adjustRightInd w:val="0"/>
              <w:snapToGrid w:val="0"/>
              <w:spacing w:line="240" w:lineRule="auto"/>
              <w:jc w:val="center"/>
              <w:rPr>
                <w:rFonts w:ascii="Times New Roman" w:hAnsi="Times New Roman"/>
                <w:i/>
                <w:noProof w:val="0"/>
              </w:rPr>
            </w:pPr>
            <w:r w:rsidRPr="00C6674F">
              <w:rPr>
                <w:rFonts w:ascii="Times New Roman" w:hAnsi="Times New Roman"/>
                <w:i/>
                <w:noProof w:val="0"/>
              </w:rPr>
              <w:t>293.15</w:t>
            </w:r>
          </w:p>
        </w:tc>
        <w:tc>
          <w:tcPr>
            <w:tcW w:w="1275" w:type="dxa"/>
            <w:tcBorders>
              <w:bottom w:val="single" w:sz="4" w:space="0" w:color="auto"/>
            </w:tcBorders>
            <w:shd w:val="clear" w:color="auto" w:fill="auto"/>
            <w:vAlign w:val="center"/>
          </w:tcPr>
          <w:p w14:paraId="542BC439" w14:textId="77777777" w:rsidR="00562240" w:rsidRPr="00C6674F" w:rsidRDefault="00562240" w:rsidP="00D67DBB">
            <w:pPr>
              <w:adjustRightInd w:val="0"/>
              <w:snapToGrid w:val="0"/>
              <w:spacing w:line="240" w:lineRule="auto"/>
              <w:jc w:val="center"/>
              <w:rPr>
                <w:rFonts w:ascii="Times New Roman" w:hAnsi="Times New Roman"/>
                <w:i/>
                <w:noProof w:val="0"/>
              </w:rPr>
            </w:pPr>
            <w:r w:rsidRPr="00C6674F">
              <w:rPr>
                <w:rFonts w:ascii="Times New Roman" w:hAnsi="Times New Roman"/>
                <w:i/>
                <w:noProof w:val="0"/>
              </w:rPr>
              <w:t>303.15</w:t>
            </w:r>
          </w:p>
        </w:tc>
        <w:tc>
          <w:tcPr>
            <w:tcW w:w="1297" w:type="dxa"/>
            <w:tcBorders>
              <w:bottom w:val="single" w:sz="4" w:space="0" w:color="auto"/>
            </w:tcBorders>
            <w:shd w:val="clear" w:color="auto" w:fill="auto"/>
            <w:vAlign w:val="center"/>
          </w:tcPr>
          <w:p w14:paraId="2E13B3AC" w14:textId="77777777" w:rsidR="00562240" w:rsidRPr="00C6674F" w:rsidRDefault="00562240" w:rsidP="00D67DBB">
            <w:pPr>
              <w:adjustRightInd w:val="0"/>
              <w:snapToGrid w:val="0"/>
              <w:spacing w:line="240" w:lineRule="auto"/>
              <w:jc w:val="center"/>
              <w:rPr>
                <w:rFonts w:ascii="Times New Roman" w:hAnsi="Times New Roman"/>
                <w:i/>
                <w:noProof w:val="0"/>
              </w:rPr>
            </w:pPr>
            <w:r w:rsidRPr="00C6674F">
              <w:rPr>
                <w:rFonts w:ascii="Times New Roman" w:hAnsi="Times New Roman"/>
                <w:i/>
                <w:noProof w:val="0"/>
              </w:rPr>
              <w:t>313.15</w:t>
            </w:r>
          </w:p>
        </w:tc>
        <w:tc>
          <w:tcPr>
            <w:tcW w:w="835" w:type="dxa"/>
            <w:tcBorders>
              <w:bottom w:val="single" w:sz="4" w:space="0" w:color="auto"/>
            </w:tcBorders>
            <w:shd w:val="clear" w:color="auto" w:fill="auto"/>
            <w:vAlign w:val="center"/>
          </w:tcPr>
          <w:p w14:paraId="44E095B7" w14:textId="77777777" w:rsidR="00562240" w:rsidRPr="00C6674F" w:rsidRDefault="00562240" w:rsidP="00D67DBB">
            <w:pPr>
              <w:adjustRightInd w:val="0"/>
              <w:snapToGrid w:val="0"/>
              <w:spacing w:line="240" w:lineRule="auto"/>
              <w:jc w:val="center"/>
              <w:rPr>
                <w:rFonts w:ascii="Times New Roman" w:hAnsi="Times New Roman"/>
                <w:i/>
                <w:iCs/>
                <w:noProof w:val="0"/>
              </w:rPr>
            </w:pPr>
            <w:r w:rsidRPr="00C6674F">
              <w:rPr>
                <w:rFonts w:ascii="Times New Roman" w:hAnsi="Times New Roman"/>
                <w:i/>
                <w:iCs/>
                <w:noProof w:val="0"/>
              </w:rPr>
              <w:t>283.15</w:t>
            </w:r>
          </w:p>
        </w:tc>
        <w:tc>
          <w:tcPr>
            <w:tcW w:w="915" w:type="dxa"/>
            <w:tcBorders>
              <w:bottom w:val="single" w:sz="4" w:space="0" w:color="auto"/>
            </w:tcBorders>
            <w:shd w:val="clear" w:color="auto" w:fill="auto"/>
            <w:vAlign w:val="center"/>
          </w:tcPr>
          <w:p w14:paraId="76DC6B36" w14:textId="77777777" w:rsidR="00562240" w:rsidRPr="00C6674F" w:rsidRDefault="00562240" w:rsidP="00D67DBB">
            <w:pPr>
              <w:adjustRightInd w:val="0"/>
              <w:snapToGrid w:val="0"/>
              <w:spacing w:line="240" w:lineRule="auto"/>
              <w:jc w:val="center"/>
              <w:rPr>
                <w:rFonts w:ascii="Times New Roman" w:hAnsi="Times New Roman"/>
                <w:i/>
                <w:iCs/>
                <w:noProof w:val="0"/>
              </w:rPr>
            </w:pPr>
            <w:r w:rsidRPr="00C6674F">
              <w:rPr>
                <w:rFonts w:ascii="Times New Roman" w:hAnsi="Times New Roman"/>
                <w:i/>
                <w:iCs/>
                <w:noProof w:val="0"/>
              </w:rPr>
              <w:t>293.15</w:t>
            </w:r>
          </w:p>
        </w:tc>
        <w:tc>
          <w:tcPr>
            <w:tcW w:w="889" w:type="dxa"/>
            <w:tcBorders>
              <w:bottom w:val="single" w:sz="4" w:space="0" w:color="auto"/>
            </w:tcBorders>
            <w:shd w:val="clear" w:color="auto" w:fill="auto"/>
            <w:vAlign w:val="center"/>
          </w:tcPr>
          <w:p w14:paraId="0109FFBD" w14:textId="77777777" w:rsidR="00562240" w:rsidRPr="00C6674F" w:rsidRDefault="00562240" w:rsidP="00D67DBB">
            <w:pPr>
              <w:adjustRightInd w:val="0"/>
              <w:snapToGrid w:val="0"/>
              <w:spacing w:line="240" w:lineRule="auto"/>
              <w:jc w:val="center"/>
              <w:rPr>
                <w:rFonts w:ascii="Times New Roman" w:hAnsi="Times New Roman"/>
                <w:i/>
                <w:iCs/>
                <w:noProof w:val="0"/>
              </w:rPr>
            </w:pPr>
            <w:r w:rsidRPr="00C6674F">
              <w:rPr>
                <w:rFonts w:ascii="Times New Roman" w:hAnsi="Times New Roman"/>
                <w:i/>
                <w:iCs/>
                <w:noProof w:val="0"/>
              </w:rPr>
              <w:t>303.15</w:t>
            </w:r>
          </w:p>
        </w:tc>
        <w:tc>
          <w:tcPr>
            <w:tcW w:w="893" w:type="dxa"/>
            <w:tcBorders>
              <w:bottom w:val="single" w:sz="4" w:space="0" w:color="auto"/>
            </w:tcBorders>
            <w:shd w:val="clear" w:color="auto" w:fill="auto"/>
            <w:vAlign w:val="center"/>
          </w:tcPr>
          <w:p w14:paraId="77A4B8B8" w14:textId="77777777" w:rsidR="00562240" w:rsidRPr="00C6674F" w:rsidRDefault="00562240" w:rsidP="00D67DBB">
            <w:pPr>
              <w:adjustRightInd w:val="0"/>
              <w:snapToGrid w:val="0"/>
              <w:spacing w:line="240" w:lineRule="auto"/>
              <w:jc w:val="center"/>
              <w:rPr>
                <w:rFonts w:ascii="Times New Roman" w:hAnsi="Times New Roman"/>
                <w:i/>
                <w:iCs/>
                <w:noProof w:val="0"/>
              </w:rPr>
            </w:pPr>
            <w:r w:rsidRPr="00C6674F">
              <w:rPr>
                <w:rFonts w:ascii="Times New Roman" w:hAnsi="Times New Roman"/>
                <w:i/>
                <w:iCs/>
                <w:noProof w:val="0"/>
              </w:rPr>
              <w:t>313.15</w:t>
            </w:r>
          </w:p>
        </w:tc>
      </w:tr>
      <w:tr w:rsidR="00E02BFC" w:rsidRPr="00C6674F" w14:paraId="4AD7C19D" w14:textId="77777777" w:rsidTr="00E02BFC">
        <w:tc>
          <w:tcPr>
            <w:tcW w:w="900" w:type="dxa"/>
            <w:tcBorders>
              <w:top w:val="single" w:sz="4" w:space="0" w:color="auto"/>
            </w:tcBorders>
            <w:shd w:val="clear" w:color="auto" w:fill="auto"/>
            <w:vAlign w:val="center"/>
          </w:tcPr>
          <w:p w14:paraId="504F4527" w14:textId="77777777" w:rsidR="00562240" w:rsidRPr="00C6674F" w:rsidRDefault="00562240" w:rsidP="00D67DBB">
            <w:pPr>
              <w:adjustRightInd w:val="0"/>
              <w:snapToGrid w:val="0"/>
              <w:spacing w:line="240" w:lineRule="auto"/>
              <w:jc w:val="center"/>
              <w:rPr>
                <w:rFonts w:ascii="Times New Roman" w:hAnsi="Times New Roman"/>
                <w:b/>
                <w:bCs/>
                <w:iCs/>
                <w:noProof w:val="0"/>
              </w:rPr>
            </w:pPr>
            <w:r w:rsidRPr="00C6674F">
              <w:rPr>
                <w:rFonts w:ascii="Times New Roman" w:hAnsi="Times New Roman"/>
                <w:b/>
                <w:bCs/>
                <w:iCs/>
                <w:noProof w:val="0"/>
              </w:rPr>
              <w:t>P (psi)</w:t>
            </w:r>
          </w:p>
        </w:tc>
        <w:tc>
          <w:tcPr>
            <w:tcW w:w="1227" w:type="dxa"/>
            <w:tcBorders>
              <w:top w:val="single" w:sz="4" w:space="0" w:color="auto"/>
            </w:tcBorders>
            <w:shd w:val="clear" w:color="auto" w:fill="auto"/>
            <w:vAlign w:val="center"/>
          </w:tcPr>
          <w:p w14:paraId="0C1CB78C" w14:textId="77777777" w:rsidR="00562240" w:rsidRPr="00C6674F" w:rsidRDefault="00562240" w:rsidP="00D67DBB">
            <w:pPr>
              <w:adjustRightInd w:val="0"/>
              <w:snapToGrid w:val="0"/>
              <w:spacing w:line="240" w:lineRule="auto"/>
              <w:jc w:val="center"/>
              <w:rPr>
                <w:rFonts w:ascii="Times New Roman" w:hAnsi="Times New Roman"/>
                <w:iCs/>
                <w:noProof w:val="0"/>
              </w:rPr>
            </w:pPr>
          </w:p>
        </w:tc>
        <w:tc>
          <w:tcPr>
            <w:tcW w:w="1276" w:type="dxa"/>
            <w:tcBorders>
              <w:top w:val="single" w:sz="4" w:space="0" w:color="auto"/>
            </w:tcBorders>
            <w:shd w:val="clear" w:color="auto" w:fill="auto"/>
            <w:vAlign w:val="center"/>
          </w:tcPr>
          <w:p w14:paraId="44BA292F" w14:textId="77777777" w:rsidR="00562240" w:rsidRPr="00C6674F" w:rsidRDefault="00562240" w:rsidP="00D67DBB">
            <w:pPr>
              <w:adjustRightInd w:val="0"/>
              <w:snapToGrid w:val="0"/>
              <w:spacing w:line="240" w:lineRule="auto"/>
              <w:jc w:val="center"/>
              <w:rPr>
                <w:rFonts w:ascii="Times New Roman" w:hAnsi="Times New Roman"/>
                <w:iCs/>
                <w:noProof w:val="0"/>
                <w:color w:val="000000" w:themeColor="text1"/>
              </w:rPr>
            </w:pPr>
          </w:p>
        </w:tc>
        <w:tc>
          <w:tcPr>
            <w:tcW w:w="1275" w:type="dxa"/>
            <w:tcBorders>
              <w:top w:val="single" w:sz="4" w:space="0" w:color="auto"/>
            </w:tcBorders>
            <w:shd w:val="clear" w:color="auto" w:fill="auto"/>
            <w:vAlign w:val="center"/>
          </w:tcPr>
          <w:p w14:paraId="34CADA2C" w14:textId="77777777" w:rsidR="00562240" w:rsidRPr="00C6674F" w:rsidRDefault="00562240" w:rsidP="00D67DBB">
            <w:pPr>
              <w:adjustRightInd w:val="0"/>
              <w:snapToGrid w:val="0"/>
              <w:spacing w:line="240" w:lineRule="auto"/>
              <w:jc w:val="center"/>
              <w:rPr>
                <w:rFonts w:ascii="Times New Roman" w:hAnsi="Times New Roman"/>
                <w:iCs/>
                <w:noProof w:val="0"/>
                <w:color w:val="000000" w:themeColor="text1"/>
              </w:rPr>
            </w:pPr>
          </w:p>
        </w:tc>
        <w:tc>
          <w:tcPr>
            <w:tcW w:w="1297" w:type="dxa"/>
            <w:tcBorders>
              <w:top w:val="single" w:sz="4" w:space="0" w:color="auto"/>
            </w:tcBorders>
            <w:shd w:val="clear" w:color="auto" w:fill="auto"/>
            <w:vAlign w:val="center"/>
          </w:tcPr>
          <w:p w14:paraId="6520AB9D" w14:textId="77777777" w:rsidR="00562240" w:rsidRPr="00C6674F" w:rsidRDefault="00562240" w:rsidP="00D67DBB">
            <w:pPr>
              <w:adjustRightInd w:val="0"/>
              <w:snapToGrid w:val="0"/>
              <w:spacing w:line="240" w:lineRule="auto"/>
              <w:jc w:val="center"/>
              <w:rPr>
                <w:rFonts w:ascii="Times New Roman" w:hAnsi="Times New Roman"/>
                <w:iCs/>
                <w:noProof w:val="0"/>
              </w:rPr>
            </w:pPr>
          </w:p>
        </w:tc>
        <w:tc>
          <w:tcPr>
            <w:tcW w:w="835" w:type="dxa"/>
            <w:tcBorders>
              <w:top w:val="single" w:sz="4" w:space="0" w:color="auto"/>
            </w:tcBorders>
            <w:shd w:val="clear" w:color="auto" w:fill="auto"/>
            <w:vAlign w:val="center"/>
          </w:tcPr>
          <w:p w14:paraId="316499E0" w14:textId="77777777" w:rsidR="00562240" w:rsidRPr="00C6674F" w:rsidRDefault="00562240" w:rsidP="00D67DBB">
            <w:pPr>
              <w:adjustRightInd w:val="0"/>
              <w:snapToGrid w:val="0"/>
              <w:spacing w:line="240" w:lineRule="auto"/>
              <w:jc w:val="center"/>
              <w:rPr>
                <w:rFonts w:ascii="Times New Roman" w:hAnsi="Times New Roman"/>
                <w:iCs/>
                <w:noProof w:val="0"/>
              </w:rPr>
            </w:pPr>
          </w:p>
        </w:tc>
        <w:tc>
          <w:tcPr>
            <w:tcW w:w="915" w:type="dxa"/>
            <w:tcBorders>
              <w:top w:val="single" w:sz="4" w:space="0" w:color="auto"/>
            </w:tcBorders>
            <w:shd w:val="clear" w:color="auto" w:fill="auto"/>
            <w:vAlign w:val="center"/>
          </w:tcPr>
          <w:p w14:paraId="7B6FF92B" w14:textId="77777777" w:rsidR="00562240" w:rsidRPr="00C6674F" w:rsidRDefault="00562240" w:rsidP="00D67DBB">
            <w:pPr>
              <w:adjustRightInd w:val="0"/>
              <w:snapToGrid w:val="0"/>
              <w:spacing w:line="240" w:lineRule="auto"/>
              <w:jc w:val="center"/>
              <w:rPr>
                <w:rFonts w:ascii="Times New Roman" w:hAnsi="Times New Roman"/>
                <w:iCs/>
                <w:noProof w:val="0"/>
              </w:rPr>
            </w:pPr>
          </w:p>
        </w:tc>
        <w:tc>
          <w:tcPr>
            <w:tcW w:w="889" w:type="dxa"/>
            <w:tcBorders>
              <w:top w:val="single" w:sz="4" w:space="0" w:color="auto"/>
            </w:tcBorders>
            <w:shd w:val="clear" w:color="auto" w:fill="auto"/>
            <w:vAlign w:val="center"/>
          </w:tcPr>
          <w:p w14:paraId="11B6DBD0" w14:textId="77777777" w:rsidR="00562240" w:rsidRPr="00C6674F" w:rsidRDefault="00562240" w:rsidP="00D67DBB">
            <w:pPr>
              <w:adjustRightInd w:val="0"/>
              <w:snapToGrid w:val="0"/>
              <w:spacing w:line="240" w:lineRule="auto"/>
              <w:jc w:val="center"/>
              <w:rPr>
                <w:rFonts w:ascii="Times New Roman" w:hAnsi="Times New Roman"/>
                <w:iCs/>
                <w:noProof w:val="0"/>
              </w:rPr>
            </w:pPr>
          </w:p>
        </w:tc>
        <w:tc>
          <w:tcPr>
            <w:tcW w:w="893" w:type="dxa"/>
            <w:tcBorders>
              <w:top w:val="single" w:sz="4" w:space="0" w:color="auto"/>
            </w:tcBorders>
            <w:shd w:val="clear" w:color="auto" w:fill="auto"/>
            <w:vAlign w:val="center"/>
          </w:tcPr>
          <w:p w14:paraId="2F1B7156" w14:textId="77777777" w:rsidR="00562240" w:rsidRPr="00C6674F" w:rsidRDefault="00562240" w:rsidP="00D67DBB">
            <w:pPr>
              <w:adjustRightInd w:val="0"/>
              <w:snapToGrid w:val="0"/>
              <w:spacing w:line="240" w:lineRule="auto"/>
              <w:jc w:val="center"/>
              <w:rPr>
                <w:rFonts w:ascii="Times New Roman" w:hAnsi="Times New Roman"/>
                <w:iCs/>
                <w:noProof w:val="0"/>
              </w:rPr>
            </w:pPr>
          </w:p>
        </w:tc>
      </w:tr>
      <w:tr w:rsidR="00E02BFC" w:rsidRPr="00C6674F" w14:paraId="593FD5D1" w14:textId="77777777" w:rsidTr="00E02BFC">
        <w:tc>
          <w:tcPr>
            <w:tcW w:w="900" w:type="dxa"/>
            <w:shd w:val="clear" w:color="auto" w:fill="auto"/>
            <w:vAlign w:val="center"/>
          </w:tcPr>
          <w:p w14:paraId="522B87EA"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100</w:t>
            </w:r>
          </w:p>
        </w:tc>
        <w:tc>
          <w:tcPr>
            <w:tcW w:w="1227" w:type="dxa"/>
            <w:shd w:val="clear" w:color="auto" w:fill="auto"/>
            <w:vAlign w:val="center"/>
          </w:tcPr>
          <w:p w14:paraId="6B09FAB7"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0.91 ± 0.08</w:t>
            </w:r>
          </w:p>
        </w:tc>
        <w:tc>
          <w:tcPr>
            <w:tcW w:w="1276" w:type="dxa"/>
            <w:shd w:val="clear" w:color="auto" w:fill="auto"/>
            <w:vAlign w:val="center"/>
          </w:tcPr>
          <w:p w14:paraId="78E42F18"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0.65 ± 0.01</w:t>
            </w:r>
          </w:p>
        </w:tc>
        <w:tc>
          <w:tcPr>
            <w:tcW w:w="1275" w:type="dxa"/>
            <w:shd w:val="clear" w:color="auto" w:fill="auto"/>
            <w:vAlign w:val="center"/>
          </w:tcPr>
          <w:p w14:paraId="64EFAC38"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0.57 ± 0.02</w:t>
            </w:r>
          </w:p>
        </w:tc>
        <w:tc>
          <w:tcPr>
            <w:tcW w:w="1297" w:type="dxa"/>
            <w:shd w:val="clear" w:color="auto" w:fill="auto"/>
            <w:vAlign w:val="center"/>
          </w:tcPr>
          <w:p w14:paraId="59AECDF6"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0.55 ± 0.01</w:t>
            </w:r>
          </w:p>
        </w:tc>
        <w:tc>
          <w:tcPr>
            <w:tcW w:w="835" w:type="dxa"/>
            <w:shd w:val="clear" w:color="auto" w:fill="auto"/>
            <w:vAlign w:val="center"/>
          </w:tcPr>
          <w:p w14:paraId="22204C9B"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0.73</w:t>
            </w:r>
          </w:p>
        </w:tc>
        <w:tc>
          <w:tcPr>
            <w:tcW w:w="915" w:type="dxa"/>
            <w:shd w:val="clear" w:color="auto" w:fill="auto"/>
            <w:vAlign w:val="center"/>
          </w:tcPr>
          <w:p w14:paraId="4C27A1E9"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0.86</w:t>
            </w:r>
          </w:p>
        </w:tc>
        <w:tc>
          <w:tcPr>
            <w:tcW w:w="889" w:type="dxa"/>
            <w:shd w:val="clear" w:color="auto" w:fill="auto"/>
            <w:vAlign w:val="center"/>
          </w:tcPr>
          <w:p w14:paraId="277B4C0D"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0.67</w:t>
            </w:r>
          </w:p>
        </w:tc>
        <w:tc>
          <w:tcPr>
            <w:tcW w:w="893" w:type="dxa"/>
            <w:shd w:val="clear" w:color="auto" w:fill="auto"/>
            <w:vAlign w:val="center"/>
          </w:tcPr>
          <w:p w14:paraId="4021517C"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0.49</w:t>
            </w:r>
          </w:p>
        </w:tc>
      </w:tr>
      <w:tr w:rsidR="00E02BFC" w:rsidRPr="00C6674F" w14:paraId="2AD6C093" w14:textId="77777777" w:rsidTr="00E02BFC">
        <w:tc>
          <w:tcPr>
            <w:tcW w:w="900" w:type="dxa"/>
            <w:shd w:val="clear" w:color="auto" w:fill="auto"/>
            <w:vAlign w:val="center"/>
          </w:tcPr>
          <w:p w14:paraId="00FA8F9E"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150</w:t>
            </w:r>
          </w:p>
        </w:tc>
        <w:tc>
          <w:tcPr>
            <w:tcW w:w="1227" w:type="dxa"/>
            <w:shd w:val="clear" w:color="auto" w:fill="auto"/>
            <w:vAlign w:val="center"/>
          </w:tcPr>
          <w:p w14:paraId="276447F6"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1.16 ± 0.04</w:t>
            </w:r>
          </w:p>
        </w:tc>
        <w:tc>
          <w:tcPr>
            <w:tcW w:w="1276" w:type="dxa"/>
            <w:shd w:val="clear" w:color="auto" w:fill="auto"/>
            <w:vAlign w:val="center"/>
          </w:tcPr>
          <w:p w14:paraId="4D297E9C"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0.89 ± 0.06</w:t>
            </w:r>
          </w:p>
        </w:tc>
        <w:tc>
          <w:tcPr>
            <w:tcW w:w="1275" w:type="dxa"/>
            <w:shd w:val="clear" w:color="auto" w:fill="auto"/>
            <w:vAlign w:val="center"/>
          </w:tcPr>
          <w:p w14:paraId="4BEB0EA2"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0.77 ± 0.04</w:t>
            </w:r>
          </w:p>
        </w:tc>
        <w:tc>
          <w:tcPr>
            <w:tcW w:w="1297" w:type="dxa"/>
            <w:shd w:val="clear" w:color="auto" w:fill="auto"/>
            <w:vAlign w:val="center"/>
          </w:tcPr>
          <w:p w14:paraId="139D4AD9"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0.73 ± 0.05</w:t>
            </w:r>
          </w:p>
        </w:tc>
        <w:tc>
          <w:tcPr>
            <w:tcW w:w="835" w:type="dxa"/>
            <w:shd w:val="clear" w:color="auto" w:fill="auto"/>
            <w:vAlign w:val="center"/>
          </w:tcPr>
          <w:p w14:paraId="144D3330"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1.06</w:t>
            </w:r>
          </w:p>
        </w:tc>
        <w:tc>
          <w:tcPr>
            <w:tcW w:w="915" w:type="dxa"/>
            <w:shd w:val="clear" w:color="auto" w:fill="auto"/>
            <w:vAlign w:val="center"/>
          </w:tcPr>
          <w:p w14:paraId="70B16F6F"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1.13</w:t>
            </w:r>
          </w:p>
        </w:tc>
        <w:tc>
          <w:tcPr>
            <w:tcW w:w="889" w:type="dxa"/>
            <w:shd w:val="clear" w:color="auto" w:fill="auto"/>
            <w:vAlign w:val="center"/>
          </w:tcPr>
          <w:p w14:paraId="620CDB99"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0.88</w:t>
            </w:r>
          </w:p>
        </w:tc>
        <w:tc>
          <w:tcPr>
            <w:tcW w:w="893" w:type="dxa"/>
            <w:shd w:val="clear" w:color="auto" w:fill="auto"/>
            <w:vAlign w:val="center"/>
          </w:tcPr>
          <w:p w14:paraId="22517A8A"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0.66</w:t>
            </w:r>
          </w:p>
        </w:tc>
      </w:tr>
      <w:tr w:rsidR="00E02BFC" w:rsidRPr="00C6674F" w14:paraId="61832FE2" w14:textId="77777777" w:rsidTr="00E02BFC">
        <w:tc>
          <w:tcPr>
            <w:tcW w:w="900" w:type="dxa"/>
            <w:tcBorders>
              <w:bottom w:val="single" w:sz="8" w:space="0" w:color="auto"/>
            </w:tcBorders>
            <w:shd w:val="clear" w:color="auto" w:fill="auto"/>
            <w:vAlign w:val="center"/>
          </w:tcPr>
          <w:p w14:paraId="0BA682F9"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200</w:t>
            </w:r>
          </w:p>
        </w:tc>
        <w:tc>
          <w:tcPr>
            <w:tcW w:w="1227" w:type="dxa"/>
            <w:tcBorders>
              <w:bottom w:val="single" w:sz="8" w:space="0" w:color="auto"/>
            </w:tcBorders>
            <w:shd w:val="clear" w:color="auto" w:fill="auto"/>
            <w:vAlign w:val="center"/>
          </w:tcPr>
          <w:p w14:paraId="0DFB4D72"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1.28 ± 0.08</w:t>
            </w:r>
          </w:p>
        </w:tc>
        <w:tc>
          <w:tcPr>
            <w:tcW w:w="1276" w:type="dxa"/>
            <w:tcBorders>
              <w:bottom w:val="single" w:sz="8" w:space="0" w:color="auto"/>
            </w:tcBorders>
            <w:shd w:val="clear" w:color="auto" w:fill="auto"/>
            <w:vAlign w:val="center"/>
          </w:tcPr>
          <w:p w14:paraId="7CD6D0B9"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1.19 ± 0.01</w:t>
            </w:r>
          </w:p>
        </w:tc>
        <w:tc>
          <w:tcPr>
            <w:tcW w:w="1275" w:type="dxa"/>
            <w:tcBorders>
              <w:bottom w:val="single" w:sz="8" w:space="0" w:color="auto"/>
            </w:tcBorders>
            <w:shd w:val="clear" w:color="auto" w:fill="auto"/>
            <w:vAlign w:val="center"/>
          </w:tcPr>
          <w:p w14:paraId="58123FE4"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1.06 ± 0.04</w:t>
            </w:r>
          </w:p>
        </w:tc>
        <w:tc>
          <w:tcPr>
            <w:tcW w:w="1297" w:type="dxa"/>
            <w:tcBorders>
              <w:bottom w:val="single" w:sz="8" w:space="0" w:color="auto"/>
            </w:tcBorders>
            <w:shd w:val="clear" w:color="auto" w:fill="auto"/>
            <w:vAlign w:val="center"/>
          </w:tcPr>
          <w:p w14:paraId="4F2A033D"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0.98 ± 0.02</w:t>
            </w:r>
          </w:p>
        </w:tc>
        <w:tc>
          <w:tcPr>
            <w:tcW w:w="835" w:type="dxa"/>
            <w:tcBorders>
              <w:bottom w:val="single" w:sz="8" w:space="0" w:color="auto"/>
            </w:tcBorders>
            <w:shd w:val="clear" w:color="auto" w:fill="auto"/>
            <w:vAlign w:val="center"/>
          </w:tcPr>
          <w:p w14:paraId="19CB2D34"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1.32</w:t>
            </w:r>
          </w:p>
        </w:tc>
        <w:tc>
          <w:tcPr>
            <w:tcW w:w="915" w:type="dxa"/>
            <w:tcBorders>
              <w:bottom w:val="single" w:sz="8" w:space="0" w:color="auto"/>
            </w:tcBorders>
            <w:shd w:val="clear" w:color="auto" w:fill="auto"/>
            <w:vAlign w:val="center"/>
          </w:tcPr>
          <w:p w14:paraId="2291E8E7"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1.44</w:t>
            </w:r>
          </w:p>
        </w:tc>
        <w:tc>
          <w:tcPr>
            <w:tcW w:w="889" w:type="dxa"/>
            <w:tcBorders>
              <w:bottom w:val="single" w:sz="8" w:space="0" w:color="auto"/>
            </w:tcBorders>
            <w:shd w:val="clear" w:color="auto" w:fill="auto"/>
            <w:vAlign w:val="center"/>
          </w:tcPr>
          <w:p w14:paraId="52A0A48F"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1.11</w:t>
            </w:r>
          </w:p>
        </w:tc>
        <w:tc>
          <w:tcPr>
            <w:tcW w:w="893" w:type="dxa"/>
            <w:tcBorders>
              <w:bottom w:val="single" w:sz="8" w:space="0" w:color="auto"/>
            </w:tcBorders>
            <w:shd w:val="clear" w:color="auto" w:fill="auto"/>
            <w:vAlign w:val="center"/>
          </w:tcPr>
          <w:p w14:paraId="77D5D617" w14:textId="77777777" w:rsidR="00562240" w:rsidRPr="00C6674F" w:rsidRDefault="00562240" w:rsidP="00D67DBB">
            <w:pPr>
              <w:adjustRightInd w:val="0"/>
              <w:snapToGrid w:val="0"/>
              <w:spacing w:line="240" w:lineRule="auto"/>
              <w:jc w:val="center"/>
              <w:rPr>
                <w:rFonts w:ascii="Times New Roman" w:hAnsi="Times New Roman"/>
                <w:iCs/>
                <w:noProof w:val="0"/>
              </w:rPr>
            </w:pPr>
            <w:r w:rsidRPr="00C6674F">
              <w:rPr>
                <w:rFonts w:ascii="Times New Roman" w:hAnsi="Times New Roman"/>
                <w:iCs/>
                <w:noProof w:val="0"/>
              </w:rPr>
              <w:t>0.85</w:t>
            </w:r>
          </w:p>
        </w:tc>
      </w:tr>
    </w:tbl>
    <w:p w14:paraId="65EC46E0" w14:textId="00AC6078" w:rsidR="00562240" w:rsidRPr="00C6674F" w:rsidRDefault="000002D4" w:rsidP="00D67DBB">
      <w:pPr>
        <w:pStyle w:val="MDPI23heading3"/>
        <w:spacing w:before="240"/>
      </w:pPr>
      <w:bookmarkStart w:id="8" w:name="_Toc91710542"/>
      <w:r w:rsidRPr="00C6674F">
        <w:t>S</w:t>
      </w:r>
      <w:r w:rsidR="00A25069" w:rsidRPr="00C6674F">
        <w:t xml:space="preserve">2.3.2. </w:t>
      </w:r>
      <w:r w:rsidR="00562240" w:rsidRPr="00C6674F">
        <w:t>Dynamic Method</w:t>
      </w:r>
    </w:p>
    <w:p w14:paraId="3467E85A" w14:textId="77777777" w:rsidR="00562240" w:rsidRPr="00C6674F" w:rsidRDefault="00562240" w:rsidP="00997633">
      <w:pPr>
        <w:adjustRightInd w:val="0"/>
        <w:snapToGrid w:val="0"/>
        <w:ind w:left="2550"/>
        <w:jc w:val="center"/>
        <w:rPr>
          <w:rFonts w:ascii="Times New Roman" w:hAnsi="Times New Roman"/>
          <w:noProof w:val="0"/>
        </w:rPr>
      </w:pPr>
      <w:r w:rsidRPr="00C6674F">
        <w:rPr>
          <w:rFonts w:ascii="Times New Roman" w:hAnsi="Times New Roman"/>
        </w:rPr>
        <w:drawing>
          <wp:inline distT="0" distB="0" distL="0" distR="0" wp14:anchorId="45954110" wp14:editId="1C65F2E1">
            <wp:extent cx="4857750" cy="3711300"/>
            <wp:effectExtent l="0" t="0" r="0" b="381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9962" cy="3720630"/>
                    </a:xfrm>
                    <a:prstGeom prst="rect">
                      <a:avLst/>
                    </a:prstGeom>
                  </pic:spPr>
                </pic:pic>
              </a:graphicData>
            </a:graphic>
          </wp:inline>
        </w:drawing>
      </w:r>
    </w:p>
    <w:p w14:paraId="114995FF" w14:textId="0FDF3940" w:rsidR="00562240" w:rsidRPr="00C6674F" w:rsidRDefault="00E02BFC" w:rsidP="00D67DBB">
      <w:pPr>
        <w:pStyle w:val="MDPI51figurecaption"/>
        <w:jc w:val="both"/>
      </w:pPr>
      <w:r w:rsidRPr="00C6674F">
        <w:rPr>
          <w:b/>
          <w:bCs/>
        </w:rPr>
        <w:t xml:space="preserve">Figure S5. </w:t>
      </w:r>
      <w:r w:rsidR="00562240" w:rsidRPr="00C6674F">
        <w:t>The effect of adding IL on the equilibrium absorption capacity of PVDF-HFP:IL (GNP) mixtures at three different pressures of (A) 100, B) 150, and C) 200 psia. Each data point is the average of four measurements presented with a standard deviation. (D) Polarized Microscopy Images showing the spherulites grown from different Polymer/IL mixtures with various GNP content.</w:t>
      </w:r>
    </w:p>
    <w:p w14:paraId="4F0C0E2F" w14:textId="11BC7746" w:rsidR="00562240" w:rsidRPr="00C6674F" w:rsidRDefault="000002D4" w:rsidP="00D67DBB">
      <w:pPr>
        <w:pStyle w:val="MDPI23heading3"/>
        <w:spacing w:before="240"/>
      </w:pPr>
      <w:r w:rsidRPr="00C6674F">
        <w:t>S</w:t>
      </w:r>
      <w:r w:rsidR="00A25069" w:rsidRPr="00C6674F">
        <w:t xml:space="preserve">2.3.3. </w:t>
      </w:r>
      <w:r w:rsidR="00562240" w:rsidRPr="00C6674F">
        <w:t>Heat of Absorption</w:t>
      </w:r>
      <w:bookmarkEnd w:id="8"/>
    </w:p>
    <w:p w14:paraId="1C8903E8" w14:textId="42F3D5A4" w:rsidR="00562240" w:rsidRPr="00C6674F" w:rsidRDefault="00562240" w:rsidP="00D67DBB">
      <w:pPr>
        <w:pStyle w:val="MDPI31text"/>
      </w:pPr>
      <w:r w:rsidRPr="00C6674F">
        <w:t>The enthalpy (or heat) of absorption was estimated by conducting separate experiments, where the temperature were kept constant, and the equilibrium pressures and the corresponding mole uptake were measured. From the slopes of the graph of the natural logarithm of dimensionless pressure vs. inverse temperature (in Kelvin), the heat of absorption under isosteric condition were estimated following Equation 4.</w:t>
      </w:r>
      <w:r w:rsidRPr="00C6674F">
        <w:fldChar w:fldCharType="begin"/>
      </w:r>
      <w:r w:rsidRPr="00C6674F">
        <w:instrText xml:space="preserve"> ADDIN ZOTERO_ITEM CSL_CITATION {"citationID":"RWzt5imz","properties":{"formattedCitation":"\\super 10\\nosupersub{}","plainCitation":"10","noteIndex":0},"citationItems":[{"id":351,"uris":["http://zotero.org/groups/4545406/items/QT27H6RR"],"itemData":{"id":351,"type":"chapter","container-title":"The adsorption of gases and vapors","edition":"0","language":"English","page":"218-270","publisher":"H. Milford, Oxford University Press","title":"Chapter VIII: The Heat of Adsorption II","URL":"https://books.google.com/books/about/The_Adsorption_of_Gases_and_Vapors.html?id=SpEfAQAAMAAJ","volume":"1","author":[{"family":"Brunauer","given":"Stephen"}],"issued":{"date-parts":[["1943",1,1]]}}}],"schema":"https://github.com/citation-style-language/schema/raw/master/csl-citation.json"} </w:instrText>
      </w:r>
      <w:r w:rsidRPr="00C6674F">
        <w:fldChar w:fldCharType="separate"/>
      </w:r>
      <w:r w:rsidRPr="00C6674F">
        <w:rPr>
          <w:szCs w:val="24"/>
          <w:vertAlign w:val="superscript"/>
        </w:rPr>
        <w:t>10</w:t>
      </w:r>
      <w:r w:rsidRPr="00C6674F">
        <w:fldChar w:fldCharType="end"/>
      </w:r>
    </w:p>
    <w:p w14:paraId="4F67A529" w14:textId="58B79DFA" w:rsidR="00562240" w:rsidRPr="00C6674F" w:rsidRDefault="00562240" w:rsidP="00D67DBB">
      <w:pPr>
        <w:pStyle w:val="MDPI31text"/>
        <w:rPr>
          <w:bCs/>
        </w:rPr>
      </w:pPr>
      <w:r w:rsidRPr="00C6674F">
        <w:t>-∆H</w:t>
      </w:r>
      <w:r w:rsidRPr="00C6674F">
        <w:rPr>
          <w:vertAlign w:val="subscript"/>
        </w:rPr>
        <w:t xml:space="preserve">ads </w:t>
      </w:r>
      <w:r w:rsidRPr="00C6674F">
        <w:t>/ R=</w:t>
      </w:r>
      <w:r w:rsidR="00D67DBB" w:rsidRPr="00C6674F">
        <w:t xml:space="preserve"> </w:t>
      </w:r>
      <w:r w:rsidRPr="00C6674F">
        <w:t>d/dT</w:t>
      </w:r>
      <w:r w:rsidR="004E3BB7" w:rsidRPr="00C6674F">
        <w:rPr>
          <w:vertAlign w:val="superscript"/>
        </w:rPr>
        <w:t xml:space="preserve"> </w:t>
      </w:r>
      <w:r w:rsidRPr="00C6674F">
        <w:t>[ln(P/kPa)]</w:t>
      </w:r>
      <w:r w:rsidRPr="00C6674F">
        <w:rPr>
          <w:vertAlign w:val="subscript"/>
        </w:rPr>
        <w:t>N</w:t>
      </w:r>
      <w:r w:rsidRPr="00C6674F">
        <w:rPr>
          <w:bCs/>
        </w:rPr>
        <w:tab/>
        <w:t>(4)</w:t>
      </w:r>
    </w:p>
    <w:p w14:paraId="5637F37B" w14:textId="1BF6E648" w:rsidR="00562240" w:rsidRPr="00C6674F" w:rsidRDefault="00562240" w:rsidP="00D67DBB">
      <w:pPr>
        <w:pStyle w:val="MDPI31text"/>
      </w:pPr>
      <w:r w:rsidRPr="00C6674F">
        <w:rPr>
          <w:color w:val="000000" w:themeColor="text1"/>
        </w:rPr>
        <w:t xml:space="preserve">Where </w:t>
      </w:r>
      <w:r w:rsidRPr="00C6674F">
        <w:rPr>
          <w:i/>
          <w:iCs/>
          <w:color w:val="000000" w:themeColor="text1"/>
        </w:rPr>
        <w:t xml:space="preserve">P </w:t>
      </w:r>
      <w:r w:rsidRPr="00C6674F">
        <w:rPr>
          <w:color w:val="000000" w:themeColor="text1"/>
        </w:rPr>
        <w:t xml:space="preserve">and </w:t>
      </w:r>
      <w:r w:rsidRPr="00C6674F">
        <w:rPr>
          <w:i/>
          <w:iCs/>
        </w:rPr>
        <w:t>T</w:t>
      </w:r>
      <w:r w:rsidRPr="00C6674F">
        <w:t xml:space="preserve"> are the pressure of the adsorbate at equilibrium (kPa) and the absolute temperature (K), respectively; R is an ideal gas constant (R</w:t>
      </w:r>
      <w:r w:rsidRPr="00C6674F">
        <w:rPr>
          <w:i/>
          <w:iCs/>
        </w:rPr>
        <w:t xml:space="preserve"> = </w:t>
      </w:r>
      <w:r w:rsidRPr="00C6674F">
        <w:t>8.314 x 10</w:t>
      </w:r>
      <w:r w:rsidR="00D67DBB" w:rsidRPr="00C6674F">
        <w:rPr>
          <w:vertAlign w:val="superscript"/>
        </w:rPr>
        <w:t>−3</w:t>
      </w:r>
      <w:r w:rsidRPr="00C6674F">
        <w:t xml:space="preserve"> kJmol</w:t>
      </w:r>
      <w:r w:rsidR="00D67DBB" w:rsidRPr="00C6674F">
        <w:rPr>
          <w:vertAlign w:val="superscript"/>
        </w:rPr>
        <w:t>−1</w:t>
      </w:r>
      <w:r w:rsidRPr="00C6674F">
        <w:t>K</w:t>
      </w:r>
      <w:r w:rsidR="00D67DBB" w:rsidRPr="00C6674F">
        <w:rPr>
          <w:vertAlign w:val="superscript"/>
        </w:rPr>
        <w:t>−</w:t>
      </w:r>
      <w:r w:rsidR="00D67DBB" w:rsidRPr="00C6674F">
        <w:rPr>
          <w:i/>
          <w:iCs/>
          <w:vertAlign w:val="superscript"/>
        </w:rPr>
        <w:t>1</w:t>
      </w:r>
      <w:r w:rsidRPr="00C6674F">
        <w:t xml:space="preserve">); N is the excess molar concentration; </w:t>
      </w:r>
      <w:r w:rsidRPr="00C6674F">
        <w:rPr>
          <w:i/>
          <w:iCs/>
        </w:rPr>
        <w:t>∆H</w:t>
      </w:r>
      <w:r w:rsidRPr="00C6674F">
        <w:rPr>
          <w:i/>
          <w:iCs/>
          <w:vertAlign w:val="subscript"/>
        </w:rPr>
        <w:t>ads</w:t>
      </w:r>
      <w:r w:rsidRPr="00C6674F">
        <w:rPr>
          <w:i/>
          <w:iCs/>
        </w:rPr>
        <w:t xml:space="preserve"> </w:t>
      </w:r>
      <w:r w:rsidRPr="00C6674F">
        <w:t xml:space="preserve">is an enthalpy of sorption (kJ/mol). </w:t>
      </w:r>
      <w:bookmarkStart w:id="9" w:name="_Hlk91549107"/>
      <w:r w:rsidRPr="00C6674F">
        <w:t>An example of the enthalpy of adsorption is shown in Table S3 &amp; S4.</w:t>
      </w:r>
    </w:p>
    <w:p w14:paraId="70CBB953" w14:textId="022EB9CB" w:rsidR="00562240" w:rsidRPr="00C6674F" w:rsidRDefault="00A25069" w:rsidP="00D67DBB">
      <w:pPr>
        <w:pStyle w:val="MDPI41tablecaption"/>
        <w:jc w:val="both"/>
      </w:pPr>
      <w:r w:rsidRPr="00C6674F">
        <w:rPr>
          <w:b/>
          <w:bCs/>
        </w:rPr>
        <w:t xml:space="preserve">Table S3. </w:t>
      </w:r>
      <w:r w:rsidR="00562240" w:rsidRPr="00C6674F">
        <w:t>Sorption isotherms dataset of 50:50 Polymer:IL at different temperatures and 11 different pressures. The data are the average of five different measurements presented with one standard deviation.</w:t>
      </w:r>
    </w:p>
    <w:p w14:paraId="559A453C" w14:textId="77777777" w:rsidR="00BC6F0D" w:rsidRPr="00C6674F" w:rsidRDefault="00BC6F0D" w:rsidP="00D67DBB">
      <w:pPr>
        <w:pStyle w:val="MDPI41tablecaption"/>
        <w:jc w:val="both"/>
        <w:rPr>
          <w:b/>
          <w:bCs/>
        </w:rPr>
      </w:pPr>
    </w:p>
    <w:tbl>
      <w:tblPr>
        <w:tblW w:w="0" w:type="auto"/>
        <w:tblInd w:w="1932" w:type="dxa"/>
        <w:tblLook w:val="04A0" w:firstRow="1" w:lastRow="0" w:firstColumn="1" w:lastColumn="0" w:noHBand="0" w:noVBand="1"/>
      </w:tblPr>
      <w:tblGrid>
        <w:gridCol w:w="718"/>
        <w:gridCol w:w="1012"/>
        <w:gridCol w:w="1638"/>
        <w:gridCol w:w="34"/>
        <w:gridCol w:w="1604"/>
        <w:gridCol w:w="97"/>
        <w:gridCol w:w="1541"/>
        <w:gridCol w:w="160"/>
        <w:gridCol w:w="1478"/>
        <w:gridCol w:w="6"/>
      </w:tblGrid>
      <w:tr w:rsidR="00562240" w:rsidRPr="00C6674F" w14:paraId="15C5AA13" w14:textId="77777777" w:rsidTr="006A5778">
        <w:trPr>
          <w:gridAfter w:val="1"/>
          <w:wAfter w:w="6" w:type="dxa"/>
          <w:trHeight w:val="412"/>
        </w:trPr>
        <w:tc>
          <w:tcPr>
            <w:tcW w:w="1730" w:type="dxa"/>
            <w:gridSpan w:val="2"/>
            <w:tcBorders>
              <w:bottom w:val="single" w:sz="4" w:space="0" w:color="auto"/>
              <w:right w:val="single" w:sz="8" w:space="0" w:color="auto"/>
              <w:tl2br w:val="single" w:sz="4" w:space="0" w:color="auto"/>
            </w:tcBorders>
            <w:vAlign w:val="center"/>
          </w:tcPr>
          <w:p w14:paraId="5291A1FB" w14:textId="1EACD0B3" w:rsidR="00562240" w:rsidRPr="00C6674F" w:rsidRDefault="00562240" w:rsidP="00D67DBB">
            <w:pPr>
              <w:tabs>
                <w:tab w:val="left" w:pos="8647"/>
              </w:tabs>
              <w:adjustRightInd w:val="0"/>
              <w:snapToGrid w:val="0"/>
              <w:rPr>
                <w:rFonts w:ascii="Times New Roman" w:hAnsi="Times New Roman"/>
                <w:noProof w:val="0"/>
                <w:vertAlign w:val="superscript"/>
              </w:rPr>
            </w:pPr>
            <w:r w:rsidRPr="00C6674F">
              <w:rPr>
                <w:rFonts w:ascii="Times New Roman" w:hAnsi="Times New Roman"/>
                <w:noProof w:val="0"/>
                <w:sz w:val="24"/>
                <w:szCs w:val="24"/>
              </w:rPr>
              <w:t xml:space="preserve"> P        </w:t>
            </w:r>
            <w:r w:rsidRPr="00C6674F">
              <w:rPr>
                <w:rFonts w:ascii="Times New Roman" w:hAnsi="Times New Roman"/>
                <w:noProof w:val="0"/>
                <w:sz w:val="36"/>
                <w:szCs w:val="36"/>
                <w:vertAlign w:val="superscript"/>
              </w:rPr>
              <w:t>T (K)</w:t>
            </w:r>
          </w:p>
        </w:tc>
        <w:tc>
          <w:tcPr>
            <w:tcW w:w="1638" w:type="dxa"/>
            <w:tcBorders>
              <w:left w:val="single" w:sz="8" w:space="0" w:color="auto"/>
              <w:bottom w:val="single" w:sz="4" w:space="0" w:color="auto"/>
            </w:tcBorders>
            <w:noWrap/>
            <w:vAlign w:val="center"/>
          </w:tcPr>
          <w:p w14:paraId="38000BB3"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283.66 ±</w:t>
            </w:r>
            <w:r w:rsidRPr="00C6674F">
              <w:rPr>
                <w:rFonts w:ascii="Times New Roman" w:eastAsiaTheme="minorEastAsia" w:hAnsi="Times New Roman"/>
                <w:noProof w:val="0"/>
              </w:rPr>
              <w:t xml:space="preserve"> 0.2</w:t>
            </w:r>
          </w:p>
        </w:tc>
        <w:tc>
          <w:tcPr>
            <w:tcW w:w="1638" w:type="dxa"/>
            <w:gridSpan w:val="2"/>
            <w:tcBorders>
              <w:left w:val="single" w:sz="8" w:space="0" w:color="auto"/>
              <w:bottom w:val="single" w:sz="4" w:space="0" w:color="auto"/>
            </w:tcBorders>
            <w:vAlign w:val="center"/>
          </w:tcPr>
          <w:p w14:paraId="74CDB2FB"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293.81 ±</w:t>
            </w:r>
            <w:r w:rsidRPr="00C6674F">
              <w:rPr>
                <w:rFonts w:ascii="Times New Roman" w:eastAsiaTheme="minorEastAsia" w:hAnsi="Times New Roman"/>
                <w:noProof w:val="0"/>
              </w:rPr>
              <w:t xml:space="preserve"> 0.1</w:t>
            </w:r>
          </w:p>
        </w:tc>
        <w:tc>
          <w:tcPr>
            <w:tcW w:w="1638" w:type="dxa"/>
            <w:gridSpan w:val="2"/>
            <w:tcBorders>
              <w:left w:val="single" w:sz="8" w:space="0" w:color="auto"/>
              <w:bottom w:val="single" w:sz="4" w:space="0" w:color="auto"/>
            </w:tcBorders>
            <w:vAlign w:val="center"/>
          </w:tcPr>
          <w:p w14:paraId="1258490A"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303.25 ± 0.2</w:t>
            </w:r>
          </w:p>
        </w:tc>
        <w:tc>
          <w:tcPr>
            <w:tcW w:w="1638" w:type="dxa"/>
            <w:gridSpan w:val="2"/>
            <w:tcBorders>
              <w:left w:val="single" w:sz="8" w:space="0" w:color="auto"/>
              <w:bottom w:val="single" w:sz="4" w:space="0" w:color="auto"/>
            </w:tcBorders>
            <w:vAlign w:val="center"/>
          </w:tcPr>
          <w:p w14:paraId="5FF6AFDD"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312.81 ±</w:t>
            </w:r>
            <w:r w:rsidRPr="00C6674F">
              <w:rPr>
                <w:rFonts w:ascii="Times New Roman" w:eastAsiaTheme="minorEastAsia" w:hAnsi="Times New Roman"/>
                <w:noProof w:val="0"/>
              </w:rPr>
              <w:t xml:space="preserve"> 0.3</w:t>
            </w:r>
          </w:p>
        </w:tc>
      </w:tr>
      <w:tr w:rsidR="00562240" w:rsidRPr="00C6674F" w14:paraId="07103739" w14:textId="77777777" w:rsidTr="006A5778">
        <w:trPr>
          <w:trHeight w:val="411"/>
        </w:trPr>
        <w:tc>
          <w:tcPr>
            <w:tcW w:w="718" w:type="dxa"/>
            <w:tcBorders>
              <w:top w:val="single" w:sz="4" w:space="0" w:color="auto"/>
              <w:bottom w:val="single" w:sz="4" w:space="0" w:color="auto"/>
            </w:tcBorders>
            <w:vAlign w:val="center"/>
          </w:tcPr>
          <w:p w14:paraId="5B1A46E2"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(psi)</w:t>
            </w:r>
          </w:p>
        </w:tc>
        <w:tc>
          <w:tcPr>
            <w:tcW w:w="1012" w:type="dxa"/>
            <w:tcBorders>
              <w:top w:val="single" w:sz="4" w:space="0" w:color="auto"/>
              <w:bottom w:val="single" w:sz="4" w:space="0" w:color="auto"/>
              <w:right w:val="single" w:sz="8" w:space="0" w:color="auto"/>
            </w:tcBorders>
            <w:vAlign w:val="center"/>
          </w:tcPr>
          <w:p w14:paraId="1A1E3DD8"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(kPa)</w:t>
            </w:r>
          </w:p>
        </w:tc>
        <w:tc>
          <w:tcPr>
            <w:tcW w:w="6558" w:type="dxa"/>
            <w:gridSpan w:val="8"/>
            <w:tcBorders>
              <w:left w:val="single" w:sz="8" w:space="0" w:color="auto"/>
              <w:bottom w:val="single" w:sz="4" w:space="0" w:color="auto"/>
            </w:tcBorders>
            <w:noWrap/>
            <w:vAlign w:val="center"/>
          </w:tcPr>
          <w:p w14:paraId="153756F8"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Mole CO</w:t>
            </w:r>
            <w:r w:rsidRPr="00C6674F">
              <w:rPr>
                <w:rFonts w:ascii="Times New Roman" w:hAnsi="Times New Roman"/>
                <w:noProof w:val="0"/>
                <w:vertAlign w:val="subscript"/>
              </w:rPr>
              <w:t>2</w:t>
            </w:r>
            <w:r w:rsidRPr="00C6674F">
              <w:rPr>
                <w:rFonts w:ascii="Times New Roman" w:hAnsi="Times New Roman"/>
                <w:noProof w:val="0"/>
              </w:rPr>
              <w:t xml:space="preserve"> / kg IL</w:t>
            </w:r>
          </w:p>
        </w:tc>
      </w:tr>
      <w:tr w:rsidR="00562240" w:rsidRPr="00C6674F" w14:paraId="435CBF02" w14:textId="77777777" w:rsidTr="006A5778">
        <w:trPr>
          <w:trHeight w:val="300"/>
        </w:trPr>
        <w:tc>
          <w:tcPr>
            <w:tcW w:w="718" w:type="dxa"/>
            <w:tcBorders>
              <w:top w:val="single" w:sz="4" w:space="0" w:color="auto"/>
            </w:tcBorders>
            <w:vAlign w:val="center"/>
          </w:tcPr>
          <w:p w14:paraId="142331FE"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lastRenderedPageBreak/>
              <w:t>50</w:t>
            </w:r>
          </w:p>
        </w:tc>
        <w:tc>
          <w:tcPr>
            <w:tcW w:w="1012" w:type="dxa"/>
            <w:tcBorders>
              <w:top w:val="single" w:sz="4" w:space="0" w:color="auto"/>
              <w:right w:val="single" w:sz="8" w:space="0" w:color="auto"/>
            </w:tcBorders>
            <w:vAlign w:val="center"/>
          </w:tcPr>
          <w:p w14:paraId="25419E2A"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344.7</w:t>
            </w:r>
          </w:p>
        </w:tc>
        <w:tc>
          <w:tcPr>
            <w:tcW w:w="1672" w:type="dxa"/>
            <w:gridSpan w:val="2"/>
            <w:tcBorders>
              <w:top w:val="single" w:sz="4" w:space="0" w:color="auto"/>
              <w:left w:val="single" w:sz="8" w:space="0" w:color="auto"/>
            </w:tcBorders>
            <w:noWrap/>
            <w:vAlign w:val="center"/>
            <w:hideMark/>
          </w:tcPr>
          <w:p w14:paraId="615D7045"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0.631 ±</w:t>
            </w:r>
            <w:r w:rsidRPr="00C6674F">
              <w:rPr>
                <w:rFonts w:ascii="Times New Roman" w:eastAsiaTheme="minorEastAsia" w:hAnsi="Times New Roman"/>
                <w:noProof w:val="0"/>
              </w:rPr>
              <w:t xml:space="preserve"> 0.02</w:t>
            </w:r>
          </w:p>
        </w:tc>
        <w:tc>
          <w:tcPr>
            <w:tcW w:w="1701" w:type="dxa"/>
            <w:gridSpan w:val="2"/>
            <w:tcBorders>
              <w:top w:val="single" w:sz="4" w:space="0" w:color="auto"/>
            </w:tcBorders>
            <w:noWrap/>
            <w:vAlign w:val="center"/>
            <w:hideMark/>
          </w:tcPr>
          <w:p w14:paraId="58A8FE0D"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0.593 ±</w:t>
            </w:r>
            <w:r w:rsidRPr="00C6674F">
              <w:rPr>
                <w:rFonts w:ascii="Times New Roman" w:eastAsiaTheme="minorEastAsia" w:hAnsi="Times New Roman"/>
                <w:noProof w:val="0"/>
              </w:rPr>
              <w:t xml:space="preserve"> 0.05</w:t>
            </w:r>
          </w:p>
        </w:tc>
        <w:tc>
          <w:tcPr>
            <w:tcW w:w="1701" w:type="dxa"/>
            <w:gridSpan w:val="2"/>
            <w:tcBorders>
              <w:top w:val="single" w:sz="4" w:space="0" w:color="auto"/>
            </w:tcBorders>
            <w:noWrap/>
            <w:vAlign w:val="center"/>
            <w:hideMark/>
          </w:tcPr>
          <w:p w14:paraId="662723A5"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0.520</w:t>
            </w:r>
            <w:r w:rsidRPr="00C6674F">
              <w:rPr>
                <w:rFonts w:ascii="Times New Roman" w:eastAsiaTheme="minorEastAsia" w:hAnsi="Times New Roman"/>
                <w:noProof w:val="0"/>
              </w:rPr>
              <w:t xml:space="preserve"> </w:t>
            </w:r>
            <w:r w:rsidRPr="00C6674F">
              <w:rPr>
                <w:rFonts w:ascii="Times New Roman" w:hAnsi="Times New Roman"/>
                <w:noProof w:val="0"/>
              </w:rPr>
              <w:t>±</w:t>
            </w:r>
            <w:r w:rsidRPr="00C6674F">
              <w:rPr>
                <w:rFonts w:ascii="Times New Roman" w:eastAsiaTheme="minorEastAsia" w:hAnsi="Times New Roman"/>
                <w:noProof w:val="0"/>
              </w:rPr>
              <w:t xml:space="preserve"> 0.06</w:t>
            </w:r>
          </w:p>
        </w:tc>
        <w:tc>
          <w:tcPr>
            <w:tcW w:w="1484" w:type="dxa"/>
            <w:gridSpan w:val="2"/>
            <w:tcBorders>
              <w:top w:val="single" w:sz="4" w:space="0" w:color="auto"/>
            </w:tcBorders>
            <w:noWrap/>
            <w:vAlign w:val="center"/>
            <w:hideMark/>
          </w:tcPr>
          <w:p w14:paraId="068F5280"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0.528 ±</w:t>
            </w:r>
            <w:r w:rsidRPr="00C6674F">
              <w:rPr>
                <w:rFonts w:ascii="Times New Roman" w:eastAsiaTheme="minorEastAsia" w:hAnsi="Times New Roman"/>
                <w:noProof w:val="0"/>
              </w:rPr>
              <w:t xml:space="preserve"> 0.07</w:t>
            </w:r>
          </w:p>
        </w:tc>
      </w:tr>
      <w:tr w:rsidR="00562240" w:rsidRPr="00C6674F" w14:paraId="7A2A0174" w14:textId="77777777" w:rsidTr="006A5778">
        <w:trPr>
          <w:trHeight w:val="300"/>
        </w:trPr>
        <w:tc>
          <w:tcPr>
            <w:tcW w:w="718" w:type="dxa"/>
            <w:vAlign w:val="center"/>
          </w:tcPr>
          <w:p w14:paraId="581886A4"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75</w:t>
            </w:r>
          </w:p>
        </w:tc>
        <w:tc>
          <w:tcPr>
            <w:tcW w:w="1012" w:type="dxa"/>
            <w:tcBorders>
              <w:right w:val="single" w:sz="8" w:space="0" w:color="auto"/>
            </w:tcBorders>
            <w:vAlign w:val="center"/>
          </w:tcPr>
          <w:p w14:paraId="3FF23664"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517.1</w:t>
            </w:r>
          </w:p>
        </w:tc>
        <w:tc>
          <w:tcPr>
            <w:tcW w:w="1672" w:type="dxa"/>
            <w:gridSpan w:val="2"/>
            <w:tcBorders>
              <w:left w:val="single" w:sz="8" w:space="0" w:color="auto"/>
            </w:tcBorders>
            <w:noWrap/>
            <w:vAlign w:val="center"/>
            <w:hideMark/>
          </w:tcPr>
          <w:p w14:paraId="4A1D7AFC"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0.899 ±</w:t>
            </w:r>
            <w:r w:rsidRPr="00C6674F">
              <w:rPr>
                <w:rFonts w:ascii="Times New Roman" w:eastAsiaTheme="minorEastAsia" w:hAnsi="Times New Roman"/>
                <w:noProof w:val="0"/>
              </w:rPr>
              <w:t xml:space="preserve"> 0.04</w:t>
            </w:r>
          </w:p>
        </w:tc>
        <w:tc>
          <w:tcPr>
            <w:tcW w:w="1701" w:type="dxa"/>
            <w:gridSpan w:val="2"/>
            <w:noWrap/>
            <w:vAlign w:val="center"/>
            <w:hideMark/>
          </w:tcPr>
          <w:p w14:paraId="6803FB86"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0.819 ±</w:t>
            </w:r>
            <w:r w:rsidRPr="00C6674F">
              <w:rPr>
                <w:rFonts w:ascii="Times New Roman" w:eastAsiaTheme="minorEastAsia" w:hAnsi="Times New Roman"/>
                <w:noProof w:val="0"/>
              </w:rPr>
              <w:t xml:space="preserve"> 0.05</w:t>
            </w:r>
          </w:p>
        </w:tc>
        <w:tc>
          <w:tcPr>
            <w:tcW w:w="1701" w:type="dxa"/>
            <w:gridSpan w:val="2"/>
            <w:noWrap/>
            <w:vAlign w:val="center"/>
            <w:hideMark/>
          </w:tcPr>
          <w:p w14:paraId="7BD525AF"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0.761 ±</w:t>
            </w:r>
            <w:r w:rsidRPr="00C6674F">
              <w:rPr>
                <w:rFonts w:ascii="Times New Roman" w:eastAsiaTheme="minorEastAsia" w:hAnsi="Times New Roman"/>
                <w:noProof w:val="0"/>
              </w:rPr>
              <w:t xml:space="preserve"> 0.06</w:t>
            </w:r>
          </w:p>
        </w:tc>
        <w:tc>
          <w:tcPr>
            <w:tcW w:w="1484" w:type="dxa"/>
            <w:gridSpan w:val="2"/>
            <w:noWrap/>
            <w:vAlign w:val="center"/>
            <w:hideMark/>
          </w:tcPr>
          <w:p w14:paraId="3B139AE4"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0.748 ±</w:t>
            </w:r>
            <w:r w:rsidRPr="00C6674F">
              <w:rPr>
                <w:rFonts w:ascii="Times New Roman" w:eastAsiaTheme="minorEastAsia" w:hAnsi="Times New Roman"/>
                <w:noProof w:val="0"/>
              </w:rPr>
              <w:t xml:space="preserve"> 0.07</w:t>
            </w:r>
          </w:p>
        </w:tc>
      </w:tr>
      <w:tr w:rsidR="00562240" w:rsidRPr="00C6674F" w14:paraId="549DF92C" w14:textId="77777777" w:rsidTr="006A5778">
        <w:trPr>
          <w:trHeight w:val="300"/>
        </w:trPr>
        <w:tc>
          <w:tcPr>
            <w:tcW w:w="718" w:type="dxa"/>
            <w:vAlign w:val="center"/>
          </w:tcPr>
          <w:p w14:paraId="3886BD2C"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100</w:t>
            </w:r>
          </w:p>
        </w:tc>
        <w:tc>
          <w:tcPr>
            <w:tcW w:w="1012" w:type="dxa"/>
            <w:tcBorders>
              <w:right w:val="single" w:sz="8" w:space="0" w:color="auto"/>
            </w:tcBorders>
            <w:vAlign w:val="center"/>
          </w:tcPr>
          <w:p w14:paraId="2414088B"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689.5</w:t>
            </w:r>
          </w:p>
        </w:tc>
        <w:tc>
          <w:tcPr>
            <w:tcW w:w="1672" w:type="dxa"/>
            <w:gridSpan w:val="2"/>
            <w:tcBorders>
              <w:left w:val="single" w:sz="8" w:space="0" w:color="auto"/>
            </w:tcBorders>
            <w:noWrap/>
            <w:vAlign w:val="center"/>
            <w:hideMark/>
          </w:tcPr>
          <w:p w14:paraId="2F9881E2"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1.215 ±</w:t>
            </w:r>
            <w:r w:rsidRPr="00C6674F">
              <w:rPr>
                <w:rFonts w:ascii="Times New Roman" w:eastAsiaTheme="minorEastAsia" w:hAnsi="Times New Roman"/>
                <w:noProof w:val="0"/>
              </w:rPr>
              <w:t xml:space="preserve"> 0.02</w:t>
            </w:r>
          </w:p>
        </w:tc>
        <w:tc>
          <w:tcPr>
            <w:tcW w:w="1701" w:type="dxa"/>
            <w:gridSpan w:val="2"/>
            <w:noWrap/>
            <w:vAlign w:val="center"/>
            <w:hideMark/>
          </w:tcPr>
          <w:p w14:paraId="08BB7639"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1.094 ±</w:t>
            </w:r>
            <w:r w:rsidRPr="00C6674F">
              <w:rPr>
                <w:rFonts w:ascii="Times New Roman" w:eastAsiaTheme="minorEastAsia" w:hAnsi="Times New Roman"/>
                <w:noProof w:val="0"/>
              </w:rPr>
              <w:t xml:space="preserve"> 0.07</w:t>
            </w:r>
          </w:p>
        </w:tc>
        <w:tc>
          <w:tcPr>
            <w:tcW w:w="1701" w:type="dxa"/>
            <w:gridSpan w:val="2"/>
            <w:noWrap/>
            <w:vAlign w:val="center"/>
            <w:hideMark/>
          </w:tcPr>
          <w:p w14:paraId="1AB32840"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1.010 ±</w:t>
            </w:r>
            <w:r w:rsidRPr="00C6674F">
              <w:rPr>
                <w:rFonts w:ascii="Times New Roman" w:eastAsiaTheme="minorEastAsia" w:hAnsi="Times New Roman"/>
                <w:noProof w:val="0"/>
              </w:rPr>
              <w:t xml:space="preserve"> 0.07</w:t>
            </w:r>
          </w:p>
        </w:tc>
        <w:tc>
          <w:tcPr>
            <w:tcW w:w="1484" w:type="dxa"/>
            <w:gridSpan w:val="2"/>
            <w:noWrap/>
            <w:vAlign w:val="center"/>
            <w:hideMark/>
          </w:tcPr>
          <w:p w14:paraId="661BD3EC"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0.974 ±</w:t>
            </w:r>
            <w:r w:rsidRPr="00C6674F">
              <w:rPr>
                <w:rFonts w:ascii="Times New Roman" w:eastAsiaTheme="minorEastAsia" w:hAnsi="Times New Roman"/>
                <w:noProof w:val="0"/>
              </w:rPr>
              <w:t xml:space="preserve"> 0.07</w:t>
            </w:r>
          </w:p>
        </w:tc>
      </w:tr>
      <w:tr w:rsidR="00562240" w:rsidRPr="00C6674F" w14:paraId="6DCF982A" w14:textId="77777777" w:rsidTr="006A5778">
        <w:trPr>
          <w:trHeight w:val="300"/>
        </w:trPr>
        <w:tc>
          <w:tcPr>
            <w:tcW w:w="718" w:type="dxa"/>
            <w:vAlign w:val="center"/>
          </w:tcPr>
          <w:p w14:paraId="4B6CF12A"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125</w:t>
            </w:r>
          </w:p>
        </w:tc>
        <w:tc>
          <w:tcPr>
            <w:tcW w:w="1012" w:type="dxa"/>
            <w:tcBorders>
              <w:right w:val="single" w:sz="8" w:space="0" w:color="auto"/>
            </w:tcBorders>
            <w:vAlign w:val="center"/>
          </w:tcPr>
          <w:p w14:paraId="2D6CAC7B"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861.8</w:t>
            </w:r>
          </w:p>
        </w:tc>
        <w:tc>
          <w:tcPr>
            <w:tcW w:w="1672" w:type="dxa"/>
            <w:gridSpan w:val="2"/>
            <w:tcBorders>
              <w:left w:val="single" w:sz="8" w:space="0" w:color="auto"/>
            </w:tcBorders>
            <w:noWrap/>
            <w:vAlign w:val="center"/>
            <w:hideMark/>
          </w:tcPr>
          <w:p w14:paraId="3D21A474"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1.530 ±</w:t>
            </w:r>
            <w:r w:rsidRPr="00C6674F">
              <w:rPr>
                <w:rFonts w:ascii="Times New Roman" w:eastAsiaTheme="minorEastAsia" w:hAnsi="Times New Roman"/>
                <w:noProof w:val="0"/>
              </w:rPr>
              <w:t xml:space="preserve"> 0.02</w:t>
            </w:r>
          </w:p>
        </w:tc>
        <w:tc>
          <w:tcPr>
            <w:tcW w:w="1701" w:type="dxa"/>
            <w:gridSpan w:val="2"/>
            <w:noWrap/>
            <w:vAlign w:val="center"/>
            <w:hideMark/>
          </w:tcPr>
          <w:p w14:paraId="4EAED1B4"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1.385 ±</w:t>
            </w:r>
            <w:r w:rsidRPr="00C6674F">
              <w:rPr>
                <w:rFonts w:ascii="Times New Roman" w:eastAsiaTheme="minorEastAsia" w:hAnsi="Times New Roman"/>
                <w:noProof w:val="0"/>
              </w:rPr>
              <w:t xml:space="preserve"> 0.05</w:t>
            </w:r>
          </w:p>
        </w:tc>
        <w:tc>
          <w:tcPr>
            <w:tcW w:w="1701" w:type="dxa"/>
            <w:gridSpan w:val="2"/>
            <w:noWrap/>
            <w:vAlign w:val="center"/>
            <w:hideMark/>
          </w:tcPr>
          <w:p w14:paraId="23AFBEE2"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1.252 ±</w:t>
            </w:r>
            <w:r w:rsidRPr="00C6674F">
              <w:rPr>
                <w:rFonts w:ascii="Times New Roman" w:eastAsiaTheme="minorEastAsia" w:hAnsi="Times New Roman"/>
                <w:noProof w:val="0"/>
              </w:rPr>
              <w:t xml:space="preserve"> 0.08</w:t>
            </w:r>
          </w:p>
        </w:tc>
        <w:tc>
          <w:tcPr>
            <w:tcW w:w="1484" w:type="dxa"/>
            <w:gridSpan w:val="2"/>
            <w:noWrap/>
            <w:vAlign w:val="center"/>
            <w:hideMark/>
          </w:tcPr>
          <w:p w14:paraId="283AAB6F"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1.193 ±</w:t>
            </w:r>
            <w:r w:rsidRPr="00C6674F">
              <w:rPr>
                <w:rFonts w:ascii="Times New Roman" w:eastAsiaTheme="minorEastAsia" w:hAnsi="Times New Roman"/>
                <w:noProof w:val="0"/>
              </w:rPr>
              <w:t xml:space="preserve"> 0.08</w:t>
            </w:r>
          </w:p>
        </w:tc>
      </w:tr>
      <w:tr w:rsidR="00562240" w:rsidRPr="00C6674F" w14:paraId="12335EBE" w14:textId="77777777" w:rsidTr="006A5778">
        <w:trPr>
          <w:trHeight w:val="300"/>
        </w:trPr>
        <w:tc>
          <w:tcPr>
            <w:tcW w:w="718" w:type="dxa"/>
            <w:vAlign w:val="center"/>
          </w:tcPr>
          <w:p w14:paraId="500D711A"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150</w:t>
            </w:r>
          </w:p>
        </w:tc>
        <w:tc>
          <w:tcPr>
            <w:tcW w:w="1012" w:type="dxa"/>
            <w:tcBorders>
              <w:right w:val="single" w:sz="8" w:space="0" w:color="auto"/>
            </w:tcBorders>
            <w:vAlign w:val="center"/>
          </w:tcPr>
          <w:p w14:paraId="2EB8D760"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1034.2</w:t>
            </w:r>
          </w:p>
        </w:tc>
        <w:tc>
          <w:tcPr>
            <w:tcW w:w="1672" w:type="dxa"/>
            <w:gridSpan w:val="2"/>
            <w:tcBorders>
              <w:left w:val="single" w:sz="8" w:space="0" w:color="auto"/>
            </w:tcBorders>
            <w:noWrap/>
            <w:vAlign w:val="center"/>
            <w:hideMark/>
          </w:tcPr>
          <w:p w14:paraId="042B4B0E"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1.842 ±</w:t>
            </w:r>
            <w:r w:rsidRPr="00C6674F">
              <w:rPr>
                <w:rFonts w:ascii="Times New Roman" w:eastAsiaTheme="minorEastAsia" w:hAnsi="Times New Roman"/>
                <w:noProof w:val="0"/>
              </w:rPr>
              <w:t xml:space="preserve"> 0.03</w:t>
            </w:r>
          </w:p>
        </w:tc>
        <w:tc>
          <w:tcPr>
            <w:tcW w:w="1701" w:type="dxa"/>
            <w:gridSpan w:val="2"/>
            <w:noWrap/>
            <w:vAlign w:val="center"/>
            <w:hideMark/>
          </w:tcPr>
          <w:p w14:paraId="0BEB0F03"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1.638 ±</w:t>
            </w:r>
            <w:r w:rsidRPr="00C6674F">
              <w:rPr>
                <w:rFonts w:ascii="Times New Roman" w:eastAsiaTheme="minorEastAsia" w:hAnsi="Times New Roman"/>
                <w:noProof w:val="0"/>
              </w:rPr>
              <w:t xml:space="preserve"> 0.11</w:t>
            </w:r>
          </w:p>
        </w:tc>
        <w:tc>
          <w:tcPr>
            <w:tcW w:w="1701" w:type="dxa"/>
            <w:gridSpan w:val="2"/>
            <w:noWrap/>
            <w:vAlign w:val="center"/>
            <w:hideMark/>
          </w:tcPr>
          <w:p w14:paraId="53AB9F09"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1.490 ±</w:t>
            </w:r>
            <w:r w:rsidRPr="00C6674F">
              <w:rPr>
                <w:rFonts w:ascii="Times New Roman" w:eastAsiaTheme="minorEastAsia" w:hAnsi="Times New Roman"/>
                <w:noProof w:val="0"/>
              </w:rPr>
              <w:t xml:space="preserve"> 0.09</w:t>
            </w:r>
          </w:p>
        </w:tc>
        <w:tc>
          <w:tcPr>
            <w:tcW w:w="1484" w:type="dxa"/>
            <w:gridSpan w:val="2"/>
            <w:noWrap/>
            <w:vAlign w:val="center"/>
            <w:hideMark/>
          </w:tcPr>
          <w:p w14:paraId="7A00F7E7"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1.411 ±</w:t>
            </w:r>
            <w:r w:rsidRPr="00C6674F">
              <w:rPr>
                <w:rFonts w:ascii="Times New Roman" w:eastAsiaTheme="minorEastAsia" w:hAnsi="Times New Roman"/>
                <w:noProof w:val="0"/>
              </w:rPr>
              <w:t xml:space="preserve"> 0.09</w:t>
            </w:r>
          </w:p>
        </w:tc>
      </w:tr>
      <w:tr w:rsidR="00562240" w:rsidRPr="00C6674F" w14:paraId="2E3487B2" w14:textId="77777777" w:rsidTr="006A5778">
        <w:trPr>
          <w:trHeight w:val="300"/>
        </w:trPr>
        <w:tc>
          <w:tcPr>
            <w:tcW w:w="718" w:type="dxa"/>
            <w:vAlign w:val="center"/>
          </w:tcPr>
          <w:p w14:paraId="57C66262"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175</w:t>
            </w:r>
          </w:p>
        </w:tc>
        <w:tc>
          <w:tcPr>
            <w:tcW w:w="1012" w:type="dxa"/>
            <w:tcBorders>
              <w:right w:val="single" w:sz="8" w:space="0" w:color="auto"/>
            </w:tcBorders>
            <w:vAlign w:val="center"/>
          </w:tcPr>
          <w:p w14:paraId="70B92EC1"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1206.6</w:t>
            </w:r>
          </w:p>
        </w:tc>
        <w:tc>
          <w:tcPr>
            <w:tcW w:w="1672" w:type="dxa"/>
            <w:gridSpan w:val="2"/>
            <w:tcBorders>
              <w:left w:val="single" w:sz="8" w:space="0" w:color="auto"/>
            </w:tcBorders>
            <w:noWrap/>
            <w:vAlign w:val="center"/>
            <w:hideMark/>
          </w:tcPr>
          <w:p w14:paraId="0B438433"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2.189 ±</w:t>
            </w:r>
            <w:r w:rsidRPr="00C6674F">
              <w:rPr>
                <w:rFonts w:ascii="Times New Roman" w:eastAsiaTheme="minorEastAsia" w:hAnsi="Times New Roman"/>
                <w:noProof w:val="0"/>
              </w:rPr>
              <w:t xml:space="preserve"> 0.06</w:t>
            </w:r>
          </w:p>
        </w:tc>
        <w:tc>
          <w:tcPr>
            <w:tcW w:w="1701" w:type="dxa"/>
            <w:gridSpan w:val="2"/>
            <w:noWrap/>
            <w:vAlign w:val="center"/>
            <w:hideMark/>
          </w:tcPr>
          <w:p w14:paraId="3833432A"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1.936 ±</w:t>
            </w:r>
            <w:r w:rsidRPr="00C6674F">
              <w:rPr>
                <w:rFonts w:ascii="Times New Roman" w:eastAsiaTheme="minorEastAsia" w:hAnsi="Times New Roman"/>
                <w:noProof w:val="0"/>
              </w:rPr>
              <w:t xml:space="preserve"> 0.10</w:t>
            </w:r>
          </w:p>
        </w:tc>
        <w:tc>
          <w:tcPr>
            <w:tcW w:w="1701" w:type="dxa"/>
            <w:gridSpan w:val="2"/>
            <w:noWrap/>
            <w:vAlign w:val="center"/>
            <w:hideMark/>
          </w:tcPr>
          <w:p w14:paraId="21A4634C"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1.743 ±</w:t>
            </w:r>
            <w:r w:rsidRPr="00C6674F">
              <w:rPr>
                <w:rFonts w:ascii="Times New Roman" w:eastAsiaTheme="minorEastAsia" w:hAnsi="Times New Roman"/>
                <w:noProof w:val="0"/>
              </w:rPr>
              <w:t xml:space="preserve"> 0.09</w:t>
            </w:r>
          </w:p>
        </w:tc>
        <w:tc>
          <w:tcPr>
            <w:tcW w:w="1484" w:type="dxa"/>
            <w:gridSpan w:val="2"/>
            <w:noWrap/>
            <w:vAlign w:val="center"/>
            <w:hideMark/>
          </w:tcPr>
          <w:p w14:paraId="3A822790"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1.637 ±</w:t>
            </w:r>
            <w:r w:rsidRPr="00C6674F">
              <w:rPr>
                <w:rFonts w:ascii="Times New Roman" w:eastAsiaTheme="minorEastAsia" w:hAnsi="Times New Roman"/>
                <w:noProof w:val="0"/>
              </w:rPr>
              <w:t xml:space="preserve"> 0.11</w:t>
            </w:r>
          </w:p>
        </w:tc>
      </w:tr>
      <w:tr w:rsidR="00562240" w:rsidRPr="00C6674F" w14:paraId="60BF6385" w14:textId="77777777" w:rsidTr="006A5778">
        <w:trPr>
          <w:trHeight w:val="300"/>
        </w:trPr>
        <w:tc>
          <w:tcPr>
            <w:tcW w:w="718" w:type="dxa"/>
            <w:vAlign w:val="center"/>
          </w:tcPr>
          <w:p w14:paraId="30467CF9"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200</w:t>
            </w:r>
          </w:p>
        </w:tc>
        <w:tc>
          <w:tcPr>
            <w:tcW w:w="1012" w:type="dxa"/>
            <w:tcBorders>
              <w:right w:val="single" w:sz="8" w:space="0" w:color="auto"/>
            </w:tcBorders>
            <w:vAlign w:val="center"/>
          </w:tcPr>
          <w:p w14:paraId="1B3536F9"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1378.9</w:t>
            </w:r>
          </w:p>
        </w:tc>
        <w:tc>
          <w:tcPr>
            <w:tcW w:w="1672" w:type="dxa"/>
            <w:gridSpan w:val="2"/>
            <w:tcBorders>
              <w:left w:val="single" w:sz="8" w:space="0" w:color="auto"/>
            </w:tcBorders>
            <w:noWrap/>
            <w:vAlign w:val="center"/>
            <w:hideMark/>
          </w:tcPr>
          <w:p w14:paraId="638AB21E"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2.540 ±</w:t>
            </w:r>
            <m:oMath>
              <m:r>
                <m:rPr>
                  <m:sty m:val="p"/>
                </m:rPr>
                <w:rPr>
                  <w:rFonts w:ascii="Cambria Math" w:hAnsi="Cambria Math"/>
                  <w:noProof w:val="0"/>
                </w:rPr>
                <m:t xml:space="preserve"> </m:t>
              </m:r>
            </m:oMath>
            <w:r w:rsidRPr="00C6674F">
              <w:rPr>
                <w:rFonts w:ascii="Times New Roman" w:eastAsiaTheme="minorEastAsia" w:hAnsi="Times New Roman"/>
                <w:noProof w:val="0"/>
              </w:rPr>
              <w:t>0.10</w:t>
            </w:r>
          </w:p>
        </w:tc>
        <w:tc>
          <w:tcPr>
            <w:tcW w:w="1701" w:type="dxa"/>
            <w:gridSpan w:val="2"/>
            <w:noWrap/>
            <w:vAlign w:val="center"/>
            <w:hideMark/>
          </w:tcPr>
          <w:p w14:paraId="5AE0038F"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2.195 ±</w:t>
            </w:r>
            <w:r w:rsidRPr="00C6674F">
              <w:rPr>
                <w:rFonts w:ascii="Times New Roman" w:eastAsiaTheme="minorEastAsia" w:hAnsi="Times New Roman"/>
                <w:noProof w:val="0"/>
              </w:rPr>
              <w:t xml:space="preserve"> 0.16</w:t>
            </w:r>
          </w:p>
        </w:tc>
        <w:tc>
          <w:tcPr>
            <w:tcW w:w="1701" w:type="dxa"/>
            <w:gridSpan w:val="2"/>
            <w:noWrap/>
            <w:vAlign w:val="center"/>
            <w:hideMark/>
          </w:tcPr>
          <w:p w14:paraId="5EF57CE8"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1.996 ±</w:t>
            </w:r>
            <w:r w:rsidRPr="00C6674F">
              <w:rPr>
                <w:rFonts w:ascii="Times New Roman" w:eastAsiaTheme="minorEastAsia" w:hAnsi="Times New Roman"/>
                <w:noProof w:val="0"/>
              </w:rPr>
              <w:t xml:space="preserve"> 0.11</w:t>
            </w:r>
          </w:p>
        </w:tc>
        <w:tc>
          <w:tcPr>
            <w:tcW w:w="1484" w:type="dxa"/>
            <w:gridSpan w:val="2"/>
            <w:noWrap/>
            <w:vAlign w:val="center"/>
            <w:hideMark/>
          </w:tcPr>
          <w:p w14:paraId="0AC5C912"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1.867 ±</w:t>
            </w:r>
            <w:r w:rsidRPr="00C6674F">
              <w:rPr>
                <w:rFonts w:ascii="Times New Roman" w:eastAsiaTheme="minorEastAsia" w:hAnsi="Times New Roman"/>
                <w:noProof w:val="0"/>
              </w:rPr>
              <w:t xml:space="preserve"> 0.11</w:t>
            </w:r>
          </w:p>
        </w:tc>
      </w:tr>
      <w:tr w:rsidR="00562240" w:rsidRPr="00C6674F" w14:paraId="2F8AA480" w14:textId="77777777" w:rsidTr="006A5778">
        <w:trPr>
          <w:trHeight w:val="300"/>
        </w:trPr>
        <w:tc>
          <w:tcPr>
            <w:tcW w:w="718" w:type="dxa"/>
            <w:vAlign w:val="center"/>
          </w:tcPr>
          <w:p w14:paraId="2959D70F"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225</w:t>
            </w:r>
          </w:p>
        </w:tc>
        <w:tc>
          <w:tcPr>
            <w:tcW w:w="1012" w:type="dxa"/>
            <w:tcBorders>
              <w:right w:val="single" w:sz="8" w:space="0" w:color="auto"/>
            </w:tcBorders>
            <w:vAlign w:val="center"/>
          </w:tcPr>
          <w:p w14:paraId="769C29F2"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1551.3</w:t>
            </w:r>
          </w:p>
        </w:tc>
        <w:tc>
          <w:tcPr>
            <w:tcW w:w="1672" w:type="dxa"/>
            <w:gridSpan w:val="2"/>
            <w:tcBorders>
              <w:left w:val="single" w:sz="8" w:space="0" w:color="auto"/>
            </w:tcBorders>
            <w:noWrap/>
            <w:vAlign w:val="center"/>
            <w:hideMark/>
          </w:tcPr>
          <w:p w14:paraId="60021E66"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2.823 ±</w:t>
            </w:r>
            <w:r w:rsidRPr="00C6674F">
              <w:rPr>
                <w:rFonts w:ascii="Times New Roman" w:eastAsiaTheme="minorEastAsia" w:hAnsi="Times New Roman"/>
                <w:noProof w:val="0"/>
              </w:rPr>
              <w:t xml:space="preserve"> 0.04</w:t>
            </w:r>
          </w:p>
        </w:tc>
        <w:tc>
          <w:tcPr>
            <w:tcW w:w="1701" w:type="dxa"/>
            <w:gridSpan w:val="2"/>
            <w:noWrap/>
            <w:vAlign w:val="center"/>
            <w:hideMark/>
          </w:tcPr>
          <w:p w14:paraId="4C552810"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2.447 ±</w:t>
            </w:r>
            <w:r w:rsidRPr="00C6674F">
              <w:rPr>
                <w:rFonts w:ascii="Times New Roman" w:eastAsiaTheme="minorEastAsia" w:hAnsi="Times New Roman"/>
                <w:noProof w:val="0"/>
              </w:rPr>
              <w:t xml:space="preserve"> 0.11</w:t>
            </w:r>
          </w:p>
        </w:tc>
        <w:tc>
          <w:tcPr>
            <w:tcW w:w="1701" w:type="dxa"/>
            <w:gridSpan w:val="2"/>
            <w:noWrap/>
            <w:vAlign w:val="center"/>
            <w:hideMark/>
          </w:tcPr>
          <w:p w14:paraId="79EED50F"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2.240 ±</w:t>
            </w:r>
            <w:r w:rsidRPr="00C6674F">
              <w:rPr>
                <w:rFonts w:ascii="Times New Roman" w:eastAsiaTheme="minorEastAsia" w:hAnsi="Times New Roman"/>
                <w:noProof w:val="0"/>
              </w:rPr>
              <w:t xml:space="preserve"> 0.12</w:t>
            </w:r>
          </w:p>
        </w:tc>
        <w:tc>
          <w:tcPr>
            <w:tcW w:w="1484" w:type="dxa"/>
            <w:gridSpan w:val="2"/>
            <w:noWrap/>
            <w:vAlign w:val="center"/>
            <w:hideMark/>
          </w:tcPr>
          <w:p w14:paraId="5A70AC30"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2.088 ±</w:t>
            </w:r>
            <w:r w:rsidRPr="00C6674F">
              <w:rPr>
                <w:rFonts w:ascii="Times New Roman" w:eastAsiaTheme="minorEastAsia" w:hAnsi="Times New Roman"/>
                <w:noProof w:val="0"/>
              </w:rPr>
              <w:t xml:space="preserve"> 0.12</w:t>
            </w:r>
          </w:p>
        </w:tc>
      </w:tr>
      <w:tr w:rsidR="00562240" w:rsidRPr="00C6674F" w14:paraId="6311567A" w14:textId="77777777" w:rsidTr="006A5778">
        <w:trPr>
          <w:trHeight w:val="300"/>
        </w:trPr>
        <w:tc>
          <w:tcPr>
            <w:tcW w:w="718" w:type="dxa"/>
            <w:vAlign w:val="center"/>
          </w:tcPr>
          <w:p w14:paraId="74D58E06"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250</w:t>
            </w:r>
          </w:p>
        </w:tc>
        <w:tc>
          <w:tcPr>
            <w:tcW w:w="1012" w:type="dxa"/>
            <w:tcBorders>
              <w:right w:val="single" w:sz="8" w:space="0" w:color="auto"/>
            </w:tcBorders>
            <w:vAlign w:val="center"/>
          </w:tcPr>
          <w:p w14:paraId="3FB67FFB"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1723.7</w:t>
            </w:r>
          </w:p>
        </w:tc>
        <w:tc>
          <w:tcPr>
            <w:tcW w:w="1672" w:type="dxa"/>
            <w:gridSpan w:val="2"/>
            <w:tcBorders>
              <w:left w:val="single" w:sz="8" w:space="0" w:color="auto"/>
            </w:tcBorders>
            <w:noWrap/>
            <w:vAlign w:val="center"/>
            <w:hideMark/>
          </w:tcPr>
          <w:p w14:paraId="57588724"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3.138 ±</w:t>
            </w:r>
            <w:r w:rsidRPr="00C6674F">
              <w:rPr>
                <w:rFonts w:ascii="Times New Roman" w:eastAsiaTheme="minorEastAsia" w:hAnsi="Times New Roman"/>
                <w:noProof w:val="0"/>
              </w:rPr>
              <w:t xml:space="preserve"> 0.04</w:t>
            </w:r>
          </w:p>
        </w:tc>
        <w:tc>
          <w:tcPr>
            <w:tcW w:w="1701" w:type="dxa"/>
            <w:gridSpan w:val="2"/>
            <w:noWrap/>
            <w:vAlign w:val="center"/>
            <w:hideMark/>
          </w:tcPr>
          <w:p w14:paraId="7A454A70"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2.711 ±</w:t>
            </w:r>
            <w:r w:rsidRPr="00C6674F">
              <w:rPr>
                <w:rFonts w:ascii="Times New Roman" w:eastAsiaTheme="minorEastAsia" w:hAnsi="Times New Roman"/>
                <w:noProof w:val="0"/>
              </w:rPr>
              <w:t xml:space="preserve"> 0.12</w:t>
            </w:r>
          </w:p>
        </w:tc>
        <w:tc>
          <w:tcPr>
            <w:tcW w:w="1701" w:type="dxa"/>
            <w:gridSpan w:val="2"/>
            <w:noWrap/>
            <w:vAlign w:val="center"/>
            <w:hideMark/>
          </w:tcPr>
          <w:p w14:paraId="4F45AD23"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2.488 ±</w:t>
            </w:r>
            <w:r w:rsidRPr="00C6674F">
              <w:rPr>
                <w:rFonts w:ascii="Times New Roman" w:eastAsiaTheme="minorEastAsia" w:hAnsi="Times New Roman"/>
                <w:noProof w:val="0"/>
              </w:rPr>
              <w:t xml:space="preserve"> 0.13</w:t>
            </w:r>
          </w:p>
        </w:tc>
        <w:tc>
          <w:tcPr>
            <w:tcW w:w="1484" w:type="dxa"/>
            <w:gridSpan w:val="2"/>
            <w:noWrap/>
            <w:vAlign w:val="center"/>
            <w:hideMark/>
          </w:tcPr>
          <w:p w14:paraId="3F0FFAB2"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2.313 ±</w:t>
            </w:r>
            <w:r w:rsidRPr="00C6674F">
              <w:rPr>
                <w:rFonts w:ascii="Times New Roman" w:eastAsiaTheme="minorEastAsia" w:hAnsi="Times New Roman"/>
                <w:noProof w:val="0"/>
              </w:rPr>
              <w:t xml:space="preserve"> 0.13</w:t>
            </w:r>
          </w:p>
        </w:tc>
      </w:tr>
      <w:tr w:rsidR="00562240" w:rsidRPr="00C6674F" w14:paraId="53850210" w14:textId="77777777" w:rsidTr="006A5778">
        <w:trPr>
          <w:trHeight w:val="300"/>
        </w:trPr>
        <w:tc>
          <w:tcPr>
            <w:tcW w:w="718" w:type="dxa"/>
            <w:vAlign w:val="center"/>
          </w:tcPr>
          <w:p w14:paraId="2B2F8207"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275</w:t>
            </w:r>
          </w:p>
        </w:tc>
        <w:tc>
          <w:tcPr>
            <w:tcW w:w="1012" w:type="dxa"/>
            <w:tcBorders>
              <w:right w:val="single" w:sz="8" w:space="0" w:color="auto"/>
            </w:tcBorders>
            <w:vAlign w:val="center"/>
          </w:tcPr>
          <w:p w14:paraId="589C1C1C"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1896.1</w:t>
            </w:r>
          </w:p>
        </w:tc>
        <w:tc>
          <w:tcPr>
            <w:tcW w:w="1672" w:type="dxa"/>
            <w:gridSpan w:val="2"/>
            <w:tcBorders>
              <w:left w:val="single" w:sz="8" w:space="0" w:color="auto"/>
            </w:tcBorders>
            <w:noWrap/>
            <w:vAlign w:val="center"/>
            <w:hideMark/>
          </w:tcPr>
          <w:p w14:paraId="77EF48A4"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3.453 ±</w:t>
            </w:r>
            <w:r w:rsidRPr="00C6674F">
              <w:rPr>
                <w:rFonts w:ascii="Times New Roman" w:eastAsiaTheme="minorEastAsia" w:hAnsi="Times New Roman"/>
                <w:noProof w:val="0"/>
              </w:rPr>
              <w:t xml:space="preserve"> 0.04</w:t>
            </w:r>
          </w:p>
        </w:tc>
        <w:tc>
          <w:tcPr>
            <w:tcW w:w="1701" w:type="dxa"/>
            <w:gridSpan w:val="2"/>
            <w:noWrap/>
            <w:vAlign w:val="center"/>
            <w:hideMark/>
          </w:tcPr>
          <w:p w14:paraId="31C2C00D"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3.021 ±</w:t>
            </w:r>
            <w:r w:rsidRPr="00C6674F">
              <w:rPr>
                <w:rFonts w:ascii="Times New Roman" w:eastAsiaTheme="minorEastAsia" w:hAnsi="Times New Roman"/>
                <w:noProof w:val="0"/>
              </w:rPr>
              <w:t xml:space="preserve"> 0.16</w:t>
            </w:r>
          </w:p>
        </w:tc>
        <w:tc>
          <w:tcPr>
            <w:tcW w:w="1701" w:type="dxa"/>
            <w:gridSpan w:val="2"/>
            <w:noWrap/>
            <w:vAlign w:val="center"/>
            <w:hideMark/>
          </w:tcPr>
          <w:p w14:paraId="174E91F6"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2.741 ±</w:t>
            </w:r>
            <w:r w:rsidRPr="00C6674F">
              <w:rPr>
                <w:rFonts w:ascii="Times New Roman" w:eastAsiaTheme="minorEastAsia" w:hAnsi="Times New Roman"/>
                <w:noProof w:val="0"/>
              </w:rPr>
              <w:t xml:space="preserve"> 0.11</w:t>
            </w:r>
          </w:p>
        </w:tc>
        <w:tc>
          <w:tcPr>
            <w:tcW w:w="1484" w:type="dxa"/>
            <w:gridSpan w:val="2"/>
            <w:noWrap/>
            <w:vAlign w:val="center"/>
            <w:hideMark/>
          </w:tcPr>
          <w:p w14:paraId="3C4238AC"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2.580 ±</w:t>
            </w:r>
            <w:r w:rsidRPr="00C6674F">
              <w:rPr>
                <w:rFonts w:ascii="Times New Roman" w:eastAsiaTheme="minorEastAsia" w:hAnsi="Times New Roman"/>
                <w:noProof w:val="0"/>
              </w:rPr>
              <w:t xml:space="preserve"> 0.14</w:t>
            </w:r>
          </w:p>
        </w:tc>
      </w:tr>
      <w:tr w:rsidR="00562240" w:rsidRPr="00C6674F" w14:paraId="558899B3" w14:textId="77777777" w:rsidTr="006A5778">
        <w:trPr>
          <w:trHeight w:val="80"/>
        </w:trPr>
        <w:tc>
          <w:tcPr>
            <w:tcW w:w="718" w:type="dxa"/>
            <w:vAlign w:val="center"/>
          </w:tcPr>
          <w:p w14:paraId="30AD0903"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300</w:t>
            </w:r>
          </w:p>
        </w:tc>
        <w:tc>
          <w:tcPr>
            <w:tcW w:w="1012" w:type="dxa"/>
            <w:tcBorders>
              <w:right w:val="single" w:sz="8" w:space="0" w:color="auto"/>
            </w:tcBorders>
            <w:vAlign w:val="center"/>
          </w:tcPr>
          <w:p w14:paraId="793F92D3"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2068.4</w:t>
            </w:r>
          </w:p>
        </w:tc>
        <w:tc>
          <w:tcPr>
            <w:tcW w:w="1672" w:type="dxa"/>
            <w:gridSpan w:val="2"/>
            <w:tcBorders>
              <w:left w:val="single" w:sz="8" w:space="0" w:color="auto"/>
            </w:tcBorders>
            <w:noWrap/>
            <w:vAlign w:val="center"/>
            <w:hideMark/>
          </w:tcPr>
          <w:p w14:paraId="16F0A795"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3.769 ±</w:t>
            </w:r>
            <w:r w:rsidRPr="00C6674F">
              <w:rPr>
                <w:rFonts w:ascii="Times New Roman" w:eastAsiaTheme="minorEastAsia" w:hAnsi="Times New Roman"/>
                <w:noProof w:val="0"/>
              </w:rPr>
              <w:t xml:space="preserve"> 0.04</w:t>
            </w:r>
          </w:p>
        </w:tc>
        <w:tc>
          <w:tcPr>
            <w:tcW w:w="1701" w:type="dxa"/>
            <w:gridSpan w:val="2"/>
            <w:noWrap/>
            <w:vAlign w:val="center"/>
            <w:hideMark/>
          </w:tcPr>
          <w:p w14:paraId="2959CD95"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3.289 ±</w:t>
            </w:r>
            <w:r w:rsidRPr="00C6674F">
              <w:rPr>
                <w:rFonts w:ascii="Times New Roman" w:eastAsiaTheme="minorEastAsia" w:hAnsi="Times New Roman"/>
                <w:noProof w:val="0"/>
              </w:rPr>
              <w:t xml:space="preserve"> 0.17</w:t>
            </w:r>
          </w:p>
        </w:tc>
        <w:tc>
          <w:tcPr>
            <w:tcW w:w="1701" w:type="dxa"/>
            <w:gridSpan w:val="2"/>
            <w:noWrap/>
            <w:vAlign w:val="center"/>
            <w:hideMark/>
          </w:tcPr>
          <w:p w14:paraId="7530876C"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2.977 ±</w:t>
            </w:r>
            <w:r w:rsidRPr="00C6674F">
              <w:rPr>
                <w:rFonts w:ascii="Times New Roman" w:eastAsiaTheme="minorEastAsia" w:hAnsi="Times New Roman"/>
                <w:noProof w:val="0"/>
              </w:rPr>
              <w:t xml:space="preserve"> 0.12</w:t>
            </w:r>
          </w:p>
        </w:tc>
        <w:tc>
          <w:tcPr>
            <w:tcW w:w="1484" w:type="dxa"/>
            <w:gridSpan w:val="2"/>
            <w:noWrap/>
            <w:vAlign w:val="center"/>
            <w:hideMark/>
          </w:tcPr>
          <w:p w14:paraId="61C82036" w14:textId="77777777" w:rsidR="00562240" w:rsidRPr="00C6674F" w:rsidRDefault="00562240" w:rsidP="00D67DBB">
            <w:pPr>
              <w:tabs>
                <w:tab w:val="left" w:pos="8647"/>
              </w:tabs>
              <w:adjustRightInd w:val="0"/>
              <w:snapToGrid w:val="0"/>
              <w:jc w:val="center"/>
              <w:rPr>
                <w:rFonts w:ascii="Times New Roman" w:hAnsi="Times New Roman"/>
                <w:noProof w:val="0"/>
              </w:rPr>
            </w:pPr>
            <w:r w:rsidRPr="00C6674F">
              <w:rPr>
                <w:rFonts w:ascii="Times New Roman" w:hAnsi="Times New Roman"/>
                <w:noProof w:val="0"/>
              </w:rPr>
              <w:t>2.798 ±</w:t>
            </w:r>
            <w:r w:rsidRPr="00C6674F">
              <w:rPr>
                <w:rFonts w:ascii="Times New Roman" w:eastAsiaTheme="minorEastAsia" w:hAnsi="Times New Roman"/>
                <w:noProof w:val="0"/>
              </w:rPr>
              <w:t xml:space="preserve"> 0.15</w:t>
            </w:r>
          </w:p>
        </w:tc>
      </w:tr>
    </w:tbl>
    <w:p w14:paraId="02FEA2B7" w14:textId="2A69E7FA" w:rsidR="00562240" w:rsidRPr="00C6674F" w:rsidRDefault="00A25069" w:rsidP="00D67DBB">
      <w:pPr>
        <w:pStyle w:val="MDPI41tablecaption"/>
        <w:jc w:val="both"/>
        <w:rPr>
          <w:i/>
          <w:iCs/>
        </w:rPr>
      </w:pPr>
      <w:r w:rsidRPr="00C6674F">
        <w:rPr>
          <w:b/>
          <w:bCs/>
        </w:rPr>
        <w:t xml:space="preserve">Table S4. </w:t>
      </w:r>
      <w:r w:rsidR="00562240" w:rsidRPr="00C6674F">
        <w:t>The enthalpy of adsorption of 50:50 Polymer:IL at different temperatures and 1.75 mole CO</w:t>
      </w:r>
      <w:r w:rsidR="00562240" w:rsidRPr="00C6674F">
        <w:rPr>
          <w:vertAlign w:val="subscript"/>
        </w:rPr>
        <w:t>2</w:t>
      </w:r>
      <w:r w:rsidR="00562240" w:rsidRPr="00C6674F">
        <w:t xml:space="preserve"> / kg IL. The data are the average of five different measurements presented with one standard deviation.</w:t>
      </w:r>
    </w:p>
    <w:tbl>
      <w:tblPr>
        <w:tblW w:w="7857" w:type="dxa"/>
        <w:tblInd w:w="2608" w:type="dxa"/>
        <w:tblLayout w:type="fixed"/>
        <w:tblCellMar>
          <w:left w:w="0" w:type="dxa"/>
          <w:right w:w="0" w:type="dxa"/>
        </w:tblCellMar>
        <w:tblLook w:val="04A0" w:firstRow="1" w:lastRow="0" w:firstColumn="1" w:lastColumn="0" w:noHBand="0" w:noVBand="1"/>
      </w:tblPr>
      <w:tblGrid>
        <w:gridCol w:w="1641"/>
        <w:gridCol w:w="764"/>
        <w:gridCol w:w="1645"/>
        <w:gridCol w:w="1262"/>
        <w:gridCol w:w="1395"/>
        <w:gridCol w:w="1141"/>
        <w:gridCol w:w="9"/>
      </w:tblGrid>
      <w:tr w:rsidR="00E02BFC" w:rsidRPr="00C6674F" w14:paraId="285B9250" w14:textId="77777777" w:rsidTr="00E02BFC">
        <w:trPr>
          <w:gridAfter w:val="1"/>
          <w:wAfter w:w="9" w:type="dxa"/>
        </w:trPr>
        <w:tc>
          <w:tcPr>
            <w:tcW w:w="1838" w:type="dxa"/>
            <w:tcBorders>
              <w:top w:val="single" w:sz="8" w:space="0" w:color="auto"/>
              <w:left w:val="nil"/>
              <w:bottom w:val="single" w:sz="4" w:space="0" w:color="auto"/>
            </w:tcBorders>
            <w:shd w:val="clear" w:color="auto" w:fill="auto"/>
            <w:vAlign w:val="center"/>
            <w:hideMark/>
          </w:tcPr>
          <w:p w14:paraId="7DB4F143" w14:textId="77777777" w:rsidR="00562240" w:rsidRPr="00C6674F" w:rsidRDefault="00562240" w:rsidP="00D67DBB">
            <w:pPr>
              <w:tabs>
                <w:tab w:val="left" w:pos="8647"/>
              </w:tabs>
              <w:adjustRightInd w:val="0"/>
              <w:snapToGrid w:val="0"/>
              <w:spacing w:line="240" w:lineRule="auto"/>
              <w:jc w:val="center"/>
              <w:rPr>
                <w:rFonts w:ascii="Times New Roman" w:hAnsi="Times New Roman"/>
                <w:b/>
                <w:noProof w:val="0"/>
              </w:rPr>
            </w:pPr>
            <w:r w:rsidRPr="00C6674F">
              <w:rPr>
                <w:rFonts w:ascii="Times New Roman" w:hAnsi="Times New Roman"/>
                <w:b/>
                <w:noProof w:val="0"/>
              </w:rPr>
              <w:t>T (K)</w:t>
            </w:r>
          </w:p>
        </w:tc>
        <w:tc>
          <w:tcPr>
            <w:tcW w:w="855" w:type="dxa"/>
            <w:tcBorders>
              <w:top w:val="single" w:sz="8" w:space="0" w:color="auto"/>
              <w:bottom w:val="single" w:sz="4" w:space="0" w:color="auto"/>
            </w:tcBorders>
            <w:shd w:val="clear" w:color="auto" w:fill="auto"/>
            <w:vAlign w:val="center"/>
          </w:tcPr>
          <w:p w14:paraId="21988CAF" w14:textId="77777777" w:rsidR="00562240" w:rsidRPr="00C6674F" w:rsidRDefault="00562240" w:rsidP="00D67DBB">
            <w:pPr>
              <w:tabs>
                <w:tab w:val="left" w:pos="8647"/>
              </w:tabs>
              <w:adjustRightInd w:val="0"/>
              <w:snapToGrid w:val="0"/>
              <w:spacing w:line="240" w:lineRule="auto"/>
              <w:jc w:val="center"/>
              <w:rPr>
                <w:rFonts w:ascii="Times New Roman" w:hAnsi="Times New Roman"/>
                <w:b/>
                <w:noProof w:val="0"/>
              </w:rPr>
            </w:pPr>
            <w:r w:rsidRPr="00C6674F">
              <w:rPr>
                <w:rFonts w:ascii="Times New Roman" w:hAnsi="Times New Roman"/>
                <w:b/>
                <w:noProof w:val="0"/>
              </w:rPr>
              <w:t>E</w:t>
            </w:r>
            <w:r w:rsidRPr="00C6674F">
              <w:rPr>
                <w:rFonts w:ascii="Times New Roman" w:hAnsi="Times New Roman"/>
                <w:b/>
                <w:noProof w:val="0"/>
                <w:vertAlign w:val="superscript"/>
              </w:rPr>
              <w:t>3</w:t>
            </w:r>
            <w:r w:rsidRPr="00C6674F">
              <w:rPr>
                <w:rFonts w:ascii="Times New Roman" w:hAnsi="Times New Roman"/>
                <w:b/>
                <w:noProof w:val="0"/>
              </w:rPr>
              <w:t>/T</w:t>
            </w:r>
          </w:p>
        </w:tc>
        <w:tc>
          <w:tcPr>
            <w:tcW w:w="1843" w:type="dxa"/>
            <w:tcBorders>
              <w:top w:val="single" w:sz="8" w:space="0" w:color="auto"/>
              <w:bottom w:val="single" w:sz="4" w:space="0" w:color="auto"/>
            </w:tcBorders>
            <w:shd w:val="clear" w:color="auto" w:fill="auto"/>
            <w:vAlign w:val="center"/>
            <w:hideMark/>
          </w:tcPr>
          <w:p w14:paraId="7459CAFF" w14:textId="77777777" w:rsidR="00562240" w:rsidRPr="00C6674F" w:rsidRDefault="00562240" w:rsidP="00D67DBB">
            <w:pPr>
              <w:tabs>
                <w:tab w:val="left" w:pos="8647"/>
              </w:tabs>
              <w:adjustRightInd w:val="0"/>
              <w:snapToGrid w:val="0"/>
              <w:spacing w:line="240" w:lineRule="auto"/>
              <w:jc w:val="center"/>
              <w:rPr>
                <w:rFonts w:ascii="Times New Roman" w:hAnsi="Times New Roman"/>
                <w:b/>
                <w:noProof w:val="0"/>
              </w:rPr>
            </w:pPr>
            <w:r w:rsidRPr="00C6674F">
              <w:rPr>
                <w:rFonts w:ascii="Times New Roman" w:hAnsi="Times New Roman"/>
                <w:b/>
                <w:noProof w:val="0"/>
              </w:rPr>
              <w:t>P (kPa) at 1.75 mole CO</w:t>
            </w:r>
            <w:r w:rsidRPr="00C6674F">
              <w:rPr>
                <w:rFonts w:ascii="Times New Roman" w:hAnsi="Times New Roman"/>
                <w:b/>
                <w:noProof w:val="0"/>
                <w:vertAlign w:val="subscript"/>
              </w:rPr>
              <w:t>2</w:t>
            </w:r>
            <w:r w:rsidRPr="00C6674F">
              <w:rPr>
                <w:rFonts w:ascii="Times New Roman" w:hAnsi="Times New Roman"/>
                <w:b/>
                <w:noProof w:val="0"/>
              </w:rPr>
              <w:t xml:space="preserve"> / kg IL</w:t>
            </w:r>
          </w:p>
        </w:tc>
        <w:tc>
          <w:tcPr>
            <w:tcW w:w="1414" w:type="dxa"/>
            <w:tcBorders>
              <w:top w:val="single" w:sz="8" w:space="0" w:color="auto"/>
              <w:bottom w:val="single" w:sz="4" w:space="0" w:color="auto"/>
            </w:tcBorders>
            <w:shd w:val="clear" w:color="auto" w:fill="auto"/>
            <w:vAlign w:val="center"/>
          </w:tcPr>
          <w:p w14:paraId="33CD8608" w14:textId="77777777" w:rsidR="00562240" w:rsidRPr="00C6674F" w:rsidRDefault="00562240" w:rsidP="00D67DBB">
            <w:pPr>
              <w:tabs>
                <w:tab w:val="left" w:pos="8647"/>
              </w:tabs>
              <w:adjustRightInd w:val="0"/>
              <w:snapToGrid w:val="0"/>
              <w:spacing w:line="240" w:lineRule="auto"/>
              <w:jc w:val="center"/>
              <w:rPr>
                <w:rFonts w:ascii="Times New Roman" w:eastAsiaTheme="minorEastAsia" w:hAnsi="Times New Roman"/>
                <w:b/>
                <w:noProof w:val="0"/>
              </w:rPr>
            </w:pPr>
            <w:r w:rsidRPr="00C6674F">
              <w:rPr>
                <w:rFonts w:ascii="Times New Roman" w:eastAsiaTheme="minorEastAsia" w:hAnsi="Times New Roman"/>
                <w:b/>
                <w:noProof w:val="0"/>
              </w:rPr>
              <w:t>ln(P/kPa)</w:t>
            </w:r>
          </w:p>
        </w:tc>
        <w:tc>
          <w:tcPr>
            <w:tcW w:w="1563" w:type="dxa"/>
            <w:tcBorders>
              <w:top w:val="single" w:sz="8" w:space="0" w:color="auto"/>
              <w:bottom w:val="single" w:sz="4" w:space="0" w:color="auto"/>
            </w:tcBorders>
            <w:shd w:val="clear" w:color="auto" w:fill="auto"/>
            <w:vAlign w:val="center"/>
          </w:tcPr>
          <w:p w14:paraId="6E9BC23C" w14:textId="77777777" w:rsidR="00562240" w:rsidRPr="00C6674F" w:rsidRDefault="00562240" w:rsidP="00D67DBB">
            <w:pPr>
              <w:tabs>
                <w:tab w:val="left" w:pos="8647"/>
              </w:tabs>
              <w:adjustRightInd w:val="0"/>
              <w:snapToGrid w:val="0"/>
              <w:spacing w:line="240" w:lineRule="auto"/>
              <w:jc w:val="center"/>
              <w:rPr>
                <w:rFonts w:ascii="Times New Roman" w:eastAsia="Cambria" w:hAnsi="Times New Roman"/>
                <w:b/>
                <w:noProof w:val="0"/>
              </w:rPr>
            </w:pPr>
            <w:r w:rsidRPr="00C6674F">
              <w:rPr>
                <w:rFonts w:ascii="Times New Roman" w:eastAsia="Cambria" w:hAnsi="Times New Roman"/>
                <w:b/>
                <w:noProof w:val="0"/>
              </w:rPr>
              <w:t>Slope</w:t>
            </w:r>
          </w:p>
          <w:p w14:paraId="68777620" w14:textId="77777777" w:rsidR="00562240" w:rsidRPr="00C6674F" w:rsidRDefault="00562240" w:rsidP="00D67DBB">
            <w:pPr>
              <w:tabs>
                <w:tab w:val="left" w:pos="8647"/>
              </w:tabs>
              <w:adjustRightInd w:val="0"/>
              <w:snapToGrid w:val="0"/>
              <w:spacing w:line="240" w:lineRule="auto"/>
              <w:jc w:val="center"/>
              <w:rPr>
                <w:rFonts w:ascii="Times New Roman" w:eastAsia="Cambria" w:hAnsi="Times New Roman"/>
                <w:b/>
                <w:noProof w:val="0"/>
              </w:rPr>
            </w:pPr>
            <w:r w:rsidRPr="00C6674F">
              <w:rPr>
                <w:rFonts w:ascii="Times New Roman" w:hAnsi="Times New Roman"/>
                <w:b/>
                <w:bCs/>
                <w:noProof w:val="0"/>
              </w:rPr>
              <w:t>-</w:t>
            </w:r>
            <w:r w:rsidRPr="00C6674F">
              <w:rPr>
                <w:rFonts w:ascii="Times New Roman" w:hAnsi="Times New Roman"/>
                <w:b/>
                <w:noProof w:val="0"/>
              </w:rPr>
              <w:t>∆H</w:t>
            </w:r>
            <w:r w:rsidRPr="00C6674F">
              <w:rPr>
                <w:rFonts w:ascii="Times New Roman" w:hAnsi="Times New Roman"/>
                <w:b/>
                <w:noProof w:val="0"/>
                <w:vertAlign w:val="subscript"/>
              </w:rPr>
              <w:t>ads</w:t>
            </w:r>
            <w:r w:rsidRPr="00C6674F">
              <w:rPr>
                <w:rFonts w:ascii="Times New Roman" w:hAnsi="Times New Roman"/>
                <w:b/>
                <w:noProof w:val="0"/>
              </w:rPr>
              <w:t>/R</w:t>
            </w:r>
          </w:p>
        </w:tc>
        <w:tc>
          <w:tcPr>
            <w:tcW w:w="1278" w:type="dxa"/>
            <w:tcBorders>
              <w:top w:val="single" w:sz="8" w:space="0" w:color="auto"/>
              <w:bottom w:val="single" w:sz="4" w:space="0" w:color="auto"/>
              <w:right w:val="nil"/>
            </w:tcBorders>
            <w:shd w:val="clear" w:color="auto" w:fill="auto"/>
            <w:vAlign w:val="center"/>
          </w:tcPr>
          <w:p w14:paraId="49FB8D0E" w14:textId="77777777" w:rsidR="00562240" w:rsidRPr="00C6674F" w:rsidRDefault="00562240" w:rsidP="00D67DBB">
            <w:pPr>
              <w:tabs>
                <w:tab w:val="left" w:pos="8647"/>
              </w:tabs>
              <w:adjustRightInd w:val="0"/>
              <w:snapToGrid w:val="0"/>
              <w:spacing w:line="240" w:lineRule="auto"/>
              <w:jc w:val="center"/>
              <w:rPr>
                <w:rFonts w:ascii="Times New Roman" w:eastAsia="Cambria" w:hAnsi="Times New Roman"/>
                <w:b/>
                <w:noProof w:val="0"/>
              </w:rPr>
            </w:pPr>
            <w:r w:rsidRPr="00C6674F">
              <w:rPr>
                <w:rFonts w:ascii="Times New Roman" w:eastAsia="Cambria" w:hAnsi="Times New Roman"/>
                <w:b/>
                <w:noProof w:val="0"/>
              </w:rPr>
              <w:t xml:space="preserve">- </w:t>
            </w:r>
            <w:r w:rsidRPr="00C6674F">
              <w:rPr>
                <w:rFonts w:ascii="Times New Roman" w:hAnsi="Times New Roman"/>
                <w:b/>
                <w:noProof w:val="0"/>
              </w:rPr>
              <w:t>∆H</w:t>
            </w:r>
            <w:r w:rsidRPr="00C6674F">
              <w:rPr>
                <w:rFonts w:ascii="Times New Roman" w:hAnsi="Times New Roman"/>
                <w:b/>
                <w:noProof w:val="0"/>
                <w:vertAlign w:val="subscript"/>
              </w:rPr>
              <w:t>ads</w:t>
            </w:r>
          </w:p>
          <w:p w14:paraId="525F2D59" w14:textId="77777777" w:rsidR="00562240" w:rsidRPr="00C6674F" w:rsidRDefault="00562240" w:rsidP="00D67DBB">
            <w:pPr>
              <w:tabs>
                <w:tab w:val="left" w:pos="8647"/>
              </w:tabs>
              <w:adjustRightInd w:val="0"/>
              <w:snapToGrid w:val="0"/>
              <w:spacing w:line="240" w:lineRule="auto"/>
              <w:jc w:val="center"/>
              <w:rPr>
                <w:rFonts w:ascii="Times New Roman" w:eastAsia="Cambria" w:hAnsi="Times New Roman"/>
                <w:b/>
                <w:noProof w:val="0"/>
              </w:rPr>
            </w:pPr>
            <w:r w:rsidRPr="00C6674F">
              <w:rPr>
                <w:rFonts w:ascii="Times New Roman" w:eastAsia="Cambria" w:hAnsi="Times New Roman"/>
                <w:b/>
                <w:noProof w:val="0"/>
              </w:rPr>
              <w:t>(kJ/mol)</w:t>
            </w:r>
          </w:p>
        </w:tc>
      </w:tr>
      <w:tr w:rsidR="00E02BFC" w:rsidRPr="00C6674F" w14:paraId="503F6AA2" w14:textId="77777777" w:rsidTr="00E02BFC">
        <w:trPr>
          <w:gridAfter w:val="1"/>
          <w:wAfter w:w="9" w:type="dxa"/>
        </w:trPr>
        <w:tc>
          <w:tcPr>
            <w:tcW w:w="1838" w:type="dxa"/>
            <w:tcBorders>
              <w:top w:val="single" w:sz="4" w:space="0" w:color="auto"/>
              <w:left w:val="nil"/>
              <w:bottom w:val="nil"/>
            </w:tcBorders>
            <w:shd w:val="clear" w:color="auto" w:fill="auto"/>
            <w:noWrap/>
            <w:vAlign w:val="center"/>
            <w:hideMark/>
          </w:tcPr>
          <w:p w14:paraId="5C08DEE1"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283.66 ±</w:t>
            </w:r>
            <w:r w:rsidRPr="00C6674F">
              <w:rPr>
                <w:rFonts w:ascii="Times New Roman" w:eastAsiaTheme="minorEastAsia" w:hAnsi="Times New Roman"/>
                <w:noProof w:val="0"/>
              </w:rPr>
              <w:t xml:space="preserve"> 0.2</w:t>
            </w:r>
          </w:p>
        </w:tc>
        <w:tc>
          <w:tcPr>
            <w:tcW w:w="855" w:type="dxa"/>
            <w:tcBorders>
              <w:top w:val="single" w:sz="4" w:space="0" w:color="auto"/>
              <w:bottom w:val="nil"/>
            </w:tcBorders>
            <w:shd w:val="clear" w:color="auto" w:fill="auto"/>
            <w:vAlign w:val="center"/>
          </w:tcPr>
          <w:p w14:paraId="5B5B3315"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3.53</w:t>
            </w:r>
          </w:p>
        </w:tc>
        <w:tc>
          <w:tcPr>
            <w:tcW w:w="1843" w:type="dxa"/>
            <w:tcBorders>
              <w:top w:val="single" w:sz="4" w:space="0" w:color="auto"/>
              <w:bottom w:val="nil"/>
            </w:tcBorders>
            <w:shd w:val="clear" w:color="auto" w:fill="auto"/>
            <w:noWrap/>
            <w:vAlign w:val="center"/>
            <w:hideMark/>
          </w:tcPr>
          <w:p w14:paraId="54C38232"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971 ±</w:t>
            </w:r>
            <w:r w:rsidRPr="00C6674F">
              <w:rPr>
                <w:rFonts w:ascii="Times New Roman" w:eastAsiaTheme="minorEastAsia" w:hAnsi="Times New Roman"/>
                <w:noProof w:val="0"/>
              </w:rPr>
              <w:t xml:space="preserve"> 18</w:t>
            </w:r>
          </w:p>
        </w:tc>
        <w:tc>
          <w:tcPr>
            <w:tcW w:w="1414" w:type="dxa"/>
            <w:tcBorders>
              <w:top w:val="single" w:sz="4" w:space="0" w:color="auto"/>
              <w:bottom w:val="nil"/>
            </w:tcBorders>
            <w:shd w:val="clear" w:color="auto" w:fill="auto"/>
            <w:vAlign w:val="center"/>
          </w:tcPr>
          <w:p w14:paraId="6B66A2A3"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6.88 ±</w:t>
            </w:r>
            <w:r w:rsidRPr="00C6674F">
              <w:rPr>
                <w:rFonts w:ascii="Times New Roman" w:eastAsiaTheme="minorEastAsia" w:hAnsi="Times New Roman"/>
                <w:noProof w:val="0"/>
              </w:rPr>
              <w:t xml:space="preserve"> 0.03</w:t>
            </w:r>
          </w:p>
        </w:tc>
        <w:tc>
          <w:tcPr>
            <w:tcW w:w="1563" w:type="dxa"/>
            <w:vMerge w:val="restart"/>
            <w:tcBorders>
              <w:top w:val="single" w:sz="4" w:space="0" w:color="auto"/>
              <w:bottom w:val="nil"/>
            </w:tcBorders>
            <w:shd w:val="clear" w:color="auto" w:fill="auto"/>
            <w:vAlign w:val="center"/>
          </w:tcPr>
          <w:p w14:paraId="5B7A2553"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- 821.9 ±</w:t>
            </w:r>
            <w:r w:rsidRPr="00C6674F">
              <w:rPr>
                <w:rFonts w:ascii="Times New Roman" w:eastAsiaTheme="minorEastAsia" w:hAnsi="Times New Roman"/>
                <w:noProof w:val="0"/>
              </w:rPr>
              <w:t xml:space="preserve"> 172</w:t>
            </w:r>
          </w:p>
        </w:tc>
        <w:tc>
          <w:tcPr>
            <w:tcW w:w="1278" w:type="dxa"/>
            <w:vMerge w:val="restart"/>
            <w:tcBorders>
              <w:top w:val="single" w:sz="4" w:space="0" w:color="auto"/>
              <w:bottom w:val="nil"/>
              <w:right w:val="nil"/>
            </w:tcBorders>
            <w:shd w:val="clear" w:color="auto" w:fill="auto"/>
            <w:vAlign w:val="center"/>
          </w:tcPr>
          <w:p w14:paraId="77F6C062"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6.8 ±</w:t>
            </w:r>
            <w:r w:rsidRPr="00C6674F">
              <w:rPr>
                <w:rFonts w:ascii="Times New Roman" w:eastAsiaTheme="minorEastAsia" w:hAnsi="Times New Roman"/>
                <w:noProof w:val="0"/>
              </w:rPr>
              <w:t xml:space="preserve"> 1</w:t>
            </w:r>
          </w:p>
        </w:tc>
      </w:tr>
      <w:tr w:rsidR="00E02BFC" w:rsidRPr="00C6674F" w14:paraId="2294CFEC" w14:textId="77777777" w:rsidTr="00E02BFC">
        <w:trPr>
          <w:gridAfter w:val="1"/>
          <w:wAfter w:w="9" w:type="dxa"/>
        </w:trPr>
        <w:tc>
          <w:tcPr>
            <w:tcW w:w="1838" w:type="dxa"/>
            <w:tcBorders>
              <w:top w:val="nil"/>
              <w:left w:val="nil"/>
              <w:bottom w:val="nil"/>
            </w:tcBorders>
            <w:shd w:val="clear" w:color="auto" w:fill="auto"/>
            <w:noWrap/>
            <w:vAlign w:val="center"/>
            <w:hideMark/>
          </w:tcPr>
          <w:p w14:paraId="2BEAAC95"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293.81 ±</w:t>
            </w:r>
            <w:r w:rsidRPr="00C6674F">
              <w:rPr>
                <w:rFonts w:ascii="Times New Roman" w:eastAsiaTheme="minorEastAsia" w:hAnsi="Times New Roman"/>
                <w:noProof w:val="0"/>
              </w:rPr>
              <w:t xml:space="preserve"> 0.1</w:t>
            </w:r>
          </w:p>
        </w:tc>
        <w:tc>
          <w:tcPr>
            <w:tcW w:w="855" w:type="dxa"/>
            <w:tcBorders>
              <w:top w:val="nil"/>
              <w:bottom w:val="nil"/>
            </w:tcBorders>
            <w:shd w:val="clear" w:color="auto" w:fill="auto"/>
            <w:vAlign w:val="center"/>
          </w:tcPr>
          <w:p w14:paraId="64EBA0E6"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3.40</w:t>
            </w:r>
          </w:p>
        </w:tc>
        <w:tc>
          <w:tcPr>
            <w:tcW w:w="1843" w:type="dxa"/>
            <w:tcBorders>
              <w:top w:val="nil"/>
              <w:bottom w:val="nil"/>
            </w:tcBorders>
            <w:shd w:val="clear" w:color="auto" w:fill="auto"/>
            <w:noWrap/>
            <w:vAlign w:val="center"/>
            <w:hideMark/>
          </w:tcPr>
          <w:p w14:paraId="3E88906A"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1072 ±</w:t>
            </w:r>
            <w:r w:rsidRPr="00C6674F">
              <w:rPr>
                <w:rFonts w:ascii="Times New Roman" w:eastAsiaTheme="minorEastAsia" w:hAnsi="Times New Roman"/>
                <w:noProof w:val="0"/>
              </w:rPr>
              <w:t xml:space="preserve"> 45</w:t>
            </w:r>
          </w:p>
        </w:tc>
        <w:tc>
          <w:tcPr>
            <w:tcW w:w="1414" w:type="dxa"/>
            <w:tcBorders>
              <w:top w:val="nil"/>
              <w:bottom w:val="nil"/>
            </w:tcBorders>
            <w:shd w:val="clear" w:color="auto" w:fill="auto"/>
            <w:vAlign w:val="center"/>
          </w:tcPr>
          <w:p w14:paraId="18190BD3"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6.98 ±</w:t>
            </w:r>
            <w:r w:rsidRPr="00C6674F">
              <w:rPr>
                <w:rFonts w:ascii="Times New Roman" w:eastAsiaTheme="minorEastAsia" w:hAnsi="Times New Roman"/>
                <w:noProof w:val="0"/>
              </w:rPr>
              <w:t xml:space="preserve"> 0.07</w:t>
            </w:r>
          </w:p>
        </w:tc>
        <w:tc>
          <w:tcPr>
            <w:tcW w:w="1563" w:type="dxa"/>
            <w:vMerge/>
            <w:tcBorders>
              <w:top w:val="single" w:sz="8" w:space="0" w:color="auto"/>
              <w:bottom w:val="nil"/>
            </w:tcBorders>
            <w:shd w:val="clear" w:color="auto" w:fill="auto"/>
            <w:vAlign w:val="center"/>
          </w:tcPr>
          <w:p w14:paraId="13E764EA"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p>
        </w:tc>
        <w:tc>
          <w:tcPr>
            <w:tcW w:w="1278" w:type="dxa"/>
            <w:vMerge/>
            <w:tcBorders>
              <w:top w:val="single" w:sz="8" w:space="0" w:color="auto"/>
              <w:bottom w:val="nil"/>
              <w:right w:val="nil"/>
            </w:tcBorders>
            <w:shd w:val="clear" w:color="auto" w:fill="auto"/>
            <w:vAlign w:val="center"/>
          </w:tcPr>
          <w:p w14:paraId="2F170E85"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p>
        </w:tc>
      </w:tr>
      <w:tr w:rsidR="00E02BFC" w:rsidRPr="00C6674F" w14:paraId="6712674C" w14:textId="77777777" w:rsidTr="00E02BFC">
        <w:trPr>
          <w:gridAfter w:val="1"/>
          <w:wAfter w:w="9" w:type="dxa"/>
        </w:trPr>
        <w:tc>
          <w:tcPr>
            <w:tcW w:w="1838" w:type="dxa"/>
            <w:tcBorders>
              <w:top w:val="nil"/>
              <w:left w:val="nil"/>
              <w:bottom w:val="nil"/>
            </w:tcBorders>
            <w:shd w:val="clear" w:color="auto" w:fill="auto"/>
            <w:noWrap/>
            <w:vAlign w:val="center"/>
            <w:hideMark/>
          </w:tcPr>
          <w:p w14:paraId="41F94EC6"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303.25 ± 0.2</w:t>
            </w:r>
          </w:p>
        </w:tc>
        <w:tc>
          <w:tcPr>
            <w:tcW w:w="855" w:type="dxa"/>
            <w:tcBorders>
              <w:top w:val="nil"/>
              <w:bottom w:val="nil"/>
            </w:tcBorders>
            <w:shd w:val="clear" w:color="auto" w:fill="auto"/>
            <w:vAlign w:val="center"/>
          </w:tcPr>
          <w:p w14:paraId="144FEB0F"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3.30</w:t>
            </w:r>
          </w:p>
        </w:tc>
        <w:tc>
          <w:tcPr>
            <w:tcW w:w="1843" w:type="dxa"/>
            <w:tcBorders>
              <w:top w:val="nil"/>
              <w:bottom w:val="nil"/>
            </w:tcBorders>
            <w:shd w:val="clear" w:color="auto" w:fill="auto"/>
            <w:noWrap/>
            <w:vAlign w:val="center"/>
            <w:hideMark/>
          </w:tcPr>
          <w:p w14:paraId="58F94BDB"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1185 ±</w:t>
            </w:r>
            <w:r w:rsidRPr="00C6674F">
              <w:rPr>
                <w:rFonts w:ascii="Times New Roman" w:eastAsiaTheme="minorEastAsia" w:hAnsi="Times New Roman"/>
                <w:noProof w:val="0"/>
              </w:rPr>
              <w:t xml:space="preserve"> 56</w:t>
            </w:r>
          </w:p>
        </w:tc>
        <w:tc>
          <w:tcPr>
            <w:tcW w:w="1414" w:type="dxa"/>
            <w:tcBorders>
              <w:top w:val="nil"/>
              <w:bottom w:val="nil"/>
            </w:tcBorders>
            <w:shd w:val="clear" w:color="auto" w:fill="auto"/>
            <w:vAlign w:val="center"/>
          </w:tcPr>
          <w:p w14:paraId="6EDFED3E"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7.08 ±</w:t>
            </w:r>
            <w:r w:rsidRPr="00C6674F">
              <w:rPr>
                <w:rFonts w:ascii="Times New Roman" w:eastAsiaTheme="minorEastAsia" w:hAnsi="Times New Roman"/>
                <w:noProof w:val="0"/>
              </w:rPr>
              <w:t xml:space="preserve"> 0.08</w:t>
            </w:r>
          </w:p>
        </w:tc>
        <w:tc>
          <w:tcPr>
            <w:tcW w:w="1563" w:type="dxa"/>
            <w:vMerge/>
            <w:tcBorders>
              <w:top w:val="single" w:sz="8" w:space="0" w:color="auto"/>
              <w:bottom w:val="nil"/>
            </w:tcBorders>
            <w:shd w:val="clear" w:color="auto" w:fill="auto"/>
            <w:vAlign w:val="center"/>
          </w:tcPr>
          <w:p w14:paraId="1F9D57D0"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p>
        </w:tc>
        <w:tc>
          <w:tcPr>
            <w:tcW w:w="1278" w:type="dxa"/>
            <w:vMerge/>
            <w:tcBorders>
              <w:top w:val="single" w:sz="8" w:space="0" w:color="auto"/>
              <w:bottom w:val="nil"/>
              <w:right w:val="nil"/>
            </w:tcBorders>
            <w:shd w:val="clear" w:color="auto" w:fill="auto"/>
            <w:vAlign w:val="center"/>
          </w:tcPr>
          <w:p w14:paraId="723E9CCD"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p>
        </w:tc>
      </w:tr>
      <w:tr w:rsidR="00E02BFC" w:rsidRPr="00C6674F" w14:paraId="4051F737" w14:textId="77777777" w:rsidTr="00E02BFC">
        <w:trPr>
          <w:gridAfter w:val="1"/>
          <w:wAfter w:w="9" w:type="dxa"/>
        </w:trPr>
        <w:tc>
          <w:tcPr>
            <w:tcW w:w="1838" w:type="dxa"/>
            <w:tcBorders>
              <w:top w:val="nil"/>
              <w:left w:val="nil"/>
              <w:bottom w:val="single" w:sz="4" w:space="0" w:color="auto"/>
            </w:tcBorders>
            <w:shd w:val="clear" w:color="auto" w:fill="auto"/>
            <w:noWrap/>
            <w:vAlign w:val="center"/>
            <w:hideMark/>
          </w:tcPr>
          <w:p w14:paraId="4811AE25"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312.81 ±</w:t>
            </w:r>
            <w:r w:rsidRPr="00C6674F">
              <w:rPr>
                <w:rFonts w:ascii="Times New Roman" w:eastAsiaTheme="minorEastAsia" w:hAnsi="Times New Roman"/>
                <w:noProof w:val="0"/>
              </w:rPr>
              <w:t xml:space="preserve"> 0.3</w:t>
            </w:r>
          </w:p>
        </w:tc>
        <w:tc>
          <w:tcPr>
            <w:tcW w:w="855" w:type="dxa"/>
            <w:tcBorders>
              <w:top w:val="nil"/>
              <w:bottom w:val="single" w:sz="4" w:space="0" w:color="auto"/>
            </w:tcBorders>
            <w:shd w:val="clear" w:color="auto" w:fill="auto"/>
            <w:vAlign w:val="center"/>
          </w:tcPr>
          <w:p w14:paraId="69528B9E"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3.20</w:t>
            </w:r>
          </w:p>
        </w:tc>
        <w:tc>
          <w:tcPr>
            <w:tcW w:w="1843" w:type="dxa"/>
            <w:tcBorders>
              <w:top w:val="nil"/>
              <w:bottom w:val="single" w:sz="4" w:space="0" w:color="auto"/>
            </w:tcBorders>
            <w:shd w:val="clear" w:color="auto" w:fill="auto"/>
            <w:noWrap/>
            <w:vAlign w:val="center"/>
            <w:hideMark/>
          </w:tcPr>
          <w:p w14:paraId="1EC325DC"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1268 ±</w:t>
            </w:r>
            <w:r w:rsidRPr="00C6674F">
              <w:rPr>
                <w:rFonts w:ascii="Times New Roman" w:eastAsiaTheme="minorEastAsia" w:hAnsi="Times New Roman"/>
                <w:noProof w:val="0"/>
              </w:rPr>
              <w:t xml:space="preserve"> 61</w:t>
            </w:r>
          </w:p>
        </w:tc>
        <w:tc>
          <w:tcPr>
            <w:tcW w:w="1414" w:type="dxa"/>
            <w:tcBorders>
              <w:top w:val="nil"/>
              <w:bottom w:val="single" w:sz="4" w:space="0" w:color="auto"/>
            </w:tcBorders>
            <w:shd w:val="clear" w:color="auto" w:fill="auto"/>
            <w:vAlign w:val="center"/>
          </w:tcPr>
          <w:p w14:paraId="3F902D42"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7.14 ±</w:t>
            </w:r>
            <w:r w:rsidRPr="00C6674F">
              <w:rPr>
                <w:rFonts w:ascii="Times New Roman" w:eastAsiaTheme="minorEastAsia" w:hAnsi="Times New Roman"/>
                <w:noProof w:val="0"/>
              </w:rPr>
              <w:t xml:space="preserve"> 0.08</w:t>
            </w:r>
          </w:p>
        </w:tc>
        <w:tc>
          <w:tcPr>
            <w:tcW w:w="1563" w:type="dxa"/>
            <w:vMerge/>
            <w:tcBorders>
              <w:top w:val="single" w:sz="8" w:space="0" w:color="auto"/>
              <w:bottom w:val="single" w:sz="4" w:space="0" w:color="auto"/>
            </w:tcBorders>
            <w:shd w:val="clear" w:color="auto" w:fill="auto"/>
            <w:vAlign w:val="center"/>
          </w:tcPr>
          <w:p w14:paraId="192509A2"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p>
        </w:tc>
        <w:tc>
          <w:tcPr>
            <w:tcW w:w="1278" w:type="dxa"/>
            <w:vMerge/>
            <w:tcBorders>
              <w:top w:val="single" w:sz="8" w:space="0" w:color="auto"/>
              <w:bottom w:val="single" w:sz="4" w:space="0" w:color="auto"/>
              <w:right w:val="nil"/>
            </w:tcBorders>
            <w:shd w:val="clear" w:color="auto" w:fill="auto"/>
            <w:vAlign w:val="center"/>
          </w:tcPr>
          <w:p w14:paraId="3CEF385C"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p>
        </w:tc>
      </w:tr>
      <w:tr w:rsidR="00E02BFC" w:rsidRPr="00C6674F" w14:paraId="5FD5F562" w14:textId="77777777" w:rsidTr="00E02BFC">
        <w:tc>
          <w:tcPr>
            <w:tcW w:w="8800" w:type="dxa"/>
            <w:gridSpan w:val="7"/>
            <w:tcBorders>
              <w:top w:val="single" w:sz="4" w:space="0" w:color="auto"/>
              <w:left w:val="nil"/>
              <w:bottom w:val="single" w:sz="8" w:space="0" w:color="auto"/>
              <w:right w:val="nil"/>
            </w:tcBorders>
            <w:shd w:val="clear" w:color="auto" w:fill="auto"/>
            <w:noWrap/>
            <w:vAlign w:val="center"/>
          </w:tcPr>
          <w:p w14:paraId="2385D1FF" w14:textId="77777777" w:rsidR="00562240" w:rsidRPr="00C6674F" w:rsidRDefault="00562240" w:rsidP="00D67DBB">
            <w:pPr>
              <w:tabs>
                <w:tab w:val="left" w:pos="8647"/>
              </w:tabs>
              <w:adjustRightInd w:val="0"/>
              <w:snapToGrid w:val="0"/>
              <w:spacing w:line="240" w:lineRule="auto"/>
              <w:jc w:val="center"/>
              <w:rPr>
                <w:rFonts w:ascii="Times New Roman" w:hAnsi="Times New Roman"/>
                <w:noProof w:val="0"/>
              </w:rPr>
            </w:pPr>
            <w:r w:rsidRPr="00C6674F">
              <w:rPr>
                <w:rFonts w:ascii="Times New Roman" w:hAnsi="Times New Roman"/>
                <w:noProof w:val="0"/>
              </w:rPr>
              <w:t>R</w:t>
            </w:r>
            <w:r w:rsidRPr="00C6674F">
              <w:rPr>
                <w:rFonts w:ascii="Times New Roman" w:hAnsi="Times New Roman"/>
                <w:noProof w:val="0"/>
                <w:vertAlign w:val="superscript"/>
              </w:rPr>
              <w:t>2</w:t>
            </w:r>
            <w:r w:rsidRPr="00C6674F">
              <w:rPr>
                <w:rFonts w:ascii="Times New Roman" w:hAnsi="Times New Roman"/>
                <w:noProof w:val="0"/>
              </w:rPr>
              <w:t>-value (for the linear fitting of the slope) = 0.976 ±</w:t>
            </w:r>
            <w:r w:rsidRPr="00C6674F">
              <w:rPr>
                <w:rFonts w:ascii="Times New Roman" w:eastAsiaTheme="minorEastAsia" w:hAnsi="Times New Roman"/>
                <w:noProof w:val="0"/>
              </w:rPr>
              <w:t xml:space="preserve"> 0.006</w:t>
            </w:r>
          </w:p>
        </w:tc>
      </w:tr>
    </w:tbl>
    <w:bookmarkEnd w:id="9"/>
    <w:p w14:paraId="0B4CF77A" w14:textId="77777777" w:rsidR="00562240" w:rsidRPr="00C6674F" w:rsidRDefault="00562240" w:rsidP="00D67DBB">
      <w:pPr>
        <w:pStyle w:val="MDPI31text"/>
        <w:spacing w:before="240"/>
      </w:pPr>
      <w:r w:rsidRPr="00C6674F">
        <w:t>Similarly, the enthalpy of CO</w:t>
      </w:r>
      <w:r w:rsidRPr="00C6674F">
        <w:rPr>
          <w:vertAlign w:val="subscript"/>
        </w:rPr>
        <w:t>2</w:t>
      </w:r>
      <w:r w:rsidRPr="00C6674F">
        <w:t xml:space="preserve"> absorption in polymeric mixtures with various content of IL and GNP were determined; the data are presented in Figure S6.</w:t>
      </w:r>
    </w:p>
    <w:p w14:paraId="22BEA916" w14:textId="77777777" w:rsidR="00562240" w:rsidRPr="00C6674F" w:rsidRDefault="00562240" w:rsidP="00D67DBB">
      <w:pPr>
        <w:pStyle w:val="MDPI52figure"/>
        <w:ind w:left="2608"/>
        <w:jc w:val="left"/>
      </w:pPr>
      <w:r w:rsidRPr="00C6674F">
        <w:rPr>
          <w:noProof/>
        </w:rPr>
        <w:drawing>
          <wp:inline distT="0" distB="0" distL="0" distR="0" wp14:anchorId="030EDD2D" wp14:editId="50C65548">
            <wp:extent cx="4984681" cy="2247900"/>
            <wp:effectExtent l="0" t="0" r="6985" b="0"/>
            <wp:docPr id="24" name="Picture 2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2200" cy="2260310"/>
                    </a:xfrm>
                    <a:prstGeom prst="rect">
                      <a:avLst/>
                    </a:prstGeom>
                  </pic:spPr>
                </pic:pic>
              </a:graphicData>
            </a:graphic>
          </wp:inline>
        </w:drawing>
      </w:r>
    </w:p>
    <w:p w14:paraId="07697974" w14:textId="45D9E3CA" w:rsidR="00562240" w:rsidRPr="00C6674F" w:rsidRDefault="00A25069" w:rsidP="00D67DBB">
      <w:pPr>
        <w:pStyle w:val="MDPI51figurecaption"/>
        <w:jc w:val="both"/>
      </w:pPr>
      <w:r w:rsidRPr="00C6674F">
        <w:rPr>
          <w:b/>
          <w:bCs/>
        </w:rPr>
        <w:t xml:space="preserve">Figure S6. </w:t>
      </w:r>
      <w:r w:rsidR="00562240" w:rsidRPr="00C6674F">
        <w:t>Enthalpy of adsorption of polymeric mixtures. (A) PVDF-HFP:IL with various concentrations of IL. (B) Polymeric mixtures of 50:50 PVDF-HFP:IL with various concentrations of GNP.</w:t>
      </w:r>
    </w:p>
    <w:p w14:paraId="7464FD0D" w14:textId="77777777" w:rsidR="00562240" w:rsidRPr="00C6674F" w:rsidRDefault="00562240" w:rsidP="00D67DBB">
      <w:pPr>
        <w:pStyle w:val="MDPI31text"/>
      </w:pPr>
      <w:r w:rsidRPr="00C6674F">
        <w:t>To gain quantitative information on the interaction between CO</w:t>
      </w:r>
      <w:r w:rsidRPr="00C6674F">
        <w:rPr>
          <w:vertAlign w:val="subscript"/>
        </w:rPr>
        <w:t>2</w:t>
      </w:r>
      <w:r w:rsidRPr="00C6674F">
        <w:t xml:space="preserve"> and the coated-thin film of </w:t>
      </w:r>
      <w:r w:rsidRPr="00C6674F">
        <w:rPr>
          <w:bCs/>
        </w:rPr>
        <w:t>Polymer:IL (GNP)</w:t>
      </w:r>
      <w:r w:rsidRPr="00C6674F">
        <w:t xml:space="preserve">, </w:t>
      </w:r>
      <w:r w:rsidRPr="00C6674F">
        <w:rPr>
          <w:bCs/>
        </w:rPr>
        <w:t xml:space="preserve">the </w:t>
      </w:r>
      <w:r w:rsidRPr="00C6674F">
        <w:t xml:space="preserve">enthalpy of adsorption of </w:t>
      </w:r>
      <w:r w:rsidRPr="00C6674F">
        <w:rPr>
          <w:bCs/>
        </w:rPr>
        <w:t>CO</w:t>
      </w:r>
      <w:r w:rsidRPr="00C6674F">
        <w:rPr>
          <w:bCs/>
          <w:vertAlign w:val="subscript"/>
        </w:rPr>
        <w:t>2</w:t>
      </w:r>
      <w:r w:rsidRPr="00C6674F">
        <w:rPr>
          <w:bCs/>
        </w:rPr>
        <w:t xml:space="preserve"> for polymeric films </w:t>
      </w:r>
      <w:r w:rsidRPr="00C6674F">
        <w:t xml:space="preserve">with various concentrations of IL and GNP </w:t>
      </w:r>
      <w:r w:rsidRPr="00C6674F">
        <w:rPr>
          <w:bCs/>
        </w:rPr>
        <w:t>are compared. As shown in Figure S6a, at the higher mole uptake region, the enthalpy of absorption for CO</w:t>
      </w:r>
      <w:r w:rsidRPr="00C6674F">
        <w:rPr>
          <w:bCs/>
          <w:vertAlign w:val="subscript"/>
        </w:rPr>
        <w:t>2</w:t>
      </w:r>
      <w:r w:rsidRPr="00C6674F">
        <w:rPr>
          <w:bCs/>
        </w:rPr>
        <w:t xml:space="preserve"> in neat polymer and samples containing up to 30 wt % IL were decreased. The trend is reversed for higher content of ILs. At constant excess molar concentration, we can see that the enthalpy of sorption as a function of IL content initially increases and then decreases. We attribute the reduction in the enthalpy of sorption to the enhanced mobility of chain, or a better dispersion of IL within polymer domain.</w:t>
      </w:r>
      <w:r w:rsidRPr="00C6674F">
        <w:t xml:space="preserve"> As the GNP added to the mixture the interaction of the </w:t>
      </w:r>
      <w:r w:rsidRPr="00C6674F">
        <w:rPr>
          <w:bCs/>
        </w:rPr>
        <w:t>Polymer:IL</w:t>
      </w:r>
      <w:r w:rsidRPr="00C6674F">
        <w:t xml:space="preserve"> is against weakened due to the role of GNP as a nucleation agent.</w:t>
      </w:r>
      <w:r w:rsidRPr="00C6674F">
        <w:fldChar w:fldCharType="begin"/>
      </w:r>
      <w:r w:rsidRPr="00C6674F">
        <w:instrText xml:space="preserve"> ADDIN ZOTERO_ITEM CSL_CITATION {"citationID":"gzADXxdz","properties":{"formattedCitation":"\\super 11,12\\nosupersub{}","plainCitation":"11,12","noteIndex":0},"citationItems":[{"id":389,"uris":["http://zotero.org/groups/4545406/items/4N32JTL6"],"itemData":{"id":389,"type":"article-journal","abstract":"The tracer diffusion coefficients D</w:instrText>
      </w:r>
      <w:r w:rsidRPr="00C6674F">
        <w:rPr>
          <w:rFonts w:ascii="Cambria Math" w:hAnsi="Cambria Math" w:cs="Cambria Math"/>
        </w:rPr>
        <w:instrText>∗</w:instrText>
      </w:r>
      <w:r w:rsidRPr="00C6674F">
        <w:instrText xml:space="preserve"> of polystyrene (PS) chains near PS melt-solid interfaces have been measured by secondary ion mass spectrometry. The D</w:instrText>
      </w:r>
      <w:r w:rsidRPr="00C6674F">
        <w:rPr>
          <w:rFonts w:ascii="Cambria Math" w:hAnsi="Cambria Math" w:cs="Cambria Math"/>
        </w:rPr>
        <w:instrText>∗</w:instrText>
      </w:r>
      <w:r w:rsidRPr="00C6674F">
        <w:instrText xml:space="preserve"> for poly(2-vinylpyridine) (PVP) and oxide (SiO) covered silicon surfaces were smaller by, respectively, </w:instrText>
      </w:r>
      <w:r w:rsidRPr="00C6674F">
        <w:rPr>
          <w:rFonts w:ascii="Cambria Math" w:hAnsi="Cambria Math" w:cs="Cambria Math"/>
        </w:rPr>
        <w:instrText>∼</w:instrText>
      </w:r>
      <w:r w:rsidRPr="00C6674F">
        <w:instrText xml:space="preserve">3 and </w:instrText>
      </w:r>
      <w:r w:rsidRPr="00C6674F">
        <w:rPr>
          <w:rFonts w:ascii="Cambria Math" w:hAnsi="Cambria Math" w:cs="Cambria Math"/>
        </w:rPr>
        <w:instrText>∼</w:instrText>
      </w:r>
      <w:r w:rsidRPr="00C6674F">
        <w:instrText>102 than for diffusion near the vacuum interface. D</w:instrText>
      </w:r>
      <w:r w:rsidRPr="00C6674F">
        <w:rPr>
          <w:rFonts w:ascii="Cambria Math" w:hAnsi="Cambria Math" w:cs="Cambria Math"/>
        </w:rPr>
        <w:instrText>∗</w:instrText>
      </w:r>
      <w:r w:rsidRPr="00C6674F">
        <w:instrText xml:space="preserve"> scaled with degree of polymerization N as N−</w:instrText>
      </w:r>
      <w:r w:rsidRPr="00C6674F">
        <w:rPr>
          <w:rFonts w:ascii="Cambria Math" w:hAnsi="Cambria Math" w:cs="Cambria Math"/>
        </w:rPr>
        <w:instrText>∝</w:instrText>
      </w:r>
      <w:r w:rsidRPr="00C6674F">
        <w:instrText xml:space="preserve">, with αPVP=1.7(1) and αSiO=1.5(1). These results are in excellent agreement with reptation theory modified to account for increased friction due to surface-monomer contacts. The monomeric friction coefficients were found to be 98 ± 13 (PVP) and 5750 ± 450 (SiO) times greater than the bulk melt values.","container-title":"Physical Review Letters","DOI":"10.1103/PhysRevLett.74.407","issue":"3","journalAbbreviation":"Phys. Rev. Lett.","note":"publisher: American Physical Society","page":"407-410","source":"APS","title":"Reptation Dynamics of a Polymer Melt near an Attractive Solid Interface","volume":"74","author":[{"family":"Zheng","given":"X."},{"family":"Sauer","given":"B. B."},{"family":"Van Alsten","given":"J. G."},{"family":"Schwarz","given":"S. A."},{"family":"Rafailovich","given":"M. H."},{"family":"Sokolov","given":"J."},{"family":"Rubinstein","given":"Michael"}],"issued":{"date-parts":[["1995",1,16]]}}},{"id":257,"uris":["http://zotero.org/groups/4545406/items/BJ282L5A"],"itemData":{"id":257,"type":"article-journal","abstract":"Bilayer and trilayer graphene with controlled stacking is emerging as one of the most promising candidates for post-silicon nanoelectronics. However, it is not yet possible to produce large quantities of bilayer or trilayer graphene with controlled stacking, as is required for many applications. Here, we demonstrate a solution-phase technique for the production of large-area, bilayer or trilayer graphene from graphite, with controlled stacking. The ionic compounds iodine chloride (ICl) or iodine bromide (IBr) intercalate the graphite starting material at every second or third layer, creating second- or third-stage controlled graphite intercolation compounds, respectively. The resulting solution dispersions are specifically enriched with bilayer or trilayer graphene, respectively. Because the process requires only mild sonication, it produces graphene flakes with areas as large as 50 µm2. Moreover, the electronic properties of the flakes are superior to those achieved with other solution-based methods; for example, unannealed samples have resistivities as low as </w:instrText>
      </w:r>
      <w:r w:rsidRPr="00C6674F">
        <w:rPr>
          <w:rFonts w:ascii="Cambria Math" w:hAnsi="Cambria Math" w:cs="Cambria Math"/>
        </w:rPr>
        <w:instrText>∼</w:instrText>
      </w:r>
      <w:r w:rsidRPr="00C6674F">
        <w:instrText xml:space="preserve">1 kΩ and hole mobilities as high as </w:instrText>
      </w:r>
      <w:r w:rsidRPr="00C6674F">
        <w:rPr>
          <w:rFonts w:ascii="Cambria Math" w:hAnsi="Cambria Math" w:cs="Cambria Math"/>
        </w:rPr>
        <w:instrText>∼</w:instrText>
      </w:r>
      <w:r w:rsidRPr="00C6674F">
        <w:instrText xml:space="preserve">400 cm2 V–1 s–1. The solution-based process is expected to allow high-throughput production, functionalization, and the transfer of samples to arbitrary substrates.","container-title":"Nature Nanotechnology","DOI":"10.1038/nnano.2011.94","ISSN":"1748-3395","issue":"7","journalAbbreviation":"Nature Nanotech","language":"en","note":"Bandiera_abtest: a\nCg_type: Nature Research Journals\nnumber: 7\nPrimary_atype: Research\npublisher: Nature Publishing Group\nSubject_term: Electronic properties and devices;Synthesis of graphene\nSubject_term_id: electronic-properties-and-devices;synthesis-of-graphene","page":"439-445","source":"www.nature.com","title":"Bi- and trilayer graphene solutions","volume":"6","author":[{"family":"Shih","given":"Chih-Jen"},{"family":"Vijayaraghavan","given":"Aravind"},{"family":"Krishnan","given":"Rajasekar"},{"family":"Sharma","given":"Richa"},{"family":"Han","given":"Jae-Hee"},{"family":"Ham","given":"Moon-Ho"},{"family":"Jin","given":"Zhong"},{"family":"Lin","given":"Shangchao"},{"family":"Paulus","given":"Geraldine L. C."},{"family":"Reuel","given":"Nigel Forest"},{"family":"Wang","given":"Qing Hua"},{"family":"Blankschtein","given":"Daniel"},{"family":"Strano","given":"Michael S."}],"issued":{"date-parts":[["2011",7]]}}}],"schema":"https://github.com/citation-style-language/schema/raw/master/csl-citation.json"} </w:instrText>
      </w:r>
      <w:r w:rsidRPr="00C6674F">
        <w:fldChar w:fldCharType="separate"/>
      </w:r>
      <w:r w:rsidRPr="00C6674F">
        <w:rPr>
          <w:szCs w:val="24"/>
          <w:vertAlign w:val="superscript"/>
        </w:rPr>
        <w:t>11,12</w:t>
      </w:r>
      <w:r w:rsidRPr="00C6674F">
        <w:fldChar w:fldCharType="end"/>
      </w:r>
    </w:p>
    <w:p w14:paraId="5FBA0BDB" w14:textId="48989B82" w:rsidR="00562240" w:rsidRPr="00C6674F" w:rsidRDefault="00562240" w:rsidP="00D67DBB">
      <w:pPr>
        <w:pStyle w:val="MDPI21heading1"/>
      </w:pPr>
      <w:r w:rsidRPr="00C6674F">
        <w:rPr>
          <w:bCs/>
        </w:rPr>
        <w:lastRenderedPageBreak/>
        <w:t xml:space="preserve">Section </w:t>
      </w:r>
      <w:r w:rsidR="004E3BB7" w:rsidRPr="00C6674F">
        <w:rPr>
          <w:bCs/>
        </w:rPr>
        <w:t>S</w:t>
      </w:r>
      <w:r w:rsidRPr="00C6674F">
        <w:rPr>
          <w:bCs/>
        </w:rPr>
        <w:t>3</w:t>
      </w:r>
      <w:r w:rsidRPr="00C6674F">
        <w:t>. Film Characterization</w:t>
      </w:r>
    </w:p>
    <w:p w14:paraId="589A2614" w14:textId="349FFF84" w:rsidR="009D615B" w:rsidRPr="00C6674F" w:rsidRDefault="004E3BB7" w:rsidP="00E87B65">
      <w:pPr>
        <w:pStyle w:val="MDPI22heading2"/>
      </w:pPr>
      <w:r w:rsidRPr="00C6674F">
        <w:rPr>
          <w:noProof w:val="0"/>
        </w:rPr>
        <w:t>S</w:t>
      </w:r>
      <w:r w:rsidR="00A25069" w:rsidRPr="00C6674F">
        <w:rPr>
          <w:noProof w:val="0"/>
        </w:rPr>
        <w:t xml:space="preserve">3.1. </w:t>
      </w:r>
      <w:r w:rsidR="00562240" w:rsidRPr="00C6674F">
        <w:rPr>
          <w:noProof w:val="0"/>
        </w:rPr>
        <w:t>Atomic Force Microscopy (AFM)</w:t>
      </w:r>
    </w:p>
    <w:p w14:paraId="19AD3A28" w14:textId="6003ED5F" w:rsidR="004C2628" w:rsidRPr="00C6674F" w:rsidRDefault="004C2628" w:rsidP="00C6674F">
      <w:pPr>
        <w:pStyle w:val="MDPI23heading3"/>
        <w:rPr>
          <w:i/>
        </w:rPr>
      </w:pPr>
      <w:r w:rsidRPr="00C6674F">
        <w:t>S.3.1.1. Sample Preparation</w:t>
      </w:r>
    </w:p>
    <w:p w14:paraId="03B47601" w14:textId="1F0BAAF6" w:rsidR="004C2628" w:rsidRPr="00C6674F" w:rsidRDefault="00562240" w:rsidP="004C2628">
      <w:pPr>
        <w:pStyle w:val="MDPI31text"/>
        <w:spacing w:after="240"/>
      </w:pPr>
      <w:r w:rsidRPr="00C6674F">
        <w:t>For AFM analysis, thin films were prepared by spin coating of solutions on polished silicon wafers and dried using the same processing conditions as noted before. The AFM measurements were conducted using a Bruker Dimension Icon AFM in tapping mode with a range of 15 µm. The ScanAsyst-Air tip was used in this study.</w:t>
      </w:r>
    </w:p>
    <w:p w14:paraId="1DAA7157" w14:textId="6CAC8FA0" w:rsidR="004C2628" w:rsidRPr="00C6674F" w:rsidRDefault="004C2628" w:rsidP="004C2628">
      <w:pPr>
        <w:pStyle w:val="MDPI23heading3"/>
      </w:pPr>
      <w:r w:rsidRPr="00C6674F">
        <w:t>S.3.1.2. Additional AFM images</w:t>
      </w:r>
    </w:p>
    <w:p w14:paraId="056DEE9E" w14:textId="1766E733" w:rsidR="00137864" w:rsidRPr="00C6674F" w:rsidRDefault="00997633" w:rsidP="00137864">
      <w:pPr>
        <w:ind w:left="2610"/>
        <w:rPr>
          <w:lang w:eastAsia="de-DE" w:bidi="en-US"/>
        </w:rPr>
      </w:pPr>
      <w:bookmarkStart w:id="10" w:name="_Hlk113464983"/>
      <w:r w:rsidRPr="00C6674F">
        <w:drawing>
          <wp:inline distT="0" distB="0" distL="0" distR="0" wp14:anchorId="15B68784" wp14:editId="4776F8DC">
            <wp:extent cx="4867275" cy="4301153"/>
            <wp:effectExtent l="0" t="0" r="0" b="4445"/>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8680" cy="4311232"/>
                    </a:xfrm>
                    <a:prstGeom prst="rect">
                      <a:avLst/>
                    </a:prstGeom>
                  </pic:spPr>
                </pic:pic>
              </a:graphicData>
            </a:graphic>
          </wp:inline>
        </w:drawing>
      </w:r>
    </w:p>
    <w:p w14:paraId="57FC7ACF" w14:textId="4038882A" w:rsidR="00B242AA" w:rsidRPr="00C6674F" w:rsidRDefault="00137864" w:rsidP="00434C77">
      <w:pPr>
        <w:pStyle w:val="MDPI17abstract"/>
        <w:spacing w:before="120" w:after="240" w:line="19" w:lineRule="atLeast"/>
        <w:ind w:left="2606"/>
        <w:rPr>
          <w:i/>
          <w:iCs/>
        </w:rPr>
      </w:pPr>
      <w:r w:rsidRPr="00C6674F">
        <w:rPr>
          <w:b/>
          <w:bCs/>
          <w:szCs w:val="20"/>
        </w:rPr>
        <w:t>Figure S7.</w:t>
      </w:r>
      <w:bookmarkEnd w:id="10"/>
      <w:r w:rsidR="00997633" w:rsidRPr="00C6674F">
        <w:rPr>
          <w:szCs w:val="20"/>
        </w:rPr>
        <w:t xml:space="preserve"> AFM inphase images of the sample spin-cast from different solutions of Polymer:IL as specified in the figure: (A) 0 wt. % IL, (B) 10 wt. % IL, (C) 30 wt. % IL, (D) 50 wt. % IL. Arrows indicates the lamella direction: a yellow arrow indicates the orientation of fibrils of the edge-on lamellae, while a red arrow indicate the flat-on</w:t>
      </w:r>
      <w:r w:rsidR="00B242AA" w:rsidRPr="00C6674F">
        <w:rPr>
          <w:szCs w:val="20"/>
        </w:rPr>
        <w:t xml:space="preserve"> filbrils; a white arrow indicates the small fibrils</w:t>
      </w:r>
      <w:r w:rsidR="00434C77" w:rsidRPr="00C6674F">
        <w:rPr>
          <w:szCs w:val="20"/>
        </w:rPr>
        <w:t>.</w:t>
      </w:r>
    </w:p>
    <w:p w14:paraId="0F5C6D3E" w14:textId="7C8B6429" w:rsidR="00562240" w:rsidRPr="00C6674F" w:rsidRDefault="004E3BB7" w:rsidP="00D67DBB">
      <w:pPr>
        <w:pStyle w:val="MDPI22heading2"/>
        <w:spacing w:before="240"/>
        <w:rPr>
          <w:noProof w:val="0"/>
        </w:rPr>
      </w:pPr>
      <w:bookmarkStart w:id="11" w:name="_Toc91710545"/>
      <w:r w:rsidRPr="00C6674F">
        <w:rPr>
          <w:noProof w:val="0"/>
        </w:rPr>
        <w:t>S</w:t>
      </w:r>
      <w:r w:rsidR="00A25069" w:rsidRPr="00C6674F">
        <w:rPr>
          <w:noProof w:val="0"/>
        </w:rPr>
        <w:t xml:space="preserve">3.2. </w:t>
      </w:r>
      <w:r w:rsidR="00562240" w:rsidRPr="00C6674F">
        <w:rPr>
          <w:noProof w:val="0"/>
        </w:rPr>
        <w:t>Polarized Microscopy (PLM) and Spherulite Growth Rate</w:t>
      </w:r>
      <w:bookmarkEnd w:id="11"/>
    </w:p>
    <w:p w14:paraId="67D78E01" w14:textId="77777777" w:rsidR="00562240" w:rsidRPr="00C6674F" w:rsidRDefault="00562240" w:rsidP="00D67DBB">
      <w:pPr>
        <w:pStyle w:val="MDPI31text"/>
      </w:pPr>
      <w:r w:rsidRPr="00C6674F">
        <w:t>Polarized microscopy measurements were conducted using an Olympus BX51 Polarizing Microscope equipped with a Mettler Toledo FP900 thermal system with a temperature range from room temperature to 375 °C. Thin films were prepared on polished silicon wafers.</w:t>
      </w:r>
    </w:p>
    <w:p w14:paraId="536FBC31" w14:textId="14EBE318" w:rsidR="00562240" w:rsidRPr="00C6674F" w:rsidRDefault="004E3BB7" w:rsidP="00D67DBB">
      <w:pPr>
        <w:pStyle w:val="MDPI23heading3"/>
        <w:spacing w:before="240"/>
      </w:pPr>
      <w:r w:rsidRPr="00C6674F">
        <w:t>S</w:t>
      </w:r>
      <w:r w:rsidR="00A25069" w:rsidRPr="00C6674F">
        <w:t xml:space="preserve">3.2.1. </w:t>
      </w:r>
      <w:r w:rsidR="00562240" w:rsidRPr="00C6674F">
        <w:t>Polarized Microscopy</w:t>
      </w:r>
    </w:p>
    <w:p w14:paraId="00937900" w14:textId="2B4FA52F" w:rsidR="00562240" w:rsidRPr="00C6674F" w:rsidRDefault="00562240" w:rsidP="00D67DBB">
      <w:pPr>
        <w:pStyle w:val="MDPI31text"/>
      </w:pPr>
      <w:r w:rsidRPr="00C6674F">
        <w:t xml:space="preserve">The size of </w:t>
      </w:r>
      <w:r w:rsidRPr="00C6674F">
        <w:rPr>
          <w:rStyle w:val="normaltextrun"/>
          <w:rFonts w:ascii="Times New Roman" w:hAnsi="Times New Roman"/>
        </w:rPr>
        <w:t xml:space="preserve">spherulite and the number of nuclei </w:t>
      </w:r>
      <w:r w:rsidRPr="00C6674F">
        <w:t>were analyzed using the FIJI (ImageJ2) software.</w:t>
      </w:r>
      <w:r w:rsidRPr="00C6674F">
        <w:fldChar w:fldCharType="begin"/>
      </w:r>
      <w:r w:rsidRPr="00C6674F">
        <w:instrText xml:space="preserve"> ADDIN ZOTERO_ITEM CSL_CITATION {"citationID":"mBKWfHsS","properties":{"formattedCitation":"\\super 13\\nosupersub{}","plainCitation":"13","noteIndex":0},"citationItems":[{"id":423,"uris":["http://zotero.org/groups/4545406/items/HJZB2VFJ"],"itemData":{"id":423,"type":"article-journal","abstract":"Presented is an overview of the image-analysis software platform Fiji, a distribution of ImageJ that updates the underlying ImageJ architecture and adds modern software design elements to expand the capabilities of the platform and facilitate collaboration between biologists and computer scientists.","container-title":"Nature Methods","DOI":"10.1038/nmeth.2019","ISSN":"1548-7105","issue":"7","journalAbbreviation":"Nat Methods","language":"en","note":"Bandiera_abtest: a\nCg_type: Nature Research Journals\nnumber: 7\nPrimary_atype: Reviews\npublisher: Nature Publishing Group\nSubject_term: Imaging;Software\nSubject_term_id: imaging;software","page":"676-682","source":"www.nature.com","title":"Fiji: an open-source platform for biological-image analysis","title-short":"Fiji","volume":"9","author":[{"family":"Schindelin","given":"Johannes"},{"family":"Arganda-Carreras","given":"Ignacio"},{"family":"Frise","given":"Erwin"},{"family":"Kaynig","given":"Verena"},{"family":"Longair","given":"Mark"},{"family":"Pietzsch","given":"Tobias"},{"family":"Preibisch","given":"Stephan"},{"family":"Rueden","given":"Curtis"},{"family":"Saalfeld","given":"Stephan"},{"family":"Schmid","given":"Benjamin"},{"family":"Tinevez","given":"Jean-Yves"},{"family":"White","given":"Daniel James"},{"family":"Hartenstein","given":"Volker"},{"family":"Eliceiri","given":"Kevin"},{"family":"Tomancak","given":"Pavel"},{"family":"Cardona","given":"Albert"}],"issued":{"date-parts":[["2012",7]]}}}],"schema":"https://github.com/citation-style-language/schema/raw/master/csl-citation.json"} </w:instrText>
      </w:r>
      <w:r w:rsidRPr="00C6674F">
        <w:fldChar w:fldCharType="separate"/>
      </w:r>
      <w:r w:rsidRPr="00C6674F">
        <w:rPr>
          <w:szCs w:val="24"/>
          <w:vertAlign w:val="superscript"/>
        </w:rPr>
        <w:t>13</w:t>
      </w:r>
      <w:r w:rsidRPr="00C6674F">
        <w:fldChar w:fldCharType="end"/>
      </w:r>
      <w:r w:rsidRPr="00C6674F">
        <w:t xml:space="preserve"> For the PLM of the samples containing 50 wt % ILs, the Trainable Weka Segmentation (TWS) method,</w:t>
      </w:r>
      <w:r w:rsidRPr="00C6674F">
        <w:fldChar w:fldCharType="begin"/>
      </w:r>
      <w:r w:rsidRPr="00C6674F">
        <w:instrText xml:space="preserve"> ADDIN ZOTERO_ITEM CSL_CITATION {"citationID":"t69okSLo","properties":{"formattedCitation":"\\super 14\\nosupersub{}","plainCitation":"14","noteIndex":0},"citationItems":[{"id":406,"uris":["http://zotero.org/groups/4545406/items/MRV5TVAR"],"itemData":{"id":406,"type":"article-journal","abstract":"State-of-the-art light and electron microscopes are capable of acquiring large image datasets, but quantitatively evaluating the data often involves manually annotating structures of interest. This process is time-consuming and often a major bottleneck in the evaluation pipeline. To overcome this problem, we have introduced the Trainable Weka Segmentation (TWS), a machine learning tool that leverages a limited number of manual annotations in order to train a classifier and segment the remaining data automatically. In addition, TWS can provide unsupervised segmentation learning schemes (clustering) and can be customized to employ user-designed image features or classifiers.TWS is distributed as open-source software as part of the Fiji image processing distribution of ImageJ at http://imagej.net/Trainable_Weka_Segmentation.Supplementary data are available at Bioinformatics online.","container-title":"Bioinformatics","DOI":"10.1093/bioinformatics/btx180","ISSN":"1367-4803","issue":"15","journalAbbreviation":"Bioinformatics","page":"2424-2426","source":"Silverchair","title":"Trainable Weka Segmentation: a machine learning tool for microscopy pixel classification","title-short":"Trainable Weka Segmentation","volume":"33","author":[{"family":"Arganda-Carreras","given":"Ignacio"},{"family":"Kaynig","given":"Verena"},{"family":"Rueden","given":"Curtis"},{"family":"Eliceiri","given":"Kevin W"},{"family":"Schindelin","given":"Johannes"},{"family":"Cardona","given":"Albert"},{"family":"Sebastian Seung","given":"H"}],"issued":{"date-parts":[["2017",8,1]]}}}],"schema":"https://github.com/citation-style-language/schema/raw/master/csl-citation.json"} </w:instrText>
      </w:r>
      <w:r w:rsidRPr="00C6674F">
        <w:fldChar w:fldCharType="separate"/>
      </w:r>
      <w:r w:rsidRPr="00C6674F">
        <w:rPr>
          <w:szCs w:val="24"/>
          <w:vertAlign w:val="superscript"/>
        </w:rPr>
        <w:t>14</w:t>
      </w:r>
      <w:r w:rsidRPr="00C6674F">
        <w:fldChar w:fldCharType="end"/>
      </w:r>
      <w:r w:rsidRPr="00C6674F">
        <w:t xml:space="preserve"> was applied to estimate the size and number of spherulites. A typical image analysis using TWS method is illustrated in Figure </w:t>
      </w:r>
      <w:r w:rsidR="00C345B5" w:rsidRPr="00C6674F">
        <w:t>S8</w:t>
      </w:r>
      <w:r w:rsidRPr="00C6674F">
        <w:t>. For the rest of the samples the measurements were done manually.</w:t>
      </w:r>
    </w:p>
    <w:p w14:paraId="34959645" w14:textId="77777777" w:rsidR="00562240" w:rsidRPr="00C6674F" w:rsidRDefault="00562240" w:rsidP="006A5778">
      <w:pPr>
        <w:pStyle w:val="MDPI52figure"/>
        <w:ind w:left="2040"/>
      </w:pPr>
      <w:r w:rsidRPr="00C6674F">
        <w:rPr>
          <w:noProof/>
        </w:rPr>
        <w:lastRenderedPageBreak/>
        <w:drawing>
          <wp:inline distT="0" distB="0" distL="0" distR="0" wp14:anchorId="149DDBF0" wp14:editId="576F2628">
            <wp:extent cx="5160010" cy="2858404"/>
            <wp:effectExtent l="0" t="0" r="2540" b="0"/>
            <wp:docPr id="13" name="Picture 13"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qr cod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4870" cy="2866636"/>
                    </a:xfrm>
                    <a:prstGeom prst="rect">
                      <a:avLst/>
                    </a:prstGeom>
                  </pic:spPr>
                </pic:pic>
              </a:graphicData>
            </a:graphic>
          </wp:inline>
        </w:drawing>
      </w:r>
    </w:p>
    <w:p w14:paraId="69B2A16B" w14:textId="2980BA44" w:rsidR="00562240" w:rsidRPr="00C6674F" w:rsidRDefault="00A25069" w:rsidP="00D67DBB">
      <w:pPr>
        <w:pStyle w:val="MDPI51figurecaption"/>
        <w:jc w:val="both"/>
      </w:pPr>
      <w:r w:rsidRPr="00C6674F">
        <w:rPr>
          <w:b/>
        </w:rPr>
        <w:t xml:space="preserve">Figure </w:t>
      </w:r>
      <w:r w:rsidR="00C1367B" w:rsidRPr="00C6674F">
        <w:rPr>
          <w:b/>
        </w:rPr>
        <w:t>S8</w:t>
      </w:r>
      <w:r w:rsidRPr="00C6674F">
        <w:rPr>
          <w:b/>
        </w:rPr>
        <w:t xml:space="preserve">. </w:t>
      </w:r>
      <w:r w:rsidR="00562240" w:rsidRPr="00C6674F">
        <w:t>An overview PLM analysis is performed in 4 steps: (1) pre-processing image by scaling and selecting an image region; (2) an image classifier model is applied to obtain a resulted image from the “Trainable Weka Segmentation”; (3) an image threshold process is applied to a selected class based on users’ defined classes; (4) binary convert process is applied to separate segmented regions whereas white color corresponds to a selected region. (A) an original PLM image. (B) a scaled image. (C) an image after the training was completed. (D) trained images with separated labels were created. (E) a binary image for post-processing.</w:t>
      </w:r>
    </w:p>
    <w:p w14:paraId="04E76EBD" w14:textId="19C66BD2" w:rsidR="00562240" w:rsidRPr="00C6674F" w:rsidRDefault="004E3BB7" w:rsidP="00D67DBB">
      <w:pPr>
        <w:pStyle w:val="MDPI23heading3"/>
        <w:spacing w:before="240"/>
      </w:pPr>
      <w:r w:rsidRPr="00C6674F">
        <w:t>S</w:t>
      </w:r>
      <w:r w:rsidR="00A25069" w:rsidRPr="00C6674F">
        <w:t xml:space="preserve">3.2.2. </w:t>
      </w:r>
      <w:r w:rsidR="00562240" w:rsidRPr="00C6674F">
        <w:t>Spherulite Growth Rate Analysis</w:t>
      </w:r>
    </w:p>
    <w:p w14:paraId="3D8FF0D2" w14:textId="4A769367" w:rsidR="00562240" w:rsidRPr="00C6674F" w:rsidRDefault="00562240" w:rsidP="00D67DBB">
      <w:pPr>
        <w:pStyle w:val="MDPI31text"/>
      </w:pPr>
      <w:r w:rsidRPr="00C6674F">
        <w:t>The spherulite growth were observed under polarized microscope. Thin films were coated on silicon wafers from the polymer solutions heated at 90°C. For quantitative analysis of spherulite growth rate (G), Heat Stage at a heating rate of 2 °C/min was used. The spherulite growth evolution was captured with a speed of 50 frame-per-second (fps). The first two spherulites that appeared in an image were selected as the representative spherulites. At each time frame, the radius of the selected spherulites was measured using FIJI. An example of a growth evolution for a spherulite is shown in Figure S</w:t>
      </w:r>
      <w:r w:rsidR="00C1367B" w:rsidRPr="00C6674F">
        <w:t>9</w:t>
      </w:r>
      <w:r w:rsidRPr="00C6674F">
        <w:t>.</w:t>
      </w:r>
    </w:p>
    <w:p w14:paraId="56168FEA" w14:textId="77777777" w:rsidR="00562240" w:rsidRPr="00C6674F" w:rsidRDefault="00562240" w:rsidP="00D67DBB">
      <w:pPr>
        <w:pStyle w:val="MDPI52figure"/>
        <w:ind w:left="2608"/>
        <w:jc w:val="left"/>
      </w:pPr>
      <w:r w:rsidRPr="00C6674F">
        <w:rPr>
          <w:noProof/>
        </w:rPr>
        <w:drawing>
          <wp:inline distT="0" distB="0" distL="0" distR="0" wp14:anchorId="53E109BD" wp14:editId="5ADA5A0B">
            <wp:extent cx="5289681" cy="2623930"/>
            <wp:effectExtent l="0" t="0" r="6350" b="5080"/>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0800" cy="2639367"/>
                    </a:xfrm>
                    <a:prstGeom prst="rect">
                      <a:avLst/>
                    </a:prstGeom>
                  </pic:spPr>
                </pic:pic>
              </a:graphicData>
            </a:graphic>
          </wp:inline>
        </w:drawing>
      </w:r>
    </w:p>
    <w:p w14:paraId="3A9BE5DD" w14:textId="4201A1F2" w:rsidR="00562240" w:rsidRPr="00C6674F" w:rsidRDefault="00A25069" w:rsidP="00D67DBB">
      <w:pPr>
        <w:pStyle w:val="MDPI51figurecaption"/>
        <w:jc w:val="both"/>
      </w:pPr>
      <w:r w:rsidRPr="00C6674F">
        <w:rPr>
          <w:b/>
        </w:rPr>
        <w:t>Figure S</w:t>
      </w:r>
      <w:r w:rsidR="00C1367B" w:rsidRPr="00C6674F">
        <w:rPr>
          <w:b/>
        </w:rPr>
        <w:t>9</w:t>
      </w:r>
      <w:r w:rsidRPr="00C6674F">
        <w:rPr>
          <w:b/>
        </w:rPr>
        <w:t xml:space="preserve">. </w:t>
      </w:r>
      <w:r w:rsidR="00562240" w:rsidRPr="00C6674F">
        <w:t>(A) Evolution of spherulites from a thin film of 50:50 PVDF-HFP:IL coated on a silicon wafer and heated with a heating rate of 2 °C/min; the red line indicates the radius of the selected spherulite. All figures have the same scale. (B) Spherulite growth rate curve. Each data point shown on the curve is the average value of two spherulites’ radii.</w:t>
      </w:r>
    </w:p>
    <w:p w14:paraId="09CE31AB" w14:textId="77777777" w:rsidR="00562240" w:rsidRPr="00C6674F" w:rsidRDefault="00562240" w:rsidP="00D67DBB">
      <w:pPr>
        <w:pStyle w:val="MDPI31text"/>
      </w:pPr>
      <w:r w:rsidRPr="00C6674F">
        <w:lastRenderedPageBreak/>
        <w:t>The spherulite growth rate consists of different sub-processes, e.g., solvent evaporation, nucleation, crystal growth, and particle suspension. In this study, we only focused on the nucleation and the crystal growth. A growth rate (</w:t>
      </w:r>
      <w:r w:rsidRPr="00C6674F">
        <w:rPr>
          <w:rFonts w:eastAsia="Arial Unicode MS"/>
        </w:rPr>
        <w:t>µ</w:t>
      </w:r>
      <w:r w:rsidRPr="00C6674F">
        <w:t>m/min) is determined from the slopes of radius vs. time curves, and the values are listed in Table S5.</w:t>
      </w:r>
    </w:p>
    <w:p w14:paraId="4654338E" w14:textId="221A8079" w:rsidR="00562240" w:rsidRPr="00C6674F" w:rsidRDefault="00A25069" w:rsidP="00D67DBB">
      <w:pPr>
        <w:pStyle w:val="MDPI41tablecaption"/>
        <w:jc w:val="both"/>
        <w:rPr>
          <w:b/>
        </w:rPr>
      </w:pPr>
      <w:r w:rsidRPr="00C6674F">
        <w:rPr>
          <w:b/>
        </w:rPr>
        <w:t xml:space="preserve">Table S5. </w:t>
      </w:r>
      <w:r w:rsidR="00562240" w:rsidRPr="00C6674F">
        <w:t>Spherulite growth rate of polymeric mixture with various IL and GNP contents. The average and standard deviation of all samples were reported from two spherulites that appeared first on the surface.</w:t>
      </w:r>
    </w:p>
    <w:tbl>
      <w:tblPr>
        <w:tblW w:w="7857" w:type="dxa"/>
        <w:tblInd w:w="2608" w:type="dxa"/>
        <w:tblLayout w:type="fixed"/>
        <w:tblCellMar>
          <w:left w:w="0" w:type="dxa"/>
          <w:right w:w="0" w:type="dxa"/>
        </w:tblCellMar>
        <w:tblLook w:val="0600" w:firstRow="0" w:lastRow="0" w:firstColumn="0" w:lastColumn="0" w:noHBand="1" w:noVBand="1"/>
      </w:tblPr>
      <w:tblGrid>
        <w:gridCol w:w="2797"/>
        <w:gridCol w:w="5060"/>
      </w:tblGrid>
      <w:tr w:rsidR="00E02BFC" w:rsidRPr="00C6674F" w14:paraId="28B5530A" w14:textId="77777777" w:rsidTr="00E02BFC">
        <w:tc>
          <w:tcPr>
            <w:tcW w:w="1514" w:type="dxa"/>
            <w:tcBorders>
              <w:top w:val="single" w:sz="8" w:space="0" w:color="auto"/>
              <w:bottom w:val="single" w:sz="4" w:space="0" w:color="auto"/>
            </w:tcBorders>
            <w:shd w:val="clear" w:color="auto" w:fill="auto"/>
            <w:tcMar>
              <w:top w:w="100" w:type="dxa"/>
              <w:left w:w="100" w:type="dxa"/>
              <w:bottom w:w="100" w:type="dxa"/>
              <w:right w:w="100" w:type="dxa"/>
            </w:tcMar>
            <w:vAlign w:val="center"/>
          </w:tcPr>
          <w:p w14:paraId="274A9E8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IL wt % (GNP wt %)</w:t>
            </w:r>
          </w:p>
        </w:tc>
        <w:tc>
          <w:tcPr>
            <w:tcW w:w="2739" w:type="dxa"/>
            <w:tcBorders>
              <w:top w:val="single" w:sz="8" w:space="0" w:color="auto"/>
              <w:bottom w:val="single" w:sz="4" w:space="0" w:color="auto"/>
            </w:tcBorders>
            <w:shd w:val="clear" w:color="auto" w:fill="auto"/>
            <w:tcMar>
              <w:top w:w="100" w:type="dxa"/>
              <w:left w:w="100" w:type="dxa"/>
              <w:bottom w:w="100" w:type="dxa"/>
              <w:right w:w="100" w:type="dxa"/>
            </w:tcMar>
            <w:vAlign w:val="center"/>
          </w:tcPr>
          <w:p w14:paraId="74B0C056"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Growth Rate (</w:t>
            </w:r>
            <w:r w:rsidRPr="00C6674F">
              <w:rPr>
                <w:rFonts w:ascii="Times New Roman" w:eastAsia="Arial Unicode MS" w:hAnsi="Times New Roman"/>
                <w:b/>
                <w:noProof w:val="0"/>
              </w:rPr>
              <w:t>µ</w:t>
            </w:r>
            <w:r w:rsidRPr="00C6674F">
              <w:rPr>
                <w:rFonts w:ascii="Times New Roman" w:hAnsi="Times New Roman"/>
                <w:b/>
                <w:noProof w:val="0"/>
              </w:rPr>
              <w:t>m/min)</w:t>
            </w:r>
          </w:p>
          <w:p w14:paraId="3BCFA9E4"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(mean ±</w:t>
            </w:r>
            <w:r w:rsidRPr="00C6674F">
              <w:rPr>
                <w:rFonts w:ascii="Times New Roman" w:eastAsia="Times New Roman" w:hAnsi="Times New Roman"/>
                <w:b/>
                <w:noProof w:val="0"/>
              </w:rPr>
              <w:t xml:space="preserve"> std.)</w:t>
            </w:r>
          </w:p>
        </w:tc>
      </w:tr>
      <w:tr w:rsidR="00E02BFC" w:rsidRPr="00C6674F" w14:paraId="143046B5" w14:textId="77777777" w:rsidTr="00E02BFC">
        <w:tc>
          <w:tcPr>
            <w:tcW w:w="1514" w:type="dxa"/>
            <w:tcBorders>
              <w:top w:val="single" w:sz="4" w:space="0" w:color="auto"/>
            </w:tcBorders>
            <w:shd w:val="clear" w:color="auto" w:fill="auto"/>
            <w:tcMar>
              <w:top w:w="100" w:type="dxa"/>
              <w:left w:w="100" w:type="dxa"/>
              <w:bottom w:w="100" w:type="dxa"/>
              <w:right w:w="100" w:type="dxa"/>
            </w:tcMar>
            <w:vAlign w:val="center"/>
          </w:tcPr>
          <w:p w14:paraId="4F3F7DD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w:t>
            </w:r>
          </w:p>
        </w:tc>
        <w:tc>
          <w:tcPr>
            <w:tcW w:w="2739" w:type="dxa"/>
            <w:tcBorders>
              <w:top w:val="single" w:sz="4" w:space="0" w:color="auto"/>
            </w:tcBorders>
            <w:shd w:val="clear" w:color="auto" w:fill="auto"/>
            <w:tcMar>
              <w:top w:w="100" w:type="dxa"/>
              <w:left w:w="100" w:type="dxa"/>
              <w:bottom w:w="100" w:type="dxa"/>
              <w:right w:w="100" w:type="dxa"/>
            </w:tcMar>
            <w:vAlign w:val="center"/>
          </w:tcPr>
          <w:p w14:paraId="51CBD828"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33.1 ± 2.9</w:t>
            </w:r>
          </w:p>
        </w:tc>
      </w:tr>
      <w:tr w:rsidR="00562240" w:rsidRPr="00C6674F" w14:paraId="02C19B4E" w14:textId="77777777" w:rsidTr="00E02BFC">
        <w:tc>
          <w:tcPr>
            <w:tcW w:w="1514" w:type="dxa"/>
            <w:shd w:val="clear" w:color="auto" w:fill="auto"/>
            <w:tcMar>
              <w:top w:w="100" w:type="dxa"/>
              <w:left w:w="100" w:type="dxa"/>
              <w:bottom w:w="100" w:type="dxa"/>
              <w:right w:w="100" w:type="dxa"/>
            </w:tcMar>
            <w:vAlign w:val="center"/>
          </w:tcPr>
          <w:p w14:paraId="1B154ED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30</w:t>
            </w:r>
          </w:p>
        </w:tc>
        <w:tc>
          <w:tcPr>
            <w:tcW w:w="2739" w:type="dxa"/>
            <w:shd w:val="clear" w:color="auto" w:fill="auto"/>
            <w:tcMar>
              <w:top w:w="100" w:type="dxa"/>
              <w:left w:w="100" w:type="dxa"/>
              <w:bottom w:w="100" w:type="dxa"/>
              <w:right w:w="100" w:type="dxa"/>
            </w:tcMar>
            <w:vAlign w:val="center"/>
          </w:tcPr>
          <w:p w14:paraId="1B7F6E92"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15.4 ± 1.4</w:t>
            </w:r>
          </w:p>
        </w:tc>
      </w:tr>
      <w:tr w:rsidR="00562240" w:rsidRPr="00C6674F" w14:paraId="55BE549A" w14:textId="77777777" w:rsidTr="00E02BFC">
        <w:tc>
          <w:tcPr>
            <w:tcW w:w="1514" w:type="dxa"/>
            <w:shd w:val="clear" w:color="auto" w:fill="auto"/>
            <w:tcMar>
              <w:top w:w="100" w:type="dxa"/>
              <w:left w:w="100" w:type="dxa"/>
              <w:bottom w:w="100" w:type="dxa"/>
              <w:right w:w="100" w:type="dxa"/>
            </w:tcMar>
            <w:vAlign w:val="center"/>
          </w:tcPr>
          <w:p w14:paraId="586F9EA8"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w:t>
            </w:r>
          </w:p>
        </w:tc>
        <w:tc>
          <w:tcPr>
            <w:tcW w:w="2739" w:type="dxa"/>
            <w:shd w:val="clear" w:color="auto" w:fill="auto"/>
            <w:tcMar>
              <w:top w:w="100" w:type="dxa"/>
              <w:left w:w="100" w:type="dxa"/>
              <w:bottom w:w="100" w:type="dxa"/>
              <w:right w:w="100" w:type="dxa"/>
            </w:tcMar>
            <w:vAlign w:val="center"/>
          </w:tcPr>
          <w:p w14:paraId="4D266A06"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9.4 ± 0.04</w:t>
            </w:r>
          </w:p>
        </w:tc>
      </w:tr>
      <w:tr w:rsidR="00562240" w:rsidRPr="00C6674F" w14:paraId="7E851FFC" w14:textId="77777777" w:rsidTr="00E02BFC">
        <w:tc>
          <w:tcPr>
            <w:tcW w:w="1514" w:type="dxa"/>
            <w:shd w:val="clear" w:color="auto" w:fill="auto"/>
            <w:tcMar>
              <w:top w:w="100" w:type="dxa"/>
              <w:left w:w="100" w:type="dxa"/>
              <w:bottom w:w="100" w:type="dxa"/>
              <w:right w:w="100" w:type="dxa"/>
            </w:tcMar>
            <w:vAlign w:val="center"/>
          </w:tcPr>
          <w:p w14:paraId="01C06B6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 (0.1)</w:t>
            </w:r>
          </w:p>
        </w:tc>
        <w:tc>
          <w:tcPr>
            <w:tcW w:w="2739" w:type="dxa"/>
            <w:shd w:val="clear" w:color="auto" w:fill="auto"/>
            <w:tcMar>
              <w:top w:w="100" w:type="dxa"/>
              <w:left w:w="100" w:type="dxa"/>
              <w:bottom w:w="100" w:type="dxa"/>
              <w:right w:w="100" w:type="dxa"/>
            </w:tcMar>
            <w:vAlign w:val="center"/>
          </w:tcPr>
          <w:p w14:paraId="4DE5A8A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9.2 ± 0.6</w:t>
            </w:r>
          </w:p>
        </w:tc>
      </w:tr>
      <w:tr w:rsidR="00562240" w:rsidRPr="00C6674F" w14:paraId="64356D36" w14:textId="77777777" w:rsidTr="00E02BFC">
        <w:tc>
          <w:tcPr>
            <w:tcW w:w="1514" w:type="dxa"/>
            <w:shd w:val="clear" w:color="auto" w:fill="auto"/>
            <w:tcMar>
              <w:top w:w="100" w:type="dxa"/>
              <w:left w:w="100" w:type="dxa"/>
              <w:bottom w:w="100" w:type="dxa"/>
              <w:right w:w="100" w:type="dxa"/>
            </w:tcMar>
            <w:vAlign w:val="center"/>
          </w:tcPr>
          <w:p w14:paraId="5428F24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 (0.2)</w:t>
            </w:r>
          </w:p>
        </w:tc>
        <w:tc>
          <w:tcPr>
            <w:tcW w:w="2739" w:type="dxa"/>
            <w:shd w:val="clear" w:color="auto" w:fill="auto"/>
            <w:tcMar>
              <w:top w:w="100" w:type="dxa"/>
              <w:left w:w="100" w:type="dxa"/>
              <w:bottom w:w="100" w:type="dxa"/>
              <w:right w:w="100" w:type="dxa"/>
            </w:tcMar>
            <w:vAlign w:val="center"/>
          </w:tcPr>
          <w:p w14:paraId="41E408E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6.6 ± 1.8</w:t>
            </w:r>
          </w:p>
        </w:tc>
      </w:tr>
      <w:tr w:rsidR="00E02BFC" w:rsidRPr="00C6674F" w14:paraId="17008A0A" w14:textId="77777777" w:rsidTr="00E02BFC">
        <w:tc>
          <w:tcPr>
            <w:tcW w:w="1514" w:type="dxa"/>
            <w:tcBorders>
              <w:bottom w:val="single" w:sz="8" w:space="0" w:color="auto"/>
            </w:tcBorders>
            <w:shd w:val="clear" w:color="auto" w:fill="auto"/>
            <w:tcMar>
              <w:top w:w="100" w:type="dxa"/>
              <w:left w:w="100" w:type="dxa"/>
              <w:bottom w:w="100" w:type="dxa"/>
              <w:right w:w="100" w:type="dxa"/>
            </w:tcMar>
            <w:vAlign w:val="center"/>
          </w:tcPr>
          <w:p w14:paraId="70ABA9C6"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 (0.4)</w:t>
            </w:r>
          </w:p>
        </w:tc>
        <w:tc>
          <w:tcPr>
            <w:tcW w:w="2739" w:type="dxa"/>
            <w:tcBorders>
              <w:bottom w:val="single" w:sz="8" w:space="0" w:color="auto"/>
            </w:tcBorders>
            <w:shd w:val="clear" w:color="auto" w:fill="auto"/>
            <w:tcMar>
              <w:top w:w="100" w:type="dxa"/>
              <w:left w:w="100" w:type="dxa"/>
              <w:bottom w:w="100" w:type="dxa"/>
              <w:right w:w="100" w:type="dxa"/>
            </w:tcMar>
            <w:vAlign w:val="center"/>
          </w:tcPr>
          <w:p w14:paraId="049D061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6.4 ± 1.3</w:t>
            </w:r>
          </w:p>
        </w:tc>
      </w:tr>
    </w:tbl>
    <w:p w14:paraId="0ABC4CA5" w14:textId="0E97FBB5" w:rsidR="00562240" w:rsidRPr="00C6674F" w:rsidRDefault="004E3BB7" w:rsidP="00D67DBB">
      <w:pPr>
        <w:pStyle w:val="MDPI22heading2"/>
        <w:spacing w:before="240"/>
        <w:rPr>
          <w:noProof w:val="0"/>
        </w:rPr>
      </w:pPr>
      <w:bookmarkStart w:id="12" w:name="_Toc91710546"/>
      <w:r w:rsidRPr="00C6674F">
        <w:rPr>
          <w:noProof w:val="0"/>
        </w:rPr>
        <w:t>S</w:t>
      </w:r>
      <w:r w:rsidR="00A25069" w:rsidRPr="00C6674F">
        <w:rPr>
          <w:noProof w:val="0"/>
        </w:rPr>
        <w:t xml:space="preserve">3.3. </w:t>
      </w:r>
      <w:r w:rsidR="00562240" w:rsidRPr="00C6674F">
        <w:rPr>
          <w:noProof w:val="0"/>
        </w:rPr>
        <w:t>Fourier-transform infrared spectroscopy (FTIR)</w:t>
      </w:r>
      <w:bookmarkEnd w:id="12"/>
    </w:p>
    <w:p w14:paraId="74D51374" w14:textId="53AE9E59" w:rsidR="00562240" w:rsidRPr="00C6674F" w:rsidRDefault="00562240" w:rsidP="00D67DBB">
      <w:pPr>
        <w:pStyle w:val="MDPI31text"/>
      </w:pPr>
      <w:r w:rsidRPr="00C6674F">
        <w:t>To gain information about the film composition, FTIR measurements were performed on a Bruker ALPHA FTIR spectrometer. Thin film samples were prepared on the glass slide (VWR Precleaned Microscope Slides, 2.5x7.5x0.1cm) and were lift off the glass and placed on the diamond window of the spectrometer. The IR spectra were recorded in the ATR mode and used for further analysis. The IR peak assignments of PVDF-HFP, IL, and TEP are tabulated in Table S6. The spectra of thin films were used to study the composition of these films. To quantify the degree of β-phase, the frequency regions from 1100 to 1300 cm</w:t>
      </w:r>
      <w:r w:rsidR="00D67DBB" w:rsidRPr="00C6674F">
        <w:rPr>
          <w:vertAlign w:val="superscript"/>
        </w:rPr>
        <w:t>−1</w:t>
      </w:r>
      <w:r w:rsidRPr="00C6674F">
        <w:t xml:space="preserve"> containing both of α-, β-, </w:t>
      </w:r>
      <w:r w:rsidRPr="00C6674F">
        <w:rPr>
          <w:rFonts w:ascii="Times New Roman" w:hAnsi="Times New Roman"/>
        </w:rPr>
        <w:t>ɣ</w:t>
      </w:r>
      <w:r w:rsidRPr="00C6674F">
        <w:t>-phase are chosen.</w:t>
      </w:r>
      <w:r w:rsidRPr="00C6674F">
        <w:fldChar w:fldCharType="begin"/>
      </w:r>
      <w:r w:rsidRPr="00C6674F">
        <w:instrText xml:space="preserve"> ADDIN ZOTERO_ITEM CSL_CITATION {"citationID":"1PMwL0Gf","properties":{"formattedCitation":"\\super 15\\nosupersub{}","plainCitation":"15","noteIndex":0},"citationItems":[{"id":435,"uris":["http://zotero.org/groups/4545406/items/WDHGGZMQ"],"itemData":{"id":435,"type":"article-journal","abstract":"A simple route for in situ platinum nanoparticles (Pt-NPs) synthesis is described. A trace amount (0.048 mM) of platinum precursor promotes the electroactive phase transformations (α </w:instrText>
      </w:r>
      <w:r w:rsidRPr="00C6674F">
        <w:rPr>
          <w:rFonts w:ascii="Times New Roman" w:hAnsi="Times New Roman"/>
        </w:rPr>
        <w:instrText>→</w:instrText>
      </w:r>
      <w:r w:rsidRPr="00C6674F">
        <w:instrText xml:space="preserve"> </w:instrText>
      </w:r>
      <w:r w:rsidRPr="00C6674F">
        <w:rPr>
          <w:rFonts w:cs="Palatino Linotype"/>
        </w:rPr>
        <w:instrText>β</w:instrText>
      </w:r>
      <w:r w:rsidRPr="00C6674F">
        <w:instrText xml:space="preserve"> and </w:instrText>
      </w:r>
      <w:r w:rsidRPr="00C6674F">
        <w:rPr>
          <w:rFonts w:cs="Palatino Linotype"/>
        </w:rPr>
        <w:instrText>γ</w:instrText>
      </w:r>
      <w:r w:rsidRPr="00C6674F">
        <w:instrText>-phase) in poly(vinylidene fluoride) (PVDF) implying a new catalytic role of Pt-NPs. Furthermore, a complete conversion (</w:instrText>
      </w:r>
      <w:r w:rsidRPr="00C6674F">
        <w:rPr>
          <w:rFonts w:ascii="Cambria Math" w:hAnsi="Cambria Math" w:cs="Cambria Math"/>
        </w:rPr>
        <w:instrText>∼</w:instrText>
      </w:r>
      <w:r w:rsidRPr="00C6674F">
        <w:instrText xml:space="preserve">99%) to the electroactive phase is achieved by simply controlling the platinum precursor amount. The PVDF film doped with Pt-NPs exhibits various functionalities, i.e., human touch response, enhanced ferroelectric remnant polarization and intense photoluminance in the UV-region. Apart from conventional piezoelectric sensors and actuators, it naturally lends itself to futuristic applications as a vibration based energy harvester, a ferroelectric non-volatile memory element and a large area coverage lightweight foldable optoelectronic device.","container-title":"RSC Advances","DOI":"10.1039/C4RA06334A","ISSN":"2046-2069","issue":"79","journalAbbreviation":"RSC Adv.","language":"en","note":"publisher: The Royal Society of Chemistry","page":"41886-41894","source":"pubs.rsc.org","title":"The in situ formation of platinum nanoparticles and their catalytic role in electroactive phase formation in poly(vinylidene fluoride): a simple preparation of multifunctional poly(vinylidene fluoride) films doped with platinum nanoparticles","title-short":"The in situ formation of platinum nanoparticles and their catalytic role in electroactive phase formation in poly(vinylidene fluoride)","volume":"4","author":[{"family":"Ghosh","given":"Sujoy Kumar"},{"family":"Alam","given":"Md Mehebub"},{"family":"Mandal","given":"Dipankar"}],"issued":{"date-parts":[["2014",9,8]]}}}],"schema":"https://github.com/citation-style-language/schema/raw/master/csl-citation.json"} </w:instrText>
      </w:r>
      <w:r w:rsidRPr="00C6674F">
        <w:fldChar w:fldCharType="separate"/>
      </w:r>
      <w:r w:rsidRPr="00C6674F">
        <w:rPr>
          <w:szCs w:val="24"/>
          <w:vertAlign w:val="superscript"/>
        </w:rPr>
        <w:t>15</w:t>
      </w:r>
      <w:r w:rsidRPr="00C6674F">
        <w:fldChar w:fldCharType="end"/>
      </w:r>
      <w:r w:rsidRPr="00C6674F">
        <w:t xml:space="preserve"> The selected region is shown in Figure S</w:t>
      </w:r>
      <w:r w:rsidR="00C1367B" w:rsidRPr="00C6674F">
        <w:t>10</w:t>
      </w:r>
      <w:r w:rsidRPr="00C6674F">
        <w:t>.</w:t>
      </w:r>
    </w:p>
    <w:p w14:paraId="2D584E37" w14:textId="77777777" w:rsidR="00562240" w:rsidRPr="00C6674F" w:rsidRDefault="00562240" w:rsidP="00D67DBB">
      <w:pPr>
        <w:pStyle w:val="MDPI52figure"/>
        <w:ind w:left="2608"/>
        <w:jc w:val="left"/>
      </w:pPr>
      <w:r w:rsidRPr="00C6674F">
        <w:rPr>
          <w:noProof/>
        </w:rPr>
        <w:drawing>
          <wp:inline distT="0" distB="0" distL="0" distR="0" wp14:anchorId="50199D52" wp14:editId="01B535EC">
            <wp:extent cx="4531057" cy="1962490"/>
            <wp:effectExtent l="0" t="0" r="0" b="0"/>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2211" cy="1967321"/>
                    </a:xfrm>
                    <a:prstGeom prst="rect">
                      <a:avLst/>
                    </a:prstGeom>
                  </pic:spPr>
                </pic:pic>
              </a:graphicData>
            </a:graphic>
          </wp:inline>
        </w:drawing>
      </w:r>
    </w:p>
    <w:p w14:paraId="2FBD5E3C" w14:textId="6CFDA993" w:rsidR="00562240" w:rsidRPr="00C6674F" w:rsidRDefault="00A25069" w:rsidP="00D67DBB">
      <w:pPr>
        <w:pStyle w:val="MDPI51figurecaption"/>
        <w:jc w:val="both"/>
      </w:pPr>
      <w:r w:rsidRPr="00C6674F">
        <w:rPr>
          <w:b/>
          <w:bCs/>
        </w:rPr>
        <w:t>Figure S</w:t>
      </w:r>
      <w:r w:rsidR="00C1367B" w:rsidRPr="00C6674F">
        <w:rPr>
          <w:b/>
          <w:bCs/>
        </w:rPr>
        <w:t>10</w:t>
      </w:r>
      <w:r w:rsidRPr="00C6674F">
        <w:rPr>
          <w:b/>
          <w:bCs/>
        </w:rPr>
        <w:t xml:space="preserve">. </w:t>
      </w:r>
      <w:r w:rsidR="00562240" w:rsidRPr="00C6674F">
        <w:t xml:space="preserve">(A) FTIR spectra of polymeric mixtures; the red box indicates the frequency region, containing α-, β-, and </w:t>
      </w:r>
      <w:r w:rsidR="00562240" w:rsidRPr="00C6674F">
        <w:rPr>
          <w:rFonts w:ascii="Times New Roman" w:hAnsi="Times New Roman"/>
        </w:rPr>
        <w:t>ɣ</w:t>
      </w:r>
      <w:r w:rsidR="00562240" w:rsidRPr="00C6674F">
        <w:t xml:space="preserve">-phase, which is used to determine the formation of </w:t>
      </w:r>
      <w:r w:rsidR="00562240" w:rsidRPr="00C6674F">
        <w:rPr>
          <w:rFonts w:ascii="Times New Roman" w:hAnsi="Times New Roman"/>
        </w:rPr>
        <w:t>ɣ</w:t>
      </w:r>
      <w:r w:rsidR="00562240" w:rsidRPr="00C6674F">
        <w:t xml:space="preserve">-phase for the quantification of the degree of </w:t>
      </w:r>
      <w:r w:rsidR="00562240" w:rsidRPr="00C6674F">
        <w:rPr>
          <w:rFonts w:cs="Palatino Linotype"/>
        </w:rPr>
        <w:t>β</w:t>
      </w:r>
      <w:r w:rsidR="00562240" w:rsidRPr="00C6674F">
        <w:t>-phase, the purple box indicates the frequency region used for the quantification of the degree of β-phase. (B) region in 1100-1450 cm</w:t>
      </w:r>
      <w:r w:rsidR="00D67DBB" w:rsidRPr="00C6674F">
        <w:rPr>
          <w:vertAlign w:val="superscript"/>
        </w:rPr>
        <w:t>−1</w:t>
      </w:r>
      <w:r w:rsidR="00562240" w:rsidRPr="00C6674F">
        <w:t xml:space="preserve">, containing α-, β-, </w:t>
      </w:r>
      <w:r w:rsidR="00562240" w:rsidRPr="00C6674F">
        <w:rPr>
          <w:rFonts w:ascii="Times New Roman" w:hAnsi="Times New Roman"/>
        </w:rPr>
        <w:t>ɣ</w:t>
      </w:r>
      <w:r w:rsidR="00562240" w:rsidRPr="00C6674F">
        <w:t>-phase.</w:t>
      </w:r>
    </w:p>
    <w:p w14:paraId="0ED4FDDD" w14:textId="5A5F6629" w:rsidR="00562240" w:rsidRPr="00C6674F" w:rsidRDefault="00562240" w:rsidP="00D67DBB">
      <w:pPr>
        <w:pStyle w:val="MDPI31text"/>
      </w:pPr>
      <w:r w:rsidRPr="00C6674F">
        <w:t xml:space="preserve">For PVDF-HFP, as shown in Figure </w:t>
      </w:r>
      <w:r w:rsidR="00C1367B" w:rsidRPr="00C6674F">
        <w:t>S10b</w:t>
      </w:r>
      <w:r w:rsidRPr="00C6674F">
        <w:t xml:space="preserve">, β- and </w:t>
      </w:r>
      <w:r w:rsidRPr="00C6674F">
        <w:rPr>
          <w:rFonts w:ascii="Times New Roman" w:hAnsi="Times New Roman"/>
        </w:rPr>
        <w:t>ɣ</w:t>
      </w:r>
      <w:r w:rsidRPr="00C6674F">
        <w:t>-phase appeared at 1275 and 1240 cm</w:t>
      </w:r>
      <w:r w:rsidR="00D67DBB" w:rsidRPr="00C6674F">
        <w:rPr>
          <w:vertAlign w:val="superscript"/>
        </w:rPr>
        <w:t>−1</w:t>
      </w:r>
      <w:r w:rsidRPr="00C6674F">
        <w:t>, respectively;</w:t>
      </w:r>
      <w:r w:rsidR="00D67DBB" w:rsidRPr="00C6674F">
        <w:t xml:space="preserve"> </w:t>
      </w:r>
      <w:r w:rsidRPr="00C6674F">
        <w:t>a shift for peaks assigned to the β-phase as the function of IL content can be noted.</w:t>
      </w:r>
      <w:r w:rsidRPr="00C6674F">
        <w:fldChar w:fldCharType="begin"/>
      </w:r>
      <w:r w:rsidRPr="00C6674F">
        <w:instrText xml:space="preserve"> ADDIN ZOTERO_ITEM CSL_CITATION {"citationID":"mDRXyM1Z","properties":{"formattedCitation":"\\super 16\\nosupersub{}","plainCitation":"16","noteIndex":0},"citationItems":[{"id":265,"uris":["http://zotero.org/groups/4545406/items/GBS2KS3M"],"itemData":{"id":265,"type":"article-journal","abstract":"The role of organically modified silicate (OMS), Lucentite STN on the formation of β-crystalline phase of poly(vinylidene fluoride) (PVDF) is investigated in the present study. The OMS was solution blended with PVDF and cast on glass slide to form PVDF-OMS nanocomposites. Solution cast samples were subjected to various thermal treatments including annealing (AC-AN), melt-quenching followed by annealing (MQ-AN), and melt-slow cooling (MSC). Fourier-transform infrared spectroscopy (FT-IR), wide angle X-ray diffraction (WAXD), and differential scanning calorimetry (DSC) were used to investigate the crystalline structure of thermally treated samples. As a special effort, the combination of in situ thermal FT-IR, WAXD, and DSC studies was utilized to clearly assess the thermal properties. FT-IR and WAXD results of MQ-AN samples revealed the presence of β-phase of PVDF. Ion-dipole interaction between the exfoliated clay nanolayers and PVDF was considered as a main factor for the formation of β-phase. Melt-crystallization temperature and subsequent melting point were enhanced by the addition of OMS. Solid β- to γ-crystal phase transition was observed from in situ FT-IR and WAXD curves when the representative MQ-AN sample was subjected to thermal scanning. Upon heating, β-phase was found to disappear through transformation to the thermodynamically stable γ-phase rather than melting directly. © 2008 Wiley Periodicals, Inc. J Polym Sci Part B: Polym Phys 46: 2173–2187, 2008","container-title":"Journal of Polymer Science Part B: Polymer Physics","DOI":"10.1002/polb.21550","ISSN":"1099-0488","issue":"20","language":"en","note":"_eprint: https://onlinelibrary.wiley.com/doi/pdf/10.1002/polb.21550","page":"2173-2187","source":"Wiley Online Library","title":"Preferential formation of electroactive crystalline phases in poly(vinylidene fluoride)/organically modified silicate nanocomposites","volume":"46","author":[{"family":"Ramasundaram","given":"Subramaniyan"},{"family":"Yoon","given":"Sun"},{"family":"Kim","given":"Kap Jin"},{"family":"Park","given":"Cheolmin"}],"issued":{"date-parts":[["2008"]]}}}],"schema":"https://github.com/citation-style-language/schema/raw/master/csl-citation.json"} </w:instrText>
      </w:r>
      <w:r w:rsidRPr="00C6674F">
        <w:fldChar w:fldCharType="separate"/>
      </w:r>
      <w:r w:rsidRPr="00C6674F">
        <w:rPr>
          <w:szCs w:val="24"/>
          <w:vertAlign w:val="superscript"/>
        </w:rPr>
        <w:t>16</w:t>
      </w:r>
      <w:r w:rsidRPr="00C6674F">
        <w:fldChar w:fldCharType="end"/>
      </w:r>
      <w:r w:rsidRPr="00C6674F">
        <w:t xml:space="preserve"> The degree of β-phase was determined by applying Equation 5, following previous reports and ignoring the </w:t>
      </w:r>
      <w:r w:rsidRPr="00C6674F">
        <w:rPr>
          <w:rFonts w:ascii="Times New Roman" w:hAnsi="Times New Roman"/>
        </w:rPr>
        <w:t>ɣ</w:t>
      </w:r>
      <w:r w:rsidRPr="00C6674F">
        <w:t>-phase as it is often reported to be very small compared to the other phases.</w:t>
      </w:r>
      <w:r w:rsidRPr="00C6674F">
        <w:fldChar w:fldCharType="begin"/>
      </w:r>
      <w:r w:rsidRPr="00C6674F">
        <w:instrText xml:space="preserve"> ADDIN ZOTERO_ITEM CSL_CITATION {"citationID":"bzIPEufu","properties":{"formattedCitation":"\\super 17\\nosupersub{}","plainCitation":"17","noteIndex":0},"citationItems":[{"id":105,"uris":["http://zotero.org/groups/4545406/items/TT8YS2MV"],"itemData":{"id":105,"type":"article-journal","abstract":"The effect of temperature on the crystallization of α, β, and γ phases of PVDF from dimethylacetamide (DMA) solution was studied. Variation in the crystallinity content of these three phases was obtained as a function of temperature using infrared spectroscopy, differential scanning calorimetry (DSC) and x-ray diffraction techniques. Such variation is related to the dependence of the crystallization rate of each phase with temperature, and allowed a better understanding of some results found in the literature about the crystallization and interconversion of these phases. Micrographs of samples present morphologies that corroborate with the proposed explanations. © 1994 John Wiley &amp; Sons, Inc.","container-title":"Journal of Polymer Science Part B: Polymer Physics","DOI":"10.1002/polb.1994.090320509","ISSN":"1099-0488","issue":"5","language":"en","note":"_eprint: https://onlinelibrary.wiley.com/doi/pdf/10.1002/polb.1994.090320509","page":"859-870","source":"Wiley Online Library","title":"Effect of crystallization temperature on the crystalline phase content and morphology of poly(vinylidene fluoride)","volume":"32","author":[{"family":"Gregorio","given":"Rinaldo","suffix":"Jr."},{"family":"Cestari","given":"Marcelo"}],"issued":{"date-parts":[["1994"]]}}}],"schema":"https://github.com/citation-style-language/schema/raw/master/csl-citation.json"} </w:instrText>
      </w:r>
      <w:r w:rsidRPr="00C6674F">
        <w:fldChar w:fldCharType="separate"/>
      </w:r>
      <w:r w:rsidRPr="00C6674F">
        <w:rPr>
          <w:szCs w:val="24"/>
          <w:vertAlign w:val="superscript"/>
        </w:rPr>
        <w:t>17</w:t>
      </w:r>
      <w:r w:rsidRPr="00C6674F">
        <w:fldChar w:fldCharType="end"/>
      </w:r>
    </w:p>
    <w:p w14:paraId="1C1BC780" w14:textId="77777777" w:rsidR="00562240" w:rsidRPr="00C6674F" w:rsidRDefault="00562240" w:rsidP="00D67DBB">
      <w:pPr>
        <w:pStyle w:val="MDPI31text"/>
        <w:rPr>
          <w:rFonts w:ascii="Times New Roman" w:hAnsi="Times New Roman"/>
        </w:rPr>
      </w:pPr>
      <m:oMath>
        <m:r>
          <w:rPr>
            <w:rFonts w:ascii="Cambria Math" w:hAnsi="Cambria Math"/>
          </w:rPr>
          <w:lastRenderedPageBreak/>
          <m:t>F</m:t>
        </m:r>
        <m:d>
          <m:dPr>
            <m:ctrlPr>
              <w:rPr>
                <w:rFonts w:ascii="Cambria Math" w:hAnsi="Cambria Math"/>
              </w:rPr>
            </m:ctrlPr>
          </m:dPr>
          <m:e>
            <m:r>
              <w:rPr>
                <w:rFonts w:ascii="Cambria Math" w:hAnsi="Cambria Math"/>
              </w:rPr>
              <m:t>β</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β</m:t>
                </m:r>
              </m:sub>
            </m:sSub>
          </m:num>
          <m:den>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β</m:t>
                        </m:r>
                      </m:sub>
                    </m:sSub>
                  </m:num>
                  <m:den>
                    <m:sSub>
                      <m:sSubPr>
                        <m:ctrlPr>
                          <w:rPr>
                            <w:rFonts w:ascii="Cambria Math" w:hAnsi="Cambria Math"/>
                          </w:rPr>
                        </m:ctrlPr>
                      </m:sSubPr>
                      <m:e>
                        <m:r>
                          <w:rPr>
                            <w:rFonts w:ascii="Cambria Math" w:hAnsi="Cambria Math"/>
                          </w:rPr>
                          <m:t>K</m:t>
                        </m:r>
                      </m:e>
                      <m:sub>
                        <m:r>
                          <w:rPr>
                            <w:rFonts w:ascii="Cambria Math" w:hAnsi="Cambria Math"/>
                          </w:rPr>
                          <m:t>α</m:t>
                        </m:r>
                      </m:sub>
                    </m:sSub>
                  </m:den>
                </m:f>
              </m:e>
            </m:d>
            <m:sSub>
              <m:sSubPr>
                <m:ctrlPr>
                  <w:rPr>
                    <w:rFonts w:ascii="Cambria Math" w:hAnsi="Cambria Math"/>
                  </w:rPr>
                </m:ctrlPr>
              </m:sSubPr>
              <m:e>
                <m:r>
                  <w:rPr>
                    <w:rFonts w:ascii="Cambria Math" w:hAnsi="Cambria Math"/>
                  </w:rPr>
                  <m:t>A</m:t>
                </m:r>
              </m:e>
              <m:sub>
                <m:r>
                  <w:rPr>
                    <w:rFonts w:ascii="Cambria Math" w:hAnsi="Cambria Math"/>
                  </w:rPr>
                  <m:t>α</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β</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β</m:t>
                </m:r>
              </m:sub>
            </m:sSub>
          </m:num>
          <m:den>
            <m:r>
              <m:rPr>
                <m:sty m:val="p"/>
              </m:rPr>
              <w:rPr>
                <w:rFonts w:ascii="Cambria Math" w:hAnsi="Cambria Math"/>
              </w:rPr>
              <m:t>1.26</m:t>
            </m:r>
            <m:sSub>
              <m:sSubPr>
                <m:ctrlPr>
                  <w:rPr>
                    <w:rFonts w:ascii="Cambria Math" w:hAnsi="Cambria Math"/>
                  </w:rPr>
                </m:ctrlPr>
              </m:sSubPr>
              <m:e>
                <m:r>
                  <w:rPr>
                    <w:rFonts w:ascii="Cambria Math" w:hAnsi="Cambria Math"/>
                  </w:rPr>
                  <m:t>A</m:t>
                </m:r>
              </m:e>
              <m:sub>
                <m:r>
                  <w:rPr>
                    <w:rFonts w:ascii="Cambria Math" w:hAnsi="Cambria Math"/>
                  </w:rPr>
                  <m:t>α</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β</m:t>
                </m:r>
              </m:sub>
            </m:sSub>
          </m:den>
        </m:f>
      </m:oMath>
      <w:r w:rsidRPr="00C6674F">
        <w:rPr>
          <w:rFonts w:ascii="Times New Roman" w:hAnsi="Times New Roman"/>
        </w:rPr>
        <w:tab/>
        <w:t>(5)</w:t>
      </w:r>
    </w:p>
    <w:p w14:paraId="70C14686" w14:textId="1E034D4F" w:rsidR="00562240" w:rsidRPr="00C6674F" w:rsidRDefault="00562240" w:rsidP="00D67DBB">
      <w:pPr>
        <w:pStyle w:val="MDPI31text"/>
      </w:pPr>
      <w:r w:rsidRPr="00C6674F">
        <w:t>Whereas A</w:t>
      </w:r>
      <w:r w:rsidRPr="00C6674F">
        <w:rPr>
          <w:vertAlign w:val="subscript"/>
        </w:rPr>
        <w:t>α</w:t>
      </w:r>
      <w:r w:rsidRPr="00C6674F">
        <w:t xml:space="preserve"> and A</w:t>
      </w:r>
      <w:r w:rsidRPr="00C6674F">
        <w:rPr>
          <w:vertAlign w:val="subscript"/>
        </w:rPr>
        <w:t>β</w:t>
      </w:r>
      <w:r w:rsidRPr="00C6674F">
        <w:t xml:space="preserve"> are the absorbencies at the wavenumbers of 763 cm</w:t>
      </w:r>
      <w:r w:rsidR="00D67DBB" w:rsidRPr="00C6674F">
        <w:rPr>
          <w:vertAlign w:val="superscript"/>
        </w:rPr>
        <w:t>−1</w:t>
      </w:r>
      <w:r w:rsidRPr="00C6674F">
        <w:t xml:space="preserve"> and 840 cm</w:t>
      </w:r>
      <w:r w:rsidR="00D67DBB" w:rsidRPr="00C6674F">
        <w:rPr>
          <w:vertAlign w:val="superscript"/>
        </w:rPr>
        <w:t>−1</w:t>
      </w:r>
      <w:r w:rsidRPr="00C6674F">
        <w:t>, respectively. K</w:t>
      </w:r>
      <w:r w:rsidRPr="00C6674F">
        <w:rPr>
          <w:vertAlign w:val="subscript"/>
        </w:rPr>
        <w:t>α</w:t>
      </w:r>
      <w:r w:rsidRPr="00C6674F">
        <w:t xml:space="preserve"> and K</w:t>
      </w:r>
      <w:r w:rsidRPr="00C6674F">
        <w:rPr>
          <w:vertAlign w:val="subscript"/>
        </w:rPr>
        <w:t>β</w:t>
      </w:r>
      <w:r w:rsidRPr="00C6674F">
        <w:t xml:space="preserve"> are the absorption coefficients at the respective wavenumbers with the values given as 6.1 × 10</w:t>
      </w:r>
      <w:r w:rsidRPr="00C6674F">
        <w:rPr>
          <w:vertAlign w:val="superscript"/>
        </w:rPr>
        <w:t>4</w:t>
      </w:r>
      <w:r w:rsidRPr="00C6674F">
        <w:t xml:space="preserve"> cm</w:t>
      </w:r>
      <w:r w:rsidRPr="00C6674F">
        <w:rPr>
          <w:vertAlign w:val="superscript"/>
        </w:rPr>
        <w:t>2</w:t>
      </w:r>
      <w:r w:rsidRPr="00C6674F">
        <w:t>/mol and 7.7 × 10</w:t>
      </w:r>
      <w:r w:rsidRPr="00C6674F">
        <w:rPr>
          <w:vertAlign w:val="superscript"/>
        </w:rPr>
        <w:t>4</w:t>
      </w:r>
      <w:r w:rsidRPr="00C6674F">
        <w:t xml:space="preserve"> cm</w:t>
      </w:r>
      <w:r w:rsidRPr="00C6674F">
        <w:rPr>
          <w:vertAlign w:val="superscript"/>
        </w:rPr>
        <w:t>2</w:t>
      </w:r>
      <w:r w:rsidRPr="00C6674F">
        <w:t>/mol, respectively.</w:t>
      </w:r>
      <w:r w:rsidRPr="00C6674F">
        <w:fldChar w:fldCharType="begin"/>
      </w:r>
      <w:r w:rsidRPr="00C6674F">
        <w:instrText xml:space="preserve"> ADDIN ZOTERO_ITEM CSL_CITATION {"citationID":"IaxpMAMa","properties":{"formattedCitation":"\\super 17\\nosupersub{}","plainCitation":"17","noteIndex":0},"citationItems":[{"id":105,"uris":["http://zotero.org/groups/4545406/items/TT8YS2MV"],"itemData":{"id":105,"type":"article-journal","abstract":"The effect of temperature on the crystallization of α, β, and γ phases of PVDF from dimethylacetamide (DMA) solution was studied. Variation in the crystallinity content of these three phases was obtained as a function of temperature using infrared spectroscopy, differential scanning calorimetry (DSC) and x-ray diffraction techniques. Such variation is related to the dependence of the crystallization rate of each phase with temperature, and allowed a better understanding of some results found in the literature about the crystallization and interconversion of these phases. Micrographs of samples present morphologies that corroborate with the proposed explanations. © 1994 John Wiley &amp; Sons, Inc.","container-title":"Journal of Polymer Science Part B: Polymer Physics","DOI":"10.1002/polb.1994.090320509","ISSN":"1099-0488","issue":"5","language":"en","note":"_eprint: https://onlinelibrary.wiley.com/doi/pdf/10.1002/polb.1994.090320509","page":"859-870","source":"Wiley Online Library","title":"Effect of crystallization temperature on the crystalline phase content and morphology of poly(vinylidene fluoride)","volume":"32","author":[{"family":"Gregorio","given":"Rinaldo","suffix":"Jr."},{"family":"Cestari","given":"Marcelo"}],"issued":{"date-parts":[["1994"]]}}}],"schema":"https://github.com/citation-style-language/schema/raw/master/csl-citation.json"} </w:instrText>
      </w:r>
      <w:r w:rsidRPr="00C6674F">
        <w:fldChar w:fldCharType="separate"/>
      </w:r>
      <w:r w:rsidRPr="00C6674F">
        <w:rPr>
          <w:szCs w:val="24"/>
          <w:vertAlign w:val="superscript"/>
        </w:rPr>
        <w:t>17</w:t>
      </w:r>
      <w:r w:rsidRPr="00C6674F">
        <w:fldChar w:fldCharType="end"/>
      </w:r>
      <w:r w:rsidRPr="00C6674F">
        <w:t xml:space="preserve"> Using Equation 5 along with the peak intensities, estimated from the deconvolution of spectra in between 790-811 cm</w:t>
      </w:r>
      <w:r w:rsidR="00D67DBB" w:rsidRPr="00C6674F">
        <w:rPr>
          <w:vertAlign w:val="superscript"/>
        </w:rPr>
        <w:t>−1</w:t>
      </w:r>
      <w:r w:rsidRPr="00C6674F">
        <w:t xml:space="preserve"> (Table S7), was used to estimate the degree of β-phases in the samples. Table S8 presents the estimated degree of β-phase for films prepared from seven different mixtures.</w:t>
      </w:r>
    </w:p>
    <w:p w14:paraId="41BB7864" w14:textId="77777777" w:rsidR="00562240" w:rsidRPr="00C6674F" w:rsidRDefault="00562240" w:rsidP="00D67DBB">
      <w:pPr>
        <w:adjustRightInd w:val="0"/>
        <w:snapToGrid w:val="0"/>
        <w:spacing w:after="160" w:line="259" w:lineRule="auto"/>
        <w:rPr>
          <w:rFonts w:ascii="Times New Roman" w:hAnsi="Times New Roman"/>
          <w:b/>
          <w:noProof w:val="0"/>
        </w:rPr>
      </w:pPr>
      <w:r w:rsidRPr="00C6674F">
        <w:rPr>
          <w:rFonts w:ascii="Times New Roman" w:hAnsi="Times New Roman"/>
          <w:b/>
          <w:noProof w:val="0"/>
        </w:rPr>
        <w:br w:type="page"/>
      </w:r>
    </w:p>
    <w:p w14:paraId="50067BF4" w14:textId="488382C9" w:rsidR="00562240" w:rsidRPr="00C6674F" w:rsidRDefault="00A25069" w:rsidP="00D67DBB">
      <w:pPr>
        <w:pStyle w:val="MDPI41tablecaption"/>
      </w:pPr>
      <w:r w:rsidRPr="00C6674F">
        <w:rPr>
          <w:b/>
        </w:rPr>
        <w:lastRenderedPageBreak/>
        <w:t xml:space="preserve">Table S6. </w:t>
      </w:r>
      <w:r w:rsidR="00562240" w:rsidRPr="00C6674F">
        <w:t>Characteristic FTIR peaks of polymeric film.</w:t>
      </w:r>
    </w:p>
    <w:tbl>
      <w:tblPr>
        <w:tblW w:w="104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516"/>
        <w:gridCol w:w="3270"/>
        <w:gridCol w:w="2750"/>
        <w:gridCol w:w="1929"/>
      </w:tblGrid>
      <w:tr w:rsidR="00E02BFC" w:rsidRPr="00C6674F" w14:paraId="01F19D9A" w14:textId="77777777" w:rsidTr="00E02BFC">
        <w:trPr>
          <w:jc w:val="center"/>
        </w:trPr>
        <w:tc>
          <w:tcPr>
            <w:tcW w:w="2250" w:type="dxa"/>
            <w:tcBorders>
              <w:top w:val="single" w:sz="8" w:space="0" w:color="auto"/>
              <w:left w:val="nil"/>
              <w:bottom w:val="single" w:sz="4" w:space="0" w:color="auto"/>
              <w:right w:val="nil"/>
            </w:tcBorders>
            <w:shd w:val="clear" w:color="auto" w:fill="auto"/>
            <w:tcMar>
              <w:top w:w="100" w:type="dxa"/>
              <w:left w:w="100" w:type="dxa"/>
              <w:bottom w:w="100" w:type="dxa"/>
              <w:right w:w="100" w:type="dxa"/>
            </w:tcMar>
            <w:vAlign w:val="center"/>
          </w:tcPr>
          <w:p w14:paraId="23CE2180" w14:textId="72A0BB35"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Wave number (cm</w:t>
            </w:r>
            <w:r w:rsidR="00D67DBB" w:rsidRPr="00C6674F">
              <w:rPr>
                <w:b/>
                <w:noProof w:val="0"/>
                <w:vertAlign w:val="superscript"/>
              </w:rPr>
              <w:t>−1</w:t>
            </w:r>
            <w:r w:rsidRPr="00C6674F">
              <w:rPr>
                <w:rFonts w:ascii="Times New Roman" w:hAnsi="Times New Roman"/>
                <w:b/>
                <w:noProof w:val="0"/>
              </w:rPr>
              <w:t>)</w:t>
            </w:r>
          </w:p>
        </w:tc>
        <w:tc>
          <w:tcPr>
            <w:tcW w:w="2925" w:type="dxa"/>
            <w:tcBorders>
              <w:top w:val="single" w:sz="8" w:space="0" w:color="auto"/>
              <w:left w:val="nil"/>
              <w:bottom w:val="single" w:sz="4" w:space="0" w:color="auto"/>
              <w:right w:val="nil"/>
            </w:tcBorders>
            <w:shd w:val="clear" w:color="auto" w:fill="auto"/>
            <w:tcMar>
              <w:top w:w="100" w:type="dxa"/>
              <w:left w:w="100" w:type="dxa"/>
              <w:bottom w:w="100" w:type="dxa"/>
              <w:right w:w="100" w:type="dxa"/>
            </w:tcMar>
            <w:vAlign w:val="center"/>
          </w:tcPr>
          <w:p w14:paraId="35E7E785"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Associated Peak Name</w:t>
            </w:r>
          </w:p>
        </w:tc>
        <w:tc>
          <w:tcPr>
            <w:tcW w:w="2460" w:type="dxa"/>
            <w:tcBorders>
              <w:top w:val="single" w:sz="8" w:space="0" w:color="auto"/>
              <w:left w:val="nil"/>
              <w:bottom w:val="single" w:sz="4" w:space="0" w:color="auto"/>
              <w:right w:val="nil"/>
            </w:tcBorders>
            <w:shd w:val="clear" w:color="auto" w:fill="auto"/>
            <w:tcMar>
              <w:top w:w="100" w:type="dxa"/>
              <w:left w:w="100" w:type="dxa"/>
              <w:bottom w:w="100" w:type="dxa"/>
              <w:right w:w="100" w:type="dxa"/>
            </w:tcMar>
            <w:vAlign w:val="center"/>
          </w:tcPr>
          <w:p w14:paraId="1CA99FC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Sample</w:t>
            </w:r>
          </w:p>
        </w:tc>
        <w:tc>
          <w:tcPr>
            <w:tcW w:w="1725" w:type="dxa"/>
            <w:tcBorders>
              <w:top w:val="single" w:sz="8" w:space="0" w:color="auto"/>
              <w:left w:val="nil"/>
              <w:bottom w:val="single" w:sz="4" w:space="0" w:color="auto"/>
              <w:right w:val="nil"/>
            </w:tcBorders>
            <w:shd w:val="clear" w:color="auto" w:fill="auto"/>
            <w:tcMar>
              <w:top w:w="100" w:type="dxa"/>
              <w:left w:w="100" w:type="dxa"/>
              <w:bottom w:w="100" w:type="dxa"/>
              <w:right w:w="100" w:type="dxa"/>
            </w:tcMar>
            <w:vAlign w:val="center"/>
          </w:tcPr>
          <w:p w14:paraId="326258B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Reference</w:t>
            </w:r>
          </w:p>
        </w:tc>
      </w:tr>
      <w:tr w:rsidR="00562240" w:rsidRPr="00C6674F" w14:paraId="5BBA4109" w14:textId="77777777" w:rsidTr="00E02BFC">
        <w:trPr>
          <w:jc w:val="center"/>
        </w:trPr>
        <w:tc>
          <w:tcPr>
            <w:tcW w:w="2250" w:type="dxa"/>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2D37D6D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569</w:t>
            </w:r>
          </w:p>
        </w:tc>
        <w:tc>
          <w:tcPr>
            <w:tcW w:w="2925" w:type="dxa"/>
            <w:tcBorders>
              <w:top w:val="single" w:sz="4" w:space="0" w:color="auto"/>
              <w:left w:val="nil"/>
              <w:bottom w:val="nil"/>
              <w:right w:val="nil"/>
            </w:tcBorders>
            <w:shd w:val="clear" w:color="auto" w:fill="auto"/>
            <w:tcMar>
              <w:top w:w="100" w:type="dxa"/>
              <w:left w:w="100" w:type="dxa"/>
              <w:bottom w:w="100" w:type="dxa"/>
              <w:right w:w="100" w:type="dxa"/>
            </w:tcMar>
            <w:vAlign w:val="center"/>
          </w:tcPr>
          <w:p w14:paraId="523AC5C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vertAlign w:val="subscript"/>
              </w:rPr>
            </w:pPr>
            <w:r w:rsidRPr="00C6674F">
              <w:rPr>
                <w:rFonts w:ascii="Times New Roman" w:hAnsi="Times New Roman"/>
                <w:noProof w:val="0"/>
              </w:rPr>
              <w:t>CF</w:t>
            </w:r>
            <w:r w:rsidRPr="00C6674F">
              <w:rPr>
                <w:rFonts w:ascii="Times New Roman" w:hAnsi="Times New Roman"/>
                <w:noProof w:val="0"/>
                <w:vertAlign w:val="subscript"/>
              </w:rPr>
              <w:t>3</w:t>
            </w:r>
          </w:p>
        </w:tc>
        <w:tc>
          <w:tcPr>
            <w:tcW w:w="2460" w:type="dxa"/>
            <w:vMerge w:val="restart"/>
            <w:tcBorders>
              <w:top w:val="single" w:sz="4" w:space="0" w:color="auto"/>
              <w:left w:val="nil"/>
              <w:bottom w:val="single" w:sz="8" w:space="0" w:color="auto"/>
              <w:right w:val="nil"/>
            </w:tcBorders>
            <w:shd w:val="clear" w:color="auto" w:fill="auto"/>
            <w:tcMar>
              <w:top w:w="100" w:type="dxa"/>
              <w:left w:w="100" w:type="dxa"/>
              <w:bottom w:w="100" w:type="dxa"/>
              <w:right w:w="100" w:type="dxa"/>
            </w:tcMar>
            <w:vAlign w:val="center"/>
          </w:tcPr>
          <w:p w14:paraId="33C2974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[EMIM][TF</w:t>
            </w:r>
            <w:r w:rsidRPr="00C6674F">
              <w:rPr>
                <w:rFonts w:ascii="Times New Roman" w:hAnsi="Times New Roman"/>
                <w:noProof w:val="0"/>
                <w:vertAlign w:val="subscript"/>
              </w:rPr>
              <w:t>2</w:t>
            </w:r>
            <w:r w:rsidRPr="00C6674F">
              <w:rPr>
                <w:rFonts w:ascii="Times New Roman" w:hAnsi="Times New Roman"/>
                <w:noProof w:val="0"/>
              </w:rPr>
              <w:t xml:space="preserve">N] </w:t>
            </w:r>
          </w:p>
        </w:tc>
        <w:tc>
          <w:tcPr>
            <w:tcW w:w="1725" w:type="dxa"/>
            <w:vMerge w:val="restart"/>
            <w:tcBorders>
              <w:top w:val="single" w:sz="4" w:space="0" w:color="auto"/>
              <w:left w:val="nil"/>
              <w:bottom w:val="single" w:sz="8" w:space="0" w:color="auto"/>
              <w:right w:val="nil"/>
            </w:tcBorders>
            <w:shd w:val="clear" w:color="auto" w:fill="auto"/>
            <w:tcMar>
              <w:top w:w="100" w:type="dxa"/>
              <w:left w:w="100" w:type="dxa"/>
              <w:bottom w:w="100" w:type="dxa"/>
              <w:right w:w="100" w:type="dxa"/>
            </w:tcMar>
            <w:vAlign w:val="center"/>
          </w:tcPr>
          <w:p w14:paraId="4B321772"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fldChar w:fldCharType="begin"/>
            </w:r>
            <w:r w:rsidRPr="00C6674F">
              <w:rPr>
                <w:rFonts w:ascii="Times New Roman" w:hAnsi="Times New Roman"/>
                <w:noProof w:val="0"/>
              </w:rPr>
              <w:instrText xml:space="preserve"> ADDIN ZOTERO_ITEM CSL_CITATION {"citationID":"yhM6eU3u","properties":{"formattedCitation":"\\super 2\\nosupersub{}","plainCitation":"2","noteIndex":0},"citationItems":[{"id":107,"uris":["http://zotero.org/groups/4545406/items/Y794I8C2"],"itemData":{"id":107,"type":"article-journal","abstract":"The reflection−absorption infrared (RAIRS) spectra of 1-ethyl-3-methylimidazolium bis(trifluoromethylsulfonyl)imide ([EMIM]Tf2N) are presented as a function of temperature between 114 and 292 K. A comparison is made with the corresponding infrared spectra (obtained with transmission spectroscopy) from bulk [EMIM]Tf2N. The liquid and amorphous films show rather similar spectra, indicating that the film structure is similar in both cases. On the other hand, these spectra differ considerably from those of crystalline films. Characteristic differences seen between the film and bulk spectra are attributed to the different structures of the respective networks. There are, however, indications that under all studied conditions the cation−anion interaction is between the C−H groups of the [EMIM] ring and the SO2 groups of the anion.","container-title":"Langmuir","DOI":"10.1021/la802045j","ISSN":"0743-7463","issue":"20","journalAbbreviation":"Langmuir","note":"publisher: American Chemical Society","page":"11562-11566","source":"ACS Publications","title":"Investigations with Infrared Spectroscopy on Films of the Ionic Liquid [EMIM]Tf2N","volume":"24","author":[{"family":"Höfft","given":"O."},{"family":"Bahr","given":"S."},{"family":"Kempter","given":"V."}],"issued":{"date-parts":[["2008",10,21]]}}}],"schema":"https://github.com/citation-style-language/schema/raw/master/csl-citation.json"} </w:instrText>
            </w:r>
            <w:r w:rsidRPr="00C6674F">
              <w:rPr>
                <w:rFonts w:ascii="Times New Roman" w:hAnsi="Times New Roman"/>
                <w:noProof w:val="0"/>
              </w:rPr>
              <w:fldChar w:fldCharType="separate"/>
            </w:r>
            <w:r w:rsidRPr="00C6674F">
              <w:rPr>
                <w:rFonts w:ascii="Times New Roman" w:hAnsi="Times New Roman"/>
                <w:noProof w:val="0"/>
                <w:szCs w:val="24"/>
                <w:vertAlign w:val="superscript"/>
              </w:rPr>
              <w:t>2</w:t>
            </w:r>
            <w:r w:rsidRPr="00C6674F">
              <w:rPr>
                <w:rFonts w:ascii="Times New Roman" w:hAnsi="Times New Roman"/>
                <w:noProof w:val="0"/>
              </w:rPr>
              <w:fldChar w:fldCharType="end"/>
            </w:r>
          </w:p>
        </w:tc>
      </w:tr>
      <w:tr w:rsidR="00562240" w:rsidRPr="00C6674F" w14:paraId="476649B0" w14:textId="77777777" w:rsidTr="00E02BFC">
        <w:trPr>
          <w:jc w:val="center"/>
        </w:trPr>
        <w:tc>
          <w:tcPr>
            <w:tcW w:w="2250" w:type="dxa"/>
            <w:tcBorders>
              <w:top w:val="nil"/>
              <w:left w:val="nil"/>
              <w:bottom w:val="nil"/>
              <w:right w:val="nil"/>
            </w:tcBorders>
            <w:shd w:val="clear" w:color="auto" w:fill="auto"/>
            <w:tcMar>
              <w:top w:w="100" w:type="dxa"/>
              <w:left w:w="100" w:type="dxa"/>
              <w:bottom w:w="100" w:type="dxa"/>
              <w:right w:w="100" w:type="dxa"/>
            </w:tcMar>
            <w:vAlign w:val="center"/>
          </w:tcPr>
          <w:p w14:paraId="135DE132"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600</w:t>
            </w:r>
          </w:p>
        </w:tc>
        <w:tc>
          <w:tcPr>
            <w:tcW w:w="2925" w:type="dxa"/>
            <w:tcBorders>
              <w:top w:val="nil"/>
              <w:left w:val="nil"/>
              <w:bottom w:val="nil"/>
              <w:right w:val="nil"/>
            </w:tcBorders>
            <w:shd w:val="clear" w:color="auto" w:fill="auto"/>
            <w:tcMar>
              <w:top w:w="100" w:type="dxa"/>
              <w:left w:w="100" w:type="dxa"/>
              <w:bottom w:w="100" w:type="dxa"/>
              <w:right w:w="100" w:type="dxa"/>
            </w:tcMar>
            <w:vAlign w:val="center"/>
          </w:tcPr>
          <w:p w14:paraId="1394F65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vertAlign w:val="subscript"/>
              </w:rPr>
            </w:pPr>
            <w:r w:rsidRPr="00C6674F">
              <w:rPr>
                <w:rFonts w:ascii="Times New Roman" w:hAnsi="Times New Roman"/>
                <w:noProof w:val="0"/>
              </w:rPr>
              <w:t>SO</w:t>
            </w:r>
            <w:r w:rsidRPr="00C6674F">
              <w:rPr>
                <w:rFonts w:ascii="Times New Roman" w:hAnsi="Times New Roman"/>
                <w:noProof w:val="0"/>
                <w:vertAlign w:val="subscript"/>
              </w:rPr>
              <w:t>2</w:t>
            </w:r>
          </w:p>
        </w:tc>
        <w:tc>
          <w:tcPr>
            <w:tcW w:w="2460"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54BBEDE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48A39A6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0873AEBF" w14:textId="77777777" w:rsidTr="00E02BFC">
        <w:trPr>
          <w:jc w:val="center"/>
        </w:trPr>
        <w:tc>
          <w:tcPr>
            <w:tcW w:w="2250" w:type="dxa"/>
            <w:tcBorders>
              <w:top w:val="nil"/>
              <w:left w:val="nil"/>
              <w:bottom w:val="nil"/>
              <w:right w:val="nil"/>
            </w:tcBorders>
            <w:shd w:val="clear" w:color="auto" w:fill="auto"/>
            <w:tcMar>
              <w:top w:w="100" w:type="dxa"/>
              <w:left w:w="100" w:type="dxa"/>
              <w:bottom w:w="100" w:type="dxa"/>
              <w:right w:w="100" w:type="dxa"/>
            </w:tcMar>
            <w:vAlign w:val="center"/>
          </w:tcPr>
          <w:p w14:paraId="3A25C598"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650</w:t>
            </w:r>
          </w:p>
        </w:tc>
        <w:tc>
          <w:tcPr>
            <w:tcW w:w="2925" w:type="dxa"/>
            <w:tcBorders>
              <w:top w:val="nil"/>
              <w:left w:val="nil"/>
              <w:bottom w:val="nil"/>
              <w:right w:val="nil"/>
            </w:tcBorders>
            <w:shd w:val="clear" w:color="auto" w:fill="auto"/>
            <w:tcMar>
              <w:top w:w="100" w:type="dxa"/>
              <w:left w:w="100" w:type="dxa"/>
              <w:bottom w:w="100" w:type="dxa"/>
              <w:right w:w="100" w:type="dxa"/>
            </w:tcMar>
            <w:vAlign w:val="center"/>
          </w:tcPr>
          <w:p w14:paraId="561A3E32"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SNS</w:t>
            </w:r>
          </w:p>
        </w:tc>
        <w:tc>
          <w:tcPr>
            <w:tcW w:w="2460"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47D0E62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341AEFF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51C432FA" w14:textId="77777777" w:rsidTr="00E02BFC">
        <w:trPr>
          <w:jc w:val="center"/>
        </w:trPr>
        <w:tc>
          <w:tcPr>
            <w:tcW w:w="2250" w:type="dxa"/>
            <w:tcBorders>
              <w:top w:val="nil"/>
              <w:left w:val="nil"/>
              <w:bottom w:val="nil"/>
              <w:right w:val="nil"/>
            </w:tcBorders>
            <w:shd w:val="clear" w:color="auto" w:fill="auto"/>
            <w:tcMar>
              <w:top w:w="100" w:type="dxa"/>
              <w:left w:w="100" w:type="dxa"/>
              <w:bottom w:w="100" w:type="dxa"/>
              <w:right w:w="100" w:type="dxa"/>
            </w:tcMar>
            <w:vAlign w:val="center"/>
          </w:tcPr>
          <w:p w14:paraId="59037FB8"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741</w:t>
            </w:r>
          </w:p>
        </w:tc>
        <w:tc>
          <w:tcPr>
            <w:tcW w:w="2925" w:type="dxa"/>
            <w:tcBorders>
              <w:top w:val="nil"/>
              <w:left w:val="nil"/>
              <w:bottom w:val="nil"/>
              <w:right w:val="nil"/>
            </w:tcBorders>
            <w:shd w:val="clear" w:color="auto" w:fill="auto"/>
            <w:tcMar>
              <w:top w:w="100" w:type="dxa"/>
              <w:left w:w="100" w:type="dxa"/>
              <w:bottom w:w="100" w:type="dxa"/>
              <w:right w:w="100" w:type="dxa"/>
            </w:tcMar>
            <w:vAlign w:val="center"/>
          </w:tcPr>
          <w:p w14:paraId="7647A7B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vertAlign w:val="subscript"/>
              </w:rPr>
            </w:pPr>
            <w:r w:rsidRPr="00C6674F">
              <w:rPr>
                <w:rFonts w:ascii="Times New Roman" w:hAnsi="Times New Roman"/>
                <w:noProof w:val="0"/>
              </w:rPr>
              <w:t>CF</w:t>
            </w:r>
            <w:r w:rsidRPr="00C6674F">
              <w:rPr>
                <w:rFonts w:ascii="Times New Roman" w:hAnsi="Times New Roman"/>
                <w:noProof w:val="0"/>
                <w:vertAlign w:val="subscript"/>
              </w:rPr>
              <w:t>3</w:t>
            </w:r>
          </w:p>
        </w:tc>
        <w:tc>
          <w:tcPr>
            <w:tcW w:w="2460"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35FAB4B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6DF4574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487E3142" w14:textId="77777777" w:rsidTr="00E02BFC">
        <w:trPr>
          <w:jc w:val="center"/>
        </w:trPr>
        <w:tc>
          <w:tcPr>
            <w:tcW w:w="2250" w:type="dxa"/>
            <w:tcBorders>
              <w:top w:val="nil"/>
              <w:left w:val="nil"/>
              <w:bottom w:val="nil"/>
              <w:right w:val="nil"/>
            </w:tcBorders>
            <w:shd w:val="clear" w:color="auto" w:fill="auto"/>
            <w:tcMar>
              <w:top w:w="100" w:type="dxa"/>
              <w:left w:w="100" w:type="dxa"/>
              <w:bottom w:w="100" w:type="dxa"/>
              <w:right w:w="100" w:type="dxa"/>
            </w:tcMar>
            <w:vAlign w:val="center"/>
          </w:tcPr>
          <w:p w14:paraId="6EE47D0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1051</w:t>
            </w:r>
          </w:p>
        </w:tc>
        <w:tc>
          <w:tcPr>
            <w:tcW w:w="2925" w:type="dxa"/>
            <w:tcBorders>
              <w:top w:val="nil"/>
              <w:left w:val="nil"/>
              <w:bottom w:val="nil"/>
              <w:right w:val="nil"/>
            </w:tcBorders>
            <w:shd w:val="clear" w:color="auto" w:fill="auto"/>
            <w:tcMar>
              <w:top w:w="100" w:type="dxa"/>
              <w:left w:w="100" w:type="dxa"/>
              <w:bottom w:w="100" w:type="dxa"/>
              <w:right w:w="100" w:type="dxa"/>
            </w:tcMar>
            <w:vAlign w:val="center"/>
          </w:tcPr>
          <w:p w14:paraId="4E9E72ED"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vertAlign w:val="subscript"/>
              </w:rPr>
            </w:pPr>
            <w:r w:rsidRPr="00C6674F">
              <w:rPr>
                <w:rFonts w:ascii="Times New Roman" w:hAnsi="Times New Roman"/>
                <w:noProof w:val="0"/>
              </w:rPr>
              <w:t>NCH</w:t>
            </w:r>
            <w:r w:rsidRPr="00C6674F">
              <w:rPr>
                <w:rFonts w:ascii="Times New Roman" w:hAnsi="Times New Roman"/>
                <w:noProof w:val="0"/>
                <w:vertAlign w:val="subscript"/>
              </w:rPr>
              <w:t>3</w:t>
            </w:r>
          </w:p>
        </w:tc>
        <w:tc>
          <w:tcPr>
            <w:tcW w:w="2460"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2FABDD38"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6F526F2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79C2317E" w14:textId="77777777" w:rsidTr="00E02BFC">
        <w:trPr>
          <w:jc w:val="center"/>
        </w:trPr>
        <w:tc>
          <w:tcPr>
            <w:tcW w:w="2250" w:type="dxa"/>
            <w:tcBorders>
              <w:top w:val="nil"/>
              <w:left w:val="nil"/>
              <w:bottom w:val="nil"/>
              <w:right w:val="nil"/>
            </w:tcBorders>
            <w:shd w:val="clear" w:color="auto" w:fill="auto"/>
            <w:tcMar>
              <w:top w:w="100" w:type="dxa"/>
              <w:left w:w="100" w:type="dxa"/>
              <w:bottom w:w="100" w:type="dxa"/>
              <w:right w:w="100" w:type="dxa"/>
            </w:tcMar>
            <w:vAlign w:val="center"/>
          </w:tcPr>
          <w:p w14:paraId="2C349CF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1132</w:t>
            </w:r>
          </w:p>
        </w:tc>
        <w:tc>
          <w:tcPr>
            <w:tcW w:w="2925" w:type="dxa"/>
            <w:tcBorders>
              <w:top w:val="nil"/>
              <w:left w:val="nil"/>
              <w:bottom w:val="nil"/>
              <w:right w:val="nil"/>
            </w:tcBorders>
            <w:shd w:val="clear" w:color="auto" w:fill="auto"/>
            <w:tcMar>
              <w:top w:w="100" w:type="dxa"/>
              <w:left w:w="100" w:type="dxa"/>
              <w:bottom w:w="100" w:type="dxa"/>
              <w:right w:w="100" w:type="dxa"/>
            </w:tcMar>
            <w:vAlign w:val="center"/>
          </w:tcPr>
          <w:p w14:paraId="7975E64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vertAlign w:val="subscript"/>
              </w:rPr>
            </w:pPr>
            <w:r w:rsidRPr="00C6674F">
              <w:rPr>
                <w:rFonts w:ascii="Times New Roman" w:hAnsi="Times New Roman"/>
                <w:noProof w:val="0"/>
              </w:rPr>
              <w:t>SO</w:t>
            </w:r>
            <w:r w:rsidRPr="00C6674F">
              <w:rPr>
                <w:rFonts w:ascii="Times New Roman" w:hAnsi="Times New Roman"/>
                <w:noProof w:val="0"/>
                <w:vertAlign w:val="subscript"/>
              </w:rPr>
              <w:t>2</w:t>
            </w:r>
          </w:p>
        </w:tc>
        <w:tc>
          <w:tcPr>
            <w:tcW w:w="2460"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3B10F18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140E0AD4"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77159021" w14:textId="77777777" w:rsidTr="00E02BFC">
        <w:trPr>
          <w:jc w:val="center"/>
        </w:trPr>
        <w:tc>
          <w:tcPr>
            <w:tcW w:w="2250" w:type="dxa"/>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29F19DB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1348</w:t>
            </w:r>
          </w:p>
        </w:tc>
        <w:tc>
          <w:tcPr>
            <w:tcW w:w="2925" w:type="dxa"/>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353D5C5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SO</w:t>
            </w:r>
            <w:r w:rsidRPr="00C6674F">
              <w:rPr>
                <w:rFonts w:ascii="Times New Roman" w:hAnsi="Times New Roman"/>
                <w:noProof w:val="0"/>
                <w:vertAlign w:val="subscript"/>
              </w:rPr>
              <w:t>2</w:t>
            </w:r>
          </w:p>
        </w:tc>
        <w:tc>
          <w:tcPr>
            <w:tcW w:w="2460"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0E0B3E2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605D51B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7772B579" w14:textId="77777777" w:rsidTr="00E02BFC">
        <w:trPr>
          <w:jc w:val="center"/>
        </w:trPr>
        <w:tc>
          <w:tcPr>
            <w:tcW w:w="2250" w:type="dxa"/>
            <w:tcBorders>
              <w:top w:val="single" w:sz="8" w:space="0" w:color="auto"/>
              <w:left w:val="nil"/>
              <w:bottom w:val="nil"/>
              <w:right w:val="nil"/>
            </w:tcBorders>
            <w:shd w:val="clear" w:color="auto" w:fill="auto"/>
            <w:tcMar>
              <w:top w:w="100" w:type="dxa"/>
              <w:left w:w="100" w:type="dxa"/>
              <w:bottom w:w="100" w:type="dxa"/>
              <w:right w:w="100" w:type="dxa"/>
            </w:tcMar>
            <w:vAlign w:val="center"/>
          </w:tcPr>
          <w:p w14:paraId="1147455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1141</w:t>
            </w:r>
          </w:p>
        </w:tc>
        <w:tc>
          <w:tcPr>
            <w:tcW w:w="2925" w:type="dxa"/>
            <w:tcBorders>
              <w:top w:val="single" w:sz="8" w:space="0" w:color="auto"/>
              <w:left w:val="nil"/>
              <w:bottom w:val="nil"/>
              <w:right w:val="nil"/>
            </w:tcBorders>
            <w:shd w:val="clear" w:color="auto" w:fill="auto"/>
            <w:tcMar>
              <w:top w:w="100" w:type="dxa"/>
              <w:left w:w="100" w:type="dxa"/>
              <w:bottom w:w="100" w:type="dxa"/>
              <w:right w:w="100" w:type="dxa"/>
            </w:tcMar>
            <w:vAlign w:val="center"/>
          </w:tcPr>
          <w:p w14:paraId="763BDE1D"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vertAlign w:val="subscript"/>
              </w:rPr>
            </w:pPr>
            <w:r w:rsidRPr="00C6674F">
              <w:rPr>
                <w:rFonts w:ascii="Times New Roman" w:hAnsi="Times New Roman"/>
                <w:noProof w:val="0"/>
              </w:rPr>
              <w:t>CF</w:t>
            </w:r>
            <w:r w:rsidRPr="00C6674F">
              <w:rPr>
                <w:rFonts w:ascii="Times New Roman" w:hAnsi="Times New Roman"/>
                <w:noProof w:val="0"/>
                <w:vertAlign w:val="subscript"/>
              </w:rPr>
              <w:t>3</w:t>
            </w:r>
          </w:p>
        </w:tc>
        <w:tc>
          <w:tcPr>
            <w:tcW w:w="2460" w:type="dxa"/>
            <w:vMerge w:val="restart"/>
            <w:tcBorders>
              <w:top w:val="single" w:sz="8" w:space="0" w:color="auto"/>
              <w:left w:val="nil"/>
              <w:bottom w:val="nil"/>
              <w:right w:val="nil"/>
            </w:tcBorders>
            <w:shd w:val="clear" w:color="auto" w:fill="auto"/>
            <w:tcMar>
              <w:top w:w="100" w:type="dxa"/>
              <w:left w:w="100" w:type="dxa"/>
              <w:bottom w:w="100" w:type="dxa"/>
              <w:right w:w="100" w:type="dxa"/>
            </w:tcMar>
            <w:vAlign w:val="center"/>
          </w:tcPr>
          <w:p w14:paraId="71C4F19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PVDF-HFP</w:t>
            </w:r>
          </w:p>
        </w:tc>
        <w:tc>
          <w:tcPr>
            <w:tcW w:w="1725" w:type="dxa"/>
            <w:vMerge w:val="restart"/>
            <w:tcBorders>
              <w:top w:val="single" w:sz="8" w:space="0" w:color="auto"/>
              <w:left w:val="nil"/>
              <w:bottom w:val="nil"/>
              <w:right w:val="nil"/>
            </w:tcBorders>
            <w:shd w:val="clear" w:color="auto" w:fill="auto"/>
            <w:tcMar>
              <w:top w:w="100" w:type="dxa"/>
              <w:left w:w="100" w:type="dxa"/>
              <w:bottom w:w="100" w:type="dxa"/>
              <w:right w:w="100" w:type="dxa"/>
            </w:tcMar>
            <w:vAlign w:val="center"/>
          </w:tcPr>
          <w:p w14:paraId="2B7660F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fldChar w:fldCharType="begin"/>
            </w:r>
            <w:r w:rsidRPr="00C6674F">
              <w:rPr>
                <w:rFonts w:ascii="Times New Roman" w:hAnsi="Times New Roman"/>
                <w:noProof w:val="0"/>
              </w:rPr>
              <w:instrText xml:space="preserve"> ADDIN ZOTERO_ITEM CSL_CITATION {"citationID":"HUxYpyzD","properties":{"formattedCitation":"\\super 18\\uc0\\u8211{}21\\nosupersub{}","plainCitation":"18–21","noteIndex":0},"citationItems":[{"id":110,"uris":["http://zotero.org/groups/4545406/items/DIGFI2PP"],"itemData":{"id":110,"type":"article-journal","abstract":"A series of PMMA/poly(vinylidene fluoride-hexafluoropropylene) [P(VDF-HFP)] blend films were prepared with a solution blending process to improve discharge efficiency. The crystal structure and properties of the PMMA/P(VDF-HFP) blend films were carefully studied. The results show that the crystallinity, the dielectric constant and the loss of the polymer blend films decreased, while melting temperature increased with the increase in PMMA content. The XRD results demonstrate the existence of a γ-2b phase. It is believed that the phase transition of the P(VDF-HFP) crystals from α to γ-2b contributes to the increase in melting temperature. The energy loss of P(VDF-HFP) reduced significantly with the addition of PMMA. The blend film with 10% PMMA showed the best discharge efficiency with a value above 80% in 300 MV m−1. This increase in discharge efficiency is thought to result mainly from the formation of γ crystals.","container-title":"RSC Advances","DOI":"10.1039/C3RA47462C","ISSN":"2046-2069","issue":"32","journalAbbreviation":"RSC Adv.","language":"en","note":"publisher: The Royal Society of Chemistry","page":"16849-16854","source":"pubs.rsc.org","title":"New crystal structure and discharge efficiency of poly(vinylidene fluoride-hexafluoropropylene)/poly(methyl methacrylate) blend films","volume":"4","author":[{"family":"Peng","given":"Guirong"},{"family":"Zhao","given":"Xiaojia"},{"family":"Zhan","given":"Zaiji"},{"family":"Ci","given":"Shengzong"},{"family":"Wang","given":"Qian"},{"family":"Liang","given":"Yanjuan"},{"family":"Zhao","given":"Mingliang"}],"issued":{"date-parts":[["2014",4,2]]}}},{"id":113,"uris":["http://zotero.org/groups/4545406/items/NKKQIS7K"],"itemData":{"id":113,"type":"chapter","abstract":"The crystalline structure of poly(vinylidene fluoride-co-hexafluoropropylene) (PVDF-HFP) is strongly related with its breakdown characteristic and energy storage capability. A graphene oxide (GO) polymer composite, making use of the specific interaction between GO and PVDF-HFP that can induce the formation of β-phase when crystallizing from solution, was developed. The results indicate that the breakdown field strength of the composites with GO nanosheets can reach more than 350 MV/m with small variance. And the composites exhibit a moderate dielectric constant (&gt;13) which can obtain a maximum energy storage density of near 10 J/cm3 and discharged 5 J/cm3. Besides GO can alter the crystalline structure of PVDF-HFP from the non-polar phase to the polar phase. As a result, the composites with GO can achieve the similar results by mechanical stretching and avoid the necking effect in stretching.","container-title":"The Graphene Oxide Polymer Composites with High Breakdown Field Strength and Energy Storage Ability | SpringerLink","event-place":"Turkey","ISBN":"978-3-319-05520-6","language":"English","page":"431-438","publisher":"Springer, Cham","publisher-place":"Turkey","title":"The Graphene Oxide Polymer Composites with High Breakdown Field Strength and Energy Storage Ability","URL":"https://doi.org/10.1007/978-3-319-05521-3_55","volume":"1","author":[{"family":"Li","given":"Yang"},{"family":"Hu","given":"Jun"},{"family":"He","given":"Jinliang"},{"family":"Gao","given":"Lei"}],"issued":{"date-parts":[["2013",10,9]]}}},{"id":115,"uris":["http://zotero.org/groups/4545406/items/VUNNXQAP"],"itemData":{"id":115,"type":"article-journal","abstract":"Polymer based composites with high dielectric constant were successfully fabricated using BaTiO3 nanowires with high aspect ratio as inorganic filler and PVDF-HFP as polymer matrix. PVDF-HFP/BaTiO3 nanoparticles composites were also prepared as a contrast. The BaTiO3 nanowires were synthesized via one-step hydrothermal method. The BaTiO3 nanowires and its two types of composites were characterized by X-ray diffraction, Fourier transform infrared spectroscopy, scanning electron microscopy and transmission electron microscopy. For the composites, breakdown strength measurements, tensile tests and broadband dielectric spectroscopy analyses were also carried out. The results show that the two types of fillers are homogeneously dispersed in the matrix. The dielectric constant of composites filled by BaTiO3 nanowires is larger than that filled by BaTiO3 nanoparticles at the same content. Stronger interfacial polarization was found in PVDF-HFP/BaTiO3 nanowire composites. Two theoretical models were employed to predict the dielectric constants of composites, and the experimental data were consistent with the estimated trend. The enhanced dielectric properties of PVDF-HFP/BaTiO3 nanowire composites are attributed to the superior interfacial polarization and high aspect ratio of BaTiO3 nanowires.","container-title":"Journal of Materials Chemistry C","DOI":"10.1039/C4TC02183E","ISSN":"2050-7534","issue":"6","journalAbbreviation":"J. Mater. Chem. C","language":"en","note":"publisher: The Royal Society of Chemistry","page":"1250-1260","source":"pubs.rsc.org","title":"Enhanced dielectric properties of PVDF-HFP/BaTiO3-nanowire composites induced by interfacial polarization and wire-shape","volume":"3","author":[{"family":"Feng","given":"Y."},{"family":"Li","given":"W. L."},{"family":"Hou","given":"Y. F."},{"family":"Yu","given":"Y."},{"family":"Cao","given":"W. P."},{"family":"Zhang","given":"T. D."},{"family":"Fei","given":"W. D."}],"issued":{"date-parts":[["2015",1,29]]}}},{"id":118,"uris":["http://zotero.org/groups/4545406/items/7KLKN4TA"],"itemData":{"id":118,"type":"article-journal","abstract":"Poly vinylidene fluoride (PVDF) is a semi-crystalline polymer which shows polymorphism and is commonly crystallized in non-polar crystalline α-phase. It has found various applications during the last decades and the most important applications lies in its pyro- and piezoelectric properties. The β-phase content is of prime importance in these applications so that increasing β-phase content of the polymer has always been of great concern in this field. Calorimetric studies and FTIR spectra show the appearance of β-phase in compression molded films of two different grades of PVDF resin. β-phase formation is more evident in stretched films by a transformation mechanism of α to β-phase via the formation of a necking region during stretching. By using FTIR techniques, a maximum content of 74% for β-phase was calculated. This was achieved during stretching at 90 °C and for a stretch ratio between 4.5 and 5. FTIR spectra offer a precise method for detecting the variations of β-phase in polymer films.","container-title":"Polymer Testing","DOI":"10.1016/S0142-9418(03)00003-5","ISSN":"0142-9418","issue":"6","journalAbbreviation":"Polymer Testing","language":"en","page":"699-704","source":"ScienceDirect","title":"Analysis Method: FTIR studies of β-phase crystal formation in stretched PVDF films","title-short":"Analysis Method","volume":"22","author":[{"family":"Salimi","given":"A."},{"family":"Yousefi","given":"A. A."}],"issued":{"date-parts":[["2003",9,1]]}}}],"schema":"https://github.com/citation-style-language/schema/raw/master/csl-citation.json"} </w:instrText>
            </w:r>
            <w:r w:rsidRPr="00C6674F">
              <w:rPr>
                <w:rFonts w:ascii="Times New Roman" w:hAnsi="Times New Roman"/>
                <w:noProof w:val="0"/>
              </w:rPr>
              <w:fldChar w:fldCharType="separate"/>
            </w:r>
            <w:r w:rsidRPr="00C6674F">
              <w:rPr>
                <w:rFonts w:ascii="Times New Roman" w:hAnsi="Times New Roman"/>
                <w:noProof w:val="0"/>
                <w:szCs w:val="24"/>
                <w:vertAlign w:val="superscript"/>
              </w:rPr>
              <w:t>18–21</w:t>
            </w:r>
            <w:r w:rsidRPr="00C6674F">
              <w:rPr>
                <w:rFonts w:ascii="Times New Roman" w:hAnsi="Times New Roman"/>
                <w:noProof w:val="0"/>
              </w:rPr>
              <w:fldChar w:fldCharType="end"/>
            </w:r>
          </w:p>
        </w:tc>
      </w:tr>
      <w:tr w:rsidR="00562240" w:rsidRPr="00C6674F" w14:paraId="1C7D13AF" w14:textId="77777777" w:rsidTr="00E02BFC">
        <w:trPr>
          <w:jc w:val="center"/>
        </w:trPr>
        <w:tc>
          <w:tcPr>
            <w:tcW w:w="2250" w:type="dxa"/>
            <w:tcBorders>
              <w:top w:val="nil"/>
              <w:left w:val="nil"/>
              <w:bottom w:val="nil"/>
              <w:right w:val="nil"/>
            </w:tcBorders>
            <w:shd w:val="clear" w:color="auto" w:fill="auto"/>
            <w:tcMar>
              <w:top w:w="100" w:type="dxa"/>
              <w:left w:w="100" w:type="dxa"/>
              <w:bottom w:w="100" w:type="dxa"/>
              <w:right w:w="100" w:type="dxa"/>
            </w:tcMar>
            <w:vAlign w:val="center"/>
          </w:tcPr>
          <w:p w14:paraId="06A8E9A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1641</w:t>
            </w:r>
          </w:p>
        </w:tc>
        <w:tc>
          <w:tcPr>
            <w:tcW w:w="2925" w:type="dxa"/>
            <w:tcBorders>
              <w:top w:val="nil"/>
              <w:left w:val="nil"/>
              <w:bottom w:val="nil"/>
              <w:right w:val="nil"/>
            </w:tcBorders>
            <w:shd w:val="clear" w:color="auto" w:fill="auto"/>
            <w:tcMar>
              <w:top w:w="100" w:type="dxa"/>
              <w:left w:w="100" w:type="dxa"/>
              <w:bottom w:w="100" w:type="dxa"/>
              <w:right w:w="100" w:type="dxa"/>
            </w:tcMar>
            <w:vAlign w:val="center"/>
          </w:tcPr>
          <w:p w14:paraId="19198278"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CH=CF</w:t>
            </w:r>
          </w:p>
        </w:tc>
        <w:tc>
          <w:tcPr>
            <w:tcW w:w="2460" w:type="dxa"/>
            <w:vMerge/>
            <w:tcBorders>
              <w:top w:val="nil"/>
              <w:left w:val="nil"/>
              <w:bottom w:val="nil"/>
              <w:right w:val="nil"/>
            </w:tcBorders>
            <w:shd w:val="clear" w:color="auto" w:fill="auto"/>
            <w:tcMar>
              <w:top w:w="100" w:type="dxa"/>
              <w:left w:w="100" w:type="dxa"/>
              <w:bottom w:w="100" w:type="dxa"/>
              <w:right w:w="100" w:type="dxa"/>
            </w:tcMar>
            <w:vAlign w:val="center"/>
          </w:tcPr>
          <w:p w14:paraId="02AEE94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nil"/>
              <w:right w:val="nil"/>
            </w:tcBorders>
            <w:shd w:val="clear" w:color="auto" w:fill="auto"/>
            <w:tcMar>
              <w:top w:w="100" w:type="dxa"/>
              <w:left w:w="100" w:type="dxa"/>
              <w:bottom w:w="100" w:type="dxa"/>
              <w:right w:w="100" w:type="dxa"/>
            </w:tcMar>
            <w:vAlign w:val="center"/>
          </w:tcPr>
          <w:p w14:paraId="0B38C8D4"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3ADC9600" w14:textId="77777777" w:rsidTr="00E02BFC">
        <w:trPr>
          <w:jc w:val="center"/>
        </w:trPr>
        <w:tc>
          <w:tcPr>
            <w:tcW w:w="2250" w:type="dxa"/>
            <w:tcBorders>
              <w:top w:val="nil"/>
              <w:left w:val="nil"/>
              <w:bottom w:val="nil"/>
              <w:right w:val="nil"/>
            </w:tcBorders>
            <w:shd w:val="clear" w:color="auto" w:fill="auto"/>
            <w:tcMar>
              <w:top w:w="100" w:type="dxa"/>
              <w:left w:w="100" w:type="dxa"/>
              <w:bottom w:w="100" w:type="dxa"/>
              <w:right w:w="100" w:type="dxa"/>
            </w:tcMar>
            <w:vAlign w:val="center"/>
          </w:tcPr>
          <w:p w14:paraId="0568E08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2900-3000</w:t>
            </w:r>
          </w:p>
        </w:tc>
        <w:tc>
          <w:tcPr>
            <w:tcW w:w="2925" w:type="dxa"/>
            <w:tcBorders>
              <w:top w:val="nil"/>
              <w:left w:val="nil"/>
              <w:bottom w:val="nil"/>
              <w:right w:val="nil"/>
            </w:tcBorders>
            <w:shd w:val="clear" w:color="auto" w:fill="auto"/>
            <w:tcMar>
              <w:top w:w="100" w:type="dxa"/>
              <w:left w:w="100" w:type="dxa"/>
              <w:bottom w:w="100" w:type="dxa"/>
              <w:right w:w="100" w:type="dxa"/>
            </w:tcMar>
            <w:vAlign w:val="center"/>
          </w:tcPr>
          <w:p w14:paraId="237B76D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CH (sp</w:t>
            </w:r>
            <w:r w:rsidRPr="00C6674F">
              <w:rPr>
                <w:rFonts w:ascii="Times New Roman" w:hAnsi="Times New Roman"/>
                <w:noProof w:val="0"/>
                <w:vertAlign w:val="superscript"/>
              </w:rPr>
              <w:t>2</w:t>
            </w:r>
            <w:r w:rsidRPr="00C6674F">
              <w:rPr>
                <w:rFonts w:ascii="Times New Roman" w:hAnsi="Times New Roman"/>
                <w:noProof w:val="0"/>
              </w:rPr>
              <w:t>-sp</w:t>
            </w:r>
            <w:r w:rsidRPr="00C6674F">
              <w:rPr>
                <w:rFonts w:ascii="Times New Roman" w:hAnsi="Times New Roman"/>
                <w:noProof w:val="0"/>
                <w:vertAlign w:val="superscript"/>
              </w:rPr>
              <w:t>3</w:t>
            </w:r>
            <w:r w:rsidRPr="00C6674F">
              <w:rPr>
                <w:rFonts w:ascii="Times New Roman" w:hAnsi="Times New Roman"/>
                <w:noProof w:val="0"/>
              </w:rPr>
              <w:t>)</w:t>
            </w:r>
          </w:p>
        </w:tc>
        <w:tc>
          <w:tcPr>
            <w:tcW w:w="2460" w:type="dxa"/>
            <w:vMerge/>
            <w:tcBorders>
              <w:top w:val="nil"/>
              <w:left w:val="nil"/>
              <w:bottom w:val="nil"/>
              <w:right w:val="nil"/>
            </w:tcBorders>
            <w:shd w:val="clear" w:color="auto" w:fill="auto"/>
            <w:tcMar>
              <w:top w:w="100" w:type="dxa"/>
              <w:left w:w="100" w:type="dxa"/>
              <w:bottom w:w="100" w:type="dxa"/>
              <w:right w:w="100" w:type="dxa"/>
            </w:tcMar>
            <w:vAlign w:val="center"/>
          </w:tcPr>
          <w:p w14:paraId="528A469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nil"/>
              <w:right w:val="nil"/>
            </w:tcBorders>
            <w:shd w:val="clear" w:color="auto" w:fill="auto"/>
            <w:tcMar>
              <w:top w:w="100" w:type="dxa"/>
              <w:left w:w="100" w:type="dxa"/>
              <w:bottom w:w="100" w:type="dxa"/>
              <w:right w:w="100" w:type="dxa"/>
            </w:tcMar>
            <w:vAlign w:val="center"/>
          </w:tcPr>
          <w:p w14:paraId="1DC21CE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0A43FC22" w14:textId="77777777" w:rsidTr="00E02BFC">
        <w:trPr>
          <w:jc w:val="center"/>
        </w:trPr>
        <w:tc>
          <w:tcPr>
            <w:tcW w:w="2250" w:type="dxa"/>
            <w:tcBorders>
              <w:top w:val="nil"/>
              <w:left w:val="nil"/>
              <w:bottom w:val="nil"/>
              <w:right w:val="nil"/>
            </w:tcBorders>
            <w:shd w:val="clear" w:color="auto" w:fill="auto"/>
            <w:tcMar>
              <w:top w:w="100" w:type="dxa"/>
              <w:left w:w="100" w:type="dxa"/>
              <w:bottom w:w="100" w:type="dxa"/>
              <w:right w:w="100" w:type="dxa"/>
            </w:tcMar>
            <w:vAlign w:val="center"/>
          </w:tcPr>
          <w:p w14:paraId="3B73590A"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1289</w:t>
            </w:r>
          </w:p>
        </w:tc>
        <w:tc>
          <w:tcPr>
            <w:tcW w:w="2925" w:type="dxa"/>
            <w:tcBorders>
              <w:top w:val="nil"/>
              <w:left w:val="nil"/>
              <w:bottom w:val="nil"/>
              <w:right w:val="nil"/>
            </w:tcBorders>
            <w:shd w:val="clear" w:color="auto" w:fill="auto"/>
            <w:tcMar>
              <w:top w:w="100" w:type="dxa"/>
              <w:left w:w="100" w:type="dxa"/>
              <w:bottom w:w="100" w:type="dxa"/>
              <w:right w:w="100" w:type="dxa"/>
            </w:tcMar>
            <w:vAlign w:val="center"/>
          </w:tcPr>
          <w:p w14:paraId="532BA2B5"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CF</w:t>
            </w:r>
          </w:p>
        </w:tc>
        <w:tc>
          <w:tcPr>
            <w:tcW w:w="2460" w:type="dxa"/>
            <w:vMerge/>
            <w:tcBorders>
              <w:top w:val="nil"/>
              <w:left w:val="nil"/>
              <w:bottom w:val="nil"/>
              <w:right w:val="nil"/>
            </w:tcBorders>
            <w:shd w:val="clear" w:color="auto" w:fill="auto"/>
            <w:tcMar>
              <w:top w:w="100" w:type="dxa"/>
              <w:left w:w="100" w:type="dxa"/>
              <w:bottom w:w="100" w:type="dxa"/>
              <w:right w:w="100" w:type="dxa"/>
            </w:tcMar>
            <w:vAlign w:val="center"/>
          </w:tcPr>
          <w:p w14:paraId="4C0DDDE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nil"/>
              <w:right w:val="nil"/>
            </w:tcBorders>
            <w:shd w:val="clear" w:color="auto" w:fill="auto"/>
            <w:tcMar>
              <w:top w:w="100" w:type="dxa"/>
              <w:left w:w="100" w:type="dxa"/>
              <w:bottom w:w="100" w:type="dxa"/>
              <w:right w:w="100" w:type="dxa"/>
            </w:tcMar>
            <w:vAlign w:val="center"/>
          </w:tcPr>
          <w:p w14:paraId="4B07EE0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64181227" w14:textId="77777777" w:rsidTr="00E02BFC">
        <w:trPr>
          <w:jc w:val="center"/>
        </w:trPr>
        <w:tc>
          <w:tcPr>
            <w:tcW w:w="2250" w:type="dxa"/>
            <w:tcBorders>
              <w:top w:val="nil"/>
              <w:left w:val="nil"/>
              <w:bottom w:val="nil"/>
              <w:right w:val="nil"/>
            </w:tcBorders>
            <w:shd w:val="clear" w:color="auto" w:fill="auto"/>
            <w:tcMar>
              <w:top w:w="100" w:type="dxa"/>
              <w:left w:w="100" w:type="dxa"/>
              <w:bottom w:w="100" w:type="dxa"/>
              <w:right w:w="100" w:type="dxa"/>
            </w:tcMar>
            <w:vAlign w:val="center"/>
          </w:tcPr>
          <w:p w14:paraId="6D2C598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612, 1207</w:t>
            </w:r>
          </w:p>
        </w:tc>
        <w:tc>
          <w:tcPr>
            <w:tcW w:w="2925" w:type="dxa"/>
            <w:tcBorders>
              <w:top w:val="nil"/>
              <w:left w:val="nil"/>
              <w:bottom w:val="nil"/>
              <w:right w:val="nil"/>
            </w:tcBorders>
            <w:shd w:val="clear" w:color="auto" w:fill="auto"/>
            <w:tcMar>
              <w:top w:w="100" w:type="dxa"/>
              <w:left w:w="100" w:type="dxa"/>
              <w:bottom w:w="100" w:type="dxa"/>
              <w:right w:w="100" w:type="dxa"/>
            </w:tcMar>
            <w:vAlign w:val="center"/>
          </w:tcPr>
          <w:p w14:paraId="59744EB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α-phase</w:t>
            </w:r>
          </w:p>
        </w:tc>
        <w:tc>
          <w:tcPr>
            <w:tcW w:w="2460" w:type="dxa"/>
            <w:vMerge/>
            <w:tcBorders>
              <w:top w:val="nil"/>
              <w:left w:val="nil"/>
              <w:bottom w:val="nil"/>
              <w:right w:val="nil"/>
            </w:tcBorders>
            <w:shd w:val="clear" w:color="auto" w:fill="auto"/>
            <w:tcMar>
              <w:top w:w="100" w:type="dxa"/>
              <w:left w:w="100" w:type="dxa"/>
              <w:bottom w:w="100" w:type="dxa"/>
              <w:right w:w="100" w:type="dxa"/>
            </w:tcMar>
            <w:vAlign w:val="center"/>
          </w:tcPr>
          <w:p w14:paraId="5DFC89E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nil"/>
              <w:right w:val="nil"/>
            </w:tcBorders>
            <w:shd w:val="clear" w:color="auto" w:fill="auto"/>
            <w:tcMar>
              <w:top w:w="100" w:type="dxa"/>
              <w:left w:w="100" w:type="dxa"/>
              <w:bottom w:w="100" w:type="dxa"/>
              <w:right w:w="100" w:type="dxa"/>
            </w:tcMar>
            <w:vAlign w:val="center"/>
          </w:tcPr>
          <w:p w14:paraId="3C42A74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2DD63A0E" w14:textId="77777777" w:rsidTr="00E02BFC">
        <w:trPr>
          <w:jc w:val="center"/>
        </w:trPr>
        <w:tc>
          <w:tcPr>
            <w:tcW w:w="2250" w:type="dxa"/>
            <w:tcBorders>
              <w:top w:val="nil"/>
              <w:left w:val="nil"/>
              <w:bottom w:val="nil"/>
              <w:right w:val="nil"/>
            </w:tcBorders>
            <w:shd w:val="clear" w:color="auto" w:fill="auto"/>
            <w:tcMar>
              <w:top w:w="100" w:type="dxa"/>
              <w:left w:w="100" w:type="dxa"/>
              <w:bottom w:w="100" w:type="dxa"/>
              <w:right w:w="100" w:type="dxa"/>
            </w:tcMar>
            <w:vAlign w:val="center"/>
          </w:tcPr>
          <w:p w14:paraId="0A7D475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875, 853, 1275</w:t>
            </w:r>
          </w:p>
        </w:tc>
        <w:tc>
          <w:tcPr>
            <w:tcW w:w="2925" w:type="dxa"/>
            <w:tcBorders>
              <w:top w:val="nil"/>
              <w:left w:val="nil"/>
              <w:bottom w:val="nil"/>
              <w:right w:val="nil"/>
            </w:tcBorders>
            <w:shd w:val="clear" w:color="auto" w:fill="auto"/>
            <w:tcMar>
              <w:top w:w="100" w:type="dxa"/>
              <w:left w:w="100" w:type="dxa"/>
              <w:bottom w:w="100" w:type="dxa"/>
              <w:right w:w="100" w:type="dxa"/>
            </w:tcMar>
            <w:vAlign w:val="center"/>
          </w:tcPr>
          <w:p w14:paraId="0325F6E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β-phase</w:t>
            </w:r>
          </w:p>
        </w:tc>
        <w:tc>
          <w:tcPr>
            <w:tcW w:w="2460" w:type="dxa"/>
            <w:vMerge/>
            <w:tcBorders>
              <w:top w:val="nil"/>
              <w:left w:val="nil"/>
              <w:bottom w:val="nil"/>
              <w:right w:val="nil"/>
            </w:tcBorders>
            <w:shd w:val="clear" w:color="auto" w:fill="auto"/>
            <w:tcMar>
              <w:top w:w="100" w:type="dxa"/>
              <w:left w:w="100" w:type="dxa"/>
              <w:bottom w:w="100" w:type="dxa"/>
              <w:right w:w="100" w:type="dxa"/>
            </w:tcMar>
            <w:vAlign w:val="center"/>
          </w:tcPr>
          <w:p w14:paraId="627C99E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nil"/>
              <w:right w:val="nil"/>
            </w:tcBorders>
            <w:shd w:val="clear" w:color="auto" w:fill="auto"/>
            <w:tcMar>
              <w:top w:w="100" w:type="dxa"/>
              <w:left w:w="100" w:type="dxa"/>
              <w:bottom w:w="100" w:type="dxa"/>
              <w:right w:w="100" w:type="dxa"/>
            </w:tcMar>
            <w:vAlign w:val="center"/>
          </w:tcPr>
          <w:p w14:paraId="612A4642"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5252BD00" w14:textId="77777777" w:rsidTr="00E02BFC">
        <w:trPr>
          <w:jc w:val="center"/>
        </w:trPr>
        <w:tc>
          <w:tcPr>
            <w:tcW w:w="2250" w:type="dxa"/>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0E7DEA0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836</w:t>
            </w:r>
          </w:p>
        </w:tc>
        <w:tc>
          <w:tcPr>
            <w:tcW w:w="2925" w:type="dxa"/>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0F87D83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β-phase </w:t>
            </w:r>
          </w:p>
          <w:p w14:paraId="697DE535"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(Polymer:IL films)</w:t>
            </w:r>
          </w:p>
        </w:tc>
        <w:tc>
          <w:tcPr>
            <w:tcW w:w="2460" w:type="dxa"/>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1DCF037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29C3A9B8"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4BB675D7" w14:textId="77777777" w:rsidTr="00E02BFC">
        <w:trPr>
          <w:jc w:val="center"/>
        </w:trPr>
        <w:tc>
          <w:tcPr>
            <w:tcW w:w="2250" w:type="dxa"/>
            <w:tcBorders>
              <w:top w:val="single" w:sz="8" w:space="0" w:color="auto"/>
              <w:left w:val="nil"/>
              <w:bottom w:val="nil"/>
              <w:right w:val="nil"/>
            </w:tcBorders>
            <w:shd w:val="clear" w:color="auto" w:fill="auto"/>
            <w:tcMar>
              <w:top w:w="100" w:type="dxa"/>
              <w:left w:w="100" w:type="dxa"/>
              <w:bottom w:w="100" w:type="dxa"/>
              <w:right w:w="100" w:type="dxa"/>
            </w:tcMar>
            <w:vAlign w:val="center"/>
          </w:tcPr>
          <w:p w14:paraId="4B299BF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927</w:t>
            </w:r>
          </w:p>
        </w:tc>
        <w:tc>
          <w:tcPr>
            <w:tcW w:w="2925" w:type="dxa"/>
            <w:tcBorders>
              <w:top w:val="single" w:sz="8" w:space="0" w:color="auto"/>
              <w:left w:val="nil"/>
              <w:bottom w:val="nil"/>
              <w:right w:val="nil"/>
            </w:tcBorders>
            <w:shd w:val="clear" w:color="auto" w:fill="auto"/>
            <w:tcMar>
              <w:top w:w="100" w:type="dxa"/>
              <w:left w:w="100" w:type="dxa"/>
              <w:bottom w:w="100" w:type="dxa"/>
              <w:right w:w="100" w:type="dxa"/>
            </w:tcMar>
            <w:vAlign w:val="center"/>
          </w:tcPr>
          <w:p w14:paraId="16503875"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P-O-P</w:t>
            </w:r>
          </w:p>
        </w:tc>
        <w:tc>
          <w:tcPr>
            <w:tcW w:w="2460" w:type="dxa"/>
            <w:vMerge w:val="restart"/>
            <w:tcBorders>
              <w:top w:val="single" w:sz="8" w:space="0" w:color="auto"/>
              <w:left w:val="nil"/>
              <w:bottom w:val="nil"/>
              <w:right w:val="nil"/>
            </w:tcBorders>
            <w:shd w:val="clear" w:color="auto" w:fill="auto"/>
            <w:tcMar>
              <w:top w:w="100" w:type="dxa"/>
              <w:left w:w="100" w:type="dxa"/>
              <w:bottom w:w="100" w:type="dxa"/>
              <w:right w:w="100" w:type="dxa"/>
            </w:tcMar>
            <w:vAlign w:val="center"/>
          </w:tcPr>
          <w:p w14:paraId="1E92940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TEP</w:t>
            </w:r>
          </w:p>
        </w:tc>
        <w:tc>
          <w:tcPr>
            <w:tcW w:w="1725" w:type="dxa"/>
            <w:vMerge w:val="restart"/>
            <w:tcBorders>
              <w:top w:val="single" w:sz="8" w:space="0" w:color="auto"/>
              <w:left w:val="nil"/>
              <w:bottom w:val="nil"/>
              <w:right w:val="nil"/>
            </w:tcBorders>
            <w:shd w:val="clear" w:color="auto" w:fill="auto"/>
            <w:tcMar>
              <w:top w:w="100" w:type="dxa"/>
              <w:left w:w="100" w:type="dxa"/>
              <w:bottom w:w="100" w:type="dxa"/>
              <w:right w:w="100" w:type="dxa"/>
            </w:tcMar>
            <w:vAlign w:val="center"/>
          </w:tcPr>
          <w:p w14:paraId="7846B5B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fldChar w:fldCharType="begin"/>
            </w:r>
            <w:r w:rsidRPr="00C6674F">
              <w:rPr>
                <w:rFonts w:ascii="Times New Roman" w:hAnsi="Times New Roman"/>
                <w:noProof w:val="0"/>
              </w:rPr>
              <w:instrText xml:space="preserve"> ADDIN ZOTERO_ITEM CSL_CITATION {"citationID":"0hU4RNQW","properties":{"formattedCitation":"\\super 22\\nosupersub{}","plainCitation":"22","noteIndex":0},"citationItems":[{"id":119,"uris":["http://zotero.org/groups/4545406/items/NLB9F42J"],"itemData":{"id":119,"type":"article-journal","abstract":"Phosphoric triamide (PTA) and glycidyl polyhedral oligomeric silsesquioxane (POSS) were simultaneously incorporated into the cured network of a bisphenol F epoxy resin and 4,4′-diaminodiphenyl methane (DDM) to improve the thermal stability and flame retardancy. PTA was synthesized by triethyl phosphate and DDM, and its chemical structure was confirmed by 1H nuclear magnetic resonance (NMR) and Fourier transform infrared (FTIR). The differential scanning calorimetric (DSC) results showed that the introduction of PTA and POSS slightly increased the glass transition temperature of the epoxy resin. The thermogravimetric analysis results indicated that compared with the pure, phosphoric, and silicic epoxy resins, the modified epoxy resin possessed the lowest weight loss rate and highest char residue. Its limiting oxygen index value was as high as 30.5, and the UL-94 grade reached V-1. A decomposition test was carried out to obtain sufficient char residue and investigate the condensed mechanism. The scanning electron microscopic images demonstrated that the char residue of the modified epoxy resin had a compact structure. The energy dispersive X-ray and FTIR analyses verified the synergistic effect of the phosphorus and silicon in the PTA and POSS, respectively, on the epoxy resin.","container-title":"High Performance Polymers","DOI":"10.1177/0954008319843979","ISSN":"0954-0083","issue":"9-10","journalAbbreviation":"High Performance Polymers","language":"en","note":"publisher: SAGE Publications Ltd STM","page":"1217-1225","source":"SAGE Journals","title":"Thermal stability and flame retardancy of an epoxy resin modified with phosphoric triamide and glycidyl POSS","volume":"31","author":[{"family":"Li","given":"Jialiang"},{"family":"Wang","given":"Hongyu"},{"family":"Li","given":"Shichao"}],"issued":{"date-parts":[["2019",11,1]]}}}],"schema":"https://github.com/citation-style-language/schema/raw/master/csl-citation.json"} </w:instrText>
            </w:r>
            <w:r w:rsidRPr="00C6674F">
              <w:rPr>
                <w:rFonts w:ascii="Times New Roman" w:hAnsi="Times New Roman"/>
                <w:noProof w:val="0"/>
              </w:rPr>
              <w:fldChar w:fldCharType="separate"/>
            </w:r>
            <w:r w:rsidRPr="00C6674F">
              <w:rPr>
                <w:rFonts w:ascii="Times New Roman" w:hAnsi="Times New Roman"/>
                <w:noProof w:val="0"/>
                <w:szCs w:val="24"/>
                <w:vertAlign w:val="superscript"/>
              </w:rPr>
              <w:t>22</w:t>
            </w:r>
            <w:r w:rsidRPr="00C6674F">
              <w:rPr>
                <w:rFonts w:ascii="Times New Roman" w:hAnsi="Times New Roman"/>
                <w:noProof w:val="0"/>
              </w:rPr>
              <w:fldChar w:fldCharType="end"/>
            </w:r>
          </w:p>
        </w:tc>
      </w:tr>
      <w:tr w:rsidR="00562240" w:rsidRPr="00C6674F" w14:paraId="207221A9" w14:textId="77777777" w:rsidTr="00E02BFC">
        <w:trPr>
          <w:jc w:val="center"/>
        </w:trPr>
        <w:tc>
          <w:tcPr>
            <w:tcW w:w="2250" w:type="dxa"/>
            <w:tcBorders>
              <w:top w:val="nil"/>
              <w:left w:val="nil"/>
              <w:bottom w:val="nil"/>
              <w:right w:val="nil"/>
            </w:tcBorders>
            <w:shd w:val="clear" w:color="auto" w:fill="auto"/>
            <w:tcMar>
              <w:top w:w="100" w:type="dxa"/>
              <w:left w:w="100" w:type="dxa"/>
              <w:bottom w:w="100" w:type="dxa"/>
              <w:right w:w="100" w:type="dxa"/>
            </w:tcMar>
            <w:vAlign w:val="center"/>
          </w:tcPr>
          <w:p w14:paraId="31D387D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1061</w:t>
            </w:r>
          </w:p>
        </w:tc>
        <w:tc>
          <w:tcPr>
            <w:tcW w:w="2925" w:type="dxa"/>
            <w:tcBorders>
              <w:top w:val="nil"/>
              <w:left w:val="nil"/>
              <w:bottom w:val="nil"/>
              <w:right w:val="nil"/>
            </w:tcBorders>
            <w:shd w:val="clear" w:color="auto" w:fill="auto"/>
            <w:tcMar>
              <w:top w:w="100" w:type="dxa"/>
              <w:left w:w="100" w:type="dxa"/>
              <w:bottom w:w="100" w:type="dxa"/>
              <w:right w:w="100" w:type="dxa"/>
            </w:tcMar>
            <w:vAlign w:val="center"/>
          </w:tcPr>
          <w:p w14:paraId="1B0FB2B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P-O</w:t>
            </w:r>
          </w:p>
        </w:tc>
        <w:tc>
          <w:tcPr>
            <w:tcW w:w="2460" w:type="dxa"/>
            <w:vMerge/>
            <w:tcBorders>
              <w:top w:val="nil"/>
              <w:left w:val="nil"/>
              <w:bottom w:val="nil"/>
              <w:right w:val="nil"/>
            </w:tcBorders>
            <w:shd w:val="clear" w:color="auto" w:fill="auto"/>
            <w:tcMar>
              <w:top w:w="100" w:type="dxa"/>
              <w:left w:w="100" w:type="dxa"/>
              <w:bottom w:w="100" w:type="dxa"/>
              <w:right w:w="100" w:type="dxa"/>
            </w:tcMar>
            <w:vAlign w:val="center"/>
          </w:tcPr>
          <w:p w14:paraId="44485F1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nil"/>
              <w:right w:val="nil"/>
            </w:tcBorders>
            <w:shd w:val="clear" w:color="auto" w:fill="auto"/>
            <w:tcMar>
              <w:top w:w="100" w:type="dxa"/>
              <w:left w:w="100" w:type="dxa"/>
              <w:bottom w:w="100" w:type="dxa"/>
              <w:right w:w="100" w:type="dxa"/>
            </w:tcMar>
            <w:vAlign w:val="center"/>
          </w:tcPr>
          <w:p w14:paraId="2773CC52"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r w:rsidR="00562240" w:rsidRPr="00C6674F" w14:paraId="4E808E7B" w14:textId="77777777" w:rsidTr="00E02BFC">
        <w:trPr>
          <w:jc w:val="center"/>
        </w:trPr>
        <w:tc>
          <w:tcPr>
            <w:tcW w:w="2250" w:type="dxa"/>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558208E4"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1209</w:t>
            </w:r>
          </w:p>
        </w:tc>
        <w:tc>
          <w:tcPr>
            <w:tcW w:w="2925" w:type="dxa"/>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789BEB04"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P=O</w:t>
            </w:r>
          </w:p>
        </w:tc>
        <w:tc>
          <w:tcPr>
            <w:tcW w:w="2460"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1093F0A4"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c>
          <w:tcPr>
            <w:tcW w:w="1725" w:type="dxa"/>
            <w:vMerge/>
            <w:tcBorders>
              <w:top w:val="nil"/>
              <w:left w:val="nil"/>
              <w:bottom w:val="single" w:sz="8" w:space="0" w:color="auto"/>
              <w:right w:val="nil"/>
            </w:tcBorders>
            <w:shd w:val="clear" w:color="auto" w:fill="auto"/>
            <w:tcMar>
              <w:top w:w="100" w:type="dxa"/>
              <w:left w:w="100" w:type="dxa"/>
              <w:bottom w:w="100" w:type="dxa"/>
              <w:right w:w="100" w:type="dxa"/>
            </w:tcMar>
            <w:vAlign w:val="center"/>
          </w:tcPr>
          <w:p w14:paraId="1683848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p>
        </w:tc>
      </w:tr>
    </w:tbl>
    <w:p w14:paraId="4866918C" w14:textId="0D30BEFB" w:rsidR="00562240" w:rsidRPr="00C6674F" w:rsidRDefault="00A25069" w:rsidP="00D67DBB">
      <w:pPr>
        <w:pStyle w:val="MDPI41tablecaption"/>
      </w:pPr>
      <w:r w:rsidRPr="00C6674F">
        <w:rPr>
          <w:b/>
          <w:bCs/>
        </w:rPr>
        <w:t xml:space="preserve">Table S7. </w:t>
      </w:r>
      <w:r w:rsidR="00562240" w:rsidRPr="00C6674F">
        <w:t>Defined peak locations for the peak convolution.</w:t>
      </w:r>
    </w:p>
    <w:tbl>
      <w:tblPr>
        <w:tblStyle w:val="TableGrid"/>
        <w:tblW w:w="7857" w:type="dxa"/>
        <w:tblInd w:w="2608" w:type="dxa"/>
        <w:tblLayout w:type="fixed"/>
        <w:tblCellMar>
          <w:left w:w="0" w:type="dxa"/>
          <w:right w:w="0" w:type="dxa"/>
        </w:tblCellMar>
        <w:tblLook w:val="04A0" w:firstRow="1" w:lastRow="0" w:firstColumn="1" w:lastColumn="0" w:noHBand="0" w:noVBand="1"/>
      </w:tblPr>
      <w:tblGrid>
        <w:gridCol w:w="1360"/>
        <w:gridCol w:w="3929"/>
        <w:gridCol w:w="2568"/>
      </w:tblGrid>
      <w:tr w:rsidR="00E02BFC" w:rsidRPr="00C6674F" w14:paraId="24FBFEB0" w14:textId="77777777" w:rsidTr="00E02BFC">
        <w:tc>
          <w:tcPr>
            <w:tcW w:w="1276" w:type="dxa"/>
            <w:tcBorders>
              <w:top w:val="single" w:sz="8" w:space="0" w:color="auto"/>
              <w:left w:val="nil"/>
              <w:bottom w:val="single" w:sz="4" w:space="0" w:color="auto"/>
              <w:right w:val="nil"/>
            </w:tcBorders>
            <w:shd w:val="clear" w:color="auto" w:fill="auto"/>
            <w:vAlign w:val="center"/>
          </w:tcPr>
          <w:p w14:paraId="21EA8021"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Peak number</w:t>
            </w:r>
          </w:p>
        </w:tc>
        <w:tc>
          <w:tcPr>
            <w:tcW w:w="3686" w:type="dxa"/>
            <w:tcBorders>
              <w:top w:val="single" w:sz="8" w:space="0" w:color="auto"/>
              <w:left w:val="nil"/>
              <w:bottom w:val="single" w:sz="4" w:space="0" w:color="auto"/>
              <w:right w:val="nil"/>
            </w:tcBorders>
            <w:shd w:val="clear" w:color="auto" w:fill="auto"/>
            <w:vAlign w:val="center"/>
          </w:tcPr>
          <w:p w14:paraId="3C42246A" w14:textId="22FF9104"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Wavenumber (cm</w:t>
            </w:r>
            <w:r w:rsidR="00D67DBB" w:rsidRPr="00C6674F">
              <w:rPr>
                <w:b/>
                <w:noProof w:val="0"/>
                <w:vertAlign w:val="superscript"/>
              </w:rPr>
              <w:t>−1</w:t>
            </w:r>
            <w:r w:rsidRPr="00C6674F">
              <w:rPr>
                <w:rFonts w:ascii="Times New Roman" w:hAnsi="Times New Roman"/>
                <w:b/>
                <w:noProof w:val="0"/>
              </w:rPr>
              <w:t xml:space="preserve">) </w:t>
            </w:r>
          </w:p>
          <w:p w14:paraId="507BD9B6"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[used for PVDF-HFP:IL (GNP)]</w:t>
            </w:r>
          </w:p>
        </w:tc>
        <w:tc>
          <w:tcPr>
            <w:tcW w:w="2409" w:type="dxa"/>
            <w:tcBorders>
              <w:top w:val="single" w:sz="8" w:space="0" w:color="auto"/>
              <w:left w:val="nil"/>
              <w:bottom w:val="single" w:sz="4" w:space="0" w:color="auto"/>
              <w:right w:val="nil"/>
            </w:tcBorders>
            <w:shd w:val="clear" w:color="auto" w:fill="auto"/>
            <w:vAlign w:val="center"/>
          </w:tcPr>
          <w:p w14:paraId="3A5C07D7" w14:textId="4B13C7FC"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Wavenumber (cm</w:t>
            </w:r>
            <w:r w:rsidR="00D67DBB" w:rsidRPr="00C6674F">
              <w:rPr>
                <w:b/>
                <w:noProof w:val="0"/>
                <w:vertAlign w:val="superscript"/>
              </w:rPr>
              <w:t>−1</w:t>
            </w:r>
            <w:r w:rsidRPr="00C6674F">
              <w:rPr>
                <w:rFonts w:ascii="Times New Roman" w:hAnsi="Times New Roman"/>
                <w:b/>
                <w:noProof w:val="0"/>
              </w:rPr>
              <w:t xml:space="preserve">) </w:t>
            </w:r>
          </w:p>
          <w:p w14:paraId="77A58C15"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[used for PVDF-HFP]</w:t>
            </w:r>
          </w:p>
        </w:tc>
      </w:tr>
      <w:tr w:rsidR="00E02BFC" w:rsidRPr="00C6674F" w14:paraId="40D77B4C" w14:textId="77777777" w:rsidTr="00E02BFC">
        <w:tc>
          <w:tcPr>
            <w:tcW w:w="1276" w:type="dxa"/>
            <w:tcBorders>
              <w:top w:val="single" w:sz="4" w:space="0" w:color="auto"/>
              <w:left w:val="nil"/>
              <w:bottom w:val="nil"/>
              <w:right w:val="nil"/>
            </w:tcBorders>
            <w:shd w:val="clear" w:color="auto" w:fill="auto"/>
            <w:vAlign w:val="center"/>
          </w:tcPr>
          <w:p w14:paraId="72665F8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w:t>
            </w:r>
          </w:p>
        </w:tc>
        <w:tc>
          <w:tcPr>
            <w:tcW w:w="3686" w:type="dxa"/>
            <w:tcBorders>
              <w:top w:val="single" w:sz="4" w:space="0" w:color="auto"/>
              <w:left w:val="nil"/>
              <w:bottom w:val="nil"/>
              <w:right w:val="nil"/>
            </w:tcBorders>
            <w:shd w:val="clear" w:color="auto" w:fill="auto"/>
            <w:vAlign w:val="center"/>
          </w:tcPr>
          <w:p w14:paraId="5C6CBE93"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702</w:t>
            </w:r>
          </w:p>
        </w:tc>
        <w:tc>
          <w:tcPr>
            <w:tcW w:w="2409" w:type="dxa"/>
            <w:tcBorders>
              <w:top w:val="single" w:sz="4" w:space="0" w:color="auto"/>
              <w:left w:val="nil"/>
              <w:bottom w:val="nil"/>
              <w:right w:val="nil"/>
            </w:tcBorders>
            <w:shd w:val="clear" w:color="auto" w:fill="auto"/>
            <w:vAlign w:val="center"/>
          </w:tcPr>
          <w:p w14:paraId="52D7EE22"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726</w:t>
            </w:r>
          </w:p>
        </w:tc>
      </w:tr>
      <w:tr w:rsidR="00562240" w:rsidRPr="00C6674F" w14:paraId="0BF29CCD" w14:textId="77777777" w:rsidTr="00E02BFC">
        <w:tc>
          <w:tcPr>
            <w:tcW w:w="1276" w:type="dxa"/>
            <w:tcBorders>
              <w:top w:val="nil"/>
              <w:left w:val="nil"/>
              <w:bottom w:val="nil"/>
              <w:right w:val="nil"/>
            </w:tcBorders>
            <w:shd w:val="clear" w:color="auto" w:fill="auto"/>
            <w:vAlign w:val="center"/>
          </w:tcPr>
          <w:p w14:paraId="25A1F07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w:t>
            </w:r>
          </w:p>
        </w:tc>
        <w:tc>
          <w:tcPr>
            <w:tcW w:w="3686" w:type="dxa"/>
            <w:tcBorders>
              <w:top w:val="nil"/>
              <w:left w:val="nil"/>
              <w:bottom w:val="nil"/>
              <w:right w:val="nil"/>
            </w:tcBorders>
            <w:shd w:val="clear" w:color="auto" w:fill="auto"/>
            <w:vAlign w:val="center"/>
          </w:tcPr>
          <w:p w14:paraId="50940277"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725</w:t>
            </w:r>
          </w:p>
        </w:tc>
        <w:tc>
          <w:tcPr>
            <w:tcW w:w="2409" w:type="dxa"/>
            <w:tcBorders>
              <w:top w:val="nil"/>
              <w:left w:val="nil"/>
              <w:bottom w:val="nil"/>
              <w:right w:val="nil"/>
            </w:tcBorders>
            <w:shd w:val="clear" w:color="auto" w:fill="auto"/>
            <w:vAlign w:val="center"/>
          </w:tcPr>
          <w:p w14:paraId="592F7043"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738</w:t>
            </w:r>
          </w:p>
        </w:tc>
      </w:tr>
      <w:tr w:rsidR="00562240" w:rsidRPr="00C6674F" w14:paraId="61FE89AF" w14:textId="77777777" w:rsidTr="00E02BFC">
        <w:tc>
          <w:tcPr>
            <w:tcW w:w="1276" w:type="dxa"/>
            <w:tcBorders>
              <w:top w:val="nil"/>
              <w:left w:val="nil"/>
              <w:bottom w:val="nil"/>
              <w:right w:val="nil"/>
            </w:tcBorders>
            <w:shd w:val="clear" w:color="auto" w:fill="auto"/>
            <w:vAlign w:val="center"/>
          </w:tcPr>
          <w:p w14:paraId="75760B82"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3</w:t>
            </w:r>
          </w:p>
        </w:tc>
        <w:tc>
          <w:tcPr>
            <w:tcW w:w="3686" w:type="dxa"/>
            <w:tcBorders>
              <w:top w:val="nil"/>
              <w:left w:val="nil"/>
              <w:bottom w:val="nil"/>
              <w:right w:val="nil"/>
            </w:tcBorders>
            <w:shd w:val="clear" w:color="auto" w:fill="auto"/>
            <w:vAlign w:val="center"/>
          </w:tcPr>
          <w:p w14:paraId="4CA46C6B"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740</w:t>
            </w:r>
          </w:p>
        </w:tc>
        <w:tc>
          <w:tcPr>
            <w:tcW w:w="2409" w:type="dxa"/>
            <w:tcBorders>
              <w:top w:val="nil"/>
              <w:left w:val="nil"/>
              <w:bottom w:val="nil"/>
              <w:right w:val="nil"/>
            </w:tcBorders>
            <w:shd w:val="clear" w:color="auto" w:fill="auto"/>
            <w:vAlign w:val="center"/>
          </w:tcPr>
          <w:p w14:paraId="5AE017D1"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761</w:t>
            </w:r>
          </w:p>
        </w:tc>
      </w:tr>
      <w:tr w:rsidR="00562240" w:rsidRPr="00C6674F" w14:paraId="265A001B" w14:textId="77777777" w:rsidTr="00E02BFC">
        <w:tc>
          <w:tcPr>
            <w:tcW w:w="1276" w:type="dxa"/>
            <w:tcBorders>
              <w:top w:val="nil"/>
              <w:left w:val="nil"/>
              <w:bottom w:val="nil"/>
              <w:right w:val="nil"/>
            </w:tcBorders>
            <w:shd w:val="clear" w:color="auto" w:fill="auto"/>
            <w:vAlign w:val="center"/>
          </w:tcPr>
          <w:p w14:paraId="7CF4F9D4"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4</w:t>
            </w:r>
          </w:p>
        </w:tc>
        <w:tc>
          <w:tcPr>
            <w:tcW w:w="3686" w:type="dxa"/>
            <w:tcBorders>
              <w:top w:val="nil"/>
              <w:left w:val="nil"/>
              <w:bottom w:val="nil"/>
              <w:right w:val="nil"/>
            </w:tcBorders>
            <w:shd w:val="clear" w:color="auto" w:fill="auto"/>
            <w:vAlign w:val="center"/>
          </w:tcPr>
          <w:p w14:paraId="5D21328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750</w:t>
            </w:r>
          </w:p>
        </w:tc>
        <w:tc>
          <w:tcPr>
            <w:tcW w:w="2409" w:type="dxa"/>
            <w:tcBorders>
              <w:top w:val="nil"/>
              <w:left w:val="nil"/>
              <w:bottom w:val="nil"/>
              <w:right w:val="nil"/>
            </w:tcBorders>
            <w:shd w:val="clear" w:color="auto" w:fill="auto"/>
            <w:vAlign w:val="center"/>
          </w:tcPr>
          <w:p w14:paraId="5D9B355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795</w:t>
            </w:r>
          </w:p>
        </w:tc>
      </w:tr>
      <w:tr w:rsidR="00562240" w:rsidRPr="00C6674F" w14:paraId="1D1DE7E2" w14:textId="77777777" w:rsidTr="00E02BFC">
        <w:tc>
          <w:tcPr>
            <w:tcW w:w="1276" w:type="dxa"/>
            <w:tcBorders>
              <w:top w:val="nil"/>
              <w:left w:val="nil"/>
              <w:bottom w:val="nil"/>
              <w:right w:val="nil"/>
            </w:tcBorders>
            <w:shd w:val="clear" w:color="auto" w:fill="auto"/>
            <w:vAlign w:val="center"/>
          </w:tcPr>
          <w:p w14:paraId="65C2D9C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w:t>
            </w:r>
          </w:p>
        </w:tc>
        <w:tc>
          <w:tcPr>
            <w:tcW w:w="3686" w:type="dxa"/>
            <w:tcBorders>
              <w:top w:val="nil"/>
              <w:left w:val="nil"/>
              <w:bottom w:val="nil"/>
              <w:right w:val="nil"/>
            </w:tcBorders>
            <w:shd w:val="clear" w:color="auto" w:fill="auto"/>
            <w:vAlign w:val="center"/>
          </w:tcPr>
          <w:p w14:paraId="7F2AB76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762</w:t>
            </w:r>
          </w:p>
        </w:tc>
        <w:tc>
          <w:tcPr>
            <w:tcW w:w="2409" w:type="dxa"/>
            <w:tcBorders>
              <w:top w:val="nil"/>
              <w:left w:val="nil"/>
              <w:bottom w:val="nil"/>
              <w:right w:val="nil"/>
            </w:tcBorders>
            <w:shd w:val="clear" w:color="auto" w:fill="auto"/>
            <w:vAlign w:val="center"/>
          </w:tcPr>
          <w:p w14:paraId="24CB0F7D"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805</w:t>
            </w:r>
          </w:p>
        </w:tc>
      </w:tr>
      <w:tr w:rsidR="00562240" w:rsidRPr="00C6674F" w14:paraId="73BF5B8A" w14:textId="77777777" w:rsidTr="00E02BFC">
        <w:tc>
          <w:tcPr>
            <w:tcW w:w="1276" w:type="dxa"/>
            <w:tcBorders>
              <w:top w:val="nil"/>
              <w:left w:val="nil"/>
              <w:bottom w:val="nil"/>
              <w:right w:val="nil"/>
            </w:tcBorders>
            <w:shd w:val="clear" w:color="auto" w:fill="auto"/>
            <w:vAlign w:val="center"/>
          </w:tcPr>
          <w:p w14:paraId="1F5588CB"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6</w:t>
            </w:r>
          </w:p>
        </w:tc>
        <w:tc>
          <w:tcPr>
            <w:tcW w:w="3686" w:type="dxa"/>
            <w:tcBorders>
              <w:top w:val="nil"/>
              <w:left w:val="nil"/>
              <w:bottom w:val="nil"/>
              <w:right w:val="nil"/>
            </w:tcBorders>
            <w:shd w:val="clear" w:color="auto" w:fill="auto"/>
            <w:vAlign w:val="center"/>
          </w:tcPr>
          <w:p w14:paraId="2F6D965C"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790</w:t>
            </w:r>
          </w:p>
        </w:tc>
        <w:tc>
          <w:tcPr>
            <w:tcW w:w="2409" w:type="dxa"/>
            <w:tcBorders>
              <w:top w:val="nil"/>
              <w:left w:val="nil"/>
              <w:bottom w:val="nil"/>
              <w:right w:val="nil"/>
            </w:tcBorders>
            <w:shd w:val="clear" w:color="auto" w:fill="auto"/>
            <w:vAlign w:val="center"/>
          </w:tcPr>
          <w:p w14:paraId="1A2E0D42"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842</w:t>
            </w:r>
          </w:p>
        </w:tc>
      </w:tr>
      <w:tr w:rsidR="00562240" w:rsidRPr="00C6674F" w14:paraId="72ECFFCB" w14:textId="77777777" w:rsidTr="00E02BFC">
        <w:tc>
          <w:tcPr>
            <w:tcW w:w="1276" w:type="dxa"/>
            <w:tcBorders>
              <w:top w:val="nil"/>
              <w:left w:val="nil"/>
              <w:bottom w:val="nil"/>
              <w:right w:val="nil"/>
            </w:tcBorders>
            <w:shd w:val="clear" w:color="auto" w:fill="auto"/>
            <w:vAlign w:val="center"/>
          </w:tcPr>
          <w:p w14:paraId="0F27B0AD"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7</w:t>
            </w:r>
          </w:p>
        </w:tc>
        <w:tc>
          <w:tcPr>
            <w:tcW w:w="3686" w:type="dxa"/>
            <w:tcBorders>
              <w:top w:val="nil"/>
              <w:left w:val="nil"/>
              <w:bottom w:val="nil"/>
              <w:right w:val="nil"/>
            </w:tcBorders>
            <w:shd w:val="clear" w:color="auto" w:fill="auto"/>
            <w:vAlign w:val="center"/>
          </w:tcPr>
          <w:p w14:paraId="00B193ED"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811</w:t>
            </w:r>
          </w:p>
        </w:tc>
        <w:tc>
          <w:tcPr>
            <w:tcW w:w="2409" w:type="dxa"/>
            <w:tcBorders>
              <w:top w:val="nil"/>
              <w:left w:val="nil"/>
              <w:bottom w:val="nil"/>
              <w:right w:val="nil"/>
            </w:tcBorders>
            <w:shd w:val="clear" w:color="auto" w:fill="auto"/>
            <w:vAlign w:val="center"/>
          </w:tcPr>
          <w:p w14:paraId="37848B9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854</w:t>
            </w:r>
          </w:p>
        </w:tc>
      </w:tr>
      <w:tr w:rsidR="00562240" w:rsidRPr="00C6674F" w14:paraId="1C52F0AE" w14:textId="77777777" w:rsidTr="00E02BFC">
        <w:tc>
          <w:tcPr>
            <w:tcW w:w="1276" w:type="dxa"/>
            <w:tcBorders>
              <w:top w:val="nil"/>
              <w:left w:val="nil"/>
              <w:bottom w:val="nil"/>
              <w:right w:val="nil"/>
            </w:tcBorders>
            <w:shd w:val="clear" w:color="auto" w:fill="auto"/>
            <w:vAlign w:val="center"/>
          </w:tcPr>
          <w:p w14:paraId="091DFA6C"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8</w:t>
            </w:r>
          </w:p>
        </w:tc>
        <w:tc>
          <w:tcPr>
            <w:tcW w:w="3686" w:type="dxa"/>
            <w:tcBorders>
              <w:top w:val="nil"/>
              <w:left w:val="nil"/>
              <w:bottom w:val="nil"/>
              <w:right w:val="nil"/>
            </w:tcBorders>
            <w:shd w:val="clear" w:color="auto" w:fill="auto"/>
            <w:vAlign w:val="center"/>
          </w:tcPr>
          <w:p w14:paraId="5E1CB57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839</w:t>
            </w:r>
          </w:p>
        </w:tc>
        <w:tc>
          <w:tcPr>
            <w:tcW w:w="2409" w:type="dxa"/>
            <w:tcBorders>
              <w:top w:val="nil"/>
              <w:left w:val="nil"/>
              <w:bottom w:val="nil"/>
              <w:right w:val="nil"/>
            </w:tcBorders>
            <w:shd w:val="clear" w:color="auto" w:fill="auto"/>
            <w:vAlign w:val="center"/>
          </w:tcPr>
          <w:p w14:paraId="0E6A3A8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871</w:t>
            </w:r>
          </w:p>
        </w:tc>
      </w:tr>
      <w:tr w:rsidR="00562240" w:rsidRPr="00C6674F" w14:paraId="68D20F90" w14:textId="77777777" w:rsidTr="00E02BFC">
        <w:tc>
          <w:tcPr>
            <w:tcW w:w="1276" w:type="dxa"/>
            <w:tcBorders>
              <w:top w:val="nil"/>
              <w:left w:val="nil"/>
              <w:bottom w:val="nil"/>
              <w:right w:val="nil"/>
            </w:tcBorders>
            <w:shd w:val="clear" w:color="auto" w:fill="auto"/>
            <w:vAlign w:val="center"/>
          </w:tcPr>
          <w:p w14:paraId="34E8152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9</w:t>
            </w:r>
          </w:p>
        </w:tc>
        <w:tc>
          <w:tcPr>
            <w:tcW w:w="3686" w:type="dxa"/>
            <w:tcBorders>
              <w:top w:val="nil"/>
              <w:left w:val="nil"/>
              <w:bottom w:val="nil"/>
              <w:right w:val="nil"/>
            </w:tcBorders>
            <w:shd w:val="clear" w:color="auto" w:fill="auto"/>
            <w:vAlign w:val="center"/>
          </w:tcPr>
          <w:p w14:paraId="46817AF9"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877</w:t>
            </w:r>
          </w:p>
        </w:tc>
        <w:tc>
          <w:tcPr>
            <w:tcW w:w="2409" w:type="dxa"/>
            <w:tcBorders>
              <w:top w:val="nil"/>
              <w:left w:val="nil"/>
              <w:bottom w:val="nil"/>
              <w:right w:val="nil"/>
            </w:tcBorders>
            <w:shd w:val="clear" w:color="auto" w:fill="auto"/>
            <w:vAlign w:val="center"/>
          </w:tcPr>
          <w:p w14:paraId="7057868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885</w:t>
            </w:r>
          </w:p>
        </w:tc>
      </w:tr>
      <w:tr w:rsidR="00E02BFC" w:rsidRPr="00C6674F" w14:paraId="274FF5C0" w14:textId="77777777" w:rsidTr="00E02BFC">
        <w:tc>
          <w:tcPr>
            <w:tcW w:w="1276" w:type="dxa"/>
            <w:tcBorders>
              <w:top w:val="nil"/>
              <w:left w:val="nil"/>
              <w:bottom w:val="single" w:sz="8" w:space="0" w:color="auto"/>
              <w:right w:val="nil"/>
            </w:tcBorders>
            <w:shd w:val="clear" w:color="auto" w:fill="auto"/>
            <w:vAlign w:val="center"/>
          </w:tcPr>
          <w:p w14:paraId="5DABEBA4"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w:t>
            </w:r>
          </w:p>
        </w:tc>
        <w:tc>
          <w:tcPr>
            <w:tcW w:w="3686" w:type="dxa"/>
            <w:tcBorders>
              <w:top w:val="nil"/>
              <w:left w:val="nil"/>
              <w:bottom w:val="single" w:sz="8" w:space="0" w:color="auto"/>
              <w:right w:val="nil"/>
            </w:tcBorders>
            <w:shd w:val="clear" w:color="auto" w:fill="auto"/>
            <w:vAlign w:val="center"/>
          </w:tcPr>
          <w:p w14:paraId="277BD4BC"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904</w:t>
            </w:r>
          </w:p>
        </w:tc>
        <w:tc>
          <w:tcPr>
            <w:tcW w:w="2409" w:type="dxa"/>
            <w:tcBorders>
              <w:top w:val="nil"/>
              <w:left w:val="nil"/>
              <w:bottom w:val="single" w:sz="8" w:space="0" w:color="auto"/>
              <w:right w:val="nil"/>
            </w:tcBorders>
            <w:shd w:val="clear" w:color="auto" w:fill="auto"/>
            <w:vAlign w:val="center"/>
          </w:tcPr>
          <w:p w14:paraId="549D083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907</w:t>
            </w:r>
          </w:p>
        </w:tc>
      </w:tr>
    </w:tbl>
    <w:p w14:paraId="41939833" w14:textId="063DB3D6" w:rsidR="00562240" w:rsidRPr="00C6674F" w:rsidRDefault="00A25069" w:rsidP="00D67DBB">
      <w:pPr>
        <w:pStyle w:val="MDPI41tablecaption"/>
        <w:jc w:val="both"/>
      </w:pPr>
      <w:r w:rsidRPr="00C6674F">
        <w:rPr>
          <w:b/>
          <w:bCs/>
        </w:rPr>
        <w:t xml:space="preserve">Table S8. </w:t>
      </w:r>
      <w:r w:rsidR="00562240" w:rsidRPr="00C6674F">
        <w:t>Relative fraction of β-phase of polymeric films.</w:t>
      </w:r>
      <w:r w:rsidR="00562240" w:rsidRPr="00C6674F">
        <w:rPr>
          <w:rStyle w:val="FootnoteReference"/>
          <w:rFonts w:ascii="Times New Roman" w:hAnsi="Times New Roman" w:cs="Times New Roman"/>
        </w:rPr>
        <w:t xml:space="preserve"> </w:t>
      </w:r>
      <w:r w:rsidR="00562240" w:rsidRPr="00C6674F">
        <w:t>An asterisk (</w:t>
      </w:r>
      <w:r w:rsidR="00562240" w:rsidRPr="00C6674F">
        <w:rPr>
          <w:rStyle w:val="FootnoteReference"/>
          <w:rFonts w:ascii="Times New Roman" w:hAnsi="Times New Roman" w:cs="Times New Roman"/>
        </w:rPr>
        <w:sym w:font="Symbol" w:char="F02A"/>
      </w:r>
      <w:r w:rsidR="00562240" w:rsidRPr="00C6674F">
        <w:rPr>
          <w:rStyle w:val="FootnoteReference"/>
          <w:rFonts w:ascii="Times New Roman" w:hAnsi="Times New Roman" w:cs="Times New Roman"/>
        </w:rPr>
        <w:t>)</w:t>
      </w:r>
      <w:r w:rsidR="00562240" w:rsidRPr="00C6674F">
        <w:t xml:space="preserve"> indicates that a value is estimated from an interpolation.</w:t>
      </w:r>
    </w:p>
    <w:tbl>
      <w:tblPr>
        <w:tblW w:w="7857" w:type="dxa"/>
        <w:tblInd w:w="2608" w:type="dxa"/>
        <w:tblLayout w:type="fixed"/>
        <w:tblCellMar>
          <w:left w:w="0" w:type="dxa"/>
          <w:right w:w="0" w:type="dxa"/>
        </w:tblCellMar>
        <w:tblLook w:val="0600" w:firstRow="0" w:lastRow="0" w:firstColumn="0" w:lastColumn="0" w:noHBand="1" w:noVBand="1"/>
      </w:tblPr>
      <w:tblGrid>
        <w:gridCol w:w="1617"/>
        <w:gridCol w:w="2938"/>
        <w:gridCol w:w="1763"/>
        <w:gridCol w:w="1539"/>
      </w:tblGrid>
      <w:tr w:rsidR="00E02BFC" w:rsidRPr="00C6674F" w14:paraId="65224AFF" w14:textId="77777777" w:rsidTr="00E02BFC">
        <w:tc>
          <w:tcPr>
            <w:tcW w:w="1560" w:type="dxa"/>
            <w:tcBorders>
              <w:top w:val="single" w:sz="8" w:space="0" w:color="auto"/>
              <w:bottom w:val="single" w:sz="4" w:space="0" w:color="auto"/>
            </w:tcBorders>
            <w:shd w:val="clear" w:color="auto" w:fill="auto"/>
            <w:tcMar>
              <w:top w:w="100" w:type="dxa"/>
              <w:left w:w="100" w:type="dxa"/>
              <w:bottom w:w="100" w:type="dxa"/>
              <w:right w:w="100" w:type="dxa"/>
            </w:tcMar>
            <w:vAlign w:val="center"/>
          </w:tcPr>
          <w:p w14:paraId="5642A10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 xml:space="preserve">IL wt % </w:t>
            </w:r>
          </w:p>
          <w:p w14:paraId="5527CAAD"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(GNP wt %)</w:t>
            </w:r>
          </w:p>
        </w:tc>
        <w:tc>
          <w:tcPr>
            <w:tcW w:w="2835" w:type="dxa"/>
            <w:tcBorders>
              <w:top w:val="single" w:sz="8" w:space="0" w:color="auto"/>
              <w:bottom w:val="single" w:sz="4" w:space="0" w:color="auto"/>
            </w:tcBorders>
            <w:shd w:val="clear" w:color="auto" w:fill="auto"/>
            <w:vAlign w:val="center"/>
          </w:tcPr>
          <w:p w14:paraId="72973FD6"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 xml:space="preserve">Actual IL wt % </w:t>
            </w:r>
          </w:p>
          <w:p w14:paraId="2F78F1A6"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 prep. solutions)</w:t>
            </w:r>
          </w:p>
          <w:p w14:paraId="4DDB3F5A"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(mean ±</w:t>
            </w:r>
            <w:r w:rsidRPr="00C6674F">
              <w:rPr>
                <w:rFonts w:ascii="Times New Roman" w:eastAsiaTheme="minorEastAsia" w:hAnsi="Times New Roman"/>
                <w:b/>
                <w:noProof w:val="0"/>
              </w:rPr>
              <w:t xml:space="preserve"> std.)</w:t>
            </w:r>
          </w:p>
        </w:tc>
        <w:tc>
          <w:tcPr>
            <w:tcW w:w="1701" w:type="dxa"/>
            <w:tcBorders>
              <w:top w:val="single" w:sz="8" w:space="0" w:color="auto"/>
              <w:bottom w:val="single" w:sz="4" w:space="0" w:color="auto"/>
            </w:tcBorders>
            <w:shd w:val="clear" w:color="auto" w:fill="auto"/>
            <w:tcMar>
              <w:top w:w="100" w:type="dxa"/>
              <w:left w:w="100" w:type="dxa"/>
              <w:bottom w:w="100" w:type="dxa"/>
              <w:right w:w="100" w:type="dxa"/>
            </w:tcMar>
            <w:vAlign w:val="center"/>
          </w:tcPr>
          <w:p w14:paraId="6F1A359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F(β)</w:t>
            </w:r>
          </w:p>
          <w:p w14:paraId="5B85B54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(This work)</w:t>
            </w:r>
          </w:p>
          <w:p w14:paraId="3388F25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(mean ±</w:t>
            </w:r>
            <w:r w:rsidRPr="00C6674F">
              <w:rPr>
                <w:rFonts w:ascii="Times New Roman" w:eastAsiaTheme="minorEastAsia" w:hAnsi="Times New Roman"/>
                <w:b/>
                <w:noProof w:val="0"/>
              </w:rPr>
              <w:t xml:space="preserve"> std.)</w:t>
            </w:r>
          </w:p>
        </w:tc>
        <w:tc>
          <w:tcPr>
            <w:tcW w:w="1485" w:type="dxa"/>
            <w:tcBorders>
              <w:top w:val="single" w:sz="8" w:space="0" w:color="auto"/>
              <w:bottom w:val="single" w:sz="4" w:space="0" w:color="auto"/>
            </w:tcBorders>
            <w:shd w:val="clear" w:color="auto" w:fill="auto"/>
            <w:vAlign w:val="center"/>
          </w:tcPr>
          <w:p w14:paraId="27C4A86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F(β)</w:t>
            </w:r>
          </w:p>
          <w:p w14:paraId="3E7D39E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 xml:space="preserve">(reported) </w:t>
            </w:r>
            <w:r w:rsidRPr="00C6674F">
              <w:rPr>
                <w:rFonts w:ascii="Times New Roman" w:hAnsi="Times New Roman"/>
                <w:b/>
                <w:noProof w:val="0"/>
              </w:rPr>
              <w:fldChar w:fldCharType="begin"/>
            </w:r>
            <w:r w:rsidRPr="00C6674F">
              <w:rPr>
                <w:rFonts w:ascii="Times New Roman" w:hAnsi="Times New Roman"/>
                <w:b/>
                <w:noProof w:val="0"/>
              </w:rPr>
              <w:instrText xml:space="preserve"> ADDIN ZOTERO_ITEM CSL_CITATION {"citationID":"GsiAIgHa","properties":{"formattedCitation":"\\super 23\\nosupersub{}","plainCitation":"23","noteIndex":0},"citationItems":[{"id":67,"uris":["http://zotero.org/groups/4545406/items/VSI7U9KF"],"itemData":{"id":67,"type":"article-journal","abstract":"Poly(vinylidene fluoride) (PVDF), poly(vinylidene fluoride-co-trifluoroethylene) (PVDF-TrFE), poly(vinylidene fluoride-co-hexafluropropylene) (PVDF-HFP) and poly(vinylidene fluoride-co-chlorotrifluoroethylene) (PVDF-CTFE) were evaluated for the development of ionic liquid (IL) - polymer composite bending actuators. The selected guest IL, 1-ethyl-3-methylimidazolium bis(trifluoromethanesulfonyl)imide, [Emim][TFSI], was incorporated into the different host polymer matrixes in concentrations ranging from 10 to 40 wt%. The IL/polymer composites electrical properties strongly depend on the IL content. The largest bending response was found for the IL/PVDF-TrFE composites with a maximum bending value of </w:instrText>
            </w:r>
            <w:r w:rsidRPr="00C6674F">
              <w:rPr>
                <w:rFonts w:ascii="Cambria Math" w:hAnsi="Cambria Math" w:cs="Cambria Math"/>
                <w:b/>
                <w:noProof w:val="0"/>
              </w:rPr>
              <w:instrText>∼</w:instrText>
            </w:r>
            <w:r w:rsidRPr="00C6674F">
              <w:rPr>
                <w:rFonts w:ascii="Times New Roman" w:hAnsi="Times New Roman"/>
                <w:b/>
                <w:noProof w:val="0"/>
              </w:rPr>
              <w:instrText xml:space="preserve">3.5 mm using a frequency of 100 mHz at an applied potential difference of 5.0 Vpp. Thus, PVDF-TrFE are attractive candidates for the development of high performance bending actuators.","container-title":"Electrochimica Acta","DOI":"10.1016/j.electacta.2018.11.049","ISSN":"0013-4686","journalAbbreviation":"Electrochimica Acta","language":"en","page":"598-607","source":"ScienceDirect","title":"Improved response of ionic liquid-based bending actuators by tailored interaction with the polar fluorinated polymer matrix","volume":"296","author":[{"family":"Dias","given":"Juliana C."},{"family":"Correia","given":"Daniela M."},{"family":"Costa","given":"Carlos M."},{"family":"Ribeiro","given":"Clarisse"},{"family":"Maceiras","given":"Alberto"},{"family":"Vilas","given":"José L."},{"family":"Botelho","given":"Gabriela"},{"family":"Zea Bermudez","given":"Verónica","non-dropping-particle":"de"},{"family":"Lanceros-Mendez","given":"Senentxu"}],"issued":{"date-parts":[["2019",2,10]]}}}],"schema":"https://github.com/citation-style-language/schema/raw/master/csl-citation.json"} </w:instrText>
            </w:r>
            <w:r w:rsidRPr="00C6674F">
              <w:rPr>
                <w:rFonts w:ascii="Times New Roman" w:hAnsi="Times New Roman"/>
                <w:b/>
                <w:noProof w:val="0"/>
              </w:rPr>
              <w:fldChar w:fldCharType="separate"/>
            </w:r>
            <w:r w:rsidRPr="00C6674F">
              <w:rPr>
                <w:rFonts w:ascii="Times New Roman" w:hAnsi="Times New Roman"/>
                <w:b/>
                <w:noProof w:val="0"/>
                <w:szCs w:val="24"/>
                <w:vertAlign w:val="superscript"/>
              </w:rPr>
              <w:t>23</w:t>
            </w:r>
            <w:r w:rsidRPr="00C6674F">
              <w:rPr>
                <w:rFonts w:ascii="Times New Roman" w:hAnsi="Times New Roman"/>
                <w:b/>
                <w:noProof w:val="0"/>
              </w:rPr>
              <w:fldChar w:fldCharType="end"/>
            </w:r>
          </w:p>
        </w:tc>
      </w:tr>
      <w:tr w:rsidR="00E02BFC" w:rsidRPr="00C6674F" w14:paraId="66157E94" w14:textId="77777777" w:rsidTr="00E02BFC">
        <w:tc>
          <w:tcPr>
            <w:tcW w:w="1560" w:type="dxa"/>
            <w:tcBorders>
              <w:top w:val="single" w:sz="4" w:space="0" w:color="auto"/>
            </w:tcBorders>
            <w:shd w:val="clear" w:color="auto" w:fill="auto"/>
            <w:tcMar>
              <w:top w:w="100" w:type="dxa"/>
              <w:left w:w="100" w:type="dxa"/>
              <w:bottom w:w="100" w:type="dxa"/>
              <w:right w:w="100" w:type="dxa"/>
            </w:tcMar>
            <w:vAlign w:val="center"/>
          </w:tcPr>
          <w:p w14:paraId="6FA405C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w:t>
            </w:r>
          </w:p>
        </w:tc>
        <w:tc>
          <w:tcPr>
            <w:tcW w:w="2835" w:type="dxa"/>
            <w:tcBorders>
              <w:top w:val="single" w:sz="4" w:space="0" w:color="auto"/>
            </w:tcBorders>
            <w:shd w:val="clear" w:color="auto" w:fill="auto"/>
            <w:vAlign w:val="center"/>
          </w:tcPr>
          <w:p w14:paraId="027FA2A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 (1)</w:t>
            </w:r>
          </w:p>
        </w:tc>
        <w:tc>
          <w:tcPr>
            <w:tcW w:w="1701" w:type="dxa"/>
            <w:tcBorders>
              <w:top w:val="single" w:sz="4" w:space="0" w:color="auto"/>
            </w:tcBorders>
            <w:shd w:val="clear" w:color="auto" w:fill="auto"/>
            <w:tcMar>
              <w:top w:w="100" w:type="dxa"/>
              <w:left w:w="100" w:type="dxa"/>
              <w:bottom w:w="100" w:type="dxa"/>
              <w:right w:w="100" w:type="dxa"/>
            </w:tcMar>
            <w:vAlign w:val="center"/>
          </w:tcPr>
          <w:p w14:paraId="758EB87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0.19 ± 0.08</w:t>
            </w:r>
          </w:p>
        </w:tc>
        <w:tc>
          <w:tcPr>
            <w:tcW w:w="1485" w:type="dxa"/>
            <w:tcBorders>
              <w:top w:val="single" w:sz="4" w:space="0" w:color="auto"/>
            </w:tcBorders>
            <w:shd w:val="clear" w:color="auto" w:fill="auto"/>
            <w:vAlign w:val="center"/>
          </w:tcPr>
          <w:p w14:paraId="7F471C4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0.12</w:t>
            </w:r>
          </w:p>
        </w:tc>
      </w:tr>
      <w:tr w:rsidR="00E02BFC" w:rsidRPr="00C6674F" w14:paraId="3F0F939B" w14:textId="77777777" w:rsidTr="00E02BFC">
        <w:tc>
          <w:tcPr>
            <w:tcW w:w="1560" w:type="dxa"/>
            <w:shd w:val="clear" w:color="auto" w:fill="auto"/>
            <w:tcMar>
              <w:top w:w="100" w:type="dxa"/>
              <w:left w:w="100" w:type="dxa"/>
              <w:bottom w:w="100" w:type="dxa"/>
              <w:right w:w="100" w:type="dxa"/>
            </w:tcMar>
            <w:vAlign w:val="center"/>
          </w:tcPr>
          <w:p w14:paraId="61A5CE0D"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lastRenderedPageBreak/>
              <w:t>10</w:t>
            </w:r>
          </w:p>
        </w:tc>
        <w:tc>
          <w:tcPr>
            <w:tcW w:w="2835" w:type="dxa"/>
            <w:shd w:val="clear" w:color="auto" w:fill="auto"/>
            <w:vAlign w:val="center"/>
          </w:tcPr>
          <w:p w14:paraId="30DEC435" w14:textId="61F60D9F"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10.2 ± 1.3E</w:t>
            </w:r>
            <w:r w:rsidR="00D67DBB" w:rsidRPr="00C6674F">
              <w:rPr>
                <w:noProof w:val="0"/>
                <w:vertAlign w:val="superscript"/>
              </w:rPr>
              <w:t>−5</w:t>
            </w:r>
            <w:r w:rsidRPr="00C6674F">
              <w:rPr>
                <w:rFonts w:ascii="Times New Roman" w:hAnsi="Times New Roman"/>
                <w:noProof w:val="0"/>
                <w:vertAlign w:val="superscript"/>
              </w:rPr>
              <w:t xml:space="preserve"> </w:t>
            </w:r>
            <w:r w:rsidRPr="00C6674F">
              <w:rPr>
                <w:rFonts w:ascii="Times New Roman" w:hAnsi="Times New Roman"/>
                <w:noProof w:val="0"/>
              </w:rPr>
              <w:t>(2)</w:t>
            </w:r>
          </w:p>
        </w:tc>
        <w:tc>
          <w:tcPr>
            <w:tcW w:w="1701" w:type="dxa"/>
            <w:shd w:val="clear" w:color="auto" w:fill="auto"/>
            <w:tcMar>
              <w:top w:w="100" w:type="dxa"/>
              <w:left w:w="100" w:type="dxa"/>
              <w:bottom w:w="100" w:type="dxa"/>
              <w:right w:w="100" w:type="dxa"/>
            </w:tcMar>
            <w:vAlign w:val="center"/>
          </w:tcPr>
          <w:p w14:paraId="6D19E5EA"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0.89 ± 0.004</w:t>
            </w:r>
          </w:p>
        </w:tc>
        <w:tc>
          <w:tcPr>
            <w:tcW w:w="1485" w:type="dxa"/>
            <w:shd w:val="clear" w:color="auto" w:fill="auto"/>
            <w:vAlign w:val="center"/>
          </w:tcPr>
          <w:p w14:paraId="159638D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0.90</w:t>
            </w:r>
          </w:p>
        </w:tc>
      </w:tr>
      <w:tr w:rsidR="00E02BFC" w:rsidRPr="00C6674F" w14:paraId="43041DA4" w14:textId="77777777" w:rsidTr="00E02BFC">
        <w:tc>
          <w:tcPr>
            <w:tcW w:w="1560" w:type="dxa"/>
            <w:shd w:val="clear" w:color="auto" w:fill="auto"/>
            <w:tcMar>
              <w:top w:w="100" w:type="dxa"/>
              <w:left w:w="100" w:type="dxa"/>
              <w:bottom w:w="100" w:type="dxa"/>
              <w:right w:w="100" w:type="dxa"/>
            </w:tcMar>
            <w:vAlign w:val="center"/>
          </w:tcPr>
          <w:p w14:paraId="539E72A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30</w:t>
            </w:r>
          </w:p>
        </w:tc>
        <w:tc>
          <w:tcPr>
            <w:tcW w:w="2835" w:type="dxa"/>
            <w:shd w:val="clear" w:color="auto" w:fill="auto"/>
            <w:vAlign w:val="center"/>
          </w:tcPr>
          <w:p w14:paraId="00A26118"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31.5 ± 0.01 (2)</w:t>
            </w:r>
          </w:p>
        </w:tc>
        <w:tc>
          <w:tcPr>
            <w:tcW w:w="1701" w:type="dxa"/>
            <w:shd w:val="clear" w:color="auto" w:fill="auto"/>
            <w:tcMar>
              <w:top w:w="100" w:type="dxa"/>
              <w:left w:w="100" w:type="dxa"/>
              <w:bottom w:w="100" w:type="dxa"/>
              <w:right w:w="100" w:type="dxa"/>
            </w:tcMar>
            <w:vAlign w:val="center"/>
          </w:tcPr>
          <w:p w14:paraId="70738E1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0.78 ± 0.01</w:t>
            </w:r>
          </w:p>
        </w:tc>
        <w:tc>
          <w:tcPr>
            <w:tcW w:w="1485" w:type="dxa"/>
            <w:shd w:val="clear" w:color="auto" w:fill="auto"/>
            <w:vAlign w:val="center"/>
          </w:tcPr>
          <w:p w14:paraId="1C1DEC6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0.75</w:t>
            </w:r>
          </w:p>
        </w:tc>
      </w:tr>
      <w:tr w:rsidR="00E02BFC" w:rsidRPr="00C6674F" w14:paraId="3AA64702" w14:textId="77777777" w:rsidTr="00E02BFC">
        <w:tc>
          <w:tcPr>
            <w:tcW w:w="1560" w:type="dxa"/>
            <w:shd w:val="clear" w:color="auto" w:fill="auto"/>
            <w:tcMar>
              <w:top w:w="100" w:type="dxa"/>
              <w:left w:w="100" w:type="dxa"/>
              <w:bottom w:w="100" w:type="dxa"/>
              <w:right w:w="100" w:type="dxa"/>
            </w:tcMar>
            <w:vAlign w:val="center"/>
          </w:tcPr>
          <w:p w14:paraId="0FF1E2B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w:t>
            </w:r>
          </w:p>
        </w:tc>
        <w:tc>
          <w:tcPr>
            <w:tcW w:w="2835" w:type="dxa"/>
            <w:shd w:val="clear" w:color="auto" w:fill="auto"/>
            <w:vAlign w:val="center"/>
          </w:tcPr>
          <w:p w14:paraId="4D933A8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 ± 0 (1)</w:t>
            </w:r>
          </w:p>
        </w:tc>
        <w:tc>
          <w:tcPr>
            <w:tcW w:w="1701" w:type="dxa"/>
            <w:shd w:val="clear" w:color="auto" w:fill="auto"/>
            <w:tcMar>
              <w:top w:w="100" w:type="dxa"/>
              <w:left w:w="100" w:type="dxa"/>
              <w:bottom w:w="100" w:type="dxa"/>
              <w:right w:w="100" w:type="dxa"/>
            </w:tcMar>
            <w:vAlign w:val="center"/>
          </w:tcPr>
          <w:p w14:paraId="243A3CA5"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0.64 ± 0.08</w:t>
            </w:r>
          </w:p>
        </w:tc>
        <w:tc>
          <w:tcPr>
            <w:tcW w:w="1485" w:type="dxa"/>
            <w:shd w:val="clear" w:color="auto" w:fill="auto"/>
            <w:vAlign w:val="center"/>
          </w:tcPr>
          <w:p w14:paraId="69353E5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0.65 </w:t>
            </w:r>
            <w:r w:rsidRPr="00C6674F">
              <w:rPr>
                <w:rStyle w:val="FootnoteReference"/>
                <w:rFonts w:ascii="Times New Roman" w:hAnsi="Times New Roman"/>
                <w:noProof w:val="0"/>
              </w:rPr>
              <w:sym w:font="Symbol" w:char="F02A"/>
            </w:r>
          </w:p>
        </w:tc>
      </w:tr>
      <w:tr w:rsidR="00E02BFC" w:rsidRPr="00C6674F" w14:paraId="049D1DE5" w14:textId="77777777" w:rsidTr="00E02BFC">
        <w:tc>
          <w:tcPr>
            <w:tcW w:w="1560" w:type="dxa"/>
            <w:shd w:val="clear" w:color="auto" w:fill="auto"/>
            <w:tcMar>
              <w:top w:w="100" w:type="dxa"/>
              <w:left w:w="100" w:type="dxa"/>
              <w:bottom w:w="100" w:type="dxa"/>
              <w:right w:w="100" w:type="dxa"/>
            </w:tcMar>
            <w:vAlign w:val="center"/>
          </w:tcPr>
          <w:p w14:paraId="17FEEDA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 (0.1)</w:t>
            </w:r>
          </w:p>
        </w:tc>
        <w:tc>
          <w:tcPr>
            <w:tcW w:w="2835" w:type="dxa"/>
            <w:shd w:val="clear" w:color="auto" w:fill="auto"/>
            <w:vAlign w:val="center"/>
          </w:tcPr>
          <w:p w14:paraId="29F0A01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51.1 ± 0 (1)</w:t>
            </w:r>
          </w:p>
        </w:tc>
        <w:tc>
          <w:tcPr>
            <w:tcW w:w="1701" w:type="dxa"/>
            <w:shd w:val="clear" w:color="auto" w:fill="auto"/>
            <w:tcMar>
              <w:top w:w="100" w:type="dxa"/>
              <w:left w:w="100" w:type="dxa"/>
              <w:bottom w:w="100" w:type="dxa"/>
              <w:right w:w="100" w:type="dxa"/>
            </w:tcMar>
            <w:vAlign w:val="center"/>
          </w:tcPr>
          <w:p w14:paraId="0F39C26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0.72 ± 0.14</w:t>
            </w:r>
          </w:p>
        </w:tc>
        <w:tc>
          <w:tcPr>
            <w:tcW w:w="1485" w:type="dxa"/>
            <w:shd w:val="clear" w:color="auto" w:fill="auto"/>
            <w:vAlign w:val="center"/>
          </w:tcPr>
          <w:p w14:paraId="35E3F0E4"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r>
      <w:tr w:rsidR="00E02BFC" w:rsidRPr="00C6674F" w14:paraId="535DD7C1" w14:textId="77777777" w:rsidTr="00E02BFC">
        <w:tc>
          <w:tcPr>
            <w:tcW w:w="1560" w:type="dxa"/>
            <w:shd w:val="clear" w:color="auto" w:fill="auto"/>
            <w:tcMar>
              <w:top w:w="100" w:type="dxa"/>
              <w:left w:w="100" w:type="dxa"/>
              <w:bottom w:w="100" w:type="dxa"/>
              <w:right w:w="100" w:type="dxa"/>
            </w:tcMar>
            <w:vAlign w:val="center"/>
          </w:tcPr>
          <w:p w14:paraId="1A907D1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 (0.2)</w:t>
            </w:r>
          </w:p>
        </w:tc>
        <w:tc>
          <w:tcPr>
            <w:tcW w:w="2835" w:type="dxa"/>
            <w:shd w:val="clear" w:color="auto" w:fill="auto"/>
            <w:vAlign w:val="center"/>
          </w:tcPr>
          <w:p w14:paraId="341C676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50.2 ± 0 (1)</w:t>
            </w:r>
          </w:p>
        </w:tc>
        <w:tc>
          <w:tcPr>
            <w:tcW w:w="1701" w:type="dxa"/>
            <w:shd w:val="clear" w:color="auto" w:fill="auto"/>
            <w:tcMar>
              <w:top w:w="100" w:type="dxa"/>
              <w:left w:w="100" w:type="dxa"/>
              <w:bottom w:w="100" w:type="dxa"/>
              <w:right w:w="100" w:type="dxa"/>
            </w:tcMar>
            <w:vAlign w:val="center"/>
          </w:tcPr>
          <w:p w14:paraId="40B69D4D"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0.74 ± 0.09</w:t>
            </w:r>
          </w:p>
        </w:tc>
        <w:tc>
          <w:tcPr>
            <w:tcW w:w="1485" w:type="dxa"/>
            <w:shd w:val="clear" w:color="auto" w:fill="auto"/>
            <w:vAlign w:val="center"/>
          </w:tcPr>
          <w:p w14:paraId="38BD5B2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r>
      <w:tr w:rsidR="00E02BFC" w:rsidRPr="00C6674F" w14:paraId="6FAA841B" w14:textId="77777777" w:rsidTr="00E02BFC">
        <w:tc>
          <w:tcPr>
            <w:tcW w:w="1560" w:type="dxa"/>
            <w:tcBorders>
              <w:bottom w:val="single" w:sz="8" w:space="0" w:color="auto"/>
            </w:tcBorders>
            <w:shd w:val="clear" w:color="auto" w:fill="auto"/>
            <w:tcMar>
              <w:top w:w="100" w:type="dxa"/>
              <w:left w:w="100" w:type="dxa"/>
              <w:bottom w:w="100" w:type="dxa"/>
              <w:right w:w="100" w:type="dxa"/>
            </w:tcMar>
            <w:vAlign w:val="center"/>
          </w:tcPr>
          <w:p w14:paraId="522AEDFD"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 (0.4)</w:t>
            </w:r>
          </w:p>
        </w:tc>
        <w:tc>
          <w:tcPr>
            <w:tcW w:w="2835" w:type="dxa"/>
            <w:tcBorders>
              <w:bottom w:val="single" w:sz="8" w:space="0" w:color="auto"/>
            </w:tcBorders>
            <w:shd w:val="clear" w:color="auto" w:fill="auto"/>
            <w:vAlign w:val="center"/>
          </w:tcPr>
          <w:p w14:paraId="53F8EBCF" w14:textId="447D1260"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50.1 ± 1.3E</w:t>
            </w:r>
            <w:r w:rsidR="00D67DBB" w:rsidRPr="00C6674F">
              <w:rPr>
                <w:noProof w:val="0"/>
                <w:vertAlign w:val="superscript"/>
              </w:rPr>
              <w:t>−4</w:t>
            </w:r>
            <w:r w:rsidRPr="00C6674F">
              <w:rPr>
                <w:rFonts w:ascii="Times New Roman" w:hAnsi="Times New Roman"/>
                <w:noProof w:val="0"/>
              </w:rPr>
              <w:t xml:space="preserve"> (2)</w:t>
            </w:r>
          </w:p>
        </w:tc>
        <w:tc>
          <w:tcPr>
            <w:tcW w:w="1701" w:type="dxa"/>
            <w:tcBorders>
              <w:bottom w:val="single" w:sz="8" w:space="0" w:color="auto"/>
            </w:tcBorders>
            <w:shd w:val="clear" w:color="auto" w:fill="auto"/>
            <w:tcMar>
              <w:top w:w="100" w:type="dxa"/>
              <w:left w:w="100" w:type="dxa"/>
              <w:bottom w:w="100" w:type="dxa"/>
              <w:right w:w="100" w:type="dxa"/>
            </w:tcMar>
            <w:vAlign w:val="center"/>
          </w:tcPr>
          <w:p w14:paraId="0F7B496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0.77 ± 0.07</w:t>
            </w:r>
          </w:p>
        </w:tc>
        <w:tc>
          <w:tcPr>
            <w:tcW w:w="1485" w:type="dxa"/>
            <w:tcBorders>
              <w:bottom w:val="single" w:sz="8" w:space="0" w:color="auto"/>
            </w:tcBorders>
            <w:shd w:val="clear" w:color="auto" w:fill="auto"/>
            <w:vAlign w:val="center"/>
          </w:tcPr>
          <w:p w14:paraId="07BCC3A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r>
    </w:tbl>
    <w:p w14:paraId="7B9AE09D" w14:textId="77777777" w:rsidR="00562240" w:rsidRPr="00C6674F" w:rsidRDefault="00562240" w:rsidP="00D67DBB">
      <w:pPr>
        <w:adjustRightInd w:val="0"/>
        <w:snapToGrid w:val="0"/>
        <w:rPr>
          <w:rFonts w:ascii="Times New Roman" w:hAnsi="Times New Roman"/>
          <w:noProof w:val="0"/>
        </w:rPr>
      </w:pPr>
    </w:p>
    <w:p w14:paraId="7FA7DAF2" w14:textId="77777777" w:rsidR="00562240" w:rsidRPr="00C6674F" w:rsidRDefault="00562240" w:rsidP="00D67DBB">
      <w:pPr>
        <w:pStyle w:val="MDPI31text"/>
      </w:pPr>
      <w:r w:rsidRPr="00C6674F">
        <w:t>By comparing results shown in Table S8 with the reported values,</w:t>
      </w:r>
      <w:r w:rsidRPr="00C6674F">
        <w:fldChar w:fldCharType="begin"/>
      </w:r>
      <w:r w:rsidRPr="00C6674F">
        <w:instrText xml:space="preserve"> ADDIN ZOTERO_ITEM CSL_CITATION {"citationID":"rDtUCqt0","properties":{"formattedCitation":"\\super 23\\nosupersub{}","plainCitation":"23","noteIndex":0},"citationItems":[{"id":67,"uris":["http://zotero.org/groups/4545406/items/VSI7U9KF"],"itemData":{"id":67,"type":"article-journal","abstract":"Poly(vinylidene fluoride) (PVDF), poly(vinylidene fluoride-co-trifluoroethylene) (PVDF-TrFE), poly(vinylidene fluoride-co-hexafluropropylene) (PVDF-HFP) and poly(vinylidene fluoride-co-chlorotrifluoroethylene) (PVDF-CTFE) were evaluated for the development of ionic liquid (IL) - polymer composite bending actuators. The selected guest IL, 1-ethyl-3-methylimidazolium bis(trifluoromethanesulfonyl)imide, [Emim][TFSI], was incorporated into the different host polymer matrixes in concentrations ranging from 10 to 40</w:instrText>
      </w:r>
      <w:r w:rsidRPr="00C6674F">
        <w:rPr>
          <w:rFonts w:ascii="Times New Roman" w:hAnsi="Times New Roman"/>
        </w:rPr>
        <w:instrText> </w:instrText>
      </w:r>
      <w:r w:rsidRPr="00C6674F">
        <w:instrText xml:space="preserve">wt%. The IL/polymer composites electrical properties strongly depend on the IL content. The largest bending response was found for the IL/PVDF-TrFE composites with a maximum bending value of </w:instrText>
      </w:r>
      <w:r w:rsidRPr="00C6674F">
        <w:rPr>
          <w:rFonts w:ascii="Cambria Math" w:hAnsi="Cambria Math" w:cs="Cambria Math"/>
        </w:rPr>
        <w:instrText>∼</w:instrText>
      </w:r>
      <w:r w:rsidRPr="00C6674F">
        <w:instrText>3.5</w:instrText>
      </w:r>
      <w:r w:rsidRPr="00C6674F">
        <w:rPr>
          <w:rFonts w:ascii="Times New Roman" w:hAnsi="Times New Roman"/>
        </w:rPr>
        <w:instrText> </w:instrText>
      </w:r>
      <w:r w:rsidRPr="00C6674F">
        <w:instrText>mm using a frequency of 100</w:instrText>
      </w:r>
      <w:r w:rsidRPr="00C6674F">
        <w:rPr>
          <w:rFonts w:ascii="Times New Roman" w:hAnsi="Times New Roman"/>
        </w:rPr>
        <w:instrText> </w:instrText>
      </w:r>
      <w:r w:rsidRPr="00C6674F">
        <w:instrText>mHz</w:instrText>
      </w:r>
      <w:r w:rsidRPr="00C6674F">
        <w:rPr>
          <w:rFonts w:ascii="Times New Roman" w:hAnsi="Times New Roman"/>
        </w:rPr>
        <w:instrText> </w:instrText>
      </w:r>
      <w:r w:rsidRPr="00C6674F">
        <w:instrText xml:space="preserve">at an applied potential difference of 5.0 Vpp. Thus, PVDF-TrFE are attractive candidates for the development of high performance bending actuators.","container-title":"Electrochimica Acta","DOI":"10.1016/j.electacta.2018.11.049","ISSN":"0013-4686","journalAbbreviation":"Electrochimica Acta","language":"en","page":"598-607","source":"ScienceDirect","title":"Improved response of ionic liquid-based bending actuators by tailored interaction with the polar fluorinated polymer matrix","volume":"296","author":[{"family":"Dias","given":"Juliana C."},{"family":"Correia","given":"Daniela M."},{"family":"Costa","given":"Carlos M."},{"family":"Ribeiro","given":"Clarisse"},{"family":"Maceiras","given":"Alberto"},{"family":"Vilas","given":"José L."},{"family":"Botelho","given":"Gabriela"},{"family":"Zea Bermudez","given":"Verónica","non-dropping-particle":"de"},{"family":"Lanceros-Mendez","given":"Senentxu"}],"issued":{"date-parts":[["2019",2,10]]}}}],"schema":"https://github.com/citation-style-language/schema/raw/master/csl-citation.json"} </w:instrText>
      </w:r>
      <w:r w:rsidRPr="00C6674F">
        <w:fldChar w:fldCharType="separate"/>
      </w:r>
      <w:r w:rsidRPr="00C6674F">
        <w:rPr>
          <w:szCs w:val="24"/>
          <w:vertAlign w:val="superscript"/>
        </w:rPr>
        <w:t>23</w:t>
      </w:r>
      <w:r w:rsidRPr="00C6674F">
        <w:fldChar w:fldCharType="end"/>
      </w:r>
      <w:r w:rsidRPr="00C6674F">
        <w:t xml:space="preserve"> we note an agreement between the two sets. From Table S8, the β-phase content unexpectedly increased when IL content was 10 wt %. This behavior is associated with the electrostatic interaction between the CF</w:t>
      </w:r>
      <w:r w:rsidRPr="00C6674F">
        <w:rPr>
          <w:vertAlign w:val="subscript"/>
        </w:rPr>
        <w:t>2</w:t>
      </w:r>
      <w:r w:rsidRPr="00C6674F">
        <w:t xml:space="preserve"> group of PVDF-HFP and the cation group of IL, promoting the formation of the β-phase.</w:t>
      </w:r>
      <w:r w:rsidRPr="00C6674F">
        <w:fldChar w:fldCharType="begin"/>
      </w:r>
      <w:r w:rsidRPr="00C6674F">
        <w:instrText xml:space="preserve"> ADDIN ZOTERO_ITEM CSL_CITATION {"citationID":"ar00uqnu","properties":{"formattedCitation":"\\super 24\\nosupersub{}","plainCitation":"24","noteIndex":0},"citationItems":[{"id":38,"uris":["http://zotero.org/groups/4545406/items/QUSLFLQQ"],"itemData":{"id":38,"type":"article-journal","abstract":"To investigate the effects of graphene (Gra) modified by a long alkyl chain ionic liquid (1-hexadecyl-3-methylimidazolium bromide, IL) on the crystallization kinetics behavior of poly(vinylidene fluoride) (PVDF), a series of PVDF/IL blend, PVDF/Gra and PVDF/IL/Gra nanocomposites have been prepared using a solution-cast method. The crystallization kinetics and corresponding crystal structure have been investigated using differential scanning calorimetry (DSC), polarized optical microscopy (POM) and X-ray diffraction spectroscopy (XRD). The crystallization kinetic parameters, such as relative crystallinity (Xt), crystallization half time (t1/2), crystallization rate constant (Z), Avrami exponents (n) and activation energy (Ea), have been determined by both isothermal and non-isothermal techniques. In the isothermal and non-isothermal crystallization process, for PVDF/0.5IL/0.5Gra, IL and Gra can facilitate nucleation to decrease Ea; moreover, the synergistic efforts of IL and Gra can maintain appropriate crystallization rate to form the β phase extruded form the α phase. The positive effect on the crystallization of PVDF may be ascribed not only to the existence of Gra–cation interaction between the imidazolium cation and the aromatic carbon ring structure, but also to the electrostatic interaction between the CF2 group of the polymer backbone and imidazolium cation.","container-title":"RSC Advances","DOI":"10.1039/C5RA17169E","ISSN":"2046-2069","issue":"112","journalAbbreviation":"RSC Adv.","language":"en","note":"publisher: The Royal Society of Chemistry","page":"92418-92427","source":"pubs.rsc.org","title":"Effect of graphene modified by a long alkyl chain ionic liquid on crystallization kinetics behavior of poly(vinylidene fluoride)","volume":"5","author":[{"family":"Hu","given":"Yadong"},{"family":"Xu","given":"Pei"},{"family":"Gui","given":"Haoguan"},{"family":"Yang","given":"Shanzhong"},{"family":"Ding","given":"Yunsheng"}],"issued":{"date-parts":[["2015",10,27]]}}}],"schema":"https://github.com/citation-style-language/schema/raw/master/csl-citation.json"} </w:instrText>
      </w:r>
      <w:r w:rsidRPr="00C6674F">
        <w:fldChar w:fldCharType="separate"/>
      </w:r>
      <w:r w:rsidRPr="00C6674F">
        <w:rPr>
          <w:szCs w:val="24"/>
          <w:vertAlign w:val="superscript"/>
        </w:rPr>
        <w:t>24</w:t>
      </w:r>
      <w:r w:rsidRPr="00C6674F">
        <w:fldChar w:fldCharType="end"/>
      </w:r>
      <w:r w:rsidRPr="00C6674F">
        <w:t xml:space="preserve"> However, as the IL content increased in polymeric mixtures, the plasticization effect reduces these interactions, leading to a decrease in the fraction of β-phase.</w:t>
      </w:r>
      <w:r w:rsidRPr="00C6674F">
        <w:rPr>
          <w:vertAlign w:val="superscript"/>
        </w:rPr>
        <w:t>23</w:t>
      </w:r>
      <w:r w:rsidRPr="00C6674F">
        <w:t xml:space="preserve"> In contrast, when GNP was added to the mixture, the β-phase fraction was increased again. Here, we think that GNP restrained the plasticization effect of IL, favored the formation of β-phase.</w:t>
      </w:r>
      <w:r w:rsidRPr="00C6674F">
        <w:fldChar w:fldCharType="begin"/>
      </w:r>
      <w:r w:rsidRPr="00C6674F">
        <w:instrText xml:space="preserve"> ADDIN ZOTERO_ITEM CSL_CITATION {"citationID":"MI2N4q2v","properties":{"formattedCitation":"\\super 25,26\\nosupersub{}","plainCitation":"25,26","noteIndex":0},"citationItems":[{"id":123,"uris":["http://zotero.org/groups/4545406/items/L4GPYKI4"],"itemData":{"id":123,"type":"article-journal","abstract":"The crystalline structure evolution of poly(vinylidene fluoride) (PVDF) during tensile deformation at 60 °C, 140 °C and 160 °C, i.e. between the glass transition temperature (Tg) and the melting temperature (Tm), was investigated by in-situ synchrotron SAXS and WAXS techniques. The analysis of the obtained scattering results indicated either yielding or α–β transformation in PVDF occurred and initiated at almost the same strain level with different stretching temperatures. A deformation mechanism was proposed for PVDF to illustrate the structure evolution during uniaxial stretching at high temperature indicating that the initial crystallite and crystalline lamellae structures of stretched PVDF are destroyed and orientated not simultaneously, which is intimately related to the yield point and the initial of α–β transformation on a certain degree of orientation. The long period along tensile direction increases to a maximum and then drops into a lower but stable value during this stage of deformation.","container-title":"CrystEngComm","DOI":"10.1039/C2CE26578H","ISSN":"1466-8033","issue":"8","journalAbbreviation":"CrystEngComm","language":"en","note":"publisher: The Royal Society of Chemistry","page":"1597-1606","source":"pubs.rsc.org","title":"In-situ synchrotron SAXS and WAXS investigations on deformation and α–β transformation of uniaxial stretched poly(vinylidene fluoride)","volume":"15","author":[{"family":"Guo","given":"Huilong"},{"family":"Zhang","given":"Yao"},{"family":"Xue","given":"Feifei"},{"family":"Cai","given":"Ziwei"},{"family":"Shang","given":"Yingrui"},{"family":"Li","given":"Jingqing"},{"family":"Chen","given":"Yu"},{"family":"Wu","given":"Zhonghua"},{"family":"Jiang","given":"Shichun"}],"issued":{"date-parts":[["2013",1,29]]}}},{"id":51,"uris":["http://zotero.org/groups/4545406/items/AJTT56ET"],"itemData":{"id":51,"type":"article-journal","abstract":"Development of polyvinylidene fluoride (PVDF) film composite filled with carbon-based nanomaterials is attracting considerable attention in engineering applications. Numerous studies focus on the enhancement of PVDF properties by adding chemically modified graphene oxide or functionalized carbon nanotubes, or by modifying the polymer chains. On the other hand, in this paper we investigate the nucleation effect of graphene nanoplatelets (GNPs) on morphology and structure of PVDF, without any chemical modification or functionalization either of the GNPs or of the polymer chains. Thus, we fabricate GNP-filled PVDF composite films by the solution casting method. Then, we investigate the effect of GNPs on composite porosity, crystallinity and polymer phases, with special emphasis on the formation of β-phase. To this purpose, the produced PVDF/GNP composite films are characterized through scanning electron microscopy and atomic force microscopy topographies, differential scanning calorimetry, X-ray powder diffraction and Fourier transform infrared spectroscopy. All these experimental characterizations show that GNPs uniformly dispersed in PVDF, without any modification or functionalization, influence significantly the polymer structure and porosity, enhancing the β-phase crystals formation. Finally, the electrical, mechanical and electromechanical properties of the produced PVDF/GNP composite films are characterized.","container-title":"Materials Today Communications","DOI":"10.1016/j.mtcomm.2017.04.001","ISSN":"2352-4928","journalAbbreviation":"Materials Today Communications","language":"en","page":"163-173","source":"ScienceDirect","title":"Nucleation effect of unmodified graphene nanoplatelets on PVDF/GNP film composites","volume":"11","author":[{"family":"Bidsorkhi","given":"Hossein Cheraghi"},{"family":"D’Aloia","given":"Alessandro Giuseppe"},{"family":"De Bellis","given":"Giovanni"},{"family":"Proietti","given":"Alessandro"},{"family":"Rinaldi","given":"Andrea"},{"family":"Fortunato","given":"Marco"},{"family":"Ballirano","given":"Paolo"},{"family":"Bracciale","given":"Maria Paola"},{"family":"Santarelli","given":"Maria Laura"},{"family":"Sarto","given":"Maria Sabrina"}],"issued":{"date-parts":[["2017",6,1]]}}}],"schema":"https://github.com/citation-style-language/schema/raw/master/csl-citation.json"} </w:instrText>
      </w:r>
      <w:r w:rsidRPr="00C6674F">
        <w:fldChar w:fldCharType="separate"/>
      </w:r>
      <w:r w:rsidRPr="00C6674F">
        <w:rPr>
          <w:szCs w:val="24"/>
          <w:vertAlign w:val="superscript"/>
        </w:rPr>
        <w:t>25,26</w:t>
      </w:r>
      <w:r w:rsidRPr="00C6674F">
        <w:fldChar w:fldCharType="end"/>
      </w:r>
    </w:p>
    <w:p w14:paraId="6587761D" w14:textId="746BB9AC" w:rsidR="00562240" w:rsidRPr="00C6674F" w:rsidRDefault="004E3BB7" w:rsidP="00D67DBB">
      <w:pPr>
        <w:pStyle w:val="MDPI22heading2"/>
        <w:spacing w:before="240"/>
        <w:rPr>
          <w:noProof w:val="0"/>
        </w:rPr>
      </w:pPr>
      <w:r w:rsidRPr="00C6674F">
        <w:rPr>
          <w:noProof w:val="0"/>
        </w:rPr>
        <w:t>S</w:t>
      </w:r>
      <w:r w:rsidR="00A25069" w:rsidRPr="00C6674F">
        <w:rPr>
          <w:noProof w:val="0"/>
        </w:rPr>
        <w:t xml:space="preserve">3.4. </w:t>
      </w:r>
      <w:r w:rsidR="00562240" w:rsidRPr="00C6674F">
        <w:rPr>
          <w:noProof w:val="0"/>
        </w:rPr>
        <w:t>X-ray Diffraction (XRD)</w:t>
      </w:r>
    </w:p>
    <w:p w14:paraId="18CB2EA6" w14:textId="77777777" w:rsidR="00562240" w:rsidRPr="00C6674F" w:rsidRDefault="00562240" w:rsidP="00D67DBB">
      <w:pPr>
        <w:pStyle w:val="MDPI31text"/>
      </w:pPr>
      <w:r w:rsidRPr="00C6674F">
        <w:t>For the XRD measurements, the thick film preparation method was applied. The XRD measurements were performed on Rigaku SmartLab (Rigaku Co., Tokyo, Japan, SmartLab). The source was Cu-Kα 0.154 nm; the Bragg-Brentano method and a normal detector were utilized. XRD angles were collected from 5 to 50 degrees with a scanning rate of 1 min/deg and a step-size of 0.1 degrees. For determining the degree of crystallinity, the AMORPH software was used.</w:t>
      </w:r>
      <w:r w:rsidRPr="00C6674F">
        <w:fldChar w:fldCharType="begin"/>
      </w:r>
      <w:r w:rsidRPr="00C6674F">
        <w:instrText xml:space="preserve"> ADDIN ZOTERO_ITEM CSL_CITATION {"citationID":"9BfFSVRh","properties":{"formattedCitation":"\\super 27\\nosupersub{}","plainCitation":"27","noteIndex":0},"citationItems":[{"id":76,"uris":["http://zotero.org/groups/4545406/items/56ZZQ4C3"],"itemData":{"id":76,"type":"article-journal","abstract":"AMORPH utilizes a new Bayesian statistical approach to interpreting X-ray diffraction results of samples with both crystalline and amorphous components. AMORPH fits X-ray diffraction patterns with a mixture of narrow and wide components, simultaneously inferring all of the model parameters and quantifying their uncertainties. The program simulates background patterns previously applied manually, providing reproducible results, and significantly reducing inter- and intra-user biases. This approach allows for the quantification of amorphous and crystalline materials and for the characterization of the amorphous component, including properties such as the centre of mass, width, skewness, and nongaussianity of the amorphous component. Results demonstrate the applicability of this program for calculating amorphous contents of volcanic materials and independently modeling their properties in compositionally variable materials.","container-title":"Computers &amp; Geosciences","DOI":"10.1016/j.cageo.2018.07.004","ISSN":"0098-3004","journalAbbreviation":"Computers &amp; Geosciences","language":"en","page":"21-31","source":"ScienceDirect","title":"AMORPH: A statistical program for characterizing amorphous materials by X-ray diffraction","title-short":"AMORPH","volume":"120","author":[{"family":"Rowe","given":"Michael C."},{"family":"Brewer","given":"Brendon J."}],"issued":{"date-parts":[["2018",11,1]]}}}],"schema":"https://github.com/citation-style-language/schema/raw/master/csl-citation.json"} </w:instrText>
      </w:r>
      <w:r w:rsidRPr="00C6674F">
        <w:fldChar w:fldCharType="separate"/>
      </w:r>
      <w:r w:rsidRPr="00C6674F">
        <w:rPr>
          <w:szCs w:val="24"/>
          <w:vertAlign w:val="superscript"/>
        </w:rPr>
        <w:t>27</w:t>
      </w:r>
      <w:r w:rsidRPr="00C6674F">
        <w:fldChar w:fldCharType="end"/>
      </w:r>
      <w:r w:rsidRPr="00C6674F">
        <w:rPr>
          <w:vertAlign w:val="superscript"/>
        </w:rPr>
        <w:t xml:space="preserve"> </w:t>
      </w:r>
      <w:r w:rsidRPr="00C6674F">
        <w:t>The input parameters of the AMORPH is presented in Table S9.</w:t>
      </w:r>
    </w:p>
    <w:p w14:paraId="45C9504D" w14:textId="18DF132E" w:rsidR="00562240" w:rsidRPr="00C6674F" w:rsidRDefault="00562240" w:rsidP="00D67DBB">
      <w:pPr>
        <w:pStyle w:val="MDPI31text"/>
      </w:pPr>
      <w:r w:rsidRPr="00C6674F">
        <w:t>The XRD measurements were repeated at least three times, and the mean values were reported. For the polymeric films with 30 wt % of IL, the test was done once. The results were compared against previous report to determine the reliability of our analysis.</w:t>
      </w:r>
      <w:r w:rsidRPr="00C6674F">
        <w:fldChar w:fldCharType="begin"/>
      </w:r>
      <w:r w:rsidRPr="00C6674F">
        <w:instrText xml:space="preserve"> ADDIN ZOTERO_ITEM CSL_CITATION {"citationID":"GFLklOKL","properties":{"formattedCitation":"\\super 23\\nosupersub{}","plainCitation":"23","noteIndex":0},"citationItems":[{"id":67,"uris":["http://zotero.org/groups/4545406/items/VSI7U9KF"],"itemData":{"id":67,"type":"article-journal","abstract":"Poly(vinylidene fluoride) (PVDF), poly(vinylidene fluoride-co-trifluoroethylene) (PVDF-TrFE), poly(vinylidene fluoride-co-hexafluropropylene) (PVDF-HFP) and poly(vinylidene fluoride-co-chlorotrifluoroethylene) (PVDF-CTFE) were evaluated for the development of ionic liquid (IL) - polymer composite bending actuators. The selected guest IL, 1-ethyl-3-methylimidazolium bis(trifluoromethanesulfonyl)imide, [Emim][TFSI], was incorporated into the different host polymer matrixes in concentrations ranging from 10 to 40</w:instrText>
      </w:r>
      <w:r w:rsidRPr="00C6674F">
        <w:rPr>
          <w:rFonts w:ascii="Times New Roman" w:hAnsi="Times New Roman"/>
        </w:rPr>
        <w:instrText> </w:instrText>
      </w:r>
      <w:r w:rsidRPr="00C6674F">
        <w:instrText xml:space="preserve">wt%. The IL/polymer composites electrical properties strongly depend on the IL content. The largest bending response was found for the IL/PVDF-TrFE composites with a maximum bending value of </w:instrText>
      </w:r>
      <w:r w:rsidRPr="00C6674F">
        <w:rPr>
          <w:rFonts w:ascii="Cambria Math" w:hAnsi="Cambria Math" w:cs="Cambria Math"/>
        </w:rPr>
        <w:instrText>∼</w:instrText>
      </w:r>
      <w:r w:rsidRPr="00C6674F">
        <w:instrText>3.5</w:instrText>
      </w:r>
      <w:r w:rsidRPr="00C6674F">
        <w:rPr>
          <w:rFonts w:ascii="Times New Roman" w:hAnsi="Times New Roman"/>
        </w:rPr>
        <w:instrText> </w:instrText>
      </w:r>
      <w:r w:rsidRPr="00C6674F">
        <w:instrText>mm using a frequency of 100</w:instrText>
      </w:r>
      <w:r w:rsidRPr="00C6674F">
        <w:rPr>
          <w:rFonts w:ascii="Times New Roman" w:hAnsi="Times New Roman"/>
        </w:rPr>
        <w:instrText> </w:instrText>
      </w:r>
      <w:r w:rsidRPr="00C6674F">
        <w:instrText>mHz</w:instrText>
      </w:r>
      <w:r w:rsidRPr="00C6674F">
        <w:rPr>
          <w:rFonts w:ascii="Times New Roman" w:hAnsi="Times New Roman"/>
        </w:rPr>
        <w:instrText> </w:instrText>
      </w:r>
      <w:r w:rsidRPr="00C6674F">
        <w:instrText xml:space="preserve">at an applied potential difference of 5.0 Vpp. Thus, PVDF-TrFE are attractive candidates for the development of high performance bending actuators.","container-title":"Electrochimica Acta","DOI":"10.1016/j.electacta.2018.11.049","ISSN":"0013-4686","journalAbbreviation":"Electrochimica Acta","language":"en","page":"598-607","source":"ScienceDirect","title":"Improved response of ionic liquid-based bending actuators by tailored interaction with the polar fluorinated polymer matrix","volume":"296","author":[{"family":"Dias","given":"Juliana C."},{"family":"Correia","given":"Daniela M."},{"family":"Costa","given":"Carlos M."},{"family":"Ribeiro","given":"Clarisse"},{"family":"Maceiras","given":"Alberto"},{"family":"Vilas","given":"José L."},{"family":"Botelho","given":"Gabriela"},{"family":"Zea Bermudez","given":"Verónica","non-dropping-particle":"de"},{"family":"Lanceros-Mendez","given":"Senentxu"}],"issued":{"date-parts":[["2019",2,10]]}}}],"schema":"https://github.com/citation-style-language/schema/raw/master/csl-citation.json"} </w:instrText>
      </w:r>
      <w:r w:rsidRPr="00C6674F">
        <w:fldChar w:fldCharType="separate"/>
      </w:r>
      <w:r w:rsidRPr="00C6674F">
        <w:rPr>
          <w:szCs w:val="24"/>
          <w:vertAlign w:val="superscript"/>
        </w:rPr>
        <w:t>23</w:t>
      </w:r>
      <w:r w:rsidRPr="00C6674F">
        <w:fldChar w:fldCharType="end"/>
      </w:r>
      <w:r w:rsidRPr="00C6674F">
        <w:t xml:space="preserve"> Figure </w:t>
      </w:r>
      <w:r w:rsidR="00553FCA" w:rsidRPr="00C6674F">
        <w:t xml:space="preserve">S11 </w:t>
      </w:r>
      <w:r w:rsidRPr="00C6674F">
        <w:t>illustrates typical XRD analysis, done with the AMORPH software; data for seven samples of different compositions are shown. The Miller indices and the diffraction angles of the major peaks are tabulated in Table S10.</w:t>
      </w:r>
    </w:p>
    <w:p w14:paraId="4E608640" w14:textId="77777777" w:rsidR="00BC6F0D" w:rsidRPr="00C6674F" w:rsidRDefault="00BC6F0D" w:rsidP="00D67DBB">
      <w:pPr>
        <w:pStyle w:val="MDPI31text"/>
      </w:pPr>
    </w:p>
    <w:p w14:paraId="7D5F28BA" w14:textId="77777777" w:rsidR="00BC6F0D" w:rsidRPr="00C6674F" w:rsidRDefault="00BC6F0D" w:rsidP="00D67DBB">
      <w:pPr>
        <w:pStyle w:val="MDPI41tablecaption"/>
        <w:jc w:val="both"/>
        <w:rPr>
          <w:b/>
          <w:bCs/>
        </w:rPr>
      </w:pPr>
    </w:p>
    <w:p w14:paraId="3DE223D5" w14:textId="77777777" w:rsidR="00BC6F0D" w:rsidRPr="00C6674F" w:rsidRDefault="00BC6F0D" w:rsidP="00D67DBB">
      <w:pPr>
        <w:pStyle w:val="MDPI41tablecaption"/>
        <w:jc w:val="both"/>
        <w:rPr>
          <w:b/>
          <w:bCs/>
        </w:rPr>
      </w:pPr>
    </w:p>
    <w:p w14:paraId="3E2763B0" w14:textId="77777777" w:rsidR="00BC6F0D" w:rsidRPr="00C6674F" w:rsidRDefault="00BC6F0D" w:rsidP="00D67DBB">
      <w:pPr>
        <w:pStyle w:val="MDPI41tablecaption"/>
        <w:jc w:val="both"/>
        <w:rPr>
          <w:b/>
          <w:bCs/>
        </w:rPr>
      </w:pPr>
    </w:p>
    <w:p w14:paraId="0053D3EF" w14:textId="77777777" w:rsidR="00BC6F0D" w:rsidRPr="00C6674F" w:rsidRDefault="00BC6F0D" w:rsidP="00D67DBB">
      <w:pPr>
        <w:pStyle w:val="MDPI41tablecaption"/>
        <w:jc w:val="both"/>
        <w:rPr>
          <w:b/>
          <w:bCs/>
        </w:rPr>
      </w:pPr>
    </w:p>
    <w:p w14:paraId="4949EF23" w14:textId="77777777" w:rsidR="00BC6F0D" w:rsidRPr="00C6674F" w:rsidRDefault="00BC6F0D" w:rsidP="00D67DBB">
      <w:pPr>
        <w:pStyle w:val="MDPI41tablecaption"/>
        <w:jc w:val="both"/>
        <w:rPr>
          <w:b/>
          <w:bCs/>
        </w:rPr>
      </w:pPr>
    </w:p>
    <w:p w14:paraId="66FC15B7" w14:textId="77777777" w:rsidR="00BC6F0D" w:rsidRPr="00C6674F" w:rsidRDefault="00BC6F0D" w:rsidP="00D67DBB">
      <w:pPr>
        <w:pStyle w:val="MDPI41tablecaption"/>
        <w:jc w:val="both"/>
        <w:rPr>
          <w:b/>
          <w:bCs/>
        </w:rPr>
      </w:pPr>
    </w:p>
    <w:p w14:paraId="5DAB4C38" w14:textId="77777777" w:rsidR="00BC6F0D" w:rsidRPr="00C6674F" w:rsidRDefault="00BC6F0D" w:rsidP="00D67DBB">
      <w:pPr>
        <w:pStyle w:val="MDPI41tablecaption"/>
        <w:jc w:val="both"/>
        <w:rPr>
          <w:b/>
          <w:bCs/>
        </w:rPr>
      </w:pPr>
    </w:p>
    <w:p w14:paraId="03347FCB" w14:textId="77777777" w:rsidR="00BC6F0D" w:rsidRPr="00C6674F" w:rsidRDefault="00BC6F0D" w:rsidP="00D67DBB">
      <w:pPr>
        <w:pStyle w:val="MDPI41tablecaption"/>
        <w:jc w:val="both"/>
        <w:rPr>
          <w:b/>
          <w:bCs/>
        </w:rPr>
      </w:pPr>
    </w:p>
    <w:p w14:paraId="571A6413" w14:textId="2AE08AAB" w:rsidR="00562240" w:rsidRPr="00C6674F" w:rsidRDefault="00A25069" w:rsidP="00D67DBB">
      <w:pPr>
        <w:pStyle w:val="MDPI41tablecaption"/>
        <w:jc w:val="both"/>
      </w:pPr>
      <w:r w:rsidRPr="00C6674F">
        <w:rPr>
          <w:b/>
          <w:bCs/>
        </w:rPr>
        <w:t xml:space="preserve">Table S9. </w:t>
      </w:r>
      <w:r w:rsidR="00562240" w:rsidRPr="00C6674F">
        <w:t>Parameters applied to AMORPH simulation to calculate the crystallinity and amorphousity of the polymeric film.</w:t>
      </w:r>
      <w:r w:rsidR="00562240" w:rsidRPr="00C6674F">
        <w:fldChar w:fldCharType="begin"/>
      </w:r>
      <w:r w:rsidR="00562240" w:rsidRPr="00C6674F">
        <w:instrText xml:space="preserve"> ADDIN ZOTERO_ITEM CSL_CITATION {"citationID":"kTH8h46r","properties":{"formattedCitation":"\\super 27\\nosupersub{}","plainCitation":"27","noteIndex":0},"citationItems":[{"id":76,"uris":["http://zotero.org/groups/4545406/items/56ZZQ4C3"],"itemData":{"id":76,"type":"article-journal","abstract":"AMORPH utilizes a new Bayesian statistical approach to interpreting X-ray diffraction results of samples with both crystalline and amorphous components. AMORPH fits X-ray diffraction patterns with a mixture of narrow and wide components, simultaneously inferring all of the model parameters and quantifying their uncertainties. The program simulates background patterns previously applied manually, providing reproducible results, and significantly reducing inter- and intra-user biases. This approach allows for the quantification of amorphous and crystalline materials and for the characterization of the amorphous component, including properties such as the centre of mass, width, skewness, and nongaussianity of the amorphous component. Results demonstrate the applicability of this program for calculating amorphous contents of volcanic materials and independently modeling their properties in compositionally variable materials.","container-title":"Computers &amp; Geosciences","DOI":"10.1016/j.cageo.2018.07.004","ISSN":"0098-3004","journalAbbreviation":"Computers &amp; Geosciences","language":"en","page":"21-31","source":"ScienceDirect","title":"AMORPH: A statistical program for characterizing amorphous materials by X-ray diffraction","title-short":"AMORPH","volume":"120","author":[{"family":"Rowe","given":"Michael C."},{"family":"Brewer","given":"Brendon J."}],"issued":{"date-parts":[["2018",11,1]]}}}],"schema":"https://github.com/citation-style-language/schema/raw/master/csl-citation.json"} </w:instrText>
      </w:r>
      <w:r w:rsidR="00562240" w:rsidRPr="00C6674F">
        <w:fldChar w:fldCharType="separate"/>
      </w:r>
      <w:r w:rsidR="00562240" w:rsidRPr="00C6674F">
        <w:rPr>
          <w:szCs w:val="24"/>
          <w:vertAlign w:val="superscript"/>
        </w:rPr>
        <w:t>27</w:t>
      </w:r>
      <w:r w:rsidR="00562240" w:rsidRPr="00C6674F">
        <w:fldChar w:fldCharType="end"/>
      </w:r>
      <w:r w:rsidRPr="00C6674F">
        <w:t>.</w:t>
      </w:r>
    </w:p>
    <w:tbl>
      <w:tblPr>
        <w:tblW w:w="7857" w:type="dxa"/>
        <w:tblInd w:w="2608" w:type="dxa"/>
        <w:tblLayout w:type="fixed"/>
        <w:tblCellMar>
          <w:left w:w="0" w:type="dxa"/>
          <w:right w:w="0" w:type="dxa"/>
        </w:tblCellMar>
        <w:tblLook w:val="0600" w:firstRow="0" w:lastRow="0" w:firstColumn="0" w:lastColumn="0" w:noHBand="1" w:noVBand="1"/>
      </w:tblPr>
      <w:tblGrid>
        <w:gridCol w:w="5638"/>
        <w:gridCol w:w="2219"/>
      </w:tblGrid>
      <w:tr w:rsidR="00E02BFC" w:rsidRPr="00C6674F" w14:paraId="34023415" w14:textId="77777777" w:rsidTr="00E02BFC">
        <w:tc>
          <w:tcPr>
            <w:tcW w:w="5145" w:type="dxa"/>
            <w:tcBorders>
              <w:top w:val="single" w:sz="8" w:space="0" w:color="auto"/>
              <w:bottom w:val="single" w:sz="4" w:space="0" w:color="auto"/>
            </w:tcBorders>
            <w:shd w:val="clear" w:color="auto" w:fill="auto"/>
            <w:tcMar>
              <w:top w:w="100" w:type="dxa"/>
              <w:left w:w="100" w:type="dxa"/>
              <w:bottom w:w="100" w:type="dxa"/>
              <w:right w:w="100" w:type="dxa"/>
            </w:tcMar>
            <w:vAlign w:val="center"/>
          </w:tcPr>
          <w:p w14:paraId="2A7E1F65"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lastRenderedPageBreak/>
              <w:t>Parameter</w:t>
            </w:r>
          </w:p>
        </w:tc>
        <w:tc>
          <w:tcPr>
            <w:tcW w:w="2025" w:type="dxa"/>
            <w:tcBorders>
              <w:top w:val="single" w:sz="8" w:space="0" w:color="auto"/>
              <w:bottom w:val="single" w:sz="4" w:space="0" w:color="auto"/>
            </w:tcBorders>
            <w:shd w:val="clear" w:color="auto" w:fill="auto"/>
            <w:tcMar>
              <w:top w:w="100" w:type="dxa"/>
              <w:left w:w="100" w:type="dxa"/>
              <w:bottom w:w="100" w:type="dxa"/>
              <w:right w:w="100" w:type="dxa"/>
            </w:tcMar>
            <w:vAlign w:val="center"/>
          </w:tcPr>
          <w:p w14:paraId="43872E26"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Value</w:t>
            </w:r>
          </w:p>
        </w:tc>
      </w:tr>
      <w:tr w:rsidR="00562240" w:rsidRPr="00C6674F" w14:paraId="1F8BB720" w14:textId="77777777" w:rsidTr="00E02BFC">
        <w:tc>
          <w:tcPr>
            <w:tcW w:w="5145" w:type="dxa"/>
            <w:tcBorders>
              <w:top w:val="single" w:sz="4" w:space="0" w:color="auto"/>
            </w:tcBorders>
            <w:shd w:val="clear" w:color="auto" w:fill="auto"/>
            <w:tcMar>
              <w:top w:w="100" w:type="dxa"/>
              <w:left w:w="100" w:type="dxa"/>
              <w:bottom w:w="100" w:type="dxa"/>
              <w:right w:w="100" w:type="dxa"/>
            </w:tcMar>
            <w:vAlign w:val="center"/>
          </w:tcPr>
          <w:p w14:paraId="5394E005"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Number of particles</w:t>
            </w:r>
          </w:p>
        </w:tc>
        <w:tc>
          <w:tcPr>
            <w:tcW w:w="2025" w:type="dxa"/>
            <w:tcBorders>
              <w:top w:val="single" w:sz="4" w:space="0" w:color="auto"/>
            </w:tcBorders>
            <w:shd w:val="clear" w:color="auto" w:fill="auto"/>
            <w:tcMar>
              <w:top w:w="100" w:type="dxa"/>
              <w:left w:w="100" w:type="dxa"/>
              <w:bottom w:w="100" w:type="dxa"/>
              <w:right w:w="100" w:type="dxa"/>
            </w:tcMar>
            <w:vAlign w:val="center"/>
          </w:tcPr>
          <w:p w14:paraId="11630A38"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w:t>
            </w:r>
          </w:p>
        </w:tc>
      </w:tr>
      <w:tr w:rsidR="00562240" w:rsidRPr="00C6674F" w14:paraId="266EA567" w14:textId="77777777" w:rsidTr="00E02BFC">
        <w:tc>
          <w:tcPr>
            <w:tcW w:w="5145" w:type="dxa"/>
            <w:shd w:val="clear" w:color="auto" w:fill="auto"/>
            <w:tcMar>
              <w:top w:w="100" w:type="dxa"/>
              <w:left w:w="100" w:type="dxa"/>
              <w:bottom w:w="100" w:type="dxa"/>
              <w:right w:w="100" w:type="dxa"/>
            </w:tcMar>
            <w:vAlign w:val="center"/>
          </w:tcPr>
          <w:p w14:paraId="4DFD039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New level interval</w:t>
            </w:r>
          </w:p>
        </w:tc>
        <w:tc>
          <w:tcPr>
            <w:tcW w:w="2025" w:type="dxa"/>
            <w:shd w:val="clear" w:color="auto" w:fill="auto"/>
            <w:tcMar>
              <w:top w:w="100" w:type="dxa"/>
              <w:left w:w="100" w:type="dxa"/>
              <w:bottom w:w="100" w:type="dxa"/>
              <w:right w:w="100" w:type="dxa"/>
            </w:tcMar>
            <w:vAlign w:val="center"/>
          </w:tcPr>
          <w:p w14:paraId="7E8098B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10000</w:t>
            </w:r>
          </w:p>
        </w:tc>
      </w:tr>
      <w:tr w:rsidR="00562240" w:rsidRPr="00C6674F" w14:paraId="5AA1C857" w14:textId="77777777" w:rsidTr="00E02BFC">
        <w:tc>
          <w:tcPr>
            <w:tcW w:w="5145" w:type="dxa"/>
            <w:shd w:val="clear" w:color="auto" w:fill="auto"/>
            <w:tcMar>
              <w:top w:w="100" w:type="dxa"/>
              <w:left w:w="100" w:type="dxa"/>
              <w:bottom w:w="100" w:type="dxa"/>
              <w:right w:w="100" w:type="dxa"/>
            </w:tcMar>
            <w:vAlign w:val="center"/>
          </w:tcPr>
          <w:p w14:paraId="7DCC37D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Save interval</w:t>
            </w:r>
          </w:p>
        </w:tc>
        <w:tc>
          <w:tcPr>
            <w:tcW w:w="2025" w:type="dxa"/>
            <w:shd w:val="clear" w:color="auto" w:fill="auto"/>
            <w:tcMar>
              <w:top w:w="100" w:type="dxa"/>
              <w:left w:w="100" w:type="dxa"/>
              <w:bottom w:w="100" w:type="dxa"/>
              <w:right w:w="100" w:type="dxa"/>
            </w:tcMar>
            <w:vAlign w:val="center"/>
          </w:tcPr>
          <w:p w14:paraId="1E87CBCA"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25000</w:t>
            </w:r>
          </w:p>
        </w:tc>
      </w:tr>
      <w:tr w:rsidR="00562240" w:rsidRPr="00C6674F" w14:paraId="22E29F82" w14:textId="77777777" w:rsidTr="00E02BFC">
        <w:tc>
          <w:tcPr>
            <w:tcW w:w="5145" w:type="dxa"/>
            <w:shd w:val="clear" w:color="auto" w:fill="auto"/>
            <w:tcMar>
              <w:top w:w="100" w:type="dxa"/>
              <w:left w:w="100" w:type="dxa"/>
              <w:bottom w:w="100" w:type="dxa"/>
              <w:right w:w="100" w:type="dxa"/>
            </w:tcMar>
            <w:vAlign w:val="center"/>
          </w:tcPr>
          <w:p w14:paraId="0B8FA825"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Thread Steps (ThreadSteps)</w:t>
            </w:r>
          </w:p>
        </w:tc>
        <w:tc>
          <w:tcPr>
            <w:tcW w:w="2025" w:type="dxa"/>
            <w:shd w:val="clear" w:color="auto" w:fill="auto"/>
            <w:tcMar>
              <w:top w:w="100" w:type="dxa"/>
              <w:left w:w="100" w:type="dxa"/>
              <w:bottom w:w="100" w:type="dxa"/>
              <w:right w:w="100" w:type="dxa"/>
            </w:tcMar>
            <w:vAlign w:val="center"/>
          </w:tcPr>
          <w:p w14:paraId="2132548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100</w:t>
            </w:r>
          </w:p>
        </w:tc>
      </w:tr>
      <w:tr w:rsidR="00562240" w:rsidRPr="00C6674F" w14:paraId="0621DEDD" w14:textId="77777777" w:rsidTr="00E02BFC">
        <w:tc>
          <w:tcPr>
            <w:tcW w:w="5145" w:type="dxa"/>
            <w:shd w:val="clear" w:color="auto" w:fill="auto"/>
            <w:tcMar>
              <w:top w:w="100" w:type="dxa"/>
              <w:left w:w="100" w:type="dxa"/>
              <w:bottom w:w="100" w:type="dxa"/>
              <w:right w:w="100" w:type="dxa"/>
            </w:tcMar>
            <w:vAlign w:val="center"/>
          </w:tcPr>
          <w:p w14:paraId="6B0E027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Maximum number of levels</w:t>
            </w:r>
          </w:p>
        </w:tc>
        <w:tc>
          <w:tcPr>
            <w:tcW w:w="2025" w:type="dxa"/>
            <w:shd w:val="clear" w:color="auto" w:fill="auto"/>
            <w:tcMar>
              <w:top w:w="100" w:type="dxa"/>
              <w:left w:w="100" w:type="dxa"/>
              <w:bottom w:w="100" w:type="dxa"/>
              <w:right w:w="100" w:type="dxa"/>
            </w:tcMar>
            <w:vAlign w:val="center"/>
          </w:tcPr>
          <w:p w14:paraId="13823B1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w:t>
            </w:r>
          </w:p>
        </w:tc>
      </w:tr>
      <w:tr w:rsidR="00562240" w:rsidRPr="00C6674F" w14:paraId="13301419" w14:textId="77777777" w:rsidTr="00E02BFC">
        <w:tc>
          <w:tcPr>
            <w:tcW w:w="5145" w:type="dxa"/>
            <w:shd w:val="clear" w:color="auto" w:fill="auto"/>
            <w:tcMar>
              <w:top w:w="100" w:type="dxa"/>
              <w:left w:w="100" w:type="dxa"/>
              <w:bottom w:w="100" w:type="dxa"/>
              <w:right w:w="100" w:type="dxa"/>
            </w:tcMar>
            <w:vAlign w:val="center"/>
          </w:tcPr>
          <w:p w14:paraId="5C6F814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Backtracking scale length</w:t>
            </w:r>
          </w:p>
        </w:tc>
        <w:tc>
          <w:tcPr>
            <w:tcW w:w="2025" w:type="dxa"/>
            <w:shd w:val="clear" w:color="auto" w:fill="auto"/>
            <w:tcMar>
              <w:top w:w="100" w:type="dxa"/>
              <w:left w:w="100" w:type="dxa"/>
              <w:bottom w:w="100" w:type="dxa"/>
              <w:right w:w="100" w:type="dxa"/>
            </w:tcMar>
            <w:vAlign w:val="center"/>
          </w:tcPr>
          <w:p w14:paraId="3CBF5516"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w:t>
            </w:r>
          </w:p>
        </w:tc>
      </w:tr>
      <w:tr w:rsidR="00562240" w:rsidRPr="00C6674F" w14:paraId="20C639A7" w14:textId="77777777" w:rsidTr="00E02BFC">
        <w:tc>
          <w:tcPr>
            <w:tcW w:w="5145" w:type="dxa"/>
            <w:shd w:val="clear" w:color="auto" w:fill="auto"/>
            <w:tcMar>
              <w:top w:w="100" w:type="dxa"/>
              <w:left w:w="100" w:type="dxa"/>
              <w:bottom w:w="100" w:type="dxa"/>
              <w:right w:w="100" w:type="dxa"/>
            </w:tcMar>
            <w:vAlign w:val="center"/>
          </w:tcPr>
          <w:p w14:paraId="367FB429"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Strength of effect to force histogram to equal push</w:t>
            </w:r>
          </w:p>
        </w:tc>
        <w:tc>
          <w:tcPr>
            <w:tcW w:w="2025" w:type="dxa"/>
            <w:shd w:val="clear" w:color="auto" w:fill="auto"/>
            <w:tcMar>
              <w:top w:w="100" w:type="dxa"/>
              <w:left w:w="100" w:type="dxa"/>
              <w:bottom w:w="100" w:type="dxa"/>
              <w:right w:w="100" w:type="dxa"/>
            </w:tcMar>
            <w:vAlign w:val="center"/>
          </w:tcPr>
          <w:p w14:paraId="5C2F61C2"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100</w:t>
            </w:r>
          </w:p>
        </w:tc>
      </w:tr>
      <w:tr w:rsidR="00562240" w:rsidRPr="00C6674F" w14:paraId="73129E75" w14:textId="77777777" w:rsidTr="00E02BFC">
        <w:tc>
          <w:tcPr>
            <w:tcW w:w="5145" w:type="dxa"/>
            <w:shd w:val="clear" w:color="auto" w:fill="auto"/>
            <w:tcMar>
              <w:top w:w="100" w:type="dxa"/>
              <w:left w:w="100" w:type="dxa"/>
              <w:bottom w:w="100" w:type="dxa"/>
              <w:right w:w="100" w:type="dxa"/>
            </w:tcMar>
            <w:vAlign w:val="center"/>
          </w:tcPr>
          <w:p w14:paraId="6F9E7DE7"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Maximum number of saves</w:t>
            </w:r>
          </w:p>
        </w:tc>
        <w:tc>
          <w:tcPr>
            <w:tcW w:w="2025" w:type="dxa"/>
            <w:shd w:val="clear" w:color="auto" w:fill="auto"/>
            <w:tcMar>
              <w:top w:w="100" w:type="dxa"/>
              <w:left w:w="100" w:type="dxa"/>
              <w:bottom w:w="100" w:type="dxa"/>
              <w:right w:w="100" w:type="dxa"/>
            </w:tcMar>
            <w:vAlign w:val="center"/>
          </w:tcPr>
          <w:p w14:paraId="2E50F6A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10000</w:t>
            </w:r>
          </w:p>
        </w:tc>
      </w:tr>
      <w:tr w:rsidR="00562240" w:rsidRPr="00C6674F" w14:paraId="36D192C6" w14:textId="77777777" w:rsidTr="00E02BFC">
        <w:tc>
          <w:tcPr>
            <w:tcW w:w="5145" w:type="dxa"/>
            <w:shd w:val="clear" w:color="auto" w:fill="auto"/>
            <w:tcMar>
              <w:top w:w="100" w:type="dxa"/>
              <w:left w:w="100" w:type="dxa"/>
              <w:bottom w:w="100" w:type="dxa"/>
              <w:right w:w="100" w:type="dxa"/>
            </w:tcMar>
            <w:vAlign w:val="center"/>
          </w:tcPr>
          <w:p w14:paraId="2C55E724"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Control points</w:t>
            </w:r>
          </w:p>
        </w:tc>
        <w:tc>
          <w:tcPr>
            <w:tcW w:w="2025" w:type="dxa"/>
            <w:shd w:val="clear" w:color="auto" w:fill="auto"/>
            <w:tcMar>
              <w:top w:w="100" w:type="dxa"/>
              <w:left w:w="100" w:type="dxa"/>
              <w:bottom w:w="100" w:type="dxa"/>
              <w:right w:w="100" w:type="dxa"/>
            </w:tcMar>
            <w:vAlign w:val="center"/>
          </w:tcPr>
          <w:p w14:paraId="769114A2"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[5.0-10.0,50.0]</w:t>
            </w:r>
          </w:p>
        </w:tc>
      </w:tr>
      <w:tr w:rsidR="00562240" w:rsidRPr="00C6674F" w14:paraId="11B2FB8B" w14:textId="77777777" w:rsidTr="00E02BFC">
        <w:tc>
          <w:tcPr>
            <w:tcW w:w="5145" w:type="dxa"/>
            <w:shd w:val="clear" w:color="auto" w:fill="auto"/>
            <w:tcMar>
              <w:top w:w="100" w:type="dxa"/>
              <w:left w:w="100" w:type="dxa"/>
              <w:bottom w:w="100" w:type="dxa"/>
              <w:right w:w="100" w:type="dxa"/>
            </w:tcMar>
            <w:vAlign w:val="center"/>
          </w:tcPr>
          <w:p w14:paraId="20F87C97"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Number of threads (num_threads)</w:t>
            </w:r>
          </w:p>
        </w:tc>
        <w:tc>
          <w:tcPr>
            <w:tcW w:w="2025" w:type="dxa"/>
            <w:shd w:val="clear" w:color="auto" w:fill="auto"/>
            <w:tcMar>
              <w:top w:w="100" w:type="dxa"/>
              <w:left w:w="100" w:type="dxa"/>
              <w:bottom w:w="100" w:type="dxa"/>
              <w:right w:w="100" w:type="dxa"/>
            </w:tcMar>
            <w:vAlign w:val="center"/>
          </w:tcPr>
          <w:p w14:paraId="77D06B5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30-34</w:t>
            </w:r>
          </w:p>
        </w:tc>
      </w:tr>
      <w:tr w:rsidR="00562240" w:rsidRPr="00C6674F" w14:paraId="31F73C3A" w14:textId="77777777" w:rsidTr="00E02BFC">
        <w:tc>
          <w:tcPr>
            <w:tcW w:w="5145" w:type="dxa"/>
            <w:shd w:val="clear" w:color="auto" w:fill="auto"/>
            <w:tcMar>
              <w:top w:w="100" w:type="dxa"/>
              <w:left w:w="100" w:type="dxa"/>
              <w:bottom w:w="100" w:type="dxa"/>
              <w:right w:w="100" w:type="dxa"/>
            </w:tcMar>
            <w:vAlign w:val="center"/>
          </w:tcPr>
          <w:p w14:paraId="1A68BE9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Subset of the domain should the amorphous peaks be allowed to appear in on the left edge</w:t>
            </w:r>
          </w:p>
        </w:tc>
        <w:tc>
          <w:tcPr>
            <w:tcW w:w="2025" w:type="dxa"/>
            <w:shd w:val="clear" w:color="auto" w:fill="auto"/>
            <w:tcMar>
              <w:top w:w="100" w:type="dxa"/>
              <w:left w:w="100" w:type="dxa"/>
              <w:bottom w:w="100" w:type="dxa"/>
              <w:right w:w="100" w:type="dxa"/>
            </w:tcMar>
            <w:vAlign w:val="center"/>
          </w:tcPr>
          <w:p w14:paraId="3F6572F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Vary (based on user’s decision)</w:t>
            </w:r>
          </w:p>
        </w:tc>
      </w:tr>
      <w:tr w:rsidR="00562240" w:rsidRPr="00C6674F" w14:paraId="25A8DE0F" w14:textId="77777777" w:rsidTr="00E02BFC">
        <w:tc>
          <w:tcPr>
            <w:tcW w:w="5145" w:type="dxa"/>
            <w:tcBorders>
              <w:bottom w:val="single" w:sz="8" w:space="0" w:color="auto"/>
            </w:tcBorders>
            <w:shd w:val="clear" w:color="auto" w:fill="auto"/>
            <w:tcMar>
              <w:top w:w="100" w:type="dxa"/>
              <w:left w:w="100" w:type="dxa"/>
              <w:bottom w:w="100" w:type="dxa"/>
              <w:right w:w="100" w:type="dxa"/>
            </w:tcMar>
            <w:vAlign w:val="center"/>
          </w:tcPr>
          <w:p w14:paraId="74CE4B2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Subset of the domain should the amorphous peaks be allowed to appear in on the right edge</w:t>
            </w:r>
          </w:p>
        </w:tc>
        <w:tc>
          <w:tcPr>
            <w:tcW w:w="2025" w:type="dxa"/>
            <w:tcBorders>
              <w:bottom w:val="single" w:sz="8" w:space="0" w:color="auto"/>
            </w:tcBorders>
            <w:shd w:val="clear" w:color="auto" w:fill="auto"/>
            <w:tcMar>
              <w:top w:w="100" w:type="dxa"/>
              <w:left w:w="100" w:type="dxa"/>
              <w:bottom w:w="100" w:type="dxa"/>
              <w:right w:w="100" w:type="dxa"/>
            </w:tcMar>
            <w:vAlign w:val="center"/>
          </w:tcPr>
          <w:p w14:paraId="2925AE9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Vary (based on user’s decision)</w:t>
            </w:r>
          </w:p>
        </w:tc>
      </w:tr>
    </w:tbl>
    <w:p w14:paraId="5A5BA630" w14:textId="68DA0A9A" w:rsidR="00562240" w:rsidRPr="00C6674F" w:rsidRDefault="00A25069" w:rsidP="00D67DBB">
      <w:pPr>
        <w:pStyle w:val="MDPI41tablecaption"/>
      </w:pPr>
      <w:r w:rsidRPr="00C6674F">
        <w:rPr>
          <w:b/>
          <w:bCs/>
        </w:rPr>
        <w:t xml:space="preserve">Table S10. </w:t>
      </w:r>
      <w:r w:rsidR="00562240" w:rsidRPr="00C6674F">
        <w:t>Pattern XRD angles of the polymeric film.</w:t>
      </w:r>
      <w:r w:rsidR="00562240" w:rsidRPr="00C6674F">
        <w:fldChar w:fldCharType="begin"/>
      </w:r>
      <w:r w:rsidR="00562240" w:rsidRPr="00C6674F">
        <w:instrText xml:space="preserve"> ADDIN ZOTERO_ITEM CSL_CITATION {"citationID":"AY5aQM39","properties":{"formattedCitation":"\\super 28\\uc0\\u8211{}30\\nosupersub{}","plainCitation":"28–30","noteIndex":0},"citationItems":[{"id":453,"uris":["http://zotero.org/groups/4545406/items/ADDZZ4E6"],"itemData":{"id":453,"type":"article-journal","abstract":"Cryogenic mechanical milling successfully converted α-phase poly(vinylidene fluoride) (PVDF) powder into β-phase PVDF, as measured by wide-angle X-ray diffraction. The presence of β-phase PVDF became more pronounced with increased milling times over the limited time range evaluated. This was the first recorded instance of β-phase powders forming from the α phase through milling. These β-phase powders maintained their crystal structure during compression molding at 70 °C. © 2003 Wiley Periodicals, Inc. J Polym Sci Part B: Polym Phys 42: 91–97, 2004","container-title":"Journal of Polymer Science Part B: Polymer Physics","DOI":"10.1002/polb.10613","ISSN":"1099-0488","issue":"1","language":"en","note":"_eprint: https://onlinelibrary.wiley.com/doi/pdf/10.1002/polb.10613","page":"91-97","source":"Wiley Online Library","title":"Phase transformation to β-poly(vinylidene fluoride) by milling","volume":"42","author":[{"family":"Esterly","given":"Daniel M."},{"family":"Love","given":"Brian J."}],"issued":{"date-parts":[["2004"]]}}},{"id":99,"uris":["http://zotero.org/groups/4545406/items/RJ6SFZQM"],"itemData":{"id":99,"type":"article-journal","abstract":"Highly enhanced solid-state thermochromism is observed in regioregular poly(3-hexylthiophene), P3HT, when deposited on a superhydrophobic polymer-SiO2 nanocomposite coating. The conformal P3HT coating on the nanocomposite surface does not alter or reduce superhydrophicity while maintaining its reversible enhanced thermochromism. The polymeric matrix of the superhydrophobic surface is comprised of a blend of poly(vinylidene fluoride-co-hexafluoropropylene) copolymer and an acrylic adhesive. Based on detailed X-ray diffraction measurements, this long-lasting, repeatable and hysteresis-free thermochromic effect is attributed to the enhancement of the Bragg peak associated with the d-spacing of interchain directional packing (100) which remains unaltered during several heating-cooling cycles. We propose that the superhydrophobic surface confines π–π interchain stacking in P3HT with uniform d-spacing into its nanostructured texture resulting in better packing and reduction in face-on orientation. The rapid response of the system to sudden temperature changes is also demonstrated by water droplet impact and bounce back on heated surfaces. This effect can be exploited for embedded thin film temperature sensors for metal coatings.","container-title":"Scientific Reports","DOI":"10.1038/srep27984","ISSN":"2045-2322","issue":"1","journalAbbreviation":"Sci Rep","language":"en","note":"Bandiera_abtest: a\nCc_license_type: cc_by\nCg_type: Nature Research Journals\nnumber: 1\nPrimary_atype: Research\npublisher: Nature Publishing Group\nSubject_term: Materials science;Wetting\nSubject_term_id: materials-science;wetting","page":"27984","source":"www.nature.com","title":"A Thermochromic Superhydrophobic Surface","volume":"6","author":[{"family":"Cataldi","given":"Pietro"},{"family":"Bayer","given":"Ilker S."},{"family":"Cingolani","given":"Roberto"},{"family":"Marras","given":"Sergio"},{"family":"Chellali","given":"Ryad"},{"family":"Athanassiou","given":"Athanassia"}],"issued":{"date-parts":[["2016",6,15]]}}},{"id":78,"uris":["http://zotero.org/groups/4545406/items/PUK9YZZ6"],"itemData":{"id":78,"type":"article-journal","abstract":"A simple and fast method to prepare high-performance graphene to improve polyolefin performance is highly desirable to fulfil the technical requirements of modern society. In this paper, flake graphite was the main raw material used to prepare thick sheet graphene (TSG). (NH4)2PtCl6, H3PO4 and H2SO4 were added to flake graphite to prepare TSG by a hydrothermal method and a high-temperature expansion method. The scanning electron microscopy (SEM) and X-ray diffraction (XRD) results show that the TSG adopted a worm-like structure with large open voids and significantly increased layer spacing, specifically a lamellar structure. TSG/polyolefin composites were prepared by the melt blending method. The XRD results show that melt intercalation of TSG in polyolefin was realized under the action of shear force. When the TSG content was 0.1%, the tensile strength (17.1 MPa), impact strength (58.0 kJ·m−2) and bending modulus (144.3 MPa) of linear low-density polyethylene (LLDPE) increased by 10.4%, 21.0% and 6.6%, respectively. When the TSG content was 0.1%, the tensile strength (19.9 MPa) and bending modulus (278.9 MPa) of polypropylene random copolymer (PPR) increased by 7.7% and 16.7%, respectively. Differential scanning calorimetry (DSC) test results show that the addition of TSG can effectively increase the crystallinity of polyolefin, and the crystallinity of LLDPE and PPR reached 31.5% and 50.4%, respectively. At the same time, the SEM test results show that the addition of TSG can effectively improve the polyolefin profile.","container-title":"Polymer Bulletin","DOI":"10.1007/s00289-021-03791-x","ISSN":"1436-2449","journalAbbreviation":"Polym. Bull.","language":"en","source":"Springer Link","title":"Preparation of novel thick sheet graphene and its effect on the properties of polyolefins with different crystallinities","URL":"https://doi.org/10.1007/s00289-021-03791-x","author":[{"family":"Liu","given":"Xuyue"},{"family":"Liang","given":"Bing"},{"family":"Long","given":"Jiapeng"}],"accessed":{"date-parts":[["2021",12,20]]},"issued":{"date-parts":[["2021",6,17]]}}}],"schema":"https://github.com/citation-style-language/schema/raw/master/csl-citation.json"} </w:instrText>
      </w:r>
      <w:r w:rsidR="00562240" w:rsidRPr="00C6674F">
        <w:fldChar w:fldCharType="separate"/>
      </w:r>
      <w:r w:rsidR="00562240" w:rsidRPr="00C6674F">
        <w:rPr>
          <w:szCs w:val="24"/>
          <w:vertAlign w:val="superscript"/>
        </w:rPr>
        <w:t>28–30</w:t>
      </w:r>
      <w:r w:rsidR="00562240" w:rsidRPr="00C6674F">
        <w:fldChar w:fldCharType="end"/>
      </w:r>
      <w:r w:rsidRPr="00C6674F">
        <w:t>.</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16"/>
        <w:gridCol w:w="808"/>
        <w:gridCol w:w="824"/>
        <w:gridCol w:w="1678"/>
        <w:gridCol w:w="2314"/>
        <w:gridCol w:w="847"/>
        <w:gridCol w:w="902"/>
        <w:gridCol w:w="924"/>
        <w:gridCol w:w="852"/>
      </w:tblGrid>
      <w:tr w:rsidR="00E02BFC" w:rsidRPr="00C6674F" w14:paraId="26BFDC80" w14:textId="77777777" w:rsidTr="00E02BFC">
        <w:trPr>
          <w:jc w:val="center"/>
        </w:trPr>
        <w:tc>
          <w:tcPr>
            <w:tcW w:w="1129" w:type="dxa"/>
            <w:tcBorders>
              <w:top w:val="single" w:sz="8" w:space="0" w:color="auto"/>
              <w:bottom w:val="single" w:sz="4" w:space="0" w:color="auto"/>
            </w:tcBorders>
            <w:shd w:val="clear" w:color="auto" w:fill="auto"/>
            <w:vAlign w:val="center"/>
          </w:tcPr>
          <w:p w14:paraId="090356E2"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Peak’s Type</w:t>
            </w:r>
          </w:p>
        </w:tc>
        <w:tc>
          <w:tcPr>
            <w:tcW w:w="693" w:type="dxa"/>
            <w:tcBorders>
              <w:top w:val="single" w:sz="8" w:space="0" w:color="auto"/>
              <w:bottom w:val="single" w:sz="4" w:space="0" w:color="auto"/>
            </w:tcBorders>
            <w:shd w:val="clear" w:color="auto" w:fill="auto"/>
            <w:vAlign w:val="center"/>
          </w:tcPr>
          <w:p w14:paraId="6028CE9A"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α</w:t>
            </w:r>
          </w:p>
        </w:tc>
        <w:tc>
          <w:tcPr>
            <w:tcW w:w="707" w:type="dxa"/>
            <w:tcBorders>
              <w:top w:val="single" w:sz="8" w:space="0" w:color="auto"/>
              <w:bottom w:val="single" w:sz="4" w:space="0" w:color="auto"/>
            </w:tcBorders>
            <w:shd w:val="clear" w:color="auto" w:fill="auto"/>
            <w:vAlign w:val="center"/>
          </w:tcPr>
          <w:p w14:paraId="188AD41F"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α</w:t>
            </w:r>
          </w:p>
        </w:tc>
        <w:tc>
          <w:tcPr>
            <w:tcW w:w="1440" w:type="dxa"/>
            <w:tcBorders>
              <w:top w:val="single" w:sz="8" w:space="0" w:color="auto"/>
              <w:bottom w:val="single" w:sz="4" w:space="0" w:color="auto"/>
            </w:tcBorders>
            <w:shd w:val="clear" w:color="auto" w:fill="auto"/>
            <w:vAlign w:val="center"/>
          </w:tcPr>
          <w:p w14:paraId="20F86B80"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β</w:t>
            </w:r>
            <w:r w:rsidRPr="00C6674F">
              <w:rPr>
                <w:rFonts w:ascii="Times New Roman" w:hAnsi="Times New Roman"/>
                <w:b/>
                <w:noProof w:val="0"/>
                <w:vertAlign w:val="subscript"/>
              </w:rPr>
              <w:t>PVDF-HFP</w:t>
            </w:r>
            <w:r w:rsidRPr="00C6674F">
              <w:rPr>
                <w:rFonts w:ascii="Times New Roman" w:hAnsi="Times New Roman"/>
                <w:b/>
                <w:noProof w:val="0"/>
              </w:rPr>
              <w:t xml:space="preserve"> </w:t>
            </w:r>
          </w:p>
          <w:p w14:paraId="7540D6DA"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(PVDF-HFP)</w:t>
            </w:r>
          </w:p>
        </w:tc>
        <w:tc>
          <w:tcPr>
            <w:tcW w:w="1985" w:type="dxa"/>
            <w:tcBorders>
              <w:top w:val="single" w:sz="8" w:space="0" w:color="auto"/>
              <w:bottom w:val="single" w:sz="4" w:space="0" w:color="auto"/>
            </w:tcBorders>
            <w:shd w:val="clear" w:color="auto" w:fill="auto"/>
            <w:vAlign w:val="center"/>
          </w:tcPr>
          <w:p w14:paraId="537F62BA"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β</w:t>
            </w:r>
            <w:r w:rsidRPr="00C6674F">
              <w:rPr>
                <w:rFonts w:ascii="Times New Roman" w:hAnsi="Times New Roman"/>
                <w:b/>
                <w:noProof w:val="0"/>
                <w:vertAlign w:val="subscript"/>
              </w:rPr>
              <w:t>PVDF-HFP</w:t>
            </w:r>
            <w:r w:rsidRPr="00C6674F">
              <w:rPr>
                <w:rFonts w:ascii="Times New Roman" w:hAnsi="Times New Roman"/>
                <w:b/>
                <w:noProof w:val="0"/>
              </w:rPr>
              <w:t xml:space="preserve"> (Polymer:IL films)</w:t>
            </w:r>
          </w:p>
        </w:tc>
        <w:tc>
          <w:tcPr>
            <w:tcW w:w="727" w:type="dxa"/>
            <w:tcBorders>
              <w:top w:val="single" w:sz="8" w:space="0" w:color="auto"/>
              <w:bottom w:val="single" w:sz="4" w:space="0" w:color="auto"/>
            </w:tcBorders>
            <w:shd w:val="clear" w:color="auto" w:fill="auto"/>
            <w:vAlign w:val="center"/>
          </w:tcPr>
          <w:p w14:paraId="58FB6B63"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α</w:t>
            </w:r>
          </w:p>
        </w:tc>
        <w:tc>
          <w:tcPr>
            <w:tcW w:w="774" w:type="dxa"/>
            <w:tcBorders>
              <w:top w:val="single" w:sz="8" w:space="0" w:color="auto"/>
              <w:bottom w:val="single" w:sz="4" w:space="0" w:color="auto"/>
            </w:tcBorders>
            <w:shd w:val="clear" w:color="auto" w:fill="auto"/>
            <w:vAlign w:val="center"/>
          </w:tcPr>
          <w:p w14:paraId="40538B6F"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α</w:t>
            </w:r>
          </w:p>
        </w:tc>
        <w:tc>
          <w:tcPr>
            <w:tcW w:w="793" w:type="dxa"/>
            <w:tcBorders>
              <w:top w:val="single" w:sz="8" w:space="0" w:color="auto"/>
              <w:bottom w:val="single" w:sz="4" w:space="0" w:color="auto"/>
            </w:tcBorders>
            <w:shd w:val="clear" w:color="auto" w:fill="auto"/>
            <w:vAlign w:val="center"/>
          </w:tcPr>
          <w:p w14:paraId="6018EC53"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GNP</w:t>
            </w:r>
          </w:p>
        </w:tc>
        <w:tc>
          <w:tcPr>
            <w:tcW w:w="731" w:type="dxa"/>
            <w:tcBorders>
              <w:top w:val="single" w:sz="8" w:space="0" w:color="auto"/>
              <w:bottom w:val="single" w:sz="4" w:space="0" w:color="auto"/>
            </w:tcBorders>
            <w:shd w:val="clear" w:color="auto" w:fill="auto"/>
            <w:vAlign w:val="center"/>
          </w:tcPr>
          <w:p w14:paraId="372F2589"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α</w:t>
            </w:r>
          </w:p>
        </w:tc>
      </w:tr>
      <w:tr w:rsidR="00E02BFC" w:rsidRPr="00C6674F" w14:paraId="1F0C71D9" w14:textId="77777777" w:rsidTr="00E02BFC">
        <w:trPr>
          <w:jc w:val="center"/>
        </w:trPr>
        <w:tc>
          <w:tcPr>
            <w:tcW w:w="1129" w:type="dxa"/>
            <w:tcBorders>
              <w:top w:val="single" w:sz="4" w:space="0" w:color="auto"/>
            </w:tcBorders>
            <w:shd w:val="clear" w:color="auto" w:fill="auto"/>
            <w:vAlign w:val="center"/>
          </w:tcPr>
          <w:p w14:paraId="297AEB4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Planes</w:t>
            </w:r>
          </w:p>
        </w:tc>
        <w:tc>
          <w:tcPr>
            <w:tcW w:w="693" w:type="dxa"/>
            <w:tcBorders>
              <w:top w:val="single" w:sz="4" w:space="0" w:color="auto"/>
            </w:tcBorders>
            <w:shd w:val="clear" w:color="auto" w:fill="auto"/>
            <w:vAlign w:val="center"/>
          </w:tcPr>
          <w:p w14:paraId="6BA0AEEC"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(100)</w:t>
            </w:r>
          </w:p>
        </w:tc>
        <w:tc>
          <w:tcPr>
            <w:tcW w:w="707" w:type="dxa"/>
            <w:tcBorders>
              <w:top w:val="single" w:sz="4" w:space="0" w:color="auto"/>
            </w:tcBorders>
            <w:shd w:val="clear" w:color="auto" w:fill="auto"/>
            <w:vAlign w:val="center"/>
          </w:tcPr>
          <w:p w14:paraId="0E63936A"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(020)</w:t>
            </w:r>
          </w:p>
        </w:tc>
        <w:tc>
          <w:tcPr>
            <w:tcW w:w="1440" w:type="dxa"/>
            <w:tcBorders>
              <w:top w:val="single" w:sz="4" w:space="0" w:color="auto"/>
            </w:tcBorders>
            <w:shd w:val="clear" w:color="auto" w:fill="auto"/>
            <w:vAlign w:val="center"/>
          </w:tcPr>
          <w:p w14:paraId="1D1B10C4"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(200)</w:t>
            </w:r>
          </w:p>
        </w:tc>
        <w:tc>
          <w:tcPr>
            <w:tcW w:w="1985" w:type="dxa"/>
            <w:tcBorders>
              <w:top w:val="single" w:sz="4" w:space="0" w:color="auto"/>
            </w:tcBorders>
            <w:shd w:val="clear" w:color="auto" w:fill="auto"/>
            <w:vAlign w:val="center"/>
          </w:tcPr>
          <w:p w14:paraId="325EFF14"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(200)</w:t>
            </w:r>
          </w:p>
        </w:tc>
        <w:tc>
          <w:tcPr>
            <w:tcW w:w="727" w:type="dxa"/>
            <w:tcBorders>
              <w:top w:val="single" w:sz="4" w:space="0" w:color="auto"/>
            </w:tcBorders>
            <w:shd w:val="clear" w:color="auto" w:fill="auto"/>
            <w:vAlign w:val="center"/>
          </w:tcPr>
          <w:p w14:paraId="016C6DD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(200)</w:t>
            </w:r>
          </w:p>
        </w:tc>
        <w:tc>
          <w:tcPr>
            <w:tcW w:w="774" w:type="dxa"/>
            <w:tcBorders>
              <w:top w:val="single" w:sz="4" w:space="0" w:color="auto"/>
            </w:tcBorders>
            <w:shd w:val="clear" w:color="auto" w:fill="auto"/>
            <w:vAlign w:val="center"/>
          </w:tcPr>
          <w:p w14:paraId="37BFC20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(002)</w:t>
            </w:r>
          </w:p>
        </w:tc>
        <w:tc>
          <w:tcPr>
            <w:tcW w:w="793" w:type="dxa"/>
            <w:tcBorders>
              <w:top w:val="single" w:sz="4" w:space="0" w:color="auto"/>
            </w:tcBorders>
            <w:shd w:val="clear" w:color="auto" w:fill="auto"/>
            <w:vAlign w:val="center"/>
          </w:tcPr>
          <w:p w14:paraId="528455D9"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(002)</w:t>
            </w:r>
          </w:p>
        </w:tc>
        <w:tc>
          <w:tcPr>
            <w:tcW w:w="731" w:type="dxa"/>
            <w:tcBorders>
              <w:top w:val="single" w:sz="4" w:space="0" w:color="auto"/>
            </w:tcBorders>
            <w:shd w:val="clear" w:color="auto" w:fill="auto"/>
            <w:vAlign w:val="center"/>
          </w:tcPr>
          <w:p w14:paraId="39DE4511"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(021)</w:t>
            </w:r>
          </w:p>
        </w:tc>
      </w:tr>
      <w:tr w:rsidR="00E02BFC" w:rsidRPr="00C6674F" w14:paraId="69E2C16C" w14:textId="77777777" w:rsidTr="00E02BFC">
        <w:trPr>
          <w:jc w:val="center"/>
        </w:trPr>
        <w:tc>
          <w:tcPr>
            <w:tcW w:w="1129" w:type="dxa"/>
            <w:tcBorders>
              <w:bottom w:val="single" w:sz="8" w:space="0" w:color="auto"/>
            </w:tcBorders>
            <w:shd w:val="clear" w:color="auto" w:fill="auto"/>
            <w:vAlign w:val="center"/>
          </w:tcPr>
          <w:p w14:paraId="3B784F0D"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w:t>
            </w:r>
            <m:oMath>
              <m:r>
                <w:rPr>
                  <w:rFonts w:ascii="Cambria Math" w:hAnsi="Cambria Math"/>
                  <w:noProof w:val="0"/>
                </w:rPr>
                <m:t>θ°</m:t>
              </m:r>
            </m:oMath>
          </w:p>
        </w:tc>
        <w:tc>
          <w:tcPr>
            <w:tcW w:w="693" w:type="dxa"/>
            <w:tcBorders>
              <w:bottom w:val="single" w:sz="8" w:space="0" w:color="auto"/>
            </w:tcBorders>
            <w:shd w:val="clear" w:color="auto" w:fill="auto"/>
            <w:vAlign w:val="center"/>
          </w:tcPr>
          <w:p w14:paraId="117D689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17.9</w:t>
            </w:r>
          </w:p>
        </w:tc>
        <w:tc>
          <w:tcPr>
            <w:tcW w:w="707" w:type="dxa"/>
            <w:tcBorders>
              <w:bottom w:val="single" w:sz="8" w:space="0" w:color="auto"/>
            </w:tcBorders>
            <w:shd w:val="clear" w:color="auto" w:fill="auto"/>
            <w:vAlign w:val="center"/>
          </w:tcPr>
          <w:p w14:paraId="132110B1"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18.4</w:t>
            </w:r>
          </w:p>
        </w:tc>
        <w:tc>
          <w:tcPr>
            <w:tcW w:w="1440" w:type="dxa"/>
            <w:tcBorders>
              <w:bottom w:val="single" w:sz="8" w:space="0" w:color="auto"/>
            </w:tcBorders>
            <w:shd w:val="clear" w:color="auto" w:fill="auto"/>
            <w:vAlign w:val="center"/>
          </w:tcPr>
          <w:p w14:paraId="768A088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19</w:t>
            </w:r>
          </w:p>
        </w:tc>
        <w:tc>
          <w:tcPr>
            <w:tcW w:w="1985" w:type="dxa"/>
            <w:tcBorders>
              <w:bottom w:val="single" w:sz="8" w:space="0" w:color="auto"/>
            </w:tcBorders>
            <w:shd w:val="clear" w:color="auto" w:fill="auto"/>
            <w:vAlign w:val="center"/>
          </w:tcPr>
          <w:p w14:paraId="28750B2A"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20</w:t>
            </w:r>
          </w:p>
        </w:tc>
        <w:tc>
          <w:tcPr>
            <w:tcW w:w="727" w:type="dxa"/>
            <w:tcBorders>
              <w:bottom w:val="single" w:sz="8" w:space="0" w:color="auto"/>
            </w:tcBorders>
            <w:shd w:val="clear" w:color="auto" w:fill="auto"/>
            <w:vAlign w:val="center"/>
          </w:tcPr>
          <w:p w14:paraId="2D3A1D0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25</w:t>
            </w:r>
          </w:p>
        </w:tc>
        <w:tc>
          <w:tcPr>
            <w:tcW w:w="774" w:type="dxa"/>
            <w:tcBorders>
              <w:bottom w:val="single" w:sz="8" w:space="0" w:color="auto"/>
            </w:tcBorders>
            <w:shd w:val="clear" w:color="auto" w:fill="auto"/>
            <w:vAlign w:val="center"/>
          </w:tcPr>
          <w:p w14:paraId="297970EA"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27</w:t>
            </w:r>
          </w:p>
        </w:tc>
        <w:tc>
          <w:tcPr>
            <w:tcW w:w="793" w:type="dxa"/>
            <w:tcBorders>
              <w:bottom w:val="single" w:sz="8" w:space="0" w:color="auto"/>
            </w:tcBorders>
            <w:shd w:val="clear" w:color="auto" w:fill="auto"/>
            <w:vAlign w:val="center"/>
          </w:tcPr>
          <w:p w14:paraId="32ED77C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27.5</w:t>
            </w:r>
          </w:p>
        </w:tc>
        <w:tc>
          <w:tcPr>
            <w:tcW w:w="731" w:type="dxa"/>
            <w:tcBorders>
              <w:bottom w:val="single" w:sz="8" w:space="0" w:color="auto"/>
            </w:tcBorders>
            <w:shd w:val="clear" w:color="auto" w:fill="auto"/>
            <w:vAlign w:val="center"/>
          </w:tcPr>
          <w:p w14:paraId="5B190507"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37</w:t>
            </w:r>
          </w:p>
        </w:tc>
      </w:tr>
    </w:tbl>
    <w:p w14:paraId="3B232AF2" w14:textId="77777777" w:rsidR="00562240" w:rsidRPr="00C6674F" w:rsidRDefault="00562240" w:rsidP="00D67DBB">
      <w:pPr>
        <w:adjustRightInd w:val="0"/>
        <w:snapToGrid w:val="0"/>
        <w:rPr>
          <w:rFonts w:ascii="Times New Roman" w:hAnsi="Times New Roman"/>
          <w:noProof w:val="0"/>
        </w:rPr>
      </w:pPr>
    </w:p>
    <w:p w14:paraId="4F33502B" w14:textId="77777777" w:rsidR="00562240" w:rsidRPr="00C6674F" w:rsidRDefault="00562240" w:rsidP="006A5778">
      <w:pPr>
        <w:pStyle w:val="MDPI52figure"/>
        <w:ind w:left="1020"/>
      </w:pPr>
      <w:r w:rsidRPr="00C6674F">
        <w:rPr>
          <w:noProof/>
        </w:rPr>
        <w:lastRenderedPageBreak/>
        <w:drawing>
          <wp:inline distT="0" distB="0" distL="0" distR="0" wp14:anchorId="1FE25E20" wp14:editId="4A41BEBA">
            <wp:extent cx="5943600" cy="5358765"/>
            <wp:effectExtent l="0" t="0" r="0" b="0"/>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358765"/>
                    </a:xfrm>
                    <a:prstGeom prst="rect">
                      <a:avLst/>
                    </a:prstGeom>
                  </pic:spPr>
                </pic:pic>
              </a:graphicData>
            </a:graphic>
          </wp:inline>
        </w:drawing>
      </w:r>
    </w:p>
    <w:p w14:paraId="7E975BAE" w14:textId="40EF8ED9" w:rsidR="00562240" w:rsidRPr="00C6674F" w:rsidRDefault="00A25069" w:rsidP="00D67DBB">
      <w:pPr>
        <w:pStyle w:val="MDPI51figurecaption"/>
        <w:jc w:val="both"/>
      </w:pPr>
      <w:r w:rsidRPr="00C6674F">
        <w:rPr>
          <w:b/>
          <w:bCs/>
        </w:rPr>
        <w:t xml:space="preserve">Figure </w:t>
      </w:r>
      <w:r w:rsidR="00553FCA" w:rsidRPr="00C6674F">
        <w:rPr>
          <w:b/>
          <w:bCs/>
        </w:rPr>
        <w:t>S11</w:t>
      </w:r>
      <w:r w:rsidRPr="00C6674F">
        <w:rPr>
          <w:b/>
          <w:bCs/>
        </w:rPr>
        <w:t xml:space="preserve">. </w:t>
      </w:r>
      <w:r w:rsidR="00562240" w:rsidRPr="00C6674F">
        <w:t>XRD Analysis of polymeric mixtures with various concentrations of IL and GNP. IL wt % in PVDF-HFP – (A) 0 wt %. (B) 10 wt %. (C) 30 wt %. (D) 50 wt %; GNP wt % in 50:50 PVDF-HFP:IL – (E) 0.1 wt %. (F) 0.2 wt %. (G) 0.4 wt %.</w:t>
      </w:r>
    </w:p>
    <w:p w14:paraId="0FA52F28" w14:textId="77777777" w:rsidR="00562240" w:rsidRPr="00C6674F" w:rsidRDefault="00562240" w:rsidP="00D67DBB">
      <w:pPr>
        <w:pStyle w:val="MDPI31text"/>
      </w:pPr>
      <w:r w:rsidRPr="00C6674F">
        <w:t>The amorph fractions (X</w:t>
      </w:r>
      <w:r w:rsidRPr="00C6674F">
        <w:rPr>
          <w:vertAlign w:val="subscript"/>
        </w:rPr>
        <w:t>amorph</w:t>
      </w:r>
      <w:r w:rsidRPr="00C6674F">
        <w:t>) of polymeric films, prepared from various compositions of IL and GNP in polymer, were estimated from the output of software. The degree of crystallinity was calculated and tabulated in Table S11.</w:t>
      </w:r>
    </w:p>
    <w:p w14:paraId="45B32AC1" w14:textId="77777777" w:rsidR="00BC6F0D" w:rsidRPr="00C6674F" w:rsidRDefault="00BC6F0D" w:rsidP="00D67DBB">
      <w:pPr>
        <w:pStyle w:val="MDPI41tablecaption"/>
        <w:jc w:val="both"/>
        <w:rPr>
          <w:b/>
          <w:bCs/>
        </w:rPr>
      </w:pPr>
    </w:p>
    <w:p w14:paraId="6EFA7D43" w14:textId="77777777" w:rsidR="00BC6F0D" w:rsidRPr="00C6674F" w:rsidRDefault="00BC6F0D" w:rsidP="00D67DBB">
      <w:pPr>
        <w:pStyle w:val="MDPI41tablecaption"/>
        <w:jc w:val="both"/>
        <w:rPr>
          <w:b/>
          <w:bCs/>
        </w:rPr>
      </w:pPr>
    </w:p>
    <w:p w14:paraId="2B01BE8C" w14:textId="77777777" w:rsidR="00BC6F0D" w:rsidRPr="00C6674F" w:rsidRDefault="00BC6F0D" w:rsidP="00D67DBB">
      <w:pPr>
        <w:pStyle w:val="MDPI41tablecaption"/>
        <w:jc w:val="both"/>
        <w:rPr>
          <w:b/>
          <w:bCs/>
        </w:rPr>
      </w:pPr>
    </w:p>
    <w:p w14:paraId="13C29153" w14:textId="77777777" w:rsidR="00BC6F0D" w:rsidRPr="00C6674F" w:rsidRDefault="00BC6F0D" w:rsidP="00D67DBB">
      <w:pPr>
        <w:pStyle w:val="MDPI41tablecaption"/>
        <w:jc w:val="both"/>
        <w:rPr>
          <w:b/>
          <w:bCs/>
        </w:rPr>
      </w:pPr>
    </w:p>
    <w:p w14:paraId="7374A1E5" w14:textId="77777777" w:rsidR="00BC6F0D" w:rsidRPr="00C6674F" w:rsidRDefault="00BC6F0D" w:rsidP="00D67DBB">
      <w:pPr>
        <w:pStyle w:val="MDPI41tablecaption"/>
        <w:jc w:val="both"/>
        <w:rPr>
          <w:b/>
          <w:bCs/>
        </w:rPr>
      </w:pPr>
    </w:p>
    <w:p w14:paraId="734A213C" w14:textId="77777777" w:rsidR="00BC6F0D" w:rsidRPr="00C6674F" w:rsidRDefault="00BC6F0D" w:rsidP="00D67DBB">
      <w:pPr>
        <w:pStyle w:val="MDPI41tablecaption"/>
        <w:jc w:val="both"/>
        <w:rPr>
          <w:b/>
          <w:bCs/>
        </w:rPr>
      </w:pPr>
    </w:p>
    <w:p w14:paraId="1B9B6409" w14:textId="3E4835F1" w:rsidR="00562240" w:rsidRPr="00C6674F" w:rsidRDefault="00A25069" w:rsidP="00D67DBB">
      <w:pPr>
        <w:pStyle w:val="MDPI41tablecaption"/>
        <w:jc w:val="both"/>
      </w:pPr>
      <w:r w:rsidRPr="00C6674F">
        <w:rPr>
          <w:b/>
          <w:bCs/>
        </w:rPr>
        <w:t xml:space="preserve">Table S11. </w:t>
      </w:r>
      <w:r w:rsidR="00562240" w:rsidRPr="00C6674F">
        <w:t>The degree of crystallinity of polymeric films. For the films with 0, 10, and 50 wt % IL content. The “Half-width (modelling)” indicates the standard deviation of how close the model to an actual dataset is.</w:t>
      </w:r>
      <w:r w:rsidR="00562240" w:rsidRPr="00C6674F">
        <w:fldChar w:fldCharType="begin"/>
      </w:r>
      <w:r w:rsidR="00562240" w:rsidRPr="00C6674F">
        <w:instrText xml:space="preserve"> ADDIN ZOTERO_ITEM CSL_CITATION {"citationID":"3ndkTPYz","properties":{"formattedCitation":"\\super 27\\nosupersub{}","plainCitation":"27","noteIndex":0},"citationItems":[{"id":76,"uris":["http://zotero.org/groups/4545406/items/56ZZQ4C3"],"itemData":{"id":76,"type":"article-journal","abstract":"AMORPH utilizes a new Bayesian statistical approach to interpreting X-ray diffraction results of samples with both crystalline and amorphous components. AMORPH fits X-ray diffraction patterns with a mixture of narrow and wide components, simultaneously inferring all of the model parameters and quantifying their uncertainties. The program simulates background patterns previously applied manually, providing reproducible results, and significantly reducing inter- and intra-user biases. This approach allows for the quantification of amorphous and crystalline materials and for the characterization of the amorphous component, including properties such as the centre of mass, width, skewness, and nongaussianity of the amorphous component. Results demonstrate the applicability of this program for calculating amorphous contents of volcanic materials and independently modeling their properties in compositionally variable materials.","container-title":"Computers &amp; Geosciences","DOI":"10.1016/j.cageo.2018.07.004","ISSN":"0098-3004","journalAbbreviation":"Computers &amp; Geosciences","language":"en","page":"21-31","source":"ScienceDirect","title":"AMORPH: A statistical program for characterizing amorphous materials by X-ray diffraction","title-short":"AMORPH","volume":"120","author":[{"family":"Rowe","given":"Michael C."},{"family":"Brewer","given":"Brendon J."}],"issued":{"date-parts":[["2018",11,1]]}}}],"schema":"https://github.com/citation-style-language/schema/raw/master/csl-citation.json"} </w:instrText>
      </w:r>
      <w:r w:rsidR="00562240" w:rsidRPr="00C6674F">
        <w:fldChar w:fldCharType="separate"/>
      </w:r>
      <w:r w:rsidR="00562240" w:rsidRPr="00C6674F">
        <w:rPr>
          <w:szCs w:val="24"/>
          <w:vertAlign w:val="superscript"/>
        </w:rPr>
        <w:t>27</w:t>
      </w:r>
      <w:r w:rsidR="00562240" w:rsidRPr="00C6674F">
        <w:fldChar w:fldCharType="end"/>
      </w:r>
      <w:r w:rsidRPr="00C6674F">
        <w:t>.</w:t>
      </w:r>
    </w:p>
    <w:tbl>
      <w:tblPr>
        <w:tblW w:w="7857" w:type="dxa"/>
        <w:tblInd w:w="2608" w:type="dxa"/>
        <w:tblLayout w:type="fixed"/>
        <w:tblCellMar>
          <w:left w:w="0" w:type="dxa"/>
          <w:right w:w="0" w:type="dxa"/>
        </w:tblCellMar>
        <w:tblLook w:val="0600" w:firstRow="0" w:lastRow="0" w:firstColumn="0" w:lastColumn="0" w:noHBand="1" w:noVBand="1"/>
      </w:tblPr>
      <w:tblGrid>
        <w:gridCol w:w="1632"/>
        <w:gridCol w:w="1840"/>
        <w:gridCol w:w="1816"/>
        <w:gridCol w:w="2569"/>
      </w:tblGrid>
      <w:tr w:rsidR="00E02BFC" w:rsidRPr="00C6674F" w14:paraId="47AC5308" w14:textId="77777777" w:rsidTr="00E02BFC">
        <w:tc>
          <w:tcPr>
            <w:tcW w:w="1531" w:type="dxa"/>
            <w:tcBorders>
              <w:top w:val="single" w:sz="8" w:space="0" w:color="auto"/>
              <w:bottom w:val="single" w:sz="4" w:space="0" w:color="auto"/>
            </w:tcBorders>
            <w:shd w:val="clear" w:color="auto" w:fill="auto"/>
            <w:tcMar>
              <w:top w:w="100" w:type="dxa"/>
              <w:left w:w="100" w:type="dxa"/>
              <w:bottom w:w="100" w:type="dxa"/>
              <w:right w:w="100" w:type="dxa"/>
            </w:tcMar>
            <w:vAlign w:val="center"/>
          </w:tcPr>
          <w:p w14:paraId="3359622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lastRenderedPageBreak/>
              <w:t>IL wt % (GNP wt %)</w:t>
            </w:r>
          </w:p>
        </w:tc>
        <w:tc>
          <w:tcPr>
            <w:tcW w:w="1726" w:type="dxa"/>
            <w:tcBorders>
              <w:top w:val="single" w:sz="8" w:space="0" w:color="auto"/>
              <w:bottom w:val="single" w:sz="4" w:space="0" w:color="auto"/>
            </w:tcBorders>
            <w:shd w:val="clear" w:color="auto" w:fill="auto"/>
            <w:vAlign w:val="center"/>
          </w:tcPr>
          <w:p w14:paraId="0718059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Actual IL wt %</w:t>
            </w:r>
          </w:p>
          <w:p w14:paraId="3F9BDA0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(mean ±</w:t>
            </w:r>
            <w:r w:rsidRPr="00C6674F">
              <w:rPr>
                <w:rFonts w:ascii="Times New Roman" w:eastAsiaTheme="minorEastAsia" w:hAnsi="Times New Roman"/>
                <w:b/>
                <w:noProof w:val="0"/>
              </w:rPr>
              <w:t xml:space="preserve"> std.)</w:t>
            </w:r>
          </w:p>
        </w:tc>
        <w:tc>
          <w:tcPr>
            <w:tcW w:w="1704" w:type="dxa"/>
            <w:tcBorders>
              <w:top w:val="single" w:sz="8" w:space="0" w:color="auto"/>
              <w:bottom w:val="single" w:sz="4" w:space="0" w:color="auto"/>
            </w:tcBorders>
            <w:shd w:val="clear" w:color="auto" w:fill="auto"/>
            <w:tcMar>
              <w:top w:w="100" w:type="dxa"/>
              <w:left w:w="100" w:type="dxa"/>
              <w:bottom w:w="100" w:type="dxa"/>
              <w:right w:w="100" w:type="dxa"/>
            </w:tcMar>
            <w:vAlign w:val="center"/>
          </w:tcPr>
          <w:p w14:paraId="5909479E"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X</w:t>
            </w:r>
            <w:r w:rsidRPr="00C6674F">
              <w:rPr>
                <w:rFonts w:ascii="Times New Roman" w:hAnsi="Times New Roman"/>
                <w:b/>
                <w:noProof w:val="0"/>
                <w:vertAlign w:val="subscript"/>
              </w:rPr>
              <w:t xml:space="preserve">c </w:t>
            </w:r>
            <w:r w:rsidRPr="00C6674F">
              <w:rPr>
                <w:rFonts w:ascii="Times New Roman" w:hAnsi="Times New Roman"/>
                <w:b/>
                <w:noProof w:val="0"/>
              </w:rPr>
              <w:t>% ± σ</w:t>
            </w:r>
            <w:r w:rsidRPr="00C6674F">
              <w:rPr>
                <w:rFonts w:ascii="Times New Roman" w:hAnsi="Times New Roman"/>
                <w:b/>
                <w:noProof w:val="0"/>
                <w:vertAlign w:val="subscript"/>
              </w:rPr>
              <w:t xml:space="preserve"> </w:t>
            </w:r>
            <w:r w:rsidRPr="00C6674F">
              <w:rPr>
                <w:rFonts w:ascii="Times New Roman" w:hAnsi="Times New Roman"/>
                <w:b/>
                <w:noProof w:val="0"/>
              </w:rPr>
              <w:t>(%)</w:t>
            </w:r>
          </w:p>
          <w:p w14:paraId="540D4DE4"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(mean ±</w:t>
            </w:r>
            <w:r w:rsidRPr="00C6674F">
              <w:rPr>
                <w:rFonts w:ascii="Times New Roman" w:eastAsiaTheme="minorEastAsia" w:hAnsi="Times New Roman"/>
                <w:b/>
                <w:noProof w:val="0"/>
              </w:rPr>
              <w:t xml:space="preserve"> std.)</w:t>
            </w:r>
          </w:p>
        </w:tc>
        <w:tc>
          <w:tcPr>
            <w:tcW w:w="2410" w:type="dxa"/>
            <w:tcBorders>
              <w:top w:val="single" w:sz="8" w:space="0" w:color="auto"/>
              <w:bottom w:val="single" w:sz="4" w:space="0" w:color="auto"/>
            </w:tcBorders>
            <w:shd w:val="clear" w:color="auto" w:fill="auto"/>
            <w:vAlign w:val="center"/>
          </w:tcPr>
          <w:p w14:paraId="1D720756"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eastAsia="Cambria" w:hAnsi="Times New Roman"/>
                <w:b/>
                <w:noProof w:val="0"/>
              </w:rPr>
            </w:pPr>
            <w:r w:rsidRPr="00C6674F">
              <w:rPr>
                <w:rFonts w:ascii="Times New Roman" w:eastAsia="Cambria" w:hAnsi="Times New Roman"/>
                <w:b/>
                <w:noProof w:val="0"/>
              </w:rPr>
              <w:t>Half-width (modelling)</w:t>
            </w:r>
          </w:p>
          <w:p w14:paraId="3A902A1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eastAsia="Cambria" w:hAnsi="Times New Roman"/>
                <w:b/>
                <w:noProof w:val="0"/>
              </w:rPr>
            </w:pPr>
            <w:r w:rsidRPr="00C6674F">
              <w:rPr>
                <w:rFonts w:ascii="Times New Roman" w:hAnsi="Times New Roman"/>
                <w:b/>
                <w:noProof w:val="0"/>
              </w:rPr>
              <w:t>(mean ±</w:t>
            </w:r>
            <w:r w:rsidRPr="00C6674F">
              <w:rPr>
                <w:rFonts w:ascii="Times New Roman" w:eastAsiaTheme="minorEastAsia" w:hAnsi="Times New Roman"/>
                <w:b/>
                <w:noProof w:val="0"/>
              </w:rPr>
              <w:t xml:space="preserve"> std.)</w:t>
            </w:r>
          </w:p>
        </w:tc>
      </w:tr>
      <w:tr w:rsidR="00E02BFC" w:rsidRPr="00C6674F" w14:paraId="7CFAC461" w14:textId="77777777" w:rsidTr="00E02BFC">
        <w:tc>
          <w:tcPr>
            <w:tcW w:w="1531" w:type="dxa"/>
            <w:tcBorders>
              <w:top w:val="single" w:sz="4" w:space="0" w:color="auto"/>
            </w:tcBorders>
            <w:shd w:val="clear" w:color="auto" w:fill="auto"/>
            <w:tcMar>
              <w:top w:w="100" w:type="dxa"/>
              <w:left w:w="100" w:type="dxa"/>
              <w:bottom w:w="100" w:type="dxa"/>
              <w:right w:w="100" w:type="dxa"/>
            </w:tcMar>
            <w:vAlign w:val="center"/>
          </w:tcPr>
          <w:p w14:paraId="38FA321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w:t>
            </w:r>
          </w:p>
        </w:tc>
        <w:tc>
          <w:tcPr>
            <w:tcW w:w="1726" w:type="dxa"/>
            <w:tcBorders>
              <w:top w:val="single" w:sz="4" w:space="0" w:color="auto"/>
            </w:tcBorders>
            <w:shd w:val="clear" w:color="auto" w:fill="auto"/>
            <w:vAlign w:val="center"/>
          </w:tcPr>
          <w:p w14:paraId="7160BAE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w:t>
            </w:r>
          </w:p>
        </w:tc>
        <w:tc>
          <w:tcPr>
            <w:tcW w:w="1704" w:type="dxa"/>
            <w:tcBorders>
              <w:top w:val="single" w:sz="4" w:space="0" w:color="auto"/>
            </w:tcBorders>
            <w:shd w:val="clear" w:color="auto" w:fill="auto"/>
            <w:tcMar>
              <w:top w:w="100" w:type="dxa"/>
              <w:left w:w="100" w:type="dxa"/>
              <w:bottom w:w="100" w:type="dxa"/>
              <w:right w:w="100" w:type="dxa"/>
            </w:tcMar>
            <w:vAlign w:val="center"/>
          </w:tcPr>
          <w:p w14:paraId="26EF173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30.19 ± 0.11</w:t>
            </w:r>
          </w:p>
        </w:tc>
        <w:tc>
          <w:tcPr>
            <w:tcW w:w="2410" w:type="dxa"/>
            <w:tcBorders>
              <w:top w:val="single" w:sz="4" w:space="0" w:color="auto"/>
            </w:tcBorders>
            <w:shd w:val="clear" w:color="auto" w:fill="auto"/>
            <w:vAlign w:val="center"/>
          </w:tcPr>
          <w:p w14:paraId="3D5B91F2"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9.23 ± 0.6</w:t>
            </w:r>
          </w:p>
        </w:tc>
      </w:tr>
      <w:tr w:rsidR="00562240" w:rsidRPr="00C6674F" w14:paraId="07F57ED7" w14:textId="77777777" w:rsidTr="00E02BFC">
        <w:tc>
          <w:tcPr>
            <w:tcW w:w="1531" w:type="dxa"/>
            <w:shd w:val="clear" w:color="auto" w:fill="auto"/>
            <w:tcMar>
              <w:top w:w="100" w:type="dxa"/>
              <w:left w:w="100" w:type="dxa"/>
              <w:bottom w:w="100" w:type="dxa"/>
              <w:right w:w="100" w:type="dxa"/>
            </w:tcMar>
            <w:vAlign w:val="center"/>
          </w:tcPr>
          <w:p w14:paraId="3B4CCAC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w:t>
            </w:r>
          </w:p>
        </w:tc>
        <w:tc>
          <w:tcPr>
            <w:tcW w:w="1726" w:type="dxa"/>
            <w:shd w:val="clear" w:color="auto" w:fill="auto"/>
            <w:vAlign w:val="center"/>
          </w:tcPr>
          <w:p w14:paraId="0C0C12C8"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10.0 ± 0.07</w:t>
            </w:r>
          </w:p>
        </w:tc>
        <w:tc>
          <w:tcPr>
            <w:tcW w:w="1704" w:type="dxa"/>
            <w:shd w:val="clear" w:color="auto" w:fill="auto"/>
            <w:tcMar>
              <w:top w:w="100" w:type="dxa"/>
              <w:left w:w="100" w:type="dxa"/>
              <w:bottom w:w="100" w:type="dxa"/>
              <w:right w:w="100" w:type="dxa"/>
            </w:tcMar>
            <w:vAlign w:val="center"/>
          </w:tcPr>
          <w:p w14:paraId="4639380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22.25 ± 0.07</w:t>
            </w:r>
          </w:p>
        </w:tc>
        <w:tc>
          <w:tcPr>
            <w:tcW w:w="2410" w:type="dxa"/>
            <w:shd w:val="clear" w:color="auto" w:fill="auto"/>
            <w:vAlign w:val="center"/>
          </w:tcPr>
          <w:p w14:paraId="1C2664C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8.72 ± 0.6</w:t>
            </w:r>
          </w:p>
        </w:tc>
      </w:tr>
      <w:tr w:rsidR="00562240" w:rsidRPr="00C6674F" w14:paraId="1BDDFF46" w14:textId="77777777" w:rsidTr="00E02BFC">
        <w:tc>
          <w:tcPr>
            <w:tcW w:w="1531" w:type="dxa"/>
            <w:shd w:val="clear" w:color="auto" w:fill="auto"/>
            <w:tcMar>
              <w:top w:w="100" w:type="dxa"/>
              <w:left w:w="100" w:type="dxa"/>
              <w:bottom w:w="100" w:type="dxa"/>
              <w:right w:w="100" w:type="dxa"/>
            </w:tcMar>
            <w:vAlign w:val="center"/>
          </w:tcPr>
          <w:p w14:paraId="700FAF55"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30</w:t>
            </w:r>
          </w:p>
        </w:tc>
        <w:tc>
          <w:tcPr>
            <w:tcW w:w="1726" w:type="dxa"/>
            <w:shd w:val="clear" w:color="auto" w:fill="auto"/>
            <w:vAlign w:val="center"/>
          </w:tcPr>
          <w:p w14:paraId="24C636A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32.1 ± 0.0</w:t>
            </w:r>
          </w:p>
        </w:tc>
        <w:tc>
          <w:tcPr>
            <w:tcW w:w="1704" w:type="dxa"/>
            <w:shd w:val="clear" w:color="auto" w:fill="auto"/>
            <w:tcMar>
              <w:top w:w="100" w:type="dxa"/>
              <w:left w:w="100" w:type="dxa"/>
              <w:bottom w:w="100" w:type="dxa"/>
              <w:right w:w="100" w:type="dxa"/>
            </w:tcMar>
            <w:vAlign w:val="center"/>
          </w:tcPr>
          <w:p w14:paraId="632C9324"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24.99 ± 0.12</w:t>
            </w:r>
          </w:p>
        </w:tc>
        <w:tc>
          <w:tcPr>
            <w:tcW w:w="2410" w:type="dxa"/>
            <w:shd w:val="clear" w:color="auto" w:fill="auto"/>
            <w:vAlign w:val="center"/>
          </w:tcPr>
          <w:p w14:paraId="4015B56D"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9.79 ± 0.6 </w:t>
            </w:r>
          </w:p>
        </w:tc>
      </w:tr>
      <w:tr w:rsidR="00562240" w:rsidRPr="00C6674F" w14:paraId="01A34BEA" w14:textId="77777777" w:rsidTr="00E02BFC">
        <w:tc>
          <w:tcPr>
            <w:tcW w:w="1531" w:type="dxa"/>
            <w:shd w:val="clear" w:color="auto" w:fill="auto"/>
            <w:tcMar>
              <w:top w:w="100" w:type="dxa"/>
              <w:left w:w="100" w:type="dxa"/>
              <w:bottom w:w="100" w:type="dxa"/>
              <w:right w:w="100" w:type="dxa"/>
            </w:tcMar>
            <w:vAlign w:val="center"/>
          </w:tcPr>
          <w:p w14:paraId="2E96F0C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w:t>
            </w:r>
          </w:p>
        </w:tc>
        <w:tc>
          <w:tcPr>
            <w:tcW w:w="1726" w:type="dxa"/>
            <w:shd w:val="clear" w:color="auto" w:fill="auto"/>
            <w:vAlign w:val="center"/>
          </w:tcPr>
          <w:p w14:paraId="6F9EEB2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50.1 ± 0.1 </w:t>
            </w:r>
          </w:p>
        </w:tc>
        <w:tc>
          <w:tcPr>
            <w:tcW w:w="1704" w:type="dxa"/>
            <w:shd w:val="clear" w:color="auto" w:fill="auto"/>
            <w:tcMar>
              <w:top w:w="100" w:type="dxa"/>
              <w:left w:w="100" w:type="dxa"/>
              <w:bottom w:w="100" w:type="dxa"/>
              <w:right w:w="100" w:type="dxa"/>
            </w:tcMar>
            <w:vAlign w:val="center"/>
          </w:tcPr>
          <w:p w14:paraId="3EB075F0"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19.83 ± 0.87</w:t>
            </w:r>
          </w:p>
        </w:tc>
        <w:tc>
          <w:tcPr>
            <w:tcW w:w="2410" w:type="dxa"/>
            <w:shd w:val="clear" w:color="auto" w:fill="auto"/>
            <w:vAlign w:val="center"/>
          </w:tcPr>
          <w:p w14:paraId="12A93D5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8.91 ± 1.3</w:t>
            </w:r>
          </w:p>
        </w:tc>
      </w:tr>
      <w:tr w:rsidR="00562240" w:rsidRPr="00C6674F" w14:paraId="66A14376" w14:textId="77777777" w:rsidTr="00E02BFC">
        <w:tc>
          <w:tcPr>
            <w:tcW w:w="1531" w:type="dxa"/>
            <w:shd w:val="clear" w:color="auto" w:fill="auto"/>
            <w:tcMar>
              <w:top w:w="100" w:type="dxa"/>
              <w:left w:w="100" w:type="dxa"/>
              <w:bottom w:w="100" w:type="dxa"/>
              <w:right w:w="100" w:type="dxa"/>
            </w:tcMar>
            <w:vAlign w:val="center"/>
          </w:tcPr>
          <w:p w14:paraId="70A3F58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 (0.1)</w:t>
            </w:r>
          </w:p>
        </w:tc>
        <w:tc>
          <w:tcPr>
            <w:tcW w:w="1726" w:type="dxa"/>
            <w:shd w:val="clear" w:color="auto" w:fill="auto"/>
            <w:vAlign w:val="center"/>
          </w:tcPr>
          <w:p w14:paraId="5D0FD5C6"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49.9 ± 0.1</w:t>
            </w:r>
          </w:p>
        </w:tc>
        <w:tc>
          <w:tcPr>
            <w:tcW w:w="1704" w:type="dxa"/>
            <w:shd w:val="clear" w:color="auto" w:fill="auto"/>
            <w:tcMar>
              <w:top w:w="100" w:type="dxa"/>
              <w:left w:w="100" w:type="dxa"/>
              <w:bottom w:w="100" w:type="dxa"/>
              <w:right w:w="100" w:type="dxa"/>
            </w:tcMar>
            <w:vAlign w:val="center"/>
          </w:tcPr>
          <w:p w14:paraId="4388F11C"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15.90 ± 0.14</w:t>
            </w:r>
          </w:p>
        </w:tc>
        <w:tc>
          <w:tcPr>
            <w:tcW w:w="2410" w:type="dxa"/>
            <w:shd w:val="clear" w:color="auto" w:fill="auto"/>
            <w:vAlign w:val="center"/>
          </w:tcPr>
          <w:p w14:paraId="7796936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8.86 ± 0.9</w:t>
            </w:r>
          </w:p>
        </w:tc>
      </w:tr>
      <w:tr w:rsidR="00562240" w:rsidRPr="00C6674F" w14:paraId="0FF5F554" w14:textId="77777777" w:rsidTr="00E02BFC">
        <w:tc>
          <w:tcPr>
            <w:tcW w:w="1531" w:type="dxa"/>
            <w:shd w:val="clear" w:color="auto" w:fill="auto"/>
            <w:tcMar>
              <w:top w:w="100" w:type="dxa"/>
              <w:left w:w="100" w:type="dxa"/>
              <w:bottom w:w="100" w:type="dxa"/>
              <w:right w:w="100" w:type="dxa"/>
            </w:tcMar>
            <w:vAlign w:val="center"/>
          </w:tcPr>
          <w:p w14:paraId="53A5E18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 (0.2)</w:t>
            </w:r>
          </w:p>
        </w:tc>
        <w:tc>
          <w:tcPr>
            <w:tcW w:w="1726" w:type="dxa"/>
            <w:shd w:val="clear" w:color="auto" w:fill="auto"/>
            <w:vAlign w:val="center"/>
          </w:tcPr>
          <w:p w14:paraId="1DC8F15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50.1 ± 0.07 </w:t>
            </w:r>
          </w:p>
        </w:tc>
        <w:tc>
          <w:tcPr>
            <w:tcW w:w="1704" w:type="dxa"/>
            <w:shd w:val="clear" w:color="auto" w:fill="auto"/>
            <w:tcMar>
              <w:top w:w="100" w:type="dxa"/>
              <w:left w:w="100" w:type="dxa"/>
              <w:bottom w:w="100" w:type="dxa"/>
              <w:right w:w="100" w:type="dxa"/>
            </w:tcMar>
            <w:vAlign w:val="center"/>
          </w:tcPr>
          <w:p w14:paraId="40DEC05D"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10.86 ± 0.10</w:t>
            </w:r>
          </w:p>
        </w:tc>
        <w:tc>
          <w:tcPr>
            <w:tcW w:w="2410" w:type="dxa"/>
            <w:shd w:val="clear" w:color="auto" w:fill="auto"/>
            <w:vAlign w:val="center"/>
          </w:tcPr>
          <w:p w14:paraId="3C86870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8.61 ± 0.5</w:t>
            </w:r>
          </w:p>
        </w:tc>
      </w:tr>
      <w:tr w:rsidR="00E02BFC" w:rsidRPr="00C6674F" w14:paraId="11123378" w14:textId="77777777" w:rsidTr="00E02BFC">
        <w:tc>
          <w:tcPr>
            <w:tcW w:w="1531" w:type="dxa"/>
            <w:tcBorders>
              <w:bottom w:val="single" w:sz="8" w:space="0" w:color="auto"/>
            </w:tcBorders>
            <w:shd w:val="clear" w:color="auto" w:fill="auto"/>
            <w:tcMar>
              <w:top w:w="100" w:type="dxa"/>
              <w:left w:w="100" w:type="dxa"/>
              <w:bottom w:w="100" w:type="dxa"/>
              <w:right w:w="100" w:type="dxa"/>
            </w:tcMar>
            <w:vAlign w:val="center"/>
          </w:tcPr>
          <w:p w14:paraId="69D1415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 (0.4)</w:t>
            </w:r>
          </w:p>
        </w:tc>
        <w:tc>
          <w:tcPr>
            <w:tcW w:w="1726" w:type="dxa"/>
            <w:tcBorders>
              <w:bottom w:val="single" w:sz="8" w:space="0" w:color="auto"/>
            </w:tcBorders>
            <w:shd w:val="clear" w:color="auto" w:fill="auto"/>
            <w:vAlign w:val="center"/>
          </w:tcPr>
          <w:p w14:paraId="1BC3F4A1"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50.2 ± 0.0 </w:t>
            </w:r>
          </w:p>
        </w:tc>
        <w:tc>
          <w:tcPr>
            <w:tcW w:w="1704" w:type="dxa"/>
            <w:tcBorders>
              <w:bottom w:val="single" w:sz="8" w:space="0" w:color="auto"/>
            </w:tcBorders>
            <w:shd w:val="clear" w:color="auto" w:fill="auto"/>
            <w:tcMar>
              <w:top w:w="100" w:type="dxa"/>
              <w:left w:w="100" w:type="dxa"/>
              <w:bottom w:w="100" w:type="dxa"/>
              <w:right w:w="100" w:type="dxa"/>
            </w:tcMar>
            <w:vAlign w:val="center"/>
          </w:tcPr>
          <w:p w14:paraId="478C9868"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8.10 ± 0.05</w:t>
            </w:r>
          </w:p>
        </w:tc>
        <w:tc>
          <w:tcPr>
            <w:tcW w:w="2410" w:type="dxa"/>
            <w:tcBorders>
              <w:bottom w:val="single" w:sz="8" w:space="0" w:color="auto"/>
            </w:tcBorders>
            <w:shd w:val="clear" w:color="auto" w:fill="auto"/>
            <w:vAlign w:val="center"/>
          </w:tcPr>
          <w:p w14:paraId="77BFB86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9.41 ± 0.4</w:t>
            </w:r>
          </w:p>
        </w:tc>
      </w:tr>
    </w:tbl>
    <w:p w14:paraId="66B8A6DD" w14:textId="77777777" w:rsidR="00562240" w:rsidRPr="00C6674F" w:rsidRDefault="00562240" w:rsidP="00D67DBB">
      <w:pPr>
        <w:pStyle w:val="MDPI31text"/>
        <w:spacing w:before="240"/>
      </w:pPr>
      <w:r w:rsidRPr="00C6674F">
        <w:t>The result is in good agreement with previous report.</w:t>
      </w:r>
      <w:r w:rsidRPr="00C6674F">
        <w:fldChar w:fldCharType="begin"/>
      </w:r>
      <w:r w:rsidRPr="00C6674F">
        <w:instrText xml:space="preserve"> ADDIN ZOTERO_ITEM CSL_CITATION {"citationID":"GHpEgUFT","properties":{"formattedCitation":"\\super 23\\nosupersub{}","plainCitation":"23","noteIndex":0},"citationItems":[{"id":67,"uris":["http://zotero.org/groups/4545406/items/VSI7U9KF"],"itemData":{"id":67,"type":"article-journal","abstract":"Poly(vinylidene fluoride) (PVDF), poly(vinylidene fluoride-co-trifluoroethylene) (PVDF-TrFE), poly(vinylidene fluoride-co-hexafluropropylene) (PVDF-HFP) and poly(vinylidene fluoride-co-chlorotrifluoroethylene) (PVDF-CTFE) were evaluated for the development of ionic liquid (IL) - polymer composite bending actuators. The selected guest IL, 1-ethyl-3-methylimidazolium bis(trifluoromethanesulfonyl)imide, [Emim][TFSI], was incorporated into the different host polymer matrixes in concentrations ranging from 10 to 40</w:instrText>
      </w:r>
      <w:r w:rsidRPr="00C6674F">
        <w:rPr>
          <w:rFonts w:ascii="Times New Roman" w:hAnsi="Times New Roman"/>
        </w:rPr>
        <w:instrText> </w:instrText>
      </w:r>
      <w:r w:rsidRPr="00C6674F">
        <w:instrText xml:space="preserve">wt%. The IL/polymer composites electrical properties strongly depend on the IL content. The largest bending response was found for the IL/PVDF-TrFE composites with a maximum bending value of </w:instrText>
      </w:r>
      <w:r w:rsidRPr="00C6674F">
        <w:rPr>
          <w:rFonts w:ascii="Cambria Math" w:hAnsi="Cambria Math" w:cs="Cambria Math"/>
        </w:rPr>
        <w:instrText>∼</w:instrText>
      </w:r>
      <w:r w:rsidRPr="00C6674F">
        <w:instrText>3.5</w:instrText>
      </w:r>
      <w:r w:rsidRPr="00C6674F">
        <w:rPr>
          <w:rFonts w:ascii="Times New Roman" w:hAnsi="Times New Roman"/>
        </w:rPr>
        <w:instrText> </w:instrText>
      </w:r>
      <w:r w:rsidRPr="00C6674F">
        <w:instrText>mm using a frequency of 100</w:instrText>
      </w:r>
      <w:r w:rsidRPr="00C6674F">
        <w:rPr>
          <w:rFonts w:ascii="Times New Roman" w:hAnsi="Times New Roman"/>
        </w:rPr>
        <w:instrText> </w:instrText>
      </w:r>
      <w:r w:rsidRPr="00C6674F">
        <w:instrText>mHz</w:instrText>
      </w:r>
      <w:r w:rsidRPr="00C6674F">
        <w:rPr>
          <w:rFonts w:ascii="Times New Roman" w:hAnsi="Times New Roman"/>
        </w:rPr>
        <w:instrText> </w:instrText>
      </w:r>
      <w:r w:rsidRPr="00C6674F">
        <w:instrText xml:space="preserve">at an applied potential difference of 5.0 Vpp. Thus, PVDF-TrFE are attractive candidates for the development of high performance bending actuators.","container-title":"Electrochimica Acta","DOI":"10.1016/j.electacta.2018.11.049","ISSN":"0013-4686","journalAbbreviation":"Electrochimica Acta","language":"en","page":"598-607","source":"ScienceDirect","title":"Improved response of ionic liquid-based bending actuators by tailored interaction with the polar fluorinated polymer matrix","volume":"296","author":[{"family":"Dias","given":"Juliana C."},{"family":"Correia","given":"Daniela M."},{"family":"Costa","given":"Carlos M."},{"family":"Ribeiro","given":"Clarisse"},{"family":"Maceiras","given":"Alberto"},{"family":"Vilas","given":"José L."},{"family":"Botelho","given":"Gabriela"},{"family":"Zea Bermudez","given":"Verónica","non-dropping-particle":"de"},{"family":"Lanceros-Mendez","given":"Senentxu"}],"issued":{"date-parts":[["2019",2,10]]}}}],"schema":"https://github.com/citation-style-language/schema/raw/master/csl-citation.json"} </w:instrText>
      </w:r>
      <w:r w:rsidRPr="00C6674F">
        <w:fldChar w:fldCharType="separate"/>
      </w:r>
      <w:r w:rsidRPr="00C6674F">
        <w:rPr>
          <w:szCs w:val="24"/>
          <w:vertAlign w:val="superscript"/>
        </w:rPr>
        <w:t>23</w:t>
      </w:r>
      <w:r w:rsidRPr="00C6674F">
        <w:fldChar w:fldCharType="end"/>
      </w:r>
      <w:r w:rsidRPr="00C6674F">
        <w:t xml:space="preserve"> Figure S9 (first row), shows a diffractogram of PVDF-HFP films. The predominant peaks are located at 2θ equal to 18, 19, and 27 degrees corresponding to the α-phase (020), β-phase (200), and α-phase (200).</w:t>
      </w:r>
      <w:r w:rsidRPr="00C6674F">
        <w:fldChar w:fldCharType="begin"/>
      </w:r>
      <w:r w:rsidRPr="00C6674F">
        <w:instrText xml:space="preserve"> ADDIN ZOTERO_ITEM CSL_CITATION {"citationID":"zEYk8HGU","properties":{"formattedCitation":"\\super 29,31\\nosupersub{}","plainCitation":"29,31","noteIndex":0},"citationItems":[{"id":99,"uris":["http://zotero.org/groups/4545406/items/RJ6SFZQM"],"itemData":{"id":99,"type":"article-journal","abstract":"Highly enhanced solid-state thermochromism is observed in regioregular poly(3-hexylthiophene), P3HT, when deposited on a superhydrophobic polymer-SiO2 nanocomposite coating. The conformal P3HT coating on the nanocomposite surface does not alter or reduce superhydrophicity while maintaining its reversible enhanced thermochromism. The polymeric matrix of the superhydrophobic surface is comprised of a blend of poly(vinylidene fluoride-co-hexafluoropropylene) copolymer and an acrylic adhesive. Based on detailed X-ray diffraction measurements, this long-lasting, repeatable and hysteresis-free thermochromic effect is attributed to the enhancement of the Bragg peak associated with the d-spacing of interchain directional packing (100) which remains unaltered during several heating-cooling cycles. We propose that the superhydrophobic surface confines π–π interchain stacking in P3HT with uniform d-spacing into its nanostructured texture resulting in better packing and reduction in face-on orientation. The rapid response of the system to sudden temperature changes is also demonstrated by water droplet impact and bounce back on heated surfaces. This effect can be exploited for embedded thin film temperature sensors for metal coatings.","container-title":"Scientific Reports","DOI":"10.1038/srep27984","ISSN":"2045-2322","issue":"1","journalAbbreviation":"Sci Rep","language":"en","note":"Bandiera_abtest: a\nCc_license_type: cc_by\nCg_type: Nature Research Journals\nnumber: 1\nPrimary_atype: Research\npublisher: Nature Publishing Group\nSubject_term: Materials science;Wetting\nSubject_term_id: materials-science;wetting","page":"27984","source":"www.nature.com","title":"A Thermochromic Superhydrophobic Surface","volume":"6","author":[{"family":"Cataldi","given":"Pietro"},{"family":"Bayer","given":"Ilker S."},{"family":"Cingolani","given":"Roberto"},{"family":"Marras","given":"Sergio"},{"family":"Chellali","given":"Ryad"},{"family":"Athanassiou","given":"Athanassia"}],"issued":{"date-parts":[["2016",6,15]]}}},{"id":62,"uris":["http://zotero.org/groups/4545406/items/RC4M7M7U"],"itemData":{"id":62,"type":"article-journal","abstract":"Polymer gel electrolyte (PGE) film is prepared by incorporating polyvinylidene fluoride-co-hexafluoropropylene (PVDF-HFP) as polymer, ethylene carbonate (EC)-propylene carbonate (PC) as plasticizers and tetraethylammonium tetrafluoroborate ($$\\hbox {TEABF}_{4}$$) as salt using solution cast technique. By varying weight percentages of EC-PC-$$\\hbox {TEABF}_{4}$$into a host polymer, different samples of PGE were prepared, and the concentration of EC-PC-$$\\hbox {TEABF}_{4}$$was optimized for maximum conductivity, and stability of the prepared film. The maximum ionic conductivity of the order of $$4.9\\times 10^{-3}\\,\\hbox {S cm}^{-1}$$was determined for 80 wt% of [EC-PC (1:1 v/v)-$$\\hbox {TEABF}_{4}$$(1.0 M)]. From the conductivity as a function of temperature, activation energy $${E}_{\\mathrm{a}}$$was calculated and it is about 0.06 eV. Overall, the amorphous structure was confirmed by X-ray diffraction analysis. Dielectric and impedance spectroscopic analysis was also carried out to understand the electrical behaviour of electrolyte using modified Debye’s function. An ionic character of prepared electrolyte was confirmed from DC polarization method. The ionic transference number of 0.91 was calculated from the data while the electrical potential stability window was found to be 3.8 V. The electrical performance of prepared PGE was examined by fabricating electrical double-layer capacitor (EDLC). In a supercapacitor, commercially procured activated carbon electrodes were employed. The specific capacitance of EDLC cell is found to be $$\\sim $$60 mF cm$$^{-2}$$, and equivalent single-electrode capacitance is about 39 F g$$^{-1}$$.","container-title":"Bulletin of Materials Science","DOI":"10.1007/s12034-018-1685-0","ISSN":"0973-7669","issue":"1","journalAbbreviation":"Bull Mater Sci","language":"en","page":"27","source":"Springer Link","title":"Preparation of polyvinylidene fluoride-co-hexafluoropropylene-based polymer gel electrolyte and its performance evaluation for application in EDLCs","volume":"42","author":[{"family":"Tripathi","given":"Mukta"},{"family":"Bobade","given":"Santosh M."},{"family":"Kumar","given":"Anuj"}],"issued":{"date-parts":[["2019",1,30]]}}}],"schema":"https://github.com/citation-style-language/schema/raw/master/csl-citation.json"} </w:instrText>
      </w:r>
      <w:r w:rsidRPr="00C6674F">
        <w:fldChar w:fldCharType="separate"/>
      </w:r>
      <w:r w:rsidRPr="00C6674F">
        <w:rPr>
          <w:szCs w:val="24"/>
          <w:vertAlign w:val="superscript"/>
        </w:rPr>
        <w:t>29,31</w:t>
      </w:r>
      <w:r w:rsidRPr="00C6674F">
        <w:fldChar w:fldCharType="end"/>
      </w:r>
      <w:r w:rsidRPr="00C6674F">
        <w:t xml:space="preserve"> A small broad peak at 37 degrees is attributed to the 021 plane of the α-phase.</w:t>
      </w:r>
      <w:r w:rsidRPr="00C6674F">
        <w:fldChar w:fldCharType="begin"/>
      </w:r>
      <w:r w:rsidRPr="00C6674F">
        <w:instrText xml:space="preserve"> ADDIN ZOTERO_ITEM CSL_CITATION {"citationID":"6pdISCLb","properties":{"formattedCitation":"\\super 32\\nosupersub{}","plainCitation":"32","noteIndex":0},"citationItems":[{"id":102,"uris":["http://zotero.org/groups/4545406/items/TMFY8NPN"],"itemData":{"id":102,"type":"article-journal","abstract":"Herein, we investigate the morphology, structure and piezoelectric performances of neat polyvinylidene fluoride hexafluoropropylene (PVDF-HFP) and PVDF-HFP/Co-ZnO nanofibers, fabricated by electrospinning. An increase in the amount of crystalline β-phase of PVDF-HFP has been observed with the increase in Co-doped ZnO nanofiller concentration in the PVDF-HFP matrix. The dielectric constants of the neat PVDF-HFP and PVDF-HFP/2 wt.% Co-ZnO nanofibers are derived as 8 and 38 respectively. The flexible nanogenerator manipulated from the polymer nanocomposite (PVDF-HFP/Co-ZnO) exhibits an output voltage as high as 2.8 V compared with the neat PVDF-HFP sample (~120 mV). These results indicate that the investigated nanocomposite is appropriate for fabricating various flexible and wearable self-powered electrical devices and systems.","container-title":"Scientific Reports","DOI":"10.1038/s41598-017-19082-3","ISSN":"2045-2322","issue":"1","journalAbbreviation":"Sci Rep","language":"en","note":"Bandiera_abtest: a\nCc_license_type: cc_by\nCg_type: Nature Research Journals\nnumber: 1\nPrimary_atype: Research\npublisher: Nature Publishing Group\nSubject_term: Electronic properties and materials;Materials for energy and catalysis\nSubject_term_id: electronic-properties-and-materials;materials-for-energy-and-catalysis","page":"754","source":"www.nature.com","title":"Stretchable Electrospun PVDF-HFP/Co-ZnO Nanofibers as Piezoelectric Nanogenerators","volume":"8","author":[{"family":"Parangusan","given":"Hemalatha"},{"family":"Ponnamma","given":"Deepalekshmi"},{"family":"Al-Maadeed","given":"Mariam Al Ali"}],"issued":{"date-parts":[["2018",1,15]]}}}],"schema":"https://github.com/citation-style-language/schema/raw/master/csl-citation.json"} </w:instrText>
      </w:r>
      <w:r w:rsidRPr="00C6674F">
        <w:fldChar w:fldCharType="separate"/>
      </w:r>
      <w:r w:rsidRPr="00C6674F">
        <w:rPr>
          <w:szCs w:val="24"/>
          <w:vertAlign w:val="superscript"/>
        </w:rPr>
        <w:t>32</w:t>
      </w:r>
      <w:r w:rsidRPr="00C6674F">
        <w:fldChar w:fldCharType="end"/>
      </w:r>
      <w:r w:rsidRPr="00C6674F">
        <w:t xml:space="preserve"> As can be seen, when IL is introduced to the polymeric films, the α-phase of PVDF-HFP is suppressed. This was evidenced by the reduction and the shift of two diffraction peaks at 2θ of 18 and 27 degrees, associated with the α-phase (020) and (200). These changes in the structure of polymer were attributed to the strong van der Waals (vdW) interaction between the imidazolium cations of IL and the negative dipoles of CF</w:t>
      </w:r>
      <w:r w:rsidRPr="00C6674F">
        <w:rPr>
          <w:vertAlign w:val="subscript"/>
        </w:rPr>
        <w:t>2</w:t>
      </w:r>
      <w:r w:rsidRPr="00C6674F">
        <w:t xml:space="preserve"> groups of PVDF-HFP. These interactions appear to be the rate determining parameter of crystallization kinetics and stabilized the formation of the β-phase of PVDF-HFP.</w:t>
      </w:r>
      <w:r w:rsidRPr="00C6674F">
        <w:fldChar w:fldCharType="begin"/>
      </w:r>
      <w:r w:rsidRPr="00C6674F">
        <w:instrText xml:space="preserve"> ADDIN ZOTERO_ITEM CSL_CITATION {"citationID":"cHgSBl3O","properties":{"formattedCitation":"\\super 33,34\\nosupersub{}","plainCitation":"33,34","noteIndex":0},"citationItems":[{"id":272,"uris":["http://zotero.org/groups/4545406/items/ZKM3XIAQ"],"itemData":{"id":272,"type":"article-journal","container-title":"Chemical Reviews","DOI":"10.1021/cr500411q","ISSN":"0009-2665","issue":"13","journalAbbreviation":"Chem. Rev.","note":"publisher: American Chemical Society","page":"6357-6426","source":"ACS Publications","title":"Structure and Nanostructure in Ionic Liquids","volume":"115","author":[{"family":"Hayes","given":"Robert"},{"family":"Warr","given":"Gregory G."},{"family":"Atkin","given":"Rob"}],"issued":{"date-parts":[["2015",7,8]]}}},{"id":66,"uris":["http://zotero.org/groups/4545406/items/FUEVR4YJ"],"itemData":{"id":66,"type":"article-journal","abstract":"Crystalline behaviour of PVDF nanocomposite with 1-alkyl-3-methylimidazolium modified montmorillonite clay was analyzed. The phase change from α to β increased with alkyl chain length of the organic modifier in the filler; 1-alkyl-3-methylimidazolium clay and maximum conversion (99%) was observed for PVDF-1-hexadecyl-3-methylimidazolium modified clay composite with 2% loading. The phase conversion was evident from X-ray diffraction, DSC analysis and improved electrical properties. AFM analysis of PVDF-1-butyl-3-methylimidazolium montmorillonite clay composite (PVDF-C4) showed a shish-kebab structure while pristine PVDF and all other composites showed spherulite structures. Computational studies revealed that the extended chain α-phase forms the 'shish', the back bone and folded chain β-phase forms the 'kebab'. This was further supported by the superior mechanical properties for PVDF-C4 composite. Present work shows that introducing ionic liquid modified MMT-clay within the PVDF matrix enables nucleation of electroactive β phase and the presence of equal content of α and β phases can lead to the formation of self reinforced shish-kebab structures in PVDF.","container-title":"Polymer","DOI":"10.1016/j.polymer.2017.03.026","ISSN":"0032-3861","journalAbbreviation":"Polymer","language":"en","page":"70-76","source":"ScienceDirect","title":"PVDF-ionic liquid modified clay nanocomposites: Phase changes and shish-kebab structure","title-short":"PVDF-ionic liquid modified clay nanocomposites","volume":"115","author":[{"family":"Thomas","given":"Eapen"},{"family":"Parvathy","given":"C."},{"family":"Balachandran","given":"Nisha"},{"family":"Bhuvaneswari","given":"S."},{"family":"Vijayalakshmi","given":"K. P."},{"family":"George","given":"Benny K."}],"issued":{"date-parts":[["2017",4,21]]}}}],"schema":"https://github.com/citation-style-language/schema/raw/master/csl-citation.json"} </w:instrText>
      </w:r>
      <w:r w:rsidRPr="00C6674F">
        <w:fldChar w:fldCharType="separate"/>
      </w:r>
      <w:r w:rsidRPr="00C6674F">
        <w:rPr>
          <w:szCs w:val="24"/>
          <w:vertAlign w:val="superscript"/>
        </w:rPr>
        <w:t>33,34</w:t>
      </w:r>
      <w:r w:rsidRPr="00C6674F">
        <w:fldChar w:fldCharType="end"/>
      </w:r>
      <w:r w:rsidRPr="00C6674F">
        <w:t xml:space="preserve"> Previous reports point to similar trends; here we think that the mobility of IL induces disorder in the arrangement of polymer chain, resulting in a reduction in the degree of crystallinity and the formation of the β-phase.</w:t>
      </w:r>
      <w:r w:rsidRPr="00C6674F">
        <w:fldChar w:fldCharType="begin"/>
      </w:r>
      <w:r w:rsidRPr="00C6674F">
        <w:instrText xml:space="preserve"> ADDIN ZOTERO_ITEM CSL_CITATION {"citationID":"P32XMO5h","properties":{"formattedCitation":"\\super 23,35\\nosupersub{}","plainCitation":"23,35","noteIndex":0},"citationItems":[{"id":67,"uris":["http://zotero.org/groups/4545406/items/VSI7U9KF"],"itemData":{"id":67,"type":"article-journal","abstract":"Poly(vinylidene fluoride) (PVDF), poly(vinylidene fluoride-co-trifluoroethylene) (PVDF-TrFE), poly(vinylidene fluoride-co-hexafluropropylene) (PVDF-HFP) and poly(vinylidene fluoride-co-chlorotrifluoroethylene) (PVDF-CTFE) were evaluated for the development of ionic liquid (IL) - polymer composite bending actuators. The selected guest IL, 1-ethyl-3-methylimidazolium bis(trifluoromethanesulfonyl)imide, [Emim][TFSI], was incorporated into the different host polymer matrixes in concentrations ranging from 10 to 40</w:instrText>
      </w:r>
      <w:r w:rsidRPr="00C6674F">
        <w:rPr>
          <w:rFonts w:ascii="Times New Roman" w:hAnsi="Times New Roman"/>
        </w:rPr>
        <w:instrText> </w:instrText>
      </w:r>
      <w:r w:rsidRPr="00C6674F">
        <w:instrText xml:space="preserve">wt%. The IL/polymer composites electrical properties strongly depend on the IL content. The largest bending response was found for the IL/PVDF-TrFE composites with a maximum bending value of </w:instrText>
      </w:r>
      <w:r w:rsidRPr="00C6674F">
        <w:rPr>
          <w:rFonts w:ascii="Cambria Math" w:hAnsi="Cambria Math" w:cs="Cambria Math"/>
        </w:rPr>
        <w:instrText>∼</w:instrText>
      </w:r>
      <w:r w:rsidRPr="00C6674F">
        <w:instrText>3.5</w:instrText>
      </w:r>
      <w:r w:rsidRPr="00C6674F">
        <w:rPr>
          <w:rFonts w:ascii="Times New Roman" w:hAnsi="Times New Roman"/>
        </w:rPr>
        <w:instrText> </w:instrText>
      </w:r>
      <w:r w:rsidRPr="00C6674F">
        <w:instrText>mm using a frequency of 100</w:instrText>
      </w:r>
      <w:r w:rsidRPr="00C6674F">
        <w:rPr>
          <w:rFonts w:ascii="Times New Roman" w:hAnsi="Times New Roman"/>
        </w:rPr>
        <w:instrText> </w:instrText>
      </w:r>
      <w:r w:rsidRPr="00C6674F">
        <w:instrText>mHz</w:instrText>
      </w:r>
      <w:r w:rsidRPr="00C6674F">
        <w:rPr>
          <w:rFonts w:ascii="Times New Roman" w:hAnsi="Times New Roman"/>
        </w:rPr>
        <w:instrText> </w:instrText>
      </w:r>
      <w:r w:rsidRPr="00C6674F">
        <w:instrText xml:space="preserve">at an applied potential difference of 5.0 Vpp. Thus, PVDF-TrFE are attractive candidates for the development of high performance bending actuators.","container-title":"Electrochimica Acta","DOI":"10.1016/j.electacta.2018.11.049","ISSN":"0013-4686","journalAbbreviation":"Electrochimica Acta","language":"en","page":"598-607","source":"ScienceDirect","title":"Improved response of ionic liquid-based bending actuators by tailored interaction with the polar fluorinated polymer matrix","volume":"296","author":[{"family":"Dias","given":"Juliana C."},{"family":"Correia","given":"Daniela M."},{"family":"Costa","given":"Carlos M."},{"family":"Ribeiro","given":"Clarisse"},{"family":"Maceiras","given":"Alberto"},{"family":"Vilas","given":"José L."},{"family":"Botelho","given":"Gabriela"},{"family":"Zea Bermudez","given":"Verónica","non-dropping-particle":"de"},{"family":"Lanceros-Mendez","given":"Senentxu"}],"issued":{"date-parts":[["2019",2,10]]}}},{"id":75,"uris":["http://zotero.org/groups/4545406/items/NBRCJMB8"],"itemData":{"id":75,"type":"article-journal","abstract":"Gel polymer electrolytes (GPE) obtained by immobilizing a solution of zinc triflate (ZnTr) in an ionic liquid, namely 1-ethyl-3-methylimidazolium bis(trifluoromethylsulfonyl)imide [emim][Tf2N] within a biodegradable polymeric matrix of poly-ε-caprolactone (PCL) were prepared by a simple solvent cast technique for different concentrations of the ionic liquid. The electrolyte with the composition 75wt% PCL: 25wt% ZnTr+100wt% [emim][Tf2N] showed the highest ionic conductivity of 1.1×10−4Scm−1 at 25°C and favored by the rich amorphous phase of the GPE as confirmed from room temperature X-ray diffraction analysis (XRD). The morphology of the GPE was examined using scanning electron microscopy (SEM) which revealed the homogeneity of the prepared GPE system. The temperature dependence of electrical conductivity of the GPE followed the Arrhenius behavior. The Zn2+ ionic transport number has been determined to be ~0.62 which denotes the predominant contribution of zinc ion towards total ionic conductivity. The electrochemical stability window of GPE is found to be 2.5V with a thermal stability upto 200°C. This eco-friendly and safe electrolyte may be used to fabricate compostable batteries, in future, with a suitable selection of other components of the battery system.","container-title":"Journal of Physics and Chemistry of Solids","DOI":"10.1016/j.jpcs.2014.02.003","ISSN":"0022-3697","issue":"6","journalAbbreviation":"Journal of Physics and Chemistry of Solids","language":"en","page":"746-751","source":"ScienceDirect","title":"Preparation and properties of a gel polymer electrolyte system based on poly-ε-caprolactone containing 1-ethyl-3-methylimidazolium bis(trifluoromethylsulfonyl)imide","volume":"75","author":[{"family":"Sownthari","given":"K."},{"family":"Austin Suthanthiraraj","given":"S."}],"issued":{"date-parts":[["2014",6,1]]}}}],"schema":"https://github.com/citation-style-language/schema/raw/master/csl-citation.json"} </w:instrText>
      </w:r>
      <w:r w:rsidRPr="00C6674F">
        <w:fldChar w:fldCharType="separate"/>
      </w:r>
      <w:r w:rsidRPr="00C6674F">
        <w:rPr>
          <w:szCs w:val="24"/>
          <w:vertAlign w:val="superscript"/>
        </w:rPr>
        <w:t>23,35</w:t>
      </w:r>
      <w:r w:rsidRPr="00C6674F">
        <w:fldChar w:fldCharType="end"/>
      </w:r>
    </w:p>
    <w:p w14:paraId="54E666F2" w14:textId="4316228F" w:rsidR="00562240" w:rsidRPr="00C6674F" w:rsidRDefault="004E3BB7" w:rsidP="00D67DBB">
      <w:pPr>
        <w:pStyle w:val="MDPI22heading2"/>
        <w:spacing w:before="240"/>
        <w:rPr>
          <w:noProof w:val="0"/>
        </w:rPr>
      </w:pPr>
      <w:r w:rsidRPr="00C6674F">
        <w:rPr>
          <w:noProof w:val="0"/>
        </w:rPr>
        <w:t>S</w:t>
      </w:r>
      <w:r w:rsidR="00A25069" w:rsidRPr="00C6674F">
        <w:rPr>
          <w:noProof w:val="0"/>
        </w:rPr>
        <w:t xml:space="preserve">3.5. </w:t>
      </w:r>
      <w:r w:rsidR="00562240" w:rsidRPr="00C6674F">
        <w:rPr>
          <w:noProof w:val="0"/>
        </w:rPr>
        <w:t>Differential Scanning Calorimetry (DSC)</w:t>
      </w:r>
    </w:p>
    <w:p w14:paraId="260829A8" w14:textId="77777777" w:rsidR="00562240" w:rsidRPr="00C6674F" w:rsidRDefault="00562240" w:rsidP="00D67DBB">
      <w:pPr>
        <w:pStyle w:val="MDPI31text"/>
      </w:pPr>
      <w:r w:rsidRPr="00C6674F">
        <w:t>Differential Scanning Calorimetry (DSC) measurements are used to determine the degree of crystallinity and melting temperature of semicrystalline polymer.</w:t>
      </w:r>
      <w:r w:rsidRPr="00C6674F">
        <w:fldChar w:fldCharType="begin"/>
      </w:r>
      <w:r w:rsidRPr="00C6674F">
        <w:instrText xml:space="preserve"> ADDIN ZOTERO_ITEM CSL_CITATION {"citationID":"BAf7Puze","properties":{"formattedCitation":"\\super 36\\nosupersub{}","plainCitation":"36","noteIndex":0},"citationItems":[{"id":130,"uris":["http://zotero.org/groups/4545406/items/W6KSHXYH"],"itemData":{"id":130,"type":"article-journal","abstract":"A polymer ferroelectric array embedded in an insulating paraelectric medium, with potential uses in nonvolatile memories, is fabricated by microimprinting poly(vinylidene fluoride) (PVDF) a patterned poly(dimethylsiloxane) with mold. The localized pressure induces a polymorphic transition into ferroelectric γ-type PVDF, whereas the unpressed raised areas (see figure) remain of the α type (paraelectric).","container-title":"Advanced Materials","DOI":"10.1002/adma.200601474","ISSN":"1521-4095","issue":"4","note":"_eprint: https://onlinelibrary.wiley.com/doi/pdf/10.1002/adma.200601474","page":"581-586","source":"Wiley Online Library","title":"Localized Pressure-Induced Ferroelectric Pattern Arrays of Semicrystalline Poly(vinylidene fluoride) by Microimprinting","volume":"19","author":[{"family":"Kang","given":"S. J."},{"family":"Park","given":"Y. J."},{"family":"Hwang","given":"J. Y."},{"family":"Jeong","given":"H. J."},{"family":"Lee","given":"J. S."},{"family":"Kim","given":"K. J."},{"family":"Kim","given":"H.-C."},{"family":"Huh","given":"J."},{"family":"Park","given":"C."}],"issued":{"date-parts":[["2007"]]}}}],"schema":"https://github.com/citation-style-language/schema/raw/master/csl-citation.json"} </w:instrText>
      </w:r>
      <w:r w:rsidRPr="00C6674F">
        <w:fldChar w:fldCharType="separate"/>
      </w:r>
      <w:r w:rsidRPr="00C6674F">
        <w:rPr>
          <w:szCs w:val="24"/>
          <w:vertAlign w:val="superscript"/>
        </w:rPr>
        <w:t>36</w:t>
      </w:r>
      <w:r w:rsidRPr="00C6674F">
        <w:fldChar w:fldCharType="end"/>
      </w:r>
      <w:r w:rsidRPr="00C6674F">
        <w:t xml:space="preserve"> Thick film samples were prepared with the same composition as noted in the XRD section. The film were cut into small pieces, and ~ 5.5 mg was used for the measurement. The DSC measurements were performed on the Netzsch DSC 204 F1 Phoenix Differential Scanning Calorimeter at a heating/cooling rate of 5 °C/min under N</w:t>
      </w:r>
      <w:r w:rsidRPr="00C6674F">
        <w:rPr>
          <w:vertAlign w:val="subscript"/>
        </w:rPr>
        <w:t>2</w:t>
      </w:r>
      <w:r w:rsidRPr="00C6674F">
        <w:t xml:space="preserve"> flow.</w:t>
      </w:r>
    </w:p>
    <w:p w14:paraId="2232E069" w14:textId="7F124CB5" w:rsidR="00562240" w:rsidRPr="00C6674F" w:rsidRDefault="00562240" w:rsidP="00D67DBB">
      <w:pPr>
        <w:pStyle w:val="MDPI31text"/>
      </w:pPr>
      <w:r w:rsidRPr="00C6674F">
        <w:t xml:space="preserve">Figure </w:t>
      </w:r>
      <w:r w:rsidR="00553FCA" w:rsidRPr="00C6674F">
        <w:t xml:space="preserve">S12 </w:t>
      </w:r>
      <w:r w:rsidRPr="00C6674F">
        <w:t xml:space="preserve">shows DSC curves of all samples for the heating process from 25 to 175 °C at 5 °C/min, and Figure S11 shows DSC curves for all samples for the cooling process from 175 °C to the room temperature at 5 °C/min. As shown in Figure </w:t>
      </w:r>
      <w:r w:rsidR="007167CB" w:rsidRPr="00C6674F">
        <w:t>S13</w:t>
      </w:r>
      <w:r w:rsidRPr="00C6674F">
        <w:t>, there were two peaks associated with two melting temperature (T</w:t>
      </w:r>
      <w:r w:rsidRPr="00C6674F">
        <w:rPr>
          <w:vertAlign w:val="subscript"/>
        </w:rPr>
        <w:t>m</w:t>
      </w:r>
      <w:r w:rsidRPr="00C6674F">
        <w:t>), on the DSC curves, indicating two types of crystal phases – α- and β-phase.</w:t>
      </w:r>
      <w:r w:rsidRPr="00C6674F">
        <w:rPr>
          <w:vertAlign w:val="superscript"/>
        </w:rPr>
        <w:fldChar w:fldCharType="begin"/>
      </w:r>
      <w:r w:rsidRPr="00C6674F">
        <w:rPr>
          <w:vertAlign w:val="superscript"/>
        </w:rPr>
        <w:instrText xml:space="preserve"> ADDIN ZOTERO_ITEM CSL_CITATION {"citationID":"nJw5clV5","properties":{"formattedCitation":"\\super 24,37\\nosupersub{}","plainCitation":"24,37","noteIndex":0},"citationItems":[{"id":38,"uris":["http://zotero.org/groups/4545406/items/QUSLFLQQ"],"itemData":{"id":38,"type":"article-journal","abstract":"To investigate the effects of graphene (Gra) modified by a long alkyl chain ionic liquid (1-hexadecyl-3-methylimidazolium bromide, IL) on the crystallization kinetics behavior of poly(vinylidene fluoride) (PVDF), a series of PVDF/IL blend, PVDF/Gra and PVDF/IL/Gra nanocomposites have been prepared using a solution-cast method. The crystallization kinetics and corresponding crystal structure have been investigated using differential scanning calorimetry (DSC), polarized optical microscopy (POM) and X-ray diffraction spectroscopy (XRD). The crystallization kinetic parameters, such as relative crystallinity (Xt), crystallization half time (t1/2), crystallization rate constant (Z), Avrami exponents (n) and activation energy (Ea), have been determined by both isothermal and non-isothermal techniques. In the isothermal and non-isothermal crystallization process, for PVDF/0.5IL/0.5Gra, IL and Gra can facilitate nucleation to decrease Ea; moreover, the synergistic efforts of IL and Gra can maintain appropriate crystallization rate to form the β phase extruded form the α phase. The positive effect on the crystallization of PVDF may be ascribed not only to the existence of Gra–cation interaction between the imidazolium cation and the aromatic carbon ring structure, but also to the electrostatic interaction between the CF2 group of the polymer backbone and imidazolium cation.","container-title":"RSC Advances","DOI":"10.1039/C5RA17169E","ISSN":"2046-2069","issue":"112","journalAbbreviation":"RSC Adv.","language":"en","note":"publisher: The Royal Society of Chemistry","page":"92418-92427","source":"pubs.rsc.org","title":"Effect of graphene modified by a long alkyl chain ionic liquid on crystallization kinetics behavior of poly(vinylidene fluoride)","volume":"5","author":[{"family":"Hu","given":"Yadong"},{"family":"Xu","given":"Pei"},{"family":"Gui","given":"Haoguan"},{"family":"Yang","given":"Shanzhong"},{"family":"Ding","given":"Yunsheng"}],"issued":{"date-parts":[["2015",10,27]]}}},{"id":146,"uris":["http://zotero.org/groups/4545406/items/W46F48BF"],"itemData":{"id":146,"type":"article-journal","abstract":"To investigate the performance of graphene (Gra) modified with ethoxycarbonyl ionic liquid (IL), chain mobility and crystallization kinetics of poly(L-lactic acid) (PLLA), a series of PLLA nanocomposites have been prepared using solution-cast method. IL can improve the dispersion of Gra in PLLA matrix and the samples containing IL have higher growth rate of PLLA spherulite than neat PLLA does. PLLA/IL/Gra and PLLA/2Gra exhibit the same relaxation strength and time of αN relaxation that corresponds to the longest normal mode motion at 110−140 °C. PLLA/IL/Gra shows a faster crystallization rate than PLLA/2Gra does, which might be attributed to the Gra-imidazolium cation interaction in IL modified Gra, the significant dispersion effect of IL at Gra surface, and the increase of nuclei density of PLLA/IL/Gra.","container-title":"Chinese Journal of Polymer Science","DOI":"10.1007/s10118-019-2192-5","ISSN":"1439-6203","issue":"3","journalAbbreviation":"Chin J Polym Sci","language":"en","page":"243-252","source":"Springer Link","title":"Enhanced Crystallization Kinetics of PLLA by Ethoxycarbonyl Ionic Liquid Modified Graphene","volume":"37","author":[{"family":"Xu","given":"Pei"},{"family":"Cui","given":"Zhao-Pei"},{"family":"Ruan","given":"Gang"},{"family":"Ding","given":"Yun-Sheng"}],"issued":{"date-parts":[["2019",3,1]]}}}],"schema":"https://github.com/citation-style-language/schema/raw/master/csl-citation.json"} </w:instrText>
      </w:r>
      <w:r w:rsidRPr="00C6674F">
        <w:rPr>
          <w:vertAlign w:val="superscript"/>
        </w:rPr>
        <w:fldChar w:fldCharType="separate"/>
      </w:r>
      <w:r w:rsidRPr="00C6674F">
        <w:rPr>
          <w:szCs w:val="24"/>
          <w:vertAlign w:val="superscript"/>
        </w:rPr>
        <w:t>24,37</w:t>
      </w:r>
      <w:r w:rsidRPr="00C6674F">
        <w:rPr>
          <w:vertAlign w:val="superscript"/>
        </w:rPr>
        <w:fldChar w:fldCharType="end"/>
      </w:r>
      <w:r w:rsidRPr="00C6674F">
        <w:t xml:space="preserve"> Table S12 summarized the melting temperature for polymeric films, and Table S13 summarized the crystallization and solidification temperature for polymeric films. Compared with pure PVDF-HFP, as the IL content increased, T</w:t>
      </w:r>
      <w:r w:rsidRPr="00C6674F">
        <w:rPr>
          <w:vertAlign w:val="subscript"/>
        </w:rPr>
        <w:t>m</w:t>
      </w:r>
      <w:r w:rsidRPr="00C6674F">
        <w:t xml:space="preserve"> value decreased. The shift in T</w:t>
      </w:r>
      <w:r w:rsidRPr="00C6674F">
        <w:rPr>
          <w:vertAlign w:val="subscript"/>
        </w:rPr>
        <w:t>m</w:t>
      </w:r>
      <w:r w:rsidRPr="00C6674F">
        <w:t xml:space="preserve"> to the lower region was due to the plasticization effect of IL.</w:t>
      </w:r>
      <w:r w:rsidRPr="00C6674F">
        <w:fldChar w:fldCharType="begin"/>
      </w:r>
      <w:r w:rsidRPr="00C6674F">
        <w:instrText xml:space="preserve"> ADDIN ZOTERO_ITEM CSL_CITATION {"citationID":"g9yuK5iz","properties":{"formattedCitation":"\\super 24\\nosupersub{}","plainCitation":"24","noteIndex":0},"citationItems":[{"id":38,"uris":["http://zotero.org/groups/4545406/items/QUSLFLQQ"],"itemData":{"id":38,"type":"article-journal","abstract":"To investigate the effects of graphene (Gra) modified by a long alkyl chain ionic liquid (1-hexadecyl-3-methylimidazolium bromide, IL) on the crystallization kinetics behavior of poly(vinylidene fluoride) (PVDF), a series of PVDF/IL blend, PVDF/Gra and PVDF/IL/Gra nanocomposites have been prepared using a solution-cast method. The crystallization kinetics and corresponding crystal structure have been investigated using differential scanning calorimetry (DSC), polarized optical microscopy (POM) and X-ray diffraction spectroscopy (XRD). The crystallization kinetic parameters, such as relative crystallinity (Xt), crystallization half time (t1/2), crystallization rate constant (Z), Avrami exponents (n) and activation energy (Ea), have been determined by both isothermal and non-isothermal techniques. In the isothermal and non-isothermal crystallization process, for PVDF/0.5IL/0.5Gra, IL and Gra can facilitate nucleation to decrease Ea; moreover, the synergistic efforts of IL and Gra can maintain appropriate crystallization rate to form the β phase extruded form the α phase. The positive effect on the crystallization of PVDF may be ascribed not only to the existence of Gra–cation interaction between the imidazolium cation and the aromatic carbon ring structure, but also to the electrostatic interaction between the CF2 group of the polymer backbone and imidazolium cation.","container-title":"RSC Advances","DOI":"10.1039/C5RA17169E","ISSN":"2046-2069","issue":"112","journalAbbreviation":"RSC Adv.","language":"en","note":"publisher: The Royal Society of Chemistry","page":"92418-92427","source":"pubs.rsc.org","title":"Effect of graphene modified by a long alkyl chain ionic liquid on crystallization kinetics behavior of poly(vinylidene fluoride)","volume":"5","author":[{"family":"Hu","given":"Yadong"},{"family":"Xu","given":"Pei"},{"family":"Gui","given":"Haoguan"},{"family":"Yang","given":"Shanzhong"},{"family":"Ding","given":"Yunsheng"}],"issued":{"date-parts":[["2015",10,27]]}}}],"schema":"https://github.com/citation-style-language/schema/raw/master/csl-citation.json"} </w:instrText>
      </w:r>
      <w:r w:rsidRPr="00C6674F">
        <w:fldChar w:fldCharType="separate"/>
      </w:r>
      <w:r w:rsidRPr="00C6674F">
        <w:rPr>
          <w:szCs w:val="24"/>
          <w:vertAlign w:val="superscript"/>
        </w:rPr>
        <w:t>24</w:t>
      </w:r>
      <w:r w:rsidRPr="00C6674F">
        <w:fldChar w:fldCharType="end"/>
      </w:r>
      <w:r w:rsidRPr="00C6674F">
        <w:t xml:space="preserve"> It can be also associated with the reduction in the crystallite size and the increase in interfacial area, which was previously reported.</w:t>
      </w:r>
      <w:r w:rsidRPr="00C6674F">
        <w:fldChar w:fldCharType="begin"/>
      </w:r>
      <w:r w:rsidRPr="00C6674F">
        <w:instrText xml:space="preserve"> ADDIN ZOTERO_ITEM CSL_CITATION {"citationID":"HIA26osp","properties":{"formattedCitation":"\\super 38\\nosupersub{}","plainCitation":"38","noteIndex":0},"citationItems":[{"id":158,"uris":["http://zotero.org/groups/4545406/items/XXVIP5CD"],"itemData":{"id":158,"type":"article-journal","abstract":"In this work, we show the effects of nanoconfinement on the crystallization of poly(ethylene oxide) (PEO) nanotubes embedded in anodized aluminum oxide (AAO) templates. The morphological characteristics of the hollow 1D PEO nanostructures were evaluated by scanning electron microscopy (SEM). The crystallization of the PEO nanostructures and bulk was studied with differential scanning calorimetry (DSC) and wide-angle X-ray diffraction (WAXD). The crystallization of PEO nanotubes studied by DSC is strongly influenced by the confinement showing a strong reduction in the crystallization temperature of the polymer. X-ray diffraction (XRD) experiments confirmed the isothermal crystallization results obtained by DSC, and studies carried out at low temperatures showed the absence of crystallites oriented with the extended chains perpendicular to the pore wall within the PEO nanotubes, which has been shown to be the typical crystal orientation for one-dimensional polymer nanostructures. In contrast, only planes oriented 33, 45, and 90° with respect to the plane (120) are arranged parallel to the pore's main axis, indicating preferential crystal growth in the direction of the radial component. Calculations based on classical nucleation theory suggest that heterogeneous nucleation prevails in the bulk PEO whereas for the PEO nanotubes a surface nucleation mechanism is more consistent with the obtained results.","container-title":"Langmuir","DOI":"10.1021/la302675k","ISSN":"0743-7463","issue":"33","journalAbbreviation":"Langmuir","note":"publisher: American Chemical Society","page":"12296-12303","source":"ACS Publications","title":"Confinement Effects on the Crystallization of Poly(ethylene oxide) Nanotubes","volume":"28","author":[{"family":"Maiz","given":"Jon"},{"family":"Martin","given":"Jaime"},{"family":"Mijangos","given":"Carmen"}],"issued":{"date-parts":[["2012",8,21]]}}}],"schema":"https://github.com/citation-style-language/schema/raw/master/csl-citation.json"} </w:instrText>
      </w:r>
      <w:r w:rsidRPr="00C6674F">
        <w:fldChar w:fldCharType="separate"/>
      </w:r>
      <w:r w:rsidRPr="00C6674F">
        <w:rPr>
          <w:szCs w:val="24"/>
          <w:vertAlign w:val="superscript"/>
        </w:rPr>
        <w:t>38</w:t>
      </w:r>
      <w:r w:rsidRPr="00C6674F">
        <w:fldChar w:fldCharType="end"/>
      </w:r>
      <w:r w:rsidRPr="00C6674F">
        <w:t xml:space="preserve"> When GNP was added to the polymeric films, because of the nucleation effect of GNP, the β-phase of PVDF-HFP was increased and the melting point of the film was further reduced. Furthermore, when the IL or GNP content was increased, the exothermic peaks became wider, indicating the slower crystallization rate and the lower degree of crystallinity of the films. This trend is consistent with the XRD measurements, spherulite growth rate analysis, and previous reports.</w:t>
      </w:r>
      <w:r w:rsidRPr="00C6674F">
        <w:rPr>
          <w:vertAlign w:val="superscript"/>
        </w:rPr>
        <w:fldChar w:fldCharType="begin"/>
      </w:r>
      <w:r w:rsidRPr="00C6674F">
        <w:rPr>
          <w:vertAlign w:val="superscript"/>
        </w:rPr>
        <w:instrText xml:space="preserve"> ADDIN ZOTERO_ITEM CSL_CITATION {"citationID":"21Y3IrfI","properties":{"formattedCitation":"\\super 37,39\\nosupersub{}","plainCitation":"37,39","noteIndex":0},"citationItems":[{"id":"lLEjZG22/SuCyOhTu","uris":["http://zotero.org/groups/4545406/items/JNBFD87D"],"itemData":{"id":72,"type":"article-journal","container-title":"Journal of Materials Chemistry C","DOI":"10.1039/C5TC00940E","issue":"28","language":"en","note":"publisher: Royal Society of Chemistry","page":"7305-7318","source":"pubs.rsc.org","title":"Development of ion conducting polymer gel electrolyte membranes based on polymer PVdF-HFP, BMIMTFSI ionic liquid and the Li-salt with improved electrical, thermal and structural properties","volume":"3","author":[{"family":"Shalu","given":""},{"family":"Kumar Singh","given":"Varun"},{"family":"Kumar Singh","given":"Rajendra"}],"issued":{"date-parts":[["2015"]]}}},{"id":146,"uris":["http://zotero.org/groups/4545406/items/W46F48BF"],"itemData":{"id":146,"type":"article-journal","abstract":"To investigate the performance of graphene (Gra) modified with ethoxycarbonyl ionic liquid (IL), chain mobility and crystallization kinetics of poly(L-lactic acid) (PLLA), a series of PLLA nanocomposites have been prepared using solution-cast method. IL can improve the dispersion of Gra in PLLA matrix and the samples containing IL have higher growth rate of PLLA spherulite than neat PLLA does. PLLA/IL/Gra and PLLA/2Gra exhibit the same relaxation strength and time of αN relaxation that corresponds to the longest normal mode motion at 110−140 °C. PLLA/IL/Gra shows a faster crystallization rate than PLLA/2Gra does, which might be attributed to the Gra-imidazolium cation interaction in IL modified Gra, the significant dispersion effect of IL at Gra surface, and the increase of nuclei density of PLLA/IL/Gra.","container-title":"Chinese Journal of Polymer Science","DOI":"10.1007/s10118-019-2192-5","ISSN":"1439-6203","issue":"3","journalAbbreviation":"Chin J Polym Sci","language":"en","page":"243-252","source":"Springer Link","title":"Enhanced Crystallization Kinetics of PLLA by Ethoxycarbonyl Ionic Liquid Modified Graphene","volume":"37","author":[{"family":"Xu","given":"Pei"},{"family":"Cui","given":"Zhao-Pei"},{"family":"Ruan","given":"Gang"},{"family":"Ding","given":"Yun-Sheng"}],"issued":{"date-parts":[["2019",3,1]]}}}],"schema":"https://github.com/citation-style-language/schema/raw/master/csl-citation.json"} </w:instrText>
      </w:r>
      <w:r w:rsidRPr="00C6674F">
        <w:rPr>
          <w:vertAlign w:val="superscript"/>
        </w:rPr>
        <w:fldChar w:fldCharType="separate"/>
      </w:r>
      <w:r w:rsidRPr="00C6674F">
        <w:rPr>
          <w:szCs w:val="24"/>
          <w:vertAlign w:val="superscript"/>
        </w:rPr>
        <w:t>37,39</w:t>
      </w:r>
      <w:r w:rsidRPr="00C6674F">
        <w:rPr>
          <w:vertAlign w:val="superscript"/>
        </w:rPr>
        <w:fldChar w:fldCharType="end"/>
      </w:r>
    </w:p>
    <w:p w14:paraId="14D7CF79" w14:textId="77777777" w:rsidR="00562240" w:rsidRPr="00C6674F" w:rsidRDefault="00562240" w:rsidP="00D67DBB">
      <w:pPr>
        <w:pStyle w:val="MDPI52figure"/>
        <w:ind w:left="2608"/>
        <w:jc w:val="left"/>
      </w:pPr>
      <w:r w:rsidRPr="00C6674F">
        <w:rPr>
          <w:noProof/>
        </w:rPr>
        <w:lastRenderedPageBreak/>
        <w:drawing>
          <wp:inline distT="0" distB="0" distL="0" distR="0" wp14:anchorId="573ED2E4" wp14:editId="202D4F32">
            <wp:extent cx="4469587" cy="1790700"/>
            <wp:effectExtent l="0" t="0" r="0"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rotWithShape="1">
                    <a:blip r:embed="rId20" cstate="print">
                      <a:extLst>
                        <a:ext uri="{28A0092B-C50C-407E-A947-70E740481C1C}">
                          <a14:useLocalDpi xmlns:a14="http://schemas.microsoft.com/office/drawing/2010/main" val="0"/>
                        </a:ext>
                      </a:extLst>
                    </a:blip>
                    <a:srcRect t="4818" b="2520"/>
                    <a:stretch/>
                  </pic:blipFill>
                  <pic:spPr bwMode="auto">
                    <a:xfrm>
                      <a:off x="0" y="0"/>
                      <a:ext cx="4484335" cy="1796608"/>
                    </a:xfrm>
                    <a:prstGeom prst="rect">
                      <a:avLst/>
                    </a:prstGeom>
                    <a:ln>
                      <a:noFill/>
                    </a:ln>
                    <a:extLst>
                      <a:ext uri="{53640926-AAD7-44D8-BBD7-CCE9431645EC}">
                        <a14:shadowObscured xmlns:a14="http://schemas.microsoft.com/office/drawing/2010/main"/>
                      </a:ext>
                    </a:extLst>
                  </pic:spPr>
                </pic:pic>
              </a:graphicData>
            </a:graphic>
          </wp:inline>
        </w:drawing>
      </w:r>
    </w:p>
    <w:p w14:paraId="363F18B1" w14:textId="7C15B1EA" w:rsidR="00562240" w:rsidRPr="00C6674F" w:rsidRDefault="00A25069" w:rsidP="00D67DBB">
      <w:pPr>
        <w:pStyle w:val="MDPI51figurecaption"/>
      </w:pPr>
      <w:r w:rsidRPr="00C6674F">
        <w:rPr>
          <w:b/>
          <w:bCs/>
        </w:rPr>
        <w:t xml:space="preserve">Figure </w:t>
      </w:r>
      <w:r w:rsidR="00553FCA" w:rsidRPr="00C6674F">
        <w:rPr>
          <w:b/>
          <w:bCs/>
        </w:rPr>
        <w:t>S12</w:t>
      </w:r>
      <w:r w:rsidRPr="00C6674F">
        <w:rPr>
          <w:b/>
          <w:bCs/>
        </w:rPr>
        <w:t xml:space="preserve">. </w:t>
      </w:r>
      <w:r w:rsidR="00562240" w:rsidRPr="00C6674F">
        <w:t>(A) DSC curve analysis of PVDF-HFP. (B) DSC curve of Polymer:IL (GNP).</w:t>
      </w:r>
    </w:p>
    <w:p w14:paraId="2DA31FEF" w14:textId="77777777" w:rsidR="00562240" w:rsidRPr="00C6674F" w:rsidRDefault="00562240" w:rsidP="00D67DBB">
      <w:pPr>
        <w:pStyle w:val="MDPI52figure"/>
        <w:ind w:left="2608"/>
        <w:jc w:val="left"/>
      </w:pPr>
      <w:r w:rsidRPr="00C6674F">
        <w:rPr>
          <w:noProof/>
        </w:rPr>
        <w:drawing>
          <wp:inline distT="0" distB="0" distL="0" distR="0" wp14:anchorId="0543E6E4" wp14:editId="18FD755F">
            <wp:extent cx="4491533" cy="1864274"/>
            <wp:effectExtent l="0" t="0" r="0" b="3175"/>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3559" b="4270"/>
                    <a:stretch/>
                  </pic:blipFill>
                  <pic:spPr bwMode="auto">
                    <a:xfrm>
                      <a:off x="0" y="0"/>
                      <a:ext cx="4504940" cy="1869839"/>
                    </a:xfrm>
                    <a:prstGeom prst="rect">
                      <a:avLst/>
                    </a:prstGeom>
                    <a:ln>
                      <a:noFill/>
                    </a:ln>
                    <a:extLst>
                      <a:ext uri="{53640926-AAD7-44D8-BBD7-CCE9431645EC}">
                        <a14:shadowObscured xmlns:a14="http://schemas.microsoft.com/office/drawing/2010/main"/>
                      </a:ext>
                    </a:extLst>
                  </pic:spPr>
                </pic:pic>
              </a:graphicData>
            </a:graphic>
          </wp:inline>
        </w:drawing>
      </w:r>
    </w:p>
    <w:p w14:paraId="660CE14C" w14:textId="67574914" w:rsidR="00562240" w:rsidRPr="00C6674F" w:rsidRDefault="00A25069" w:rsidP="00D67DBB">
      <w:pPr>
        <w:pStyle w:val="MDPI51figurecaption"/>
        <w:jc w:val="both"/>
      </w:pPr>
      <w:r w:rsidRPr="00C6674F">
        <w:rPr>
          <w:b/>
          <w:bCs/>
        </w:rPr>
        <w:t xml:space="preserve">Figure </w:t>
      </w:r>
      <w:r w:rsidR="00553FCA" w:rsidRPr="00C6674F">
        <w:rPr>
          <w:b/>
          <w:bCs/>
        </w:rPr>
        <w:t>S13</w:t>
      </w:r>
      <w:r w:rsidRPr="00C6674F">
        <w:rPr>
          <w:b/>
          <w:bCs/>
        </w:rPr>
        <w:t xml:space="preserve">. </w:t>
      </w:r>
      <w:r w:rsidR="00562240" w:rsidRPr="00C6674F">
        <w:t>(A) Heat Flow vs. Temperature (°C) curve analysis of PVDF-HFP. (B) Heat Flow vs. Temperature (°C) curve of Polymer:IL (GNP) during a cooling process.</w:t>
      </w:r>
    </w:p>
    <w:p w14:paraId="172C19C5" w14:textId="77777777" w:rsidR="00562240" w:rsidRPr="00C6674F" w:rsidRDefault="00562240" w:rsidP="00D67DBB">
      <w:pPr>
        <w:pStyle w:val="MDPI31text"/>
      </w:pPr>
      <w:r w:rsidRPr="00C6674F">
        <w:t>By assuming the film is mostly ordered into α- and β-phase, the degree of Crystallinity (X</w:t>
      </w:r>
      <w:r w:rsidRPr="00C6674F">
        <w:rPr>
          <w:vertAlign w:val="subscript"/>
        </w:rPr>
        <w:t>c</w:t>
      </w:r>
      <w:r w:rsidRPr="00C6674F">
        <w:t>) was calculated using following Equation 7.</w:t>
      </w:r>
      <w:r w:rsidRPr="00C6674F">
        <w:fldChar w:fldCharType="begin"/>
      </w:r>
      <w:r w:rsidRPr="00C6674F">
        <w:instrText xml:space="preserve"> ADDIN ZOTERO_ITEM CSL_CITATION {"citationID":"SuBua7TN","properties":{"formattedCitation":"\\super 40\\nosupersub{}","plainCitation":"40","noteIndex":0},"citationItems":[{"id":126,"uris":["http://zotero.org/groups/4545406/items/KZZ8KUNT"],"itemData":{"id":126,"type":"article-journal","abstract":"Iron oxide magnetic nanoparticles (IOMNPs) with average size of ~15nm, synthesized by a co-precipitation technique were included in a poly(vinylidene fluoride) (PVDF) matrix with the objective to produce IOMNPs/PVDF multiferroic nanocomposites by solvent casting and melt processing. Increasing concentration of the IOMNPs nucleates the piezoelectric β-phase of the polymer, decreases the degree of crystallinity and increases the melting temperature of the polymer matrix leading to electroactive materials with large potential for sensor and actuator applications. The macroscopic magnetic and dielectric response of the composites depends on the weight fraction of IOMNPs nanoparticles in the nanocomposite, with both magnetization and dielectric constant increasing for increasing filler content. A typical superparamagnetic behavior was observed in the IOMNPs/PVDF composites.","container-title":"Journal of Non-Crystalline Solids","DOI":"10.1016/j.jnoncrysol.2012.11.003","ISSN":"0022-3093","journalAbbreviation":"Journal of Non-Crystalline Solids","language":"en","page":"93-99","source":"ScienceDirect","title":"Nucleation of the electroactive β-phase, dielectric and magnetic response of poly(vinylidene fluoride) composites with Fe2O3 nanoparticles","volume":"361","author":[{"family":"Gonçalves","given":"R."},{"family":"Martins","given":"P. M."},{"family":"Caparrós","given":"C."},{"family":"Martins","given":"P."},{"family":"Benelmekki","given":"M."},{"family":"Botelho","given":"G."},{"family":"Lanceros-Mendez","given":"S."},{"family":"Lasheras","given":"A."},{"family":"Gutiérrez","given":"J."},{"family":"Barandiarán","given":"J. M."}],"issued":{"date-parts":[["2013",2,1]]}}}],"schema":"https://github.com/citation-style-language/schema/raw/master/csl-citation.json"} </w:instrText>
      </w:r>
      <w:r w:rsidRPr="00C6674F">
        <w:fldChar w:fldCharType="separate"/>
      </w:r>
      <w:r w:rsidRPr="00C6674F">
        <w:rPr>
          <w:szCs w:val="24"/>
          <w:vertAlign w:val="superscript"/>
        </w:rPr>
        <w:t>40</w:t>
      </w:r>
      <w:r w:rsidRPr="00C6674F">
        <w:fldChar w:fldCharType="end"/>
      </w:r>
    </w:p>
    <w:p w14:paraId="11E56965" w14:textId="77777777" w:rsidR="00562240" w:rsidRPr="00C6674F" w:rsidRDefault="00562240" w:rsidP="00D67DBB">
      <w:pPr>
        <w:pStyle w:val="MDPI31text"/>
      </w:pPr>
      <w:r w:rsidRPr="00C6674F">
        <w:rPr>
          <w:noProof/>
        </w:rPr>
        <w:drawing>
          <wp:inline distT="0" distB="0" distL="0" distR="0" wp14:anchorId="4E8C8E5C" wp14:editId="013E38E4">
            <wp:extent cx="3265533" cy="3670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688" r="22314" b="31852"/>
                    <a:stretch/>
                  </pic:blipFill>
                  <pic:spPr bwMode="auto">
                    <a:xfrm>
                      <a:off x="0" y="0"/>
                      <a:ext cx="3268882" cy="367392"/>
                    </a:xfrm>
                    <a:prstGeom prst="rect">
                      <a:avLst/>
                    </a:prstGeom>
                    <a:noFill/>
                    <a:ln>
                      <a:noFill/>
                    </a:ln>
                    <a:extLst>
                      <a:ext uri="{53640926-AAD7-44D8-BBD7-CCE9431645EC}">
                        <a14:shadowObscured xmlns:a14="http://schemas.microsoft.com/office/drawing/2010/main"/>
                      </a:ext>
                    </a:extLst>
                  </pic:spPr>
                </pic:pic>
              </a:graphicData>
            </a:graphic>
          </wp:inline>
        </w:drawing>
      </w:r>
      <w:r w:rsidRPr="00C6674F">
        <w:tab/>
        <w:t>(7)</w:t>
      </w:r>
    </w:p>
    <w:p w14:paraId="2908FE77" w14:textId="2BF1689E" w:rsidR="00562240" w:rsidRPr="00C6674F" w:rsidRDefault="00562240" w:rsidP="00D67DBB">
      <w:pPr>
        <w:pStyle w:val="MDPI31text"/>
        <w:rPr>
          <w:rFonts w:eastAsiaTheme="minorEastAsia"/>
        </w:rPr>
      </w:pPr>
      <w:r w:rsidRPr="00C6674F">
        <w:t>Where ∆H</w:t>
      </w:r>
      <w:r w:rsidRPr="00C6674F">
        <w:rPr>
          <w:vertAlign w:val="subscript"/>
        </w:rPr>
        <w:t>β</w:t>
      </w:r>
      <w:r w:rsidR="00D67DBB" w:rsidRPr="00C6674F">
        <w:rPr>
          <w:vertAlign w:val="subscript"/>
        </w:rPr>
        <w:t xml:space="preserve"> </w:t>
      </w:r>
      <w:r w:rsidRPr="00C6674F">
        <w:t xml:space="preserve">is the </w:t>
      </w:r>
      <w:r w:rsidRPr="00C6674F">
        <w:rPr>
          <w:rFonts w:eastAsiaTheme="minorEastAsia"/>
        </w:rPr>
        <w:t xml:space="preserve">heat of fusion of </w:t>
      </w:r>
      <w:r w:rsidRPr="00C6674F">
        <w:t>β</w:t>
      </w:r>
      <w:r w:rsidRPr="00C6674F">
        <w:rPr>
          <w:rFonts w:eastAsiaTheme="minorEastAsia"/>
          <w:vertAlign w:val="subscript"/>
        </w:rPr>
        <w:t xml:space="preserve">PVDF-HFP </w:t>
      </w:r>
      <w:r w:rsidRPr="00C6674F">
        <w:t>(~ 104.7 J/g);</w:t>
      </w:r>
      <w:r w:rsidRPr="00C6674F">
        <w:fldChar w:fldCharType="begin"/>
      </w:r>
      <w:r w:rsidRPr="00C6674F">
        <w:instrText xml:space="preserve"> ADDIN ZOTERO_ITEM CSL_CITATION {"citationID":"JLX76Jl5","properties":{"formattedCitation":"\\super 40\\nosupersub{}","plainCitation":"40","noteIndex":0},"citationItems":[{"id":126,"uris":["http://zotero.org/groups/4545406/items/KZZ8KUNT"],"itemData":{"id":126,"type":"article-journal","abstract":"Iron oxide magnetic nanoparticles (IOMNPs) with average size of ~15nm, synthesized by a co-precipitation technique were included in a poly(vinylidene fluoride) (PVDF) matrix with the objective to produce IOMNPs/PVDF multiferroic nanocomposites by solvent casting and melt processing. Increasing concentration of the IOMNPs nucleates the piezoelectric β-phase of the polymer, decreases the degree of crystallinity and increases the melting temperature of the polymer matrix leading to electroactive materials with large potential for sensor and actuator applications. The macroscopic magnetic and dielectric response of the composites depends on the weight fraction of IOMNPs nanoparticles in the nanocomposite, with both magnetization and dielectric constant increasing for increasing filler content. A typical superparamagnetic behavior was observed in the IOMNPs/PVDF composites.","container-title":"Journal of Non-Crystalline Solids","DOI":"10.1016/j.jnoncrysol.2012.11.003","ISSN":"0022-3093","journalAbbreviation":"Journal of Non-Crystalline Solids","language":"en","page":"93-99","source":"ScienceDirect","title":"Nucleation of the electroactive β-phase, dielectric and magnetic response of poly(vinylidene fluoride) composites with Fe2O3 nanoparticles","volume":"361","author":[{"family":"Gonçalves","given":"R."},{"family":"Martins","given":"P. M."},{"family":"Caparrós","given":"C."},{"family":"Martins","given":"P."},{"family":"Benelmekki","given":"M."},{"family":"Botelho","given":"G."},{"family":"Lanceros-Mendez","given":"S."},{"family":"Lasheras","given":"A."},{"family":"Gutiérrez","given":"J."},{"family":"Barandiarán","given":"J. M."}],"issued":{"date-parts":[["2013",2,1]]}}}],"schema":"https://github.com/citation-style-language/schema/raw/master/csl-citation.json"} </w:instrText>
      </w:r>
      <w:r w:rsidRPr="00C6674F">
        <w:fldChar w:fldCharType="separate"/>
      </w:r>
      <w:r w:rsidRPr="00C6674F">
        <w:rPr>
          <w:szCs w:val="24"/>
          <w:vertAlign w:val="superscript"/>
        </w:rPr>
        <w:t>40</w:t>
      </w:r>
      <w:r w:rsidRPr="00C6674F">
        <w:fldChar w:fldCharType="end"/>
      </w:r>
      <w:r w:rsidRPr="00C6674F">
        <w:t xml:space="preserve"> ∆H</w:t>
      </w:r>
      <w:r w:rsidRPr="00C6674F">
        <w:rPr>
          <w:vertAlign w:val="subscript"/>
        </w:rPr>
        <w:t>α</w:t>
      </w:r>
      <w:r w:rsidR="00D67DBB" w:rsidRPr="00C6674F">
        <w:rPr>
          <w:vertAlign w:val="subscript"/>
        </w:rPr>
        <w:t xml:space="preserve"> </w:t>
      </w:r>
      <w:r w:rsidRPr="00C6674F">
        <w:t>is the</w:t>
      </w:r>
      <w:r w:rsidRPr="00C6674F">
        <w:rPr>
          <w:rFonts w:eastAsiaTheme="minorEastAsia"/>
        </w:rPr>
        <w:t xml:space="preserve"> heat of fusion </w:t>
      </w:r>
      <w:r w:rsidRPr="00C6674F">
        <w:t>α</w:t>
      </w:r>
      <w:r w:rsidRPr="00C6674F">
        <w:rPr>
          <w:rFonts w:eastAsiaTheme="minorEastAsia"/>
          <w:vertAlign w:val="subscript"/>
        </w:rPr>
        <w:t xml:space="preserve">PVDF-HFP </w:t>
      </w:r>
      <w:r w:rsidRPr="00C6674F">
        <w:t>(~ 93.04 J/g);</w:t>
      </w:r>
      <w:r w:rsidRPr="00C6674F">
        <w:fldChar w:fldCharType="begin"/>
      </w:r>
      <w:r w:rsidRPr="00C6674F">
        <w:instrText xml:space="preserve"> ADDIN ZOTERO_ITEM CSL_CITATION {"citationID":"3p4Xghy0","properties":{"formattedCitation":"\\super 40\\nosupersub{}","plainCitation":"40","noteIndex":0},"citationItems":[{"id":126,"uris":["http://zotero.org/groups/4545406/items/KZZ8KUNT"],"itemData":{"id":126,"type":"article-journal","abstract":"Iron oxide magnetic nanoparticles (IOMNPs) with average size of ~15nm, synthesized by a co-precipitation technique were included in a poly(vinylidene fluoride) (PVDF) matrix with the objective to produce IOMNPs/PVDF multiferroic nanocomposites by solvent casting and melt processing. Increasing concentration of the IOMNPs nucleates the piezoelectric β-phase of the polymer, decreases the degree of crystallinity and increases the melting temperature of the polymer matrix leading to electroactive materials with large potential for sensor and actuator applications. The macroscopic magnetic and dielectric response of the composites depends on the weight fraction of IOMNPs nanoparticles in the nanocomposite, with both magnetization and dielectric constant increasing for increasing filler content. A typical superparamagnetic behavior was observed in the IOMNPs/PVDF composites.","container-title":"Journal of Non-Crystalline Solids","DOI":"10.1016/j.jnoncrysol.2012.11.003","ISSN":"0022-3093","journalAbbreviation":"Journal of Non-Crystalline Solids","language":"en","page":"93-99","source":"ScienceDirect","title":"Nucleation of the electroactive β-phase, dielectric and magnetic response of poly(vinylidene fluoride) composites with Fe2O3 nanoparticles","volume":"361","author":[{"family":"Gonçalves","given":"R."},{"family":"Martins","given":"P. M."},{"family":"Caparrós","given":"C."},{"family":"Martins","given":"P."},{"family":"Benelmekki","given":"M."},{"family":"Botelho","given":"G."},{"family":"Lanceros-Mendez","given":"S."},{"family":"Lasheras","given":"A."},{"family":"Gutiérrez","given":"J."},{"family":"Barandiarán","given":"J. M."}],"issued":{"date-parts":[["2013",2,1]]}}}],"schema":"https://github.com/citation-style-language/schema/raw/master/csl-citation.json"} </w:instrText>
      </w:r>
      <w:r w:rsidRPr="00C6674F">
        <w:fldChar w:fldCharType="separate"/>
      </w:r>
      <w:r w:rsidRPr="00C6674F">
        <w:rPr>
          <w:szCs w:val="24"/>
          <w:vertAlign w:val="superscript"/>
        </w:rPr>
        <w:t>40</w:t>
      </w:r>
      <w:r w:rsidRPr="00C6674F">
        <w:fldChar w:fldCharType="end"/>
      </w:r>
      <w:r w:rsidRPr="00C6674F">
        <w:t xml:space="preserve"> </w:t>
      </w:r>
      <w:r w:rsidRPr="00C6674F">
        <w:rPr>
          <w:rFonts w:eastAsiaTheme="minorEastAsia"/>
        </w:rPr>
        <w:t xml:space="preserve">x is a relative fraction of degree of </w:t>
      </w:r>
      <w:r w:rsidRPr="00C6674F">
        <w:t>α</w:t>
      </w:r>
      <w:r w:rsidRPr="00C6674F">
        <w:rPr>
          <w:rFonts w:eastAsiaTheme="minorEastAsia"/>
        </w:rPr>
        <w:t xml:space="preserve">-phase of PVDF-HFP; y is a relative fraction of degree of </w:t>
      </w:r>
      <w:r w:rsidRPr="00C6674F">
        <w:t>β</w:t>
      </w:r>
      <w:r w:rsidRPr="00C6674F">
        <w:rPr>
          <w:rFonts w:eastAsiaTheme="minorEastAsia"/>
        </w:rPr>
        <w:t>-phase of PVDF-HFP.</w:t>
      </w:r>
    </w:p>
    <w:p w14:paraId="5916EC9A" w14:textId="0363D5BE" w:rsidR="00562240" w:rsidRPr="00C6674F" w:rsidRDefault="00A25069" w:rsidP="00D67DBB">
      <w:pPr>
        <w:pStyle w:val="MDPI41tablecaption"/>
        <w:jc w:val="both"/>
        <w:rPr>
          <w:rFonts w:eastAsiaTheme="minorEastAsia"/>
        </w:rPr>
      </w:pPr>
      <w:r w:rsidRPr="00C6674F">
        <w:rPr>
          <w:b/>
          <w:bCs/>
        </w:rPr>
        <w:t xml:space="preserve">Table S12. </w:t>
      </w:r>
      <w:r w:rsidR="00562240" w:rsidRPr="00C6674F">
        <w:t>Melting temperature of various films. For the films with 50 wt % IL content the data are representative of average values of three measurements from different samples, presented with one standard deviation.</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24"/>
        <w:gridCol w:w="1109"/>
        <w:gridCol w:w="1524"/>
        <w:gridCol w:w="2495"/>
        <w:gridCol w:w="1205"/>
      </w:tblGrid>
      <w:tr w:rsidR="00E02BFC" w:rsidRPr="00C6674F" w14:paraId="44B39B9A" w14:textId="77777777" w:rsidTr="00E02BFC">
        <w:tc>
          <w:tcPr>
            <w:tcW w:w="1559" w:type="dxa"/>
            <w:tcBorders>
              <w:top w:val="single" w:sz="8" w:space="0" w:color="auto"/>
              <w:bottom w:val="single" w:sz="4" w:space="0" w:color="auto"/>
            </w:tcBorders>
            <w:shd w:val="clear" w:color="auto" w:fill="auto"/>
            <w:vAlign w:val="center"/>
          </w:tcPr>
          <w:p w14:paraId="5F7FB3D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 xml:space="preserve">IL wt % </w:t>
            </w:r>
          </w:p>
          <w:p w14:paraId="4122845D"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(GNP wt %)</w:t>
            </w:r>
          </w:p>
        </w:tc>
        <w:tc>
          <w:tcPr>
            <w:tcW w:w="1134" w:type="dxa"/>
            <w:tcBorders>
              <w:top w:val="single" w:sz="8" w:space="0" w:color="auto"/>
              <w:bottom w:val="single" w:sz="4" w:space="0" w:color="auto"/>
            </w:tcBorders>
            <w:shd w:val="clear" w:color="auto" w:fill="auto"/>
            <w:vAlign w:val="center"/>
          </w:tcPr>
          <w:p w14:paraId="643CAE0A"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Actual IL wt %</w:t>
            </w:r>
          </w:p>
        </w:tc>
        <w:tc>
          <w:tcPr>
            <w:tcW w:w="1559" w:type="dxa"/>
            <w:tcBorders>
              <w:top w:val="single" w:sz="8" w:space="0" w:color="auto"/>
              <w:bottom w:val="single" w:sz="4" w:space="0" w:color="auto"/>
            </w:tcBorders>
            <w:shd w:val="clear" w:color="auto" w:fill="auto"/>
            <w:vAlign w:val="center"/>
          </w:tcPr>
          <w:p w14:paraId="06ED8FB3"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T</w:t>
            </w:r>
            <w:r w:rsidRPr="00C6674F">
              <w:rPr>
                <w:rFonts w:ascii="Times New Roman" w:hAnsi="Times New Roman"/>
                <w:b/>
                <w:noProof w:val="0"/>
                <w:vertAlign w:val="subscript"/>
              </w:rPr>
              <w:t>m</w:t>
            </w:r>
            <w:r w:rsidRPr="00C6674F">
              <w:rPr>
                <w:rFonts w:ascii="Times New Roman" w:hAnsi="Times New Roman"/>
                <w:b/>
                <w:noProof w:val="0"/>
              </w:rPr>
              <w:t xml:space="preserve"> (°C)</w:t>
            </w:r>
          </w:p>
          <w:p w14:paraId="62AE863D" w14:textId="77777777" w:rsidR="00562240" w:rsidRPr="00C6674F" w:rsidRDefault="00562240" w:rsidP="00D67DBB">
            <w:pPr>
              <w:adjustRightInd w:val="0"/>
              <w:snapToGrid w:val="0"/>
              <w:spacing w:line="240" w:lineRule="auto"/>
              <w:jc w:val="center"/>
              <w:rPr>
                <w:rFonts w:ascii="Times New Roman" w:eastAsia="Calibri" w:hAnsi="Times New Roman"/>
                <w:b/>
                <w:noProof w:val="0"/>
              </w:rPr>
            </w:pPr>
            <w:r w:rsidRPr="00C6674F">
              <w:rPr>
                <w:rFonts w:ascii="Times New Roman" w:eastAsia="Calibri" w:hAnsi="Times New Roman"/>
                <w:b/>
                <w:noProof w:val="0"/>
              </w:rPr>
              <w:t>(this work)</w:t>
            </w:r>
          </w:p>
          <w:p w14:paraId="5C60C58C" w14:textId="77777777" w:rsidR="00562240" w:rsidRPr="00C6674F" w:rsidRDefault="00562240" w:rsidP="00D67DBB">
            <w:pPr>
              <w:adjustRightInd w:val="0"/>
              <w:snapToGrid w:val="0"/>
              <w:spacing w:line="240" w:lineRule="auto"/>
              <w:jc w:val="center"/>
              <w:rPr>
                <w:rFonts w:ascii="Times New Roman" w:eastAsia="Calibri" w:hAnsi="Times New Roman"/>
                <w:b/>
                <w:noProof w:val="0"/>
              </w:rPr>
            </w:pPr>
            <w:r w:rsidRPr="00C6674F">
              <w:rPr>
                <w:rFonts w:ascii="Times New Roman" w:hAnsi="Times New Roman"/>
                <w:b/>
                <w:noProof w:val="0"/>
              </w:rPr>
              <w:t>(mean ±</w:t>
            </w:r>
            <w:r w:rsidRPr="00C6674F">
              <w:rPr>
                <w:rFonts w:ascii="Times New Roman" w:eastAsiaTheme="minorEastAsia" w:hAnsi="Times New Roman"/>
                <w:b/>
                <w:noProof w:val="0"/>
              </w:rPr>
              <w:t xml:space="preserve"> std.)</w:t>
            </w:r>
          </w:p>
        </w:tc>
        <w:tc>
          <w:tcPr>
            <w:tcW w:w="2552" w:type="dxa"/>
            <w:tcBorders>
              <w:top w:val="single" w:sz="8" w:space="0" w:color="auto"/>
              <w:bottom w:val="single" w:sz="4" w:space="0" w:color="auto"/>
            </w:tcBorders>
            <w:shd w:val="clear" w:color="auto" w:fill="auto"/>
            <w:vAlign w:val="center"/>
          </w:tcPr>
          <w:p w14:paraId="07878193"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T</w:t>
            </w:r>
            <w:r w:rsidRPr="00C6674F">
              <w:rPr>
                <w:rFonts w:ascii="Times New Roman" w:hAnsi="Times New Roman"/>
                <w:b/>
                <w:noProof w:val="0"/>
                <w:vertAlign w:val="subscript"/>
              </w:rPr>
              <w:t>m</w:t>
            </w:r>
            <w:r w:rsidRPr="00C6674F">
              <w:rPr>
                <w:rFonts w:ascii="Times New Roman" w:hAnsi="Times New Roman"/>
                <w:b/>
                <w:noProof w:val="0"/>
              </w:rPr>
              <w:t xml:space="preserve"> (°C)</w:t>
            </w:r>
          </w:p>
          <w:p w14:paraId="7482A596"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eastAsia="Calibri" w:hAnsi="Times New Roman"/>
                <w:b/>
                <w:noProof w:val="0"/>
              </w:rPr>
              <w:t>(</w:t>
            </w:r>
            <w:r w:rsidRPr="00C6674F">
              <w:rPr>
                <w:rFonts w:ascii="Times New Roman" w:hAnsi="Times New Roman"/>
                <w:b/>
                <w:noProof w:val="0"/>
              </w:rPr>
              <w:t>reported</w:t>
            </w:r>
            <w:r w:rsidRPr="00C6674F">
              <w:rPr>
                <w:rFonts w:ascii="Times New Roman" w:eastAsia="Calibri" w:hAnsi="Times New Roman"/>
                <w:b/>
                <w:noProof w:val="0"/>
              </w:rPr>
              <w:t>)</w:t>
            </w:r>
          </w:p>
        </w:tc>
        <w:tc>
          <w:tcPr>
            <w:tcW w:w="1232" w:type="dxa"/>
            <w:tcBorders>
              <w:top w:val="single" w:sz="8" w:space="0" w:color="auto"/>
              <w:bottom w:val="single" w:sz="4" w:space="0" w:color="auto"/>
            </w:tcBorders>
            <w:shd w:val="clear" w:color="auto" w:fill="auto"/>
            <w:vAlign w:val="center"/>
          </w:tcPr>
          <w:p w14:paraId="53176CBE" w14:textId="77777777" w:rsidR="00562240" w:rsidRPr="00C6674F" w:rsidRDefault="00562240" w:rsidP="00D67DBB">
            <w:pPr>
              <w:adjustRightInd w:val="0"/>
              <w:snapToGrid w:val="0"/>
              <w:spacing w:line="240" w:lineRule="auto"/>
              <w:jc w:val="center"/>
              <w:rPr>
                <w:rFonts w:ascii="Times New Roman" w:eastAsia="Cambria" w:hAnsi="Times New Roman"/>
                <w:b/>
                <w:noProof w:val="0"/>
              </w:rPr>
            </w:pPr>
            <w:r w:rsidRPr="00C6674F">
              <w:rPr>
                <w:rFonts w:ascii="Times New Roman" w:eastAsia="Cambria" w:hAnsi="Times New Roman"/>
                <w:b/>
                <w:noProof w:val="0"/>
              </w:rPr>
              <w:t>Reference</w:t>
            </w:r>
          </w:p>
        </w:tc>
      </w:tr>
      <w:tr w:rsidR="00E02BFC" w:rsidRPr="00C6674F" w14:paraId="3294F9DE" w14:textId="77777777" w:rsidTr="00E02BFC">
        <w:tc>
          <w:tcPr>
            <w:tcW w:w="1559" w:type="dxa"/>
            <w:tcBorders>
              <w:top w:val="single" w:sz="4" w:space="0" w:color="auto"/>
            </w:tcBorders>
            <w:shd w:val="clear" w:color="auto" w:fill="auto"/>
            <w:vAlign w:val="center"/>
          </w:tcPr>
          <w:p w14:paraId="39652FF9"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0</w:t>
            </w:r>
          </w:p>
        </w:tc>
        <w:tc>
          <w:tcPr>
            <w:tcW w:w="1134" w:type="dxa"/>
            <w:tcBorders>
              <w:top w:val="single" w:sz="4" w:space="0" w:color="auto"/>
            </w:tcBorders>
            <w:shd w:val="clear" w:color="auto" w:fill="auto"/>
            <w:vAlign w:val="center"/>
          </w:tcPr>
          <w:p w14:paraId="79EE32CE"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w:t>
            </w:r>
          </w:p>
        </w:tc>
        <w:tc>
          <w:tcPr>
            <w:tcW w:w="1559" w:type="dxa"/>
            <w:tcBorders>
              <w:top w:val="single" w:sz="4" w:space="0" w:color="auto"/>
            </w:tcBorders>
            <w:shd w:val="clear" w:color="auto" w:fill="auto"/>
            <w:vAlign w:val="center"/>
          </w:tcPr>
          <w:p w14:paraId="421FF063"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151.7 ±</w:t>
            </w:r>
            <w:r w:rsidRPr="00C6674F">
              <w:rPr>
                <w:rFonts w:ascii="Times New Roman" w:eastAsiaTheme="minorEastAsia" w:hAnsi="Times New Roman"/>
                <w:noProof w:val="0"/>
              </w:rPr>
              <w:t xml:space="preserve"> 0.1</w:t>
            </w:r>
          </w:p>
        </w:tc>
        <w:tc>
          <w:tcPr>
            <w:tcW w:w="2552" w:type="dxa"/>
            <w:tcBorders>
              <w:top w:val="single" w:sz="4" w:space="0" w:color="auto"/>
            </w:tcBorders>
            <w:shd w:val="clear" w:color="auto" w:fill="auto"/>
            <w:vAlign w:val="center"/>
          </w:tcPr>
          <w:p w14:paraId="5E55E10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144.9, 145, 147.2, 151 </w:t>
            </w:r>
          </w:p>
        </w:tc>
        <w:tc>
          <w:tcPr>
            <w:tcW w:w="1232" w:type="dxa"/>
            <w:tcBorders>
              <w:top w:val="single" w:sz="4" w:space="0" w:color="auto"/>
            </w:tcBorders>
            <w:shd w:val="clear" w:color="auto" w:fill="auto"/>
            <w:vAlign w:val="center"/>
          </w:tcPr>
          <w:p w14:paraId="1FA5B171"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vertAlign w:val="superscript"/>
              </w:rPr>
              <w:fldChar w:fldCharType="begin"/>
            </w:r>
            <w:r w:rsidRPr="00C6674F">
              <w:rPr>
                <w:rFonts w:ascii="Times New Roman" w:hAnsi="Times New Roman"/>
                <w:noProof w:val="0"/>
                <w:vertAlign w:val="superscript"/>
              </w:rPr>
              <w:instrText xml:space="preserve"> ADDIN ZOTERO_ITEM CSL_CITATION {"citationID":"lKbqzHnt","properties":{"formattedCitation":"\\super 39\\nosupersub{}","plainCitation":"39","noteIndex":0},"citationItems":[{"id":"lLEjZG22/SuCyOhTu","uris":["http://zotero.org/groups/4545406/items/JNBFD87D"],"itemData":{"id":72,"type":"article-journal","container-title":"Journal of Materials Chemistry C","DOI":"10.1039/C5TC00940E","issue":"28","language":"en","note":"publisher: Royal Society of Chemistry","page":"7305-7318","source":"pubs.rsc.org","title":"Development of ion conducting polymer gel electrolyte membranes based on polymer PVdF-HFP, BMIMTFSI ionic liquid and the Li-salt with improved electrical, thermal and structural properties","volume":"3","author":[{"family":"Shalu","given":""},{"family":"Kumar Singh","given":"Varun"},{"family":"Kumar Singh","given":"Rajendra"}],"issued":{"date-parts":[["2015"]]}}}],"schema":"https://github.com/citation-style-language/schema/raw/master/csl-citation.json"} </w:instrText>
            </w:r>
            <w:r w:rsidRPr="00C6674F">
              <w:rPr>
                <w:rFonts w:ascii="Times New Roman" w:hAnsi="Times New Roman"/>
                <w:noProof w:val="0"/>
                <w:vertAlign w:val="superscript"/>
              </w:rPr>
              <w:fldChar w:fldCharType="separate"/>
            </w:r>
            <w:r w:rsidRPr="00C6674F">
              <w:rPr>
                <w:rFonts w:ascii="Times New Roman" w:hAnsi="Times New Roman"/>
                <w:noProof w:val="0"/>
                <w:szCs w:val="24"/>
                <w:vertAlign w:val="superscript"/>
              </w:rPr>
              <w:t>39</w:t>
            </w:r>
            <w:r w:rsidRPr="00C6674F">
              <w:rPr>
                <w:rFonts w:ascii="Times New Roman" w:hAnsi="Times New Roman"/>
                <w:noProof w:val="0"/>
                <w:vertAlign w:val="superscript"/>
              </w:rPr>
              <w:fldChar w:fldCharType="end"/>
            </w:r>
            <w:r w:rsidRPr="00C6674F">
              <w:rPr>
                <w:rFonts w:ascii="Times New Roman" w:hAnsi="Times New Roman"/>
                <w:noProof w:val="0"/>
                <w:vertAlign w:val="superscript"/>
              </w:rPr>
              <w:t xml:space="preserve">, </w:t>
            </w:r>
            <w:r w:rsidRPr="00C6674F">
              <w:rPr>
                <w:rFonts w:ascii="Times New Roman" w:hAnsi="Times New Roman"/>
                <w:noProof w:val="0"/>
                <w:vertAlign w:val="superscript"/>
              </w:rPr>
              <w:fldChar w:fldCharType="begin"/>
            </w:r>
            <w:r w:rsidRPr="00C6674F">
              <w:rPr>
                <w:rFonts w:ascii="Times New Roman" w:hAnsi="Times New Roman"/>
                <w:noProof w:val="0"/>
                <w:vertAlign w:val="superscript"/>
              </w:rPr>
              <w:instrText xml:space="preserve"> ADDIN ZOTERO_ITEM CSL_CITATION {"citationID":"KZf9TMQ3","properties":{"formattedCitation":"\\super 41\\uc0\\u8211{}44\\nosupersub{}","plainCitation":"41–44","noteIndex":0},"citationItems":[{"id":418,"uris":["http://zotero.org/groups/4545406/items/RUK7SJSU"],"itemData":{"id":418,"type":"article-journal","abstract":"Gel polymer electrolytes (GPE) based on electrospun polymer membranes, poly(vinylidene fluorideco-hexafluoropropylene), grafted poly(poly(ethylene glycol) methyl ether methacrylate) (PVDF-HFP-g-PPEGMA), and poly(vinylidene difluoride-co-hexafluoropropylene) (PVDF-HFP) are prepared for lithium ion batteries by incorporating with 1-butyl-3-methylimidazolium bis(trifluoromethanesulfonyl)imide (BMITFSI). The uniform porosity and the compatibility of blend electrospun membranes avoiding the pore blocking are beneficial to enhance the electrolyte uptakes. The GPE based on the fibrous PVDF-HFP-g-PPEGMA/PVDF-HFP activated with 1 M LiTFSI (BMITFSI) show a maximum ionic conductivity of 2.3 × 10−3 S cm−1 at room temperature and electrochemical stability of up to 5.2 V. The Li/GPE/LiFePO4 cells with GPE based on PVDF-HFP-g-PPEGMA/PVDF-HFP blend electrospun membrane deliver specific capacities of 163, 141, and 125 mAh g−1 at 0.1, 0.5, and 1C rates, respectively, and remains well after 50 cycles for each rate. Therefore, the novel GPE have been demonstrated to be suitable for lithium-ion battery applications.","container-title":"Ionics","DOI":"10.1007/s11581-016-1662-9","ISSN":"0947-7047, 1862-0760","issue":"8","journalAbbreviation":"Ionics","language":"en","page":"1311-1318","source":"DOI.org (Crossref)","title":"Design of amphiphilic poly(vinylidene fluoride-co-hexafluoropropylene)-based gel electrolytes for high-performance lithium-ion batteries","volume":"22","author":[{"family":"Tong","given":"Yongfen"},{"family":"Que","given":"Mingming"},{"family":"Su","given":"Shan"},{"family":"Chen","given":"Lie"}],"issued":{"date-parts":[["2016",8]]}}},{"id":139,"uris":["http://zotero.org/groups/4545406/items/I6SLIYQ4"],"itemData":{"id":139,"type":"article-journal","abstract":"In order to improve the piezoelectric properties of poly(vinylidene fluoride-co-hexafluoropropylene) (PVDF-HFP), we added various amounts of silver nanowires (AgNWs) into PVDF-HFP and N,N-dimethylformamide (DMF) solution to prepare composite films. Stretching and poling were applied to the films to induce the formation of the polar β-phase and reorientation of the dipole moment. The crystal structure of the films was investigated by polarized optical microscopy (POM), Fourier transform infrared spectroscopy (FTIR) and differential scanning calorimetry (DSC). The obtained results showed that the phase transformation mainly occurred in stretching and the reorientation of the dipole moment was attributed to poling. It was also concluded that the AgNWs played a role as nucleate agents in the β-phase formation and the phase transformation. The piezoelectric properties were also evaluated by the output voltage and harvested power density. It was found that the open circuit voltage of 0.1 wt% AgNWs containing films was 52% higher than that of pure PVDF-HFP films. Furthermore, the harvested power density was increased by 159%. Overdose of AgNWs resulted in crystal defects and the lower degree of crystallinity, leading to worse piezoelectric properties.","container-title":"RSC Advances","DOI":"10.1039/C4RA03382E","ISSN":"2046-2069","issue":"68","journalAbbreviation":"RSC Adv.","language":"en","note":"publisher: The Royal Society of Chemistry","page":"35896-35903","source":"pubs.rsc.org","title":"Improvement of the piezoelectric properties of PVDF-HFP using AgNWs","volume":"4","author":[{"family":"Wu","given":"Liangke"},{"family":"Huang","given":"Guiwen"},{"family":"Hu","given":"Ning"},{"family":"Fu","given":"Shaoyun"},{"family":"Qiu","given":"Jianhui"},{"family":"Wang","given":"Zhongchang"},{"family":"Ying","given":"Ji"},{"family":"Chen","given":"Zichen"},{"family":"Li","given":"Weiguo"},{"family":"Tang","given":"Shan"}],"issued":{"date-parts":[["2014",8,15]]}}},{"id":143,"uris":["http://zotero.org/groups/4545406/items/6UX5X6JW"],"itemData":{"id":143,"type":"article-journal","abstract":"Magnetoelectric (ME) flexible nanocomposite fiber mats with a ternary composition based on the electroactive polymer poly(vinylidene fluoride-co-hexafluoropropylene) (PVDF-HFP) loaded with nanoclay (Cloisite 30B) and NiFe2O4 (NFO) nanoparticles have been fabricated. Different weight percentages of nickel ferrite nanoparticles were incorporated into the polymer–clay systems and their morphological, dielectric, magnetic and magnetoelectric properties have been studied. X-ray diffraction (XRD) and Fourier transform infrared (FTIR) spectroscopy were used to validate the enhancement of the ferroelectric β phase of PVDF-HFP. Moreover, differential scanning calorimetric (DSC) measurements showed an improvement in the melting point of the polymer nanocomposite which also implies the enhancement of the ferroelectric β phase. The synergistic effect of the incorporation of clay and nickel ferrite nanoparticles into the PVDF-HFP matrix along with the electrospinning technique resulted in an enhancement of the electroactive nature of the polymer. The polymer nanocomposite fiber shows a magnetic saturation value of 1.54 emu g−1 for the maximum loading (8 wt%) of NFO nanoparticles. The electrospun nanocomposite system with 8 wt% NFO nanoparticles exhibited the highest values of the magnetoelectric coupling coefficient (MECC) and dielectric constant (≈17 mV cm−1 Oe−1 and ≈29, respectively). High flexibility along with room temperature multiferroic properties makes PVDF-HFP/clay/NFO polymer nanocomposite fibers suitable candidates for device applications.","container-title":"New Journal of Chemistry","DOI":"10.1039/D0NJ02494E","ISSN":"1369-9261","issue":"26","journalAbbreviation":"New J. Chem.","language":"en","note":"publisher: The Royal Society of Chemistry","page":"11356-11364","source":"pubs.rsc.org","title":"Enhanced magnetoelectric coupling and dielectric constant in flexible ternary composite electrospun fibers of PVDF-HFP loaded with nanoclay and NiFe2O4 nanoparticles","volume":"44","author":[{"family":"Chacko","given":"Sobi K."},{"family":"Rahul","given":"M. T."},{"family":"Raneesh","given":"B."},{"family":"Kalarikkal","given":"Nandakumar"}],"issued":{"date-parts":[["2020",7,6]]}}},{"id":426,"uris":["http://zotero.org/groups/4545406/items/DUT8RQHK"],"itemData":{"id":426,"type":"article-journal","abstract":"Porous poly(vinylidene fluoride-co-hexafluoropropylene) (PVdF-HFP)-based polymer membranes filled with various contents of titania (TiO2) nanocrystalline particles are prepared by phase inversion technique and, along with conventional casting method for comparison. N-methyl-2-pyrrolidone (NMP) as a solvent is used to dissolve the polymer and to make the slurry with TiO2. Cast film is obtained by spreading the slurry and evaporating NMP in a dry oven, while phase inversion membrane by promptly immersing the spread slurry into flowing water as a non-solvent. Physical and electrochemical characterizations, such as morphology, thermal and crystalline behavior, and other transport properties of lithium ionic species, are carried out for the polymer films/membranes and the polymer electrolytes with absorbing an electrolyte solution. Phase inversion polymer electrolytes are proved to show superior behaviors in electrochemical properties, such as ionic conductivity, electrochemical and interfacial stability, than cast film electrolytes. This is greatly owed to highly porous structure of phase inversion membranes. Even including the feature of interfacial resistance with lithium electrode, phase inversion polymer electrolytes of PVdF-HFP/(5–20wt.% TiO2) can be optimized as the adequate ones in applying to the electrolyte medium of lithium rechargeable batteries.","container-title":"Electrochimica Acta","DOI":"10.1016/j.electacta.2006.02.038","ISSN":"0013-4686","issue":"26","journalAbbreviation":"Electrochimica Acta","language":"en","page":"5636-5644","source":"ScienceDirect","title":"Characteristics of PVdF-HFP/TiO2 composite membrane electrolytes prepared by phase inversion and conventional casting methods","volume":"51","author":[{"family":"Kim","given":"Kwang Man"},{"family":"Park","given":"Nam-Gyu"},{"family":"Ryu","given":"Kwang Sun"},{"family":"Chang","given":"Soon Ho"}],"issued":{"date-parts":[["2006",8,15]]}}}],"schema":"https://github.com/citation-style-language/schema/raw/master/csl-citation.json"} </w:instrText>
            </w:r>
            <w:r w:rsidRPr="00C6674F">
              <w:rPr>
                <w:rFonts w:ascii="Times New Roman" w:hAnsi="Times New Roman"/>
                <w:noProof w:val="0"/>
                <w:vertAlign w:val="superscript"/>
              </w:rPr>
              <w:fldChar w:fldCharType="separate"/>
            </w:r>
            <w:r w:rsidRPr="00C6674F">
              <w:rPr>
                <w:rFonts w:ascii="Times New Roman" w:hAnsi="Times New Roman"/>
                <w:noProof w:val="0"/>
                <w:szCs w:val="24"/>
                <w:vertAlign w:val="superscript"/>
              </w:rPr>
              <w:t>41–44</w:t>
            </w:r>
            <w:r w:rsidRPr="00C6674F">
              <w:rPr>
                <w:rFonts w:ascii="Times New Roman" w:hAnsi="Times New Roman"/>
                <w:noProof w:val="0"/>
                <w:vertAlign w:val="superscript"/>
              </w:rPr>
              <w:fldChar w:fldCharType="end"/>
            </w:r>
          </w:p>
        </w:tc>
      </w:tr>
      <w:tr w:rsidR="00E02BFC" w:rsidRPr="00C6674F" w14:paraId="7D4EB1BE" w14:textId="77777777" w:rsidTr="00E02BFC">
        <w:tc>
          <w:tcPr>
            <w:tcW w:w="1559" w:type="dxa"/>
            <w:shd w:val="clear" w:color="auto" w:fill="auto"/>
            <w:vAlign w:val="center"/>
          </w:tcPr>
          <w:p w14:paraId="18428DD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w:t>
            </w:r>
          </w:p>
        </w:tc>
        <w:tc>
          <w:tcPr>
            <w:tcW w:w="1134" w:type="dxa"/>
            <w:shd w:val="clear" w:color="auto" w:fill="auto"/>
            <w:vAlign w:val="center"/>
          </w:tcPr>
          <w:p w14:paraId="4C495DC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10.2 </w:t>
            </w:r>
          </w:p>
        </w:tc>
        <w:tc>
          <w:tcPr>
            <w:tcW w:w="1559" w:type="dxa"/>
            <w:shd w:val="clear" w:color="auto" w:fill="auto"/>
            <w:vAlign w:val="center"/>
          </w:tcPr>
          <w:p w14:paraId="359F9D3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146.8</w:t>
            </w:r>
          </w:p>
        </w:tc>
        <w:tc>
          <w:tcPr>
            <w:tcW w:w="2552" w:type="dxa"/>
            <w:shd w:val="clear" w:color="auto" w:fill="auto"/>
            <w:vAlign w:val="center"/>
          </w:tcPr>
          <w:p w14:paraId="475F45D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134</w:t>
            </w:r>
          </w:p>
        </w:tc>
        <w:tc>
          <w:tcPr>
            <w:tcW w:w="1232" w:type="dxa"/>
            <w:shd w:val="clear" w:color="auto" w:fill="auto"/>
            <w:vAlign w:val="center"/>
          </w:tcPr>
          <w:p w14:paraId="2D06EA13"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vertAlign w:val="superscript"/>
              </w:rPr>
              <w:fldChar w:fldCharType="begin"/>
            </w:r>
            <w:r w:rsidRPr="00C6674F">
              <w:rPr>
                <w:rFonts w:ascii="Times New Roman" w:hAnsi="Times New Roman"/>
                <w:noProof w:val="0"/>
                <w:vertAlign w:val="superscript"/>
              </w:rPr>
              <w:instrText xml:space="preserve"> ADDIN ZOTERO_ITEM CSL_CITATION {"citationID":"3NugAu4J","properties":{"formattedCitation":"\\super 23\\nosupersub{}","plainCitation":"23","noteIndex":0},"citationItems":[{"id":67,"uris":["http://zotero.org/groups/4545406/items/VSI7U9KF"],"itemData":{"id":67,"type":"article-journal","abstract":"Poly(vinylidene fluoride) (PVDF), poly(vinylidene fluoride-co-trifluoroethylene) (PVDF-TrFE), poly(vinylidene fluoride-co-hexafluropropylene) (PVDF-HFP) and poly(vinylidene fluoride-co-chlorotrifluoroethylene) (PVDF-CTFE) were evaluated for the development of ionic liquid (IL) - polymer composite bending actuators. The selected guest IL, 1-ethyl-3-methylimidazolium bis(trifluoromethanesulfonyl)imide, [Emim][TFSI], was incorporated into the different host polymer matrixes in concentrations ranging from 10 to 40 wt%. The IL/polymer composites electrical properties strongly depend on the IL content. The largest bending response was found for the IL/PVDF-TrFE composites with a maximum bending value of </w:instrText>
            </w:r>
            <w:r w:rsidRPr="00C6674F">
              <w:rPr>
                <w:rFonts w:ascii="Cambria Math" w:hAnsi="Cambria Math" w:cs="Cambria Math"/>
                <w:noProof w:val="0"/>
                <w:vertAlign w:val="superscript"/>
              </w:rPr>
              <w:instrText>∼</w:instrText>
            </w:r>
            <w:r w:rsidRPr="00C6674F">
              <w:rPr>
                <w:rFonts w:ascii="Times New Roman" w:hAnsi="Times New Roman"/>
                <w:noProof w:val="0"/>
                <w:vertAlign w:val="superscript"/>
              </w:rPr>
              <w:instrText xml:space="preserve">3.5 mm using a frequency of 100 mHz at an applied potential difference of 5.0 Vpp. Thus, PVDF-TrFE are attractive candidates for the development of high performance bending actuators.","container-title":"Electrochimica Acta","DOI":"10.1016/j.electacta.2018.11.049","ISSN":"0013-4686","journalAbbreviation":"Electrochimica Acta","language":"en","page":"598-607","source":"ScienceDirect","title":"Improved response of ionic liquid-based bending actuators by tailored interaction with the polar fluorinated polymer matrix","volume":"296","author":[{"family":"Dias","given":"Juliana C."},{"family":"Correia","given":"Daniela M."},{"family":"Costa","given":"Carlos M."},{"family":"Ribeiro","given":"Clarisse"},{"family":"Maceiras","given":"Alberto"},{"family":"Vilas","given":"José L."},{"family":"Botelho","given":"Gabriela"},{"family":"Zea Bermudez","given":"Verónica","non-dropping-particle":"de"},{"family":"Lanceros-Mendez","given":"Senentxu"}],"issued":{"date-parts":[["2019",2,10]]}}}],"schema":"https://github.com/citation-style-language/schema/raw/master/csl-citation.json"} </w:instrText>
            </w:r>
            <w:r w:rsidRPr="00C6674F">
              <w:rPr>
                <w:rFonts w:ascii="Times New Roman" w:hAnsi="Times New Roman"/>
                <w:noProof w:val="0"/>
                <w:vertAlign w:val="superscript"/>
              </w:rPr>
              <w:fldChar w:fldCharType="separate"/>
            </w:r>
            <w:r w:rsidRPr="00C6674F">
              <w:rPr>
                <w:rFonts w:ascii="Times New Roman" w:hAnsi="Times New Roman"/>
                <w:noProof w:val="0"/>
                <w:szCs w:val="24"/>
                <w:vertAlign w:val="superscript"/>
              </w:rPr>
              <w:t>23</w:t>
            </w:r>
            <w:r w:rsidRPr="00C6674F">
              <w:rPr>
                <w:rFonts w:ascii="Times New Roman" w:hAnsi="Times New Roman"/>
                <w:noProof w:val="0"/>
                <w:vertAlign w:val="superscript"/>
              </w:rPr>
              <w:fldChar w:fldCharType="end"/>
            </w:r>
          </w:p>
        </w:tc>
      </w:tr>
      <w:tr w:rsidR="00E02BFC" w:rsidRPr="00C6674F" w14:paraId="7C16B75B" w14:textId="77777777" w:rsidTr="00E02BFC">
        <w:tc>
          <w:tcPr>
            <w:tcW w:w="1559" w:type="dxa"/>
            <w:shd w:val="clear" w:color="auto" w:fill="auto"/>
            <w:vAlign w:val="center"/>
          </w:tcPr>
          <w:p w14:paraId="4F05B3D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30</w:t>
            </w:r>
          </w:p>
        </w:tc>
        <w:tc>
          <w:tcPr>
            <w:tcW w:w="1134" w:type="dxa"/>
            <w:shd w:val="clear" w:color="auto" w:fill="auto"/>
            <w:vAlign w:val="center"/>
          </w:tcPr>
          <w:p w14:paraId="28D23094"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32.1 </w:t>
            </w:r>
          </w:p>
        </w:tc>
        <w:tc>
          <w:tcPr>
            <w:tcW w:w="1559" w:type="dxa"/>
            <w:shd w:val="clear" w:color="auto" w:fill="auto"/>
            <w:vAlign w:val="center"/>
          </w:tcPr>
          <w:p w14:paraId="229E6AF2"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138.7 ±</w:t>
            </w:r>
            <w:r w:rsidRPr="00C6674F">
              <w:rPr>
                <w:rFonts w:ascii="Times New Roman" w:eastAsiaTheme="minorEastAsia" w:hAnsi="Times New Roman"/>
                <w:noProof w:val="0"/>
              </w:rPr>
              <w:t xml:space="preserve"> </w:t>
            </w:r>
            <w:r w:rsidRPr="00C6674F">
              <w:rPr>
                <w:rFonts w:ascii="Times New Roman" w:hAnsi="Times New Roman"/>
                <w:noProof w:val="0"/>
              </w:rPr>
              <w:t>0.4</w:t>
            </w:r>
          </w:p>
        </w:tc>
        <w:tc>
          <w:tcPr>
            <w:tcW w:w="2552" w:type="dxa"/>
            <w:shd w:val="clear" w:color="auto" w:fill="auto"/>
            <w:vAlign w:val="center"/>
          </w:tcPr>
          <w:p w14:paraId="32797CD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129</w:t>
            </w:r>
          </w:p>
        </w:tc>
        <w:tc>
          <w:tcPr>
            <w:tcW w:w="1232" w:type="dxa"/>
            <w:shd w:val="clear" w:color="auto" w:fill="auto"/>
            <w:vAlign w:val="center"/>
          </w:tcPr>
          <w:p w14:paraId="79B6FD0C"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vertAlign w:val="superscript"/>
              </w:rPr>
              <w:fldChar w:fldCharType="begin"/>
            </w:r>
            <w:r w:rsidRPr="00C6674F">
              <w:rPr>
                <w:rFonts w:ascii="Times New Roman" w:hAnsi="Times New Roman"/>
                <w:noProof w:val="0"/>
                <w:vertAlign w:val="superscript"/>
              </w:rPr>
              <w:instrText xml:space="preserve"> ADDIN ZOTERO_ITEM CSL_CITATION {"citationID":"lmX0Ix28","properties":{"formattedCitation":"\\super 23\\nosupersub{}","plainCitation":"23","noteIndex":0},"citationItems":[{"id":67,"uris":["http://zotero.org/groups/4545406/items/VSI7U9KF"],"itemData":{"id":67,"type":"article-journal","abstract":"Poly(vinylidene fluoride) (PVDF), poly(vinylidene fluoride-co-trifluoroethylene) (PVDF-TrFE), poly(vinylidene fluoride-co-hexafluropropylene) (PVDF-HFP) and poly(vinylidene fluoride-co-chlorotrifluoroethylene) (PVDF-CTFE) were evaluated for the development of ionic liquid (IL) - polymer composite bending actuators. The selected guest IL, 1-ethyl-3-methylimidazolium bis(trifluoromethanesulfonyl)imide, [Emim][TFSI], was incorporated into the different host polymer matrixes in concentrations ranging from 10 to 40 wt%. The IL/polymer composites electrical properties strongly depend on the IL content. The largest bending response was found for the IL/PVDF-TrFE composites with a maximum bending value of </w:instrText>
            </w:r>
            <w:r w:rsidRPr="00C6674F">
              <w:rPr>
                <w:rFonts w:ascii="Cambria Math" w:hAnsi="Cambria Math" w:cs="Cambria Math"/>
                <w:noProof w:val="0"/>
                <w:vertAlign w:val="superscript"/>
              </w:rPr>
              <w:instrText>∼</w:instrText>
            </w:r>
            <w:r w:rsidRPr="00C6674F">
              <w:rPr>
                <w:rFonts w:ascii="Times New Roman" w:hAnsi="Times New Roman"/>
                <w:noProof w:val="0"/>
                <w:vertAlign w:val="superscript"/>
              </w:rPr>
              <w:instrText xml:space="preserve">3.5 mm using a frequency of 100 mHz at an applied potential difference of 5.0 Vpp. Thus, PVDF-TrFE are attractive candidates for the development of high performance bending actuators.","container-title":"Electrochimica Acta","DOI":"10.1016/j.electacta.2018.11.049","ISSN":"0013-4686","journalAbbreviation":"Electrochimica Acta","language":"en","page":"598-607","source":"ScienceDirect","title":"Improved response of ionic liquid-based bending actuators by tailored interaction with the polar fluorinated polymer matrix","volume":"296","author":[{"family":"Dias","given":"Juliana C."},{"family":"Correia","given":"Daniela M."},{"family":"Costa","given":"Carlos M."},{"family":"Ribeiro","given":"Clarisse"},{"family":"Maceiras","given":"Alberto"},{"family":"Vilas","given":"José L."},{"family":"Botelho","given":"Gabriela"},{"family":"Zea Bermudez","given":"Verónica","non-dropping-particle":"de"},{"family":"Lanceros-Mendez","given":"Senentxu"}],"issued":{"date-parts":[["2019",2,10]]}}}],"schema":"https://github.com/citation-style-language/schema/raw/master/csl-citation.json"} </w:instrText>
            </w:r>
            <w:r w:rsidRPr="00C6674F">
              <w:rPr>
                <w:rFonts w:ascii="Times New Roman" w:hAnsi="Times New Roman"/>
                <w:noProof w:val="0"/>
                <w:vertAlign w:val="superscript"/>
              </w:rPr>
              <w:fldChar w:fldCharType="separate"/>
            </w:r>
            <w:r w:rsidRPr="00C6674F">
              <w:rPr>
                <w:rFonts w:ascii="Times New Roman" w:hAnsi="Times New Roman"/>
                <w:noProof w:val="0"/>
                <w:szCs w:val="24"/>
                <w:vertAlign w:val="superscript"/>
              </w:rPr>
              <w:t>23</w:t>
            </w:r>
            <w:r w:rsidRPr="00C6674F">
              <w:rPr>
                <w:rFonts w:ascii="Times New Roman" w:hAnsi="Times New Roman"/>
                <w:noProof w:val="0"/>
                <w:vertAlign w:val="superscript"/>
              </w:rPr>
              <w:fldChar w:fldCharType="end"/>
            </w:r>
          </w:p>
        </w:tc>
      </w:tr>
      <w:tr w:rsidR="00E02BFC" w:rsidRPr="00C6674F" w14:paraId="2A58E14B" w14:textId="77777777" w:rsidTr="00E02BFC">
        <w:tc>
          <w:tcPr>
            <w:tcW w:w="1559" w:type="dxa"/>
            <w:shd w:val="clear" w:color="auto" w:fill="auto"/>
            <w:vAlign w:val="center"/>
          </w:tcPr>
          <w:p w14:paraId="0E8523F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w:t>
            </w:r>
          </w:p>
        </w:tc>
        <w:tc>
          <w:tcPr>
            <w:tcW w:w="1134" w:type="dxa"/>
            <w:shd w:val="clear" w:color="auto" w:fill="auto"/>
            <w:vAlign w:val="center"/>
          </w:tcPr>
          <w:p w14:paraId="24C13843"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50.2</w:t>
            </w:r>
          </w:p>
        </w:tc>
        <w:tc>
          <w:tcPr>
            <w:tcW w:w="1559" w:type="dxa"/>
            <w:shd w:val="clear" w:color="auto" w:fill="auto"/>
            <w:vAlign w:val="center"/>
          </w:tcPr>
          <w:p w14:paraId="2398160B"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132.2 ±</w:t>
            </w:r>
            <w:r w:rsidRPr="00C6674F">
              <w:rPr>
                <w:rFonts w:ascii="Times New Roman" w:eastAsiaTheme="minorEastAsia" w:hAnsi="Times New Roman"/>
                <w:noProof w:val="0"/>
              </w:rPr>
              <w:t xml:space="preserve"> </w:t>
            </w:r>
            <w:r w:rsidRPr="00C6674F">
              <w:rPr>
                <w:rFonts w:ascii="Times New Roman" w:hAnsi="Times New Roman"/>
                <w:noProof w:val="0"/>
              </w:rPr>
              <w:t>0.5</w:t>
            </w:r>
          </w:p>
        </w:tc>
        <w:tc>
          <w:tcPr>
            <w:tcW w:w="2552" w:type="dxa"/>
            <w:shd w:val="clear" w:color="auto" w:fill="auto"/>
            <w:vAlign w:val="center"/>
          </w:tcPr>
          <w:p w14:paraId="1C92643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110</w:t>
            </w:r>
          </w:p>
        </w:tc>
        <w:tc>
          <w:tcPr>
            <w:tcW w:w="1232" w:type="dxa"/>
            <w:shd w:val="clear" w:color="auto" w:fill="auto"/>
            <w:vAlign w:val="center"/>
          </w:tcPr>
          <w:p w14:paraId="371B38A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vertAlign w:val="superscript"/>
              </w:rPr>
              <w:fldChar w:fldCharType="begin"/>
            </w:r>
            <w:r w:rsidRPr="00C6674F">
              <w:rPr>
                <w:rFonts w:ascii="Times New Roman" w:hAnsi="Times New Roman"/>
                <w:noProof w:val="0"/>
                <w:vertAlign w:val="superscript"/>
              </w:rPr>
              <w:instrText xml:space="preserve"> ADDIN ZOTERO_ITEM CSL_CITATION {"citationID":"Yn7ulyxf","properties":{"formattedCitation":"\\super 23\\nosupersub{}","plainCitation":"23","noteIndex":0},"citationItems":[{"id":67,"uris":["http://zotero.org/groups/4545406/items/VSI7U9KF"],"itemData":{"id":67,"type":"article-journal","abstract":"Poly(vinylidene fluoride) (PVDF), poly(vinylidene fluoride-co-trifluoroethylene) (PVDF-TrFE), poly(vinylidene fluoride-co-hexafluropropylene) (PVDF-HFP) and poly(vinylidene fluoride-co-chlorotrifluoroethylene) (PVDF-CTFE) were evaluated for the development of ionic liquid (IL) - polymer composite bending actuators. The selected guest IL, 1-ethyl-3-methylimidazolium bis(trifluoromethanesulfonyl)imide, [Emim][TFSI], was incorporated into the different host polymer matrixes in concentrations ranging from 10 to 40 wt%. The IL/polymer composites electrical properties strongly depend on the IL content. The largest bending response was found for the IL/PVDF-TrFE composites with a maximum bending value of </w:instrText>
            </w:r>
            <w:r w:rsidRPr="00C6674F">
              <w:rPr>
                <w:rFonts w:ascii="Cambria Math" w:hAnsi="Cambria Math" w:cs="Cambria Math"/>
                <w:noProof w:val="0"/>
                <w:vertAlign w:val="superscript"/>
              </w:rPr>
              <w:instrText>∼</w:instrText>
            </w:r>
            <w:r w:rsidRPr="00C6674F">
              <w:rPr>
                <w:rFonts w:ascii="Times New Roman" w:hAnsi="Times New Roman"/>
                <w:noProof w:val="0"/>
                <w:vertAlign w:val="superscript"/>
              </w:rPr>
              <w:instrText xml:space="preserve">3.5 mm using a frequency of 100 mHz at an applied potential difference of 5.0 Vpp. Thus, PVDF-TrFE are attractive candidates for the development of high performance bending actuators.","container-title":"Electrochimica Acta","DOI":"10.1016/j.electacta.2018.11.049","ISSN":"0013-4686","journalAbbreviation":"Electrochimica Acta","language":"en","page":"598-607","source":"ScienceDirect","title":"Improved response of ionic liquid-based bending actuators by tailored interaction with the polar fluorinated polymer matrix","volume":"296","author":[{"family":"Dias","given":"Juliana C."},{"family":"Correia","given":"Daniela M."},{"family":"Costa","given":"Carlos M."},{"family":"Ribeiro","given":"Clarisse"},{"family":"Maceiras","given":"Alberto"},{"family":"Vilas","given":"José L."},{"family":"Botelho","given":"Gabriela"},{"family":"Zea Bermudez","given":"Verónica","non-dropping-particle":"de"},{"family":"Lanceros-Mendez","given":"Senentxu"}],"issued":{"date-parts":[["2019",2,10]]}}}],"schema":"https://github.com/citation-style-language/schema/raw/master/csl-citation.json"} </w:instrText>
            </w:r>
            <w:r w:rsidRPr="00C6674F">
              <w:rPr>
                <w:rFonts w:ascii="Times New Roman" w:hAnsi="Times New Roman"/>
                <w:noProof w:val="0"/>
                <w:vertAlign w:val="superscript"/>
              </w:rPr>
              <w:fldChar w:fldCharType="separate"/>
            </w:r>
            <w:r w:rsidRPr="00C6674F">
              <w:rPr>
                <w:rFonts w:ascii="Times New Roman" w:hAnsi="Times New Roman"/>
                <w:noProof w:val="0"/>
                <w:szCs w:val="24"/>
                <w:vertAlign w:val="superscript"/>
              </w:rPr>
              <w:t>23</w:t>
            </w:r>
            <w:r w:rsidRPr="00C6674F">
              <w:rPr>
                <w:rFonts w:ascii="Times New Roman" w:hAnsi="Times New Roman"/>
                <w:noProof w:val="0"/>
                <w:vertAlign w:val="superscript"/>
              </w:rPr>
              <w:fldChar w:fldCharType="end"/>
            </w:r>
          </w:p>
        </w:tc>
      </w:tr>
      <w:tr w:rsidR="00E02BFC" w:rsidRPr="00C6674F" w14:paraId="1DA3794E" w14:textId="77777777" w:rsidTr="00E02BFC">
        <w:tc>
          <w:tcPr>
            <w:tcW w:w="1559" w:type="dxa"/>
            <w:shd w:val="clear" w:color="auto" w:fill="auto"/>
            <w:vAlign w:val="center"/>
          </w:tcPr>
          <w:p w14:paraId="2EC7BB6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 (0.1)</w:t>
            </w:r>
          </w:p>
        </w:tc>
        <w:tc>
          <w:tcPr>
            <w:tcW w:w="1134" w:type="dxa"/>
            <w:shd w:val="clear" w:color="auto" w:fill="auto"/>
            <w:vAlign w:val="center"/>
          </w:tcPr>
          <w:p w14:paraId="3F6E6C3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49.9</w:t>
            </w:r>
          </w:p>
        </w:tc>
        <w:tc>
          <w:tcPr>
            <w:tcW w:w="1559" w:type="dxa"/>
            <w:shd w:val="clear" w:color="auto" w:fill="auto"/>
            <w:vAlign w:val="center"/>
          </w:tcPr>
          <w:p w14:paraId="0A3A3A1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131.8 ±</w:t>
            </w:r>
            <w:r w:rsidRPr="00C6674F">
              <w:rPr>
                <w:rFonts w:ascii="Times New Roman" w:eastAsiaTheme="minorEastAsia" w:hAnsi="Times New Roman"/>
                <w:noProof w:val="0"/>
              </w:rPr>
              <w:t xml:space="preserve"> </w:t>
            </w:r>
            <w:r w:rsidRPr="00C6674F">
              <w:rPr>
                <w:rFonts w:ascii="Times New Roman" w:hAnsi="Times New Roman"/>
                <w:noProof w:val="0"/>
              </w:rPr>
              <w:t>0.4</w:t>
            </w:r>
          </w:p>
        </w:tc>
        <w:tc>
          <w:tcPr>
            <w:tcW w:w="2552" w:type="dxa"/>
            <w:shd w:val="clear" w:color="auto" w:fill="auto"/>
            <w:vAlign w:val="center"/>
          </w:tcPr>
          <w:p w14:paraId="76D47D51"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c>
          <w:tcPr>
            <w:tcW w:w="1232" w:type="dxa"/>
            <w:shd w:val="clear" w:color="auto" w:fill="auto"/>
            <w:vAlign w:val="center"/>
          </w:tcPr>
          <w:p w14:paraId="50D88642"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r>
      <w:tr w:rsidR="00E02BFC" w:rsidRPr="00C6674F" w14:paraId="728E7B75" w14:textId="77777777" w:rsidTr="00E02BFC">
        <w:tc>
          <w:tcPr>
            <w:tcW w:w="1559" w:type="dxa"/>
            <w:shd w:val="clear" w:color="auto" w:fill="auto"/>
            <w:vAlign w:val="center"/>
          </w:tcPr>
          <w:p w14:paraId="23716B52"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 (0.2)</w:t>
            </w:r>
          </w:p>
        </w:tc>
        <w:tc>
          <w:tcPr>
            <w:tcW w:w="1134" w:type="dxa"/>
            <w:shd w:val="clear" w:color="auto" w:fill="auto"/>
            <w:vAlign w:val="center"/>
          </w:tcPr>
          <w:p w14:paraId="512EF54A"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50.0</w:t>
            </w:r>
          </w:p>
        </w:tc>
        <w:tc>
          <w:tcPr>
            <w:tcW w:w="1559" w:type="dxa"/>
            <w:shd w:val="clear" w:color="auto" w:fill="auto"/>
            <w:vAlign w:val="center"/>
          </w:tcPr>
          <w:p w14:paraId="1185032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131.6 ±</w:t>
            </w:r>
            <w:r w:rsidRPr="00C6674F">
              <w:rPr>
                <w:rFonts w:ascii="Times New Roman" w:eastAsiaTheme="minorEastAsia" w:hAnsi="Times New Roman"/>
                <w:noProof w:val="0"/>
              </w:rPr>
              <w:t xml:space="preserve"> </w:t>
            </w:r>
            <w:r w:rsidRPr="00C6674F">
              <w:rPr>
                <w:rFonts w:ascii="Times New Roman" w:hAnsi="Times New Roman"/>
                <w:noProof w:val="0"/>
              </w:rPr>
              <w:t>0.3</w:t>
            </w:r>
          </w:p>
        </w:tc>
        <w:tc>
          <w:tcPr>
            <w:tcW w:w="2552" w:type="dxa"/>
            <w:shd w:val="clear" w:color="auto" w:fill="auto"/>
            <w:vAlign w:val="center"/>
          </w:tcPr>
          <w:p w14:paraId="36D7D9B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c>
          <w:tcPr>
            <w:tcW w:w="1232" w:type="dxa"/>
            <w:shd w:val="clear" w:color="auto" w:fill="auto"/>
            <w:vAlign w:val="center"/>
          </w:tcPr>
          <w:p w14:paraId="11C94CA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r>
      <w:tr w:rsidR="00E02BFC" w:rsidRPr="00C6674F" w14:paraId="2D512EA7" w14:textId="77777777" w:rsidTr="00E02BFC">
        <w:tc>
          <w:tcPr>
            <w:tcW w:w="1559" w:type="dxa"/>
            <w:tcBorders>
              <w:bottom w:val="single" w:sz="8" w:space="0" w:color="auto"/>
            </w:tcBorders>
            <w:shd w:val="clear" w:color="auto" w:fill="auto"/>
            <w:vAlign w:val="center"/>
          </w:tcPr>
          <w:p w14:paraId="5F231AB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 (0.4)</w:t>
            </w:r>
          </w:p>
        </w:tc>
        <w:tc>
          <w:tcPr>
            <w:tcW w:w="1134" w:type="dxa"/>
            <w:tcBorders>
              <w:bottom w:val="single" w:sz="8" w:space="0" w:color="auto"/>
            </w:tcBorders>
            <w:shd w:val="clear" w:color="auto" w:fill="auto"/>
            <w:vAlign w:val="center"/>
          </w:tcPr>
          <w:p w14:paraId="60C47E7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50.2</w:t>
            </w:r>
          </w:p>
        </w:tc>
        <w:tc>
          <w:tcPr>
            <w:tcW w:w="1559" w:type="dxa"/>
            <w:tcBorders>
              <w:bottom w:val="single" w:sz="8" w:space="0" w:color="auto"/>
            </w:tcBorders>
            <w:shd w:val="clear" w:color="auto" w:fill="auto"/>
            <w:vAlign w:val="center"/>
          </w:tcPr>
          <w:p w14:paraId="6D34D74C"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130.4 ±</w:t>
            </w:r>
            <w:r w:rsidRPr="00C6674F">
              <w:rPr>
                <w:rFonts w:ascii="Times New Roman" w:eastAsiaTheme="minorEastAsia" w:hAnsi="Times New Roman"/>
                <w:noProof w:val="0"/>
              </w:rPr>
              <w:t xml:space="preserve"> </w:t>
            </w:r>
            <w:r w:rsidRPr="00C6674F">
              <w:rPr>
                <w:rFonts w:ascii="Times New Roman" w:hAnsi="Times New Roman"/>
                <w:noProof w:val="0"/>
              </w:rPr>
              <w:t>2.6</w:t>
            </w:r>
          </w:p>
        </w:tc>
        <w:tc>
          <w:tcPr>
            <w:tcW w:w="2552" w:type="dxa"/>
            <w:tcBorders>
              <w:bottom w:val="single" w:sz="8" w:space="0" w:color="auto"/>
            </w:tcBorders>
            <w:shd w:val="clear" w:color="auto" w:fill="auto"/>
            <w:vAlign w:val="center"/>
          </w:tcPr>
          <w:p w14:paraId="1F347BAB"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c>
          <w:tcPr>
            <w:tcW w:w="1232" w:type="dxa"/>
            <w:tcBorders>
              <w:bottom w:val="single" w:sz="8" w:space="0" w:color="auto"/>
            </w:tcBorders>
            <w:shd w:val="clear" w:color="auto" w:fill="auto"/>
            <w:vAlign w:val="center"/>
          </w:tcPr>
          <w:p w14:paraId="3B7908B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r>
    </w:tbl>
    <w:p w14:paraId="1E77770A" w14:textId="3F51DE38" w:rsidR="00562240" w:rsidRPr="00C6674F" w:rsidRDefault="00A25069" w:rsidP="00D67DBB">
      <w:pPr>
        <w:pStyle w:val="MDPI41tablecaption"/>
        <w:jc w:val="both"/>
      </w:pPr>
      <w:r w:rsidRPr="00C6674F">
        <w:rPr>
          <w:b/>
          <w:bCs/>
        </w:rPr>
        <w:t xml:space="preserve">Table S13. </w:t>
      </w:r>
      <w:r w:rsidR="00562240" w:rsidRPr="00C6674F">
        <w:t>Melting temperatures, crystallization temperatures, and solidification of various films. For the films with 50 wt % IL content, the data are representative of average values of three different samples, presented with one standard deviation.</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7"/>
        <w:gridCol w:w="892"/>
        <w:gridCol w:w="1431"/>
        <w:gridCol w:w="1367"/>
        <w:gridCol w:w="1226"/>
        <w:gridCol w:w="1714"/>
      </w:tblGrid>
      <w:tr w:rsidR="00E02BFC" w:rsidRPr="00C6674F" w14:paraId="7BD8EE03" w14:textId="77777777" w:rsidTr="00E02BFC">
        <w:tc>
          <w:tcPr>
            <w:tcW w:w="1418" w:type="dxa"/>
            <w:tcBorders>
              <w:top w:val="single" w:sz="8" w:space="0" w:color="auto"/>
              <w:bottom w:val="single" w:sz="4" w:space="0" w:color="auto"/>
            </w:tcBorders>
            <w:shd w:val="clear" w:color="auto" w:fill="auto"/>
            <w:vAlign w:val="center"/>
          </w:tcPr>
          <w:p w14:paraId="681E813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 xml:space="preserve">IL wt % </w:t>
            </w:r>
          </w:p>
          <w:p w14:paraId="754FF8DD"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(GNP wt %)</w:t>
            </w:r>
          </w:p>
        </w:tc>
        <w:tc>
          <w:tcPr>
            <w:tcW w:w="1029" w:type="dxa"/>
            <w:tcBorders>
              <w:top w:val="single" w:sz="8" w:space="0" w:color="auto"/>
              <w:bottom w:val="single" w:sz="4" w:space="0" w:color="auto"/>
            </w:tcBorders>
            <w:shd w:val="clear" w:color="auto" w:fill="auto"/>
            <w:vAlign w:val="center"/>
          </w:tcPr>
          <w:p w14:paraId="180B26FB"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Actual IL wt %</w:t>
            </w:r>
          </w:p>
        </w:tc>
        <w:tc>
          <w:tcPr>
            <w:tcW w:w="1653" w:type="dxa"/>
            <w:tcBorders>
              <w:top w:val="single" w:sz="8" w:space="0" w:color="auto"/>
              <w:bottom w:val="single" w:sz="4" w:space="0" w:color="auto"/>
            </w:tcBorders>
            <w:shd w:val="clear" w:color="auto" w:fill="auto"/>
            <w:vAlign w:val="center"/>
          </w:tcPr>
          <w:p w14:paraId="7EE325D9"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T</w:t>
            </w:r>
            <w:r w:rsidRPr="00C6674F">
              <w:rPr>
                <w:rFonts w:ascii="Times New Roman" w:hAnsi="Times New Roman"/>
                <w:b/>
                <w:noProof w:val="0"/>
                <w:vertAlign w:val="subscript"/>
              </w:rPr>
              <w:t>m</w:t>
            </w:r>
            <w:r w:rsidRPr="00C6674F">
              <w:rPr>
                <w:rFonts w:ascii="Times New Roman" w:hAnsi="Times New Roman"/>
                <w:b/>
                <w:noProof w:val="0"/>
              </w:rPr>
              <w:t xml:space="preserve"> (°C)</w:t>
            </w:r>
          </w:p>
          <w:p w14:paraId="6B2FFEA6" w14:textId="77777777" w:rsidR="00562240" w:rsidRPr="00C6674F" w:rsidRDefault="00562240" w:rsidP="00D67DBB">
            <w:pPr>
              <w:adjustRightInd w:val="0"/>
              <w:snapToGrid w:val="0"/>
              <w:spacing w:line="240" w:lineRule="auto"/>
              <w:jc w:val="center"/>
              <w:rPr>
                <w:rFonts w:ascii="Times New Roman" w:eastAsia="Calibri" w:hAnsi="Times New Roman"/>
                <w:b/>
                <w:noProof w:val="0"/>
              </w:rPr>
            </w:pPr>
            <w:r w:rsidRPr="00C6674F">
              <w:rPr>
                <w:rFonts w:ascii="Times New Roman" w:hAnsi="Times New Roman"/>
                <w:b/>
                <w:noProof w:val="0"/>
              </w:rPr>
              <w:t>(mean ±</w:t>
            </w:r>
            <w:r w:rsidRPr="00C6674F">
              <w:rPr>
                <w:rFonts w:ascii="Times New Roman" w:eastAsiaTheme="minorEastAsia" w:hAnsi="Times New Roman"/>
                <w:b/>
                <w:noProof w:val="0"/>
              </w:rPr>
              <w:t xml:space="preserve"> std.)</w:t>
            </w:r>
          </w:p>
        </w:tc>
        <w:tc>
          <w:tcPr>
            <w:tcW w:w="1579" w:type="dxa"/>
            <w:tcBorders>
              <w:top w:val="single" w:sz="8" w:space="0" w:color="auto"/>
              <w:bottom w:val="single" w:sz="4" w:space="0" w:color="auto"/>
            </w:tcBorders>
            <w:shd w:val="clear" w:color="auto" w:fill="auto"/>
            <w:vAlign w:val="center"/>
          </w:tcPr>
          <w:p w14:paraId="2B491A38"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T</w:t>
            </w:r>
            <w:r w:rsidRPr="00C6674F">
              <w:rPr>
                <w:rFonts w:ascii="Times New Roman" w:hAnsi="Times New Roman"/>
                <w:b/>
                <w:noProof w:val="0"/>
                <w:vertAlign w:val="subscript"/>
              </w:rPr>
              <w:t>c</w:t>
            </w:r>
            <w:r w:rsidRPr="00C6674F">
              <w:rPr>
                <w:rFonts w:ascii="Times New Roman" w:hAnsi="Times New Roman"/>
                <w:b/>
                <w:noProof w:val="0"/>
              </w:rPr>
              <w:t xml:space="preserve"> (°C)</w:t>
            </w:r>
          </w:p>
          <w:p w14:paraId="2E7FB02F"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(mean ±</w:t>
            </w:r>
            <w:r w:rsidRPr="00C6674F">
              <w:rPr>
                <w:rFonts w:ascii="Times New Roman" w:eastAsiaTheme="minorEastAsia" w:hAnsi="Times New Roman"/>
                <w:b/>
                <w:noProof w:val="0"/>
              </w:rPr>
              <w:t xml:space="preserve"> std.)</w:t>
            </w:r>
          </w:p>
        </w:tc>
        <w:tc>
          <w:tcPr>
            <w:tcW w:w="1416" w:type="dxa"/>
            <w:tcBorders>
              <w:top w:val="single" w:sz="8" w:space="0" w:color="auto"/>
              <w:bottom w:val="single" w:sz="4" w:space="0" w:color="auto"/>
            </w:tcBorders>
            <w:shd w:val="clear" w:color="auto" w:fill="auto"/>
            <w:vAlign w:val="center"/>
          </w:tcPr>
          <w:p w14:paraId="7396CCBE"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T</w:t>
            </w:r>
            <w:r w:rsidRPr="00C6674F">
              <w:rPr>
                <w:rFonts w:ascii="Times New Roman" w:hAnsi="Times New Roman"/>
                <w:b/>
                <w:noProof w:val="0"/>
                <w:vertAlign w:val="subscript"/>
              </w:rPr>
              <w:t>c</w:t>
            </w:r>
            <w:r w:rsidRPr="00C6674F">
              <w:rPr>
                <w:rFonts w:ascii="Times New Roman" w:hAnsi="Times New Roman"/>
                <w:b/>
                <w:noProof w:val="0"/>
              </w:rPr>
              <w:t xml:space="preserve"> (°C)</w:t>
            </w:r>
          </w:p>
          <w:p w14:paraId="7B3994C6" w14:textId="77777777" w:rsidR="00562240" w:rsidRPr="00C6674F" w:rsidRDefault="00562240" w:rsidP="00D67DBB">
            <w:pPr>
              <w:adjustRightInd w:val="0"/>
              <w:snapToGrid w:val="0"/>
              <w:spacing w:line="240" w:lineRule="auto"/>
              <w:jc w:val="center"/>
              <w:rPr>
                <w:rFonts w:ascii="Times New Roman" w:eastAsia="Cambria" w:hAnsi="Times New Roman"/>
                <w:b/>
                <w:noProof w:val="0"/>
              </w:rPr>
            </w:pPr>
            <w:r w:rsidRPr="00C6674F">
              <w:rPr>
                <w:rFonts w:ascii="Times New Roman" w:eastAsia="Cambria" w:hAnsi="Times New Roman"/>
                <w:b/>
                <w:noProof w:val="0"/>
              </w:rPr>
              <w:t>(reported)</w:t>
            </w:r>
          </w:p>
        </w:tc>
        <w:tc>
          <w:tcPr>
            <w:tcW w:w="1981" w:type="dxa"/>
            <w:tcBorders>
              <w:top w:val="single" w:sz="8" w:space="0" w:color="auto"/>
              <w:bottom w:val="single" w:sz="4" w:space="0" w:color="auto"/>
            </w:tcBorders>
            <w:shd w:val="clear" w:color="auto" w:fill="auto"/>
            <w:vAlign w:val="center"/>
          </w:tcPr>
          <w:p w14:paraId="6B0D6497" w14:textId="77777777" w:rsidR="00562240" w:rsidRPr="00C6674F" w:rsidRDefault="00562240" w:rsidP="00D67DBB">
            <w:pPr>
              <w:adjustRightInd w:val="0"/>
              <w:snapToGrid w:val="0"/>
              <w:spacing w:line="240" w:lineRule="auto"/>
              <w:jc w:val="center"/>
              <w:rPr>
                <w:rFonts w:ascii="Times New Roman" w:eastAsia="Cambria" w:hAnsi="Times New Roman"/>
                <w:b/>
                <w:noProof w:val="0"/>
                <w:lang w:val="fr-FR"/>
              </w:rPr>
            </w:pPr>
            <w:r w:rsidRPr="00C6674F">
              <w:rPr>
                <w:rFonts w:ascii="Times New Roman" w:eastAsia="Cambria" w:hAnsi="Times New Roman"/>
                <w:b/>
                <w:noProof w:val="0"/>
                <w:lang w:val="fr-FR"/>
              </w:rPr>
              <w:t>Solidification (</w:t>
            </w:r>
            <w:r w:rsidRPr="00C6674F">
              <w:rPr>
                <w:rFonts w:ascii="Times New Roman" w:hAnsi="Times New Roman"/>
                <w:b/>
                <w:noProof w:val="0"/>
                <w:lang w:val="fr-FR"/>
              </w:rPr>
              <w:t>°C</w:t>
            </w:r>
            <w:r w:rsidRPr="00C6674F">
              <w:rPr>
                <w:rFonts w:ascii="Times New Roman" w:eastAsia="Cambria" w:hAnsi="Times New Roman"/>
                <w:b/>
                <w:noProof w:val="0"/>
                <w:lang w:val="fr-FR"/>
              </w:rPr>
              <w:t xml:space="preserve">) (∆T = </w:t>
            </w:r>
            <w:r w:rsidRPr="00C6674F">
              <w:rPr>
                <w:rFonts w:ascii="Times New Roman" w:hAnsi="Times New Roman"/>
                <w:b/>
                <w:noProof w:val="0"/>
                <w:lang w:val="fr-FR"/>
              </w:rPr>
              <w:t>T</w:t>
            </w:r>
            <w:r w:rsidRPr="00C6674F">
              <w:rPr>
                <w:rFonts w:ascii="Times New Roman" w:hAnsi="Times New Roman"/>
                <w:b/>
                <w:noProof w:val="0"/>
                <w:vertAlign w:val="subscript"/>
                <w:lang w:val="fr-FR"/>
              </w:rPr>
              <w:t>m</w:t>
            </w:r>
            <w:r w:rsidRPr="00C6674F">
              <w:rPr>
                <w:rFonts w:ascii="Times New Roman" w:hAnsi="Times New Roman"/>
                <w:b/>
                <w:noProof w:val="0"/>
                <w:lang w:val="fr-FR"/>
              </w:rPr>
              <w:t>-T</w:t>
            </w:r>
            <w:r w:rsidRPr="00C6674F">
              <w:rPr>
                <w:rFonts w:ascii="Times New Roman" w:hAnsi="Times New Roman"/>
                <w:b/>
                <w:noProof w:val="0"/>
                <w:vertAlign w:val="subscript"/>
                <w:lang w:val="fr-FR"/>
              </w:rPr>
              <w:t>c</w:t>
            </w:r>
            <w:r w:rsidRPr="00C6674F">
              <w:rPr>
                <w:rFonts w:ascii="Times New Roman" w:hAnsi="Times New Roman"/>
                <w:b/>
                <w:noProof w:val="0"/>
                <w:lang w:val="fr-FR"/>
              </w:rPr>
              <w:t>)</w:t>
            </w:r>
          </w:p>
        </w:tc>
      </w:tr>
      <w:tr w:rsidR="00E02BFC" w:rsidRPr="00C6674F" w14:paraId="18956CEE" w14:textId="77777777" w:rsidTr="00E02BFC">
        <w:tc>
          <w:tcPr>
            <w:tcW w:w="1418" w:type="dxa"/>
            <w:tcBorders>
              <w:top w:val="single" w:sz="4" w:space="0" w:color="auto"/>
            </w:tcBorders>
            <w:shd w:val="clear" w:color="auto" w:fill="auto"/>
            <w:vAlign w:val="center"/>
          </w:tcPr>
          <w:p w14:paraId="4C2FDE5A"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lastRenderedPageBreak/>
              <w:t>0</w:t>
            </w:r>
          </w:p>
        </w:tc>
        <w:tc>
          <w:tcPr>
            <w:tcW w:w="1029" w:type="dxa"/>
            <w:tcBorders>
              <w:top w:val="single" w:sz="4" w:space="0" w:color="auto"/>
            </w:tcBorders>
            <w:shd w:val="clear" w:color="auto" w:fill="auto"/>
            <w:vAlign w:val="center"/>
          </w:tcPr>
          <w:p w14:paraId="637206DF"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0</w:t>
            </w:r>
          </w:p>
        </w:tc>
        <w:tc>
          <w:tcPr>
            <w:tcW w:w="1653" w:type="dxa"/>
            <w:tcBorders>
              <w:top w:val="single" w:sz="4" w:space="0" w:color="auto"/>
            </w:tcBorders>
            <w:shd w:val="clear" w:color="auto" w:fill="auto"/>
            <w:vAlign w:val="center"/>
          </w:tcPr>
          <w:p w14:paraId="287E9399"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noProof w:val="0"/>
              </w:rPr>
            </w:pPr>
            <w:r w:rsidRPr="00C6674F">
              <w:rPr>
                <w:rFonts w:ascii="Times New Roman" w:hAnsi="Times New Roman"/>
                <w:noProof w:val="0"/>
              </w:rPr>
              <w:t>151.7 ±</w:t>
            </w:r>
            <w:r w:rsidRPr="00C6674F">
              <w:rPr>
                <w:rFonts w:ascii="Times New Roman" w:eastAsiaTheme="minorEastAsia" w:hAnsi="Times New Roman"/>
                <w:noProof w:val="0"/>
              </w:rPr>
              <w:t xml:space="preserve"> 0.1</w:t>
            </w:r>
          </w:p>
        </w:tc>
        <w:tc>
          <w:tcPr>
            <w:tcW w:w="1579" w:type="dxa"/>
            <w:tcBorders>
              <w:top w:val="single" w:sz="4" w:space="0" w:color="auto"/>
            </w:tcBorders>
            <w:shd w:val="clear" w:color="auto" w:fill="auto"/>
            <w:vAlign w:val="center"/>
          </w:tcPr>
          <w:p w14:paraId="1AF10E5B"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110.8</w:t>
            </w:r>
          </w:p>
        </w:tc>
        <w:tc>
          <w:tcPr>
            <w:tcW w:w="1416" w:type="dxa"/>
            <w:tcBorders>
              <w:top w:val="single" w:sz="4" w:space="0" w:color="auto"/>
            </w:tcBorders>
            <w:shd w:val="clear" w:color="auto" w:fill="auto"/>
            <w:vAlign w:val="center"/>
          </w:tcPr>
          <w:p w14:paraId="2CC06E42"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112.5 </w:t>
            </w:r>
            <w:r w:rsidRPr="00C6674F">
              <w:rPr>
                <w:rFonts w:ascii="Times New Roman" w:hAnsi="Times New Roman"/>
                <w:noProof w:val="0"/>
              </w:rPr>
              <w:fldChar w:fldCharType="begin"/>
            </w:r>
            <w:r w:rsidRPr="00C6674F">
              <w:rPr>
                <w:rFonts w:ascii="Times New Roman" w:hAnsi="Times New Roman"/>
                <w:noProof w:val="0"/>
              </w:rPr>
              <w:instrText xml:space="preserve"> ADDIN ZOTERO_ITEM CSL_CITATION {"citationID":"BqnFM0t2","properties":{"formattedCitation":"\\super 44\\nosupersub{}","plainCitation":"44","noteIndex":0},"citationItems":[{"id":426,"uris":["http://zotero.org/groups/4545406/items/DUT8RQHK"],"itemData":{"id":426,"type":"article-journal","abstract":"Porous poly(vinylidene fluoride-co-hexafluoropropylene) (PVdF-HFP)-based polymer membranes filled with various contents of titania (TiO2) nanocrystalline particles are prepared by phase inversion technique and, along with conventional casting method for comparison. N-methyl-2-pyrrolidone (NMP) as a solvent is used to dissolve the polymer and to make the slurry with TiO2. Cast film is obtained by spreading the slurry and evaporating NMP in a dry oven, while phase inversion membrane by promptly immersing the spread slurry into flowing water as a non-solvent. Physical and electrochemical characterizations, such as morphology, thermal and crystalline behavior, and other transport properties of lithium ionic species, are carried out for the polymer films/membranes and the polymer electrolytes with absorbing an electrolyte solution. Phase inversion polymer electrolytes are proved to show superior behaviors in electrochemical properties, such as ionic conductivity, electrochemical and interfacial stability, than cast film electrolytes. This is greatly owed to highly porous structure of phase inversion membranes. Even including the feature of interfacial resistance with lithium electrode, phase inversion polymer electrolytes of PVdF-HFP/(5–20wt.% TiO2) can be optimized as the adequate ones in applying to the electrolyte medium of lithium rechargeable batteries.","container-title":"Electrochimica Acta","DOI":"10.1016/j.electacta.2006.02.038","ISSN":"0013-4686","issue":"26","journalAbbreviation":"Electrochimica Acta","language":"en","page":"5636-5644","source":"ScienceDirect","title":"Characteristics of PVdF-HFP/TiO2 composite membrane electrolytes prepared by phase inversion and conventional casting methods","volume":"51","author":[{"family":"Kim","given":"Kwang Man"},{"family":"Park","given":"Nam-Gyu"},{"family":"Ryu","given":"Kwang Sun"},{"family":"Chang","given":"Soon Ho"}],"issued":{"date-parts":[["2006",8,15]]}}}],"schema":"https://github.com/citation-style-language/schema/raw/master/csl-citation.json"} </w:instrText>
            </w:r>
            <w:r w:rsidRPr="00C6674F">
              <w:rPr>
                <w:rFonts w:ascii="Times New Roman" w:hAnsi="Times New Roman"/>
                <w:noProof w:val="0"/>
              </w:rPr>
              <w:fldChar w:fldCharType="separate"/>
            </w:r>
            <w:r w:rsidRPr="00C6674F">
              <w:rPr>
                <w:rFonts w:ascii="Times New Roman" w:hAnsi="Times New Roman"/>
                <w:noProof w:val="0"/>
                <w:szCs w:val="24"/>
                <w:vertAlign w:val="superscript"/>
              </w:rPr>
              <w:t>44</w:t>
            </w:r>
            <w:r w:rsidRPr="00C6674F">
              <w:rPr>
                <w:rFonts w:ascii="Times New Roman" w:hAnsi="Times New Roman"/>
                <w:noProof w:val="0"/>
              </w:rPr>
              <w:fldChar w:fldCharType="end"/>
            </w:r>
          </w:p>
        </w:tc>
        <w:tc>
          <w:tcPr>
            <w:tcW w:w="1981" w:type="dxa"/>
            <w:tcBorders>
              <w:top w:val="single" w:sz="4" w:space="0" w:color="auto"/>
            </w:tcBorders>
            <w:shd w:val="clear" w:color="auto" w:fill="auto"/>
            <w:vAlign w:val="center"/>
          </w:tcPr>
          <w:p w14:paraId="6D52B277"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40.9 ±</w:t>
            </w:r>
            <w:r w:rsidRPr="00C6674F">
              <w:rPr>
                <w:rFonts w:ascii="Times New Roman" w:eastAsiaTheme="minorEastAsia" w:hAnsi="Times New Roman"/>
                <w:noProof w:val="0"/>
              </w:rPr>
              <w:t xml:space="preserve"> 1.5</w:t>
            </w:r>
          </w:p>
        </w:tc>
      </w:tr>
      <w:tr w:rsidR="00E02BFC" w:rsidRPr="00C6674F" w14:paraId="12E715F9" w14:textId="77777777" w:rsidTr="00E02BFC">
        <w:tc>
          <w:tcPr>
            <w:tcW w:w="1418" w:type="dxa"/>
            <w:shd w:val="clear" w:color="auto" w:fill="auto"/>
            <w:vAlign w:val="center"/>
          </w:tcPr>
          <w:p w14:paraId="378096F1"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w:t>
            </w:r>
          </w:p>
        </w:tc>
        <w:tc>
          <w:tcPr>
            <w:tcW w:w="1029" w:type="dxa"/>
            <w:shd w:val="clear" w:color="auto" w:fill="auto"/>
            <w:vAlign w:val="center"/>
          </w:tcPr>
          <w:p w14:paraId="5B2B630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10.2 </w:t>
            </w:r>
          </w:p>
        </w:tc>
        <w:tc>
          <w:tcPr>
            <w:tcW w:w="1653" w:type="dxa"/>
            <w:shd w:val="clear" w:color="auto" w:fill="auto"/>
            <w:vAlign w:val="center"/>
          </w:tcPr>
          <w:p w14:paraId="2A830EB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146.8</w:t>
            </w:r>
          </w:p>
        </w:tc>
        <w:tc>
          <w:tcPr>
            <w:tcW w:w="1579" w:type="dxa"/>
            <w:shd w:val="clear" w:color="auto" w:fill="auto"/>
            <w:vAlign w:val="center"/>
          </w:tcPr>
          <w:p w14:paraId="00D7352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103.1</w:t>
            </w:r>
          </w:p>
        </w:tc>
        <w:tc>
          <w:tcPr>
            <w:tcW w:w="1416" w:type="dxa"/>
            <w:shd w:val="clear" w:color="auto" w:fill="auto"/>
            <w:vAlign w:val="center"/>
          </w:tcPr>
          <w:p w14:paraId="5B1FE4E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c>
          <w:tcPr>
            <w:tcW w:w="1981" w:type="dxa"/>
            <w:shd w:val="clear" w:color="auto" w:fill="auto"/>
            <w:vAlign w:val="center"/>
          </w:tcPr>
          <w:p w14:paraId="719C43E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43.8</w:t>
            </w:r>
          </w:p>
        </w:tc>
      </w:tr>
      <w:tr w:rsidR="00E02BFC" w:rsidRPr="00C6674F" w14:paraId="2B2854F9" w14:textId="77777777" w:rsidTr="00E02BFC">
        <w:tc>
          <w:tcPr>
            <w:tcW w:w="1418" w:type="dxa"/>
            <w:shd w:val="clear" w:color="auto" w:fill="auto"/>
            <w:vAlign w:val="center"/>
          </w:tcPr>
          <w:p w14:paraId="4642A58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30</w:t>
            </w:r>
          </w:p>
        </w:tc>
        <w:tc>
          <w:tcPr>
            <w:tcW w:w="1029" w:type="dxa"/>
            <w:shd w:val="clear" w:color="auto" w:fill="auto"/>
            <w:vAlign w:val="center"/>
          </w:tcPr>
          <w:p w14:paraId="05D53577"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32.1 </w:t>
            </w:r>
          </w:p>
        </w:tc>
        <w:tc>
          <w:tcPr>
            <w:tcW w:w="1653" w:type="dxa"/>
            <w:shd w:val="clear" w:color="auto" w:fill="auto"/>
            <w:vAlign w:val="center"/>
          </w:tcPr>
          <w:p w14:paraId="5F70CEA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138.7 ±</w:t>
            </w:r>
            <w:r w:rsidRPr="00C6674F">
              <w:rPr>
                <w:rFonts w:ascii="Times New Roman" w:eastAsiaTheme="minorEastAsia" w:hAnsi="Times New Roman"/>
                <w:noProof w:val="0"/>
              </w:rPr>
              <w:t xml:space="preserve"> </w:t>
            </w:r>
            <w:r w:rsidRPr="00C6674F">
              <w:rPr>
                <w:rFonts w:ascii="Times New Roman" w:hAnsi="Times New Roman"/>
                <w:noProof w:val="0"/>
              </w:rPr>
              <w:t>0.4</w:t>
            </w:r>
          </w:p>
        </w:tc>
        <w:tc>
          <w:tcPr>
            <w:tcW w:w="1579" w:type="dxa"/>
            <w:shd w:val="clear" w:color="auto" w:fill="auto"/>
            <w:vAlign w:val="center"/>
          </w:tcPr>
          <w:p w14:paraId="05B4ADE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c>
          <w:tcPr>
            <w:tcW w:w="1416" w:type="dxa"/>
            <w:shd w:val="clear" w:color="auto" w:fill="auto"/>
            <w:vAlign w:val="center"/>
          </w:tcPr>
          <w:p w14:paraId="7F7FD9C4"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c>
          <w:tcPr>
            <w:tcW w:w="1981" w:type="dxa"/>
            <w:shd w:val="clear" w:color="auto" w:fill="auto"/>
            <w:vAlign w:val="center"/>
          </w:tcPr>
          <w:p w14:paraId="66D24184"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r>
      <w:tr w:rsidR="00E02BFC" w:rsidRPr="00C6674F" w14:paraId="0243AA0B" w14:textId="77777777" w:rsidTr="00E02BFC">
        <w:tc>
          <w:tcPr>
            <w:tcW w:w="1418" w:type="dxa"/>
            <w:shd w:val="clear" w:color="auto" w:fill="auto"/>
            <w:vAlign w:val="center"/>
          </w:tcPr>
          <w:p w14:paraId="45509D23"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w:t>
            </w:r>
          </w:p>
        </w:tc>
        <w:tc>
          <w:tcPr>
            <w:tcW w:w="1029" w:type="dxa"/>
            <w:shd w:val="clear" w:color="auto" w:fill="auto"/>
            <w:vAlign w:val="center"/>
          </w:tcPr>
          <w:p w14:paraId="40A928E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50.2</w:t>
            </w:r>
          </w:p>
        </w:tc>
        <w:tc>
          <w:tcPr>
            <w:tcW w:w="1653" w:type="dxa"/>
            <w:shd w:val="clear" w:color="auto" w:fill="auto"/>
            <w:vAlign w:val="center"/>
          </w:tcPr>
          <w:p w14:paraId="3492C99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132.2 ±</w:t>
            </w:r>
            <w:r w:rsidRPr="00C6674F">
              <w:rPr>
                <w:rFonts w:ascii="Times New Roman" w:eastAsiaTheme="minorEastAsia" w:hAnsi="Times New Roman"/>
                <w:noProof w:val="0"/>
              </w:rPr>
              <w:t xml:space="preserve"> </w:t>
            </w:r>
            <w:r w:rsidRPr="00C6674F">
              <w:rPr>
                <w:rFonts w:ascii="Times New Roman" w:hAnsi="Times New Roman"/>
                <w:noProof w:val="0"/>
              </w:rPr>
              <w:t>0.5</w:t>
            </w:r>
          </w:p>
        </w:tc>
        <w:tc>
          <w:tcPr>
            <w:tcW w:w="1579" w:type="dxa"/>
            <w:shd w:val="clear" w:color="auto" w:fill="auto"/>
            <w:vAlign w:val="center"/>
          </w:tcPr>
          <w:p w14:paraId="7E4C44A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128.8 ± 0.8</w:t>
            </w:r>
          </w:p>
        </w:tc>
        <w:tc>
          <w:tcPr>
            <w:tcW w:w="1416" w:type="dxa"/>
            <w:shd w:val="clear" w:color="auto" w:fill="auto"/>
            <w:vAlign w:val="center"/>
          </w:tcPr>
          <w:p w14:paraId="4EF2873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c>
          <w:tcPr>
            <w:tcW w:w="1981" w:type="dxa"/>
            <w:shd w:val="clear" w:color="auto" w:fill="auto"/>
            <w:vAlign w:val="center"/>
          </w:tcPr>
          <w:p w14:paraId="493B47F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3.4 ± 0.9</w:t>
            </w:r>
          </w:p>
        </w:tc>
      </w:tr>
      <w:tr w:rsidR="00E02BFC" w:rsidRPr="00C6674F" w14:paraId="57189140" w14:textId="77777777" w:rsidTr="00E02BFC">
        <w:tc>
          <w:tcPr>
            <w:tcW w:w="1418" w:type="dxa"/>
            <w:shd w:val="clear" w:color="auto" w:fill="auto"/>
            <w:vAlign w:val="center"/>
          </w:tcPr>
          <w:p w14:paraId="78DF1207"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 (0.1)</w:t>
            </w:r>
          </w:p>
        </w:tc>
        <w:tc>
          <w:tcPr>
            <w:tcW w:w="1029" w:type="dxa"/>
            <w:shd w:val="clear" w:color="auto" w:fill="auto"/>
            <w:vAlign w:val="center"/>
          </w:tcPr>
          <w:p w14:paraId="20C392E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49.9</w:t>
            </w:r>
          </w:p>
        </w:tc>
        <w:tc>
          <w:tcPr>
            <w:tcW w:w="1653" w:type="dxa"/>
            <w:shd w:val="clear" w:color="auto" w:fill="auto"/>
            <w:vAlign w:val="center"/>
          </w:tcPr>
          <w:p w14:paraId="09E86CBC"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131.8 ±</w:t>
            </w:r>
            <w:r w:rsidRPr="00C6674F">
              <w:rPr>
                <w:rFonts w:ascii="Times New Roman" w:eastAsiaTheme="minorEastAsia" w:hAnsi="Times New Roman"/>
                <w:noProof w:val="0"/>
              </w:rPr>
              <w:t xml:space="preserve"> </w:t>
            </w:r>
            <w:r w:rsidRPr="00C6674F">
              <w:rPr>
                <w:rFonts w:ascii="Times New Roman" w:hAnsi="Times New Roman"/>
                <w:noProof w:val="0"/>
              </w:rPr>
              <w:t>0.4</w:t>
            </w:r>
          </w:p>
        </w:tc>
        <w:tc>
          <w:tcPr>
            <w:tcW w:w="1579" w:type="dxa"/>
            <w:shd w:val="clear" w:color="auto" w:fill="auto"/>
            <w:vAlign w:val="center"/>
          </w:tcPr>
          <w:p w14:paraId="34A02B9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130.1 ± 0.6</w:t>
            </w:r>
          </w:p>
        </w:tc>
        <w:tc>
          <w:tcPr>
            <w:tcW w:w="1416" w:type="dxa"/>
            <w:shd w:val="clear" w:color="auto" w:fill="auto"/>
            <w:vAlign w:val="center"/>
          </w:tcPr>
          <w:p w14:paraId="7FB4D14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c>
          <w:tcPr>
            <w:tcW w:w="1981" w:type="dxa"/>
            <w:shd w:val="clear" w:color="auto" w:fill="auto"/>
            <w:vAlign w:val="center"/>
          </w:tcPr>
          <w:p w14:paraId="56CED043"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1.8 ± 0.7</w:t>
            </w:r>
          </w:p>
        </w:tc>
      </w:tr>
      <w:tr w:rsidR="00E02BFC" w:rsidRPr="00C6674F" w14:paraId="438DFD58" w14:textId="77777777" w:rsidTr="00E02BFC">
        <w:tc>
          <w:tcPr>
            <w:tcW w:w="1418" w:type="dxa"/>
            <w:shd w:val="clear" w:color="auto" w:fill="auto"/>
            <w:vAlign w:val="center"/>
          </w:tcPr>
          <w:p w14:paraId="64892834"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 (0.2)</w:t>
            </w:r>
          </w:p>
        </w:tc>
        <w:tc>
          <w:tcPr>
            <w:tcW w:w="1029" w:type="dxa"/>
            <w:shd w:val="clear" w:color="auto" w:fill="auto"/>
            <w:vAlign w:val="center"/>
          </w:tcPr>
          <w:p w14:paraId="7CD83891"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50.0</w:t>
            </w:r>
          </w:p>
        </w:tc>
        <w:tc>
          <w:tcPr>
            <w:tcW w:w="1653" w:type="dxa"/>
            <w:shd w:val="clear" w:color="auto" w:fill="auto"/>
            <w:vAlign w:val="center"/>
          </w:tcPr>
          <w:p w14:paraId="0DFEFF2D"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131.6 ±</w:t>
            </w:r>
            <w:r w:rsidRPr="00C6674F">
              <w:rPr>
                <w:rFonts w:ascii="Times New Roman" w:eastAsiaTheme="minorEastAsia" w:hAnsi="Times New Roman"/>
                <w:noProof w:val="0"/>
              </w:rPr>
              <w:t xml:space="preserve"> </w:t>
            </w:r>
            <w:r w:rsidRPr="00C6674F">
              <w:rPr>
                <w:rFonts w:ascii="Times New Roman" w:hAnsi="Times New Roman"/>
                <w:noProof w:val="0"/>
              </w:rPr>
              <w:t>0.3</w:t>
            </w:r>
          </w:p>
        </w:tc>
        <w:tc>
          <w:tcPr>
            <w:tcW w:w="1579" w:type="dxa"/>
            <w:shd w:val="clear" w:color="auto" w:fill="auto"/>
            <w:vAlign w:val="center"/>
          </w:tcPr>
          <w:p w14:paraId="0A90156D"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130.9 ± 0.5</w:t>
            </w:r>
          </w:p>
        </w:tc>
        <w:tc>
          <w:tcPr>
            <w:tcW w:w="1416" w:type="dxa"/>
            <w:shd w:val="clear" w:color="auto" w:fill="auto"/>
            <w:vAlign w:val="center"/>
          </w:tcPr>
          <w:p w14:paraId="5492B34A"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c>
          <w:tcPr>
            <w:tcW w:w="1981" w:type="dxa"/>
            <w:shd w:val="clear" w:color="auto" w:fill="auto"/>
            <w:vAlign w:val="center"/>
          </w:tcPr>
          <w:p w14:paraId="1AF4FCAB"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0.7 ± 0.5</w:t>
            </w:r>
          </w:p>
        </w:tc>
      </w:tr>
      <w:tr w:rsidR="00E02BFC" w:rsidRPr="00C6674F" w14:paraId="64AF36A1" w14:textId="77777777" w:rsidTr="00E02BFC">
        <w:tc>
          <w:tcPr>
            <w:tcW w:w="1418" w:type="dxa"/>
            <w:tcBorders>
              <w:bottom w:val="single" w:sz="8" w:space="0" w:color="auto"/>
            </w:tcBorders>
            <w:shd w:val="clear" w:color="auto" w:fill="auto"/>
            <w:vAlign w:val="center"/>
          </w:tcPr>
          <w:p w14:paraId="393CEEEA"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 (0.4)</w:t>
            </w:r>
          </w:p>
        </w:tc>
        <w:tc>
          <w:tcPr>
            <w:tcW w:w="1029" w:type="dxa"/>
            <w:tcBorders>
              <w:bottom w:val="single" w:sz="8" w:space="0" w:color="auto"/>
            </w:tcBorders>
            <w:shd w:val="clear" w:color="auto" w:fill="auto"/>
            <w:vAlign w:val="center"/>
          </w:tcPr>
          <w:p w14:paraId="71A6479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50.2</w:t>
            </w:r>
          </w:p>
        </w:tc>
        <w:tc>
          <w:tcPr>
            <w:tcW w:w="1653" w:type="dxa"/>
            <w:tcBorders>
              <w:bottom w:val="single" w:sz="8" w:space="0" w:color="auto"/>
            </w:tcBorders>
            <w:shd w:val="clear" w:color="auto" w:fill="auto"/>
            <w:vAlign w:val="center"/>
          </w:tcPr>
          <w:p w14:paraId="13158217"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130.4 ±</w:t>
            </w:r>
            <w:r w:rsidRPr="00C6674F">
              <w:rPr>
                <w:rFonts w:ascii="Times New Roman" w:eastAsiaTheme="minorEastAsia" w:hAnsi="Times New Roman"/>
                <w:noProof w:val="0"/>
              </w:rPr>
              <w:t xml:space="preserve"> </w:t>
            </w:r>
            <w:r w:rsidRPr="00C6674F">
              <w:rPr>
                <w:rFonts w:ascii="Times New Roman" w:hAnsi="Times New Roman"/>
                <w:noProof w:val="0"/>
              </w:rPr>
              <w:t>2.6</w:t>
            </w:r>
          </w:p>
        </w:tc>
        <w:tc>
          <w:tcPr>
            <w:tcW w:w="1579" w:type="dxa"/>
            <w:tcBorders>
              <w:bottom w:val="single" w:sz="8" w:space="0" w:color="auto"/>
            </w:tcBorders>
            <w:shd w:val="clear" w:color="auto" w:fill="auto"/>
            <w:vAlign w:val="center"/>
          </w:tcPr>
          <w:p w14:paraId="3B2C672D"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129.9 ± 0.2</w:t>
            </w:r>
          </w:p>
        </w:tc>
        <w:tc>
          <w:tcPr>
            <w:tcW w:w="1416" w:type="dxa"/>
            <w:tcBorders>
              <w:bottom w:val="single" w:sz="8" w:space="0" w:color="auto"/>
            </w:tcBorders>
            <w:shd w:val="clear" w:color="auto" w:fill="auto"/>
            <w:vAlign w:val="center"/>
          </w:tcPr>
          <w:p w14:paraId="317EF361"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c>
          <w:tcPr>
            <w:tcW w:w="1981" w:type="dxa"/>
            <w:tcBorders>
              <w:bottom w:val="single" w:sz="8" w:space="0" w:color="auto"/>
            </w:tcBorders>
            <w:shd w:val="clear" w:color="auto" w:fill="auto"/>
            <w:vAlign w:val="center"/>
          </w:tcPr>
          <w:p w14:paraId="6E4B956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0.6 ± 2.6</w:t>
            </w:r>
          </w:p>
        </w:tc>
      </w:tr>
    </w:tbl>
    <w:p w14:paraId="30CFB0E8" w14:textId="77777777" w:rsidR="00562240" w:rsidRPr="00C6674F" w:rsidRDefault="00562240" w:rsidP="00D67DBB">
      <w:pPr>
        <w:pStyle w:val="MDPI31text"/>
      </w:pPr>
      <w:r w:rsidRPr="00C6674F">
        <w:t>Since X</w:t>
      </w:r>
      <w:r w:rsidRPr="00C6674F">
        <w:rPr>
          <w:vertAlign w:val="subscript"/>
        </w:rPr>
        <w:t>c</w:t>
      </w:r>
      <w:r w:rsidRPr="00C6674F">
        <w:t xml:space="preserve"> = ∆H</w:t>
      </w:r>
      <w:r w:rsidRPr="00C6674F">
        <w:rPr>
          <w:vertAlign w:val="subscript"/>
        </w:rPr>
        <w:t>m</w:t>
      </w:r>
      <w:r w:rsidRPr="00C6674F">
        <w:t xml:space="preserve"> / (x*∆H</w:t>
      </w:r>
      <w:r w:rsidRPr="00C6674F">
        <w:rPr>
          <w:vertAlign w:val="subscript"/>
        </w:rPr>
        <w:t>α</w:t>
      </w:r>
      <w:r w:rsidRPr="00C6674F">
        <w:t xml:space="preserve"> + y*∆H</w:t>
      </w:r>
      <w:r w:rsidRPr="00C6674F">
        <w:rPr>
          <w:vertAlign w:val="subscript"/>
        </w:rPr>
        <w:t>β</w:t>
      </w:r>
      <w:r w:rsidRPr="00C6674F">
        <w:t>) = ∆H</w:t>
      </w:r>
      <w:r w:rsidRPr="00C6674F">
        <w:rPr>
          <w:vertAlign w:val="subscript"/>
        </w:rPr>
        <w:t>m</w:t>
      </w:r>
      <w:r w:rsidRPr="00C6674F">
        <w:t xml:space="preserve"> / ((1-y)*∆H</w:t>
      </w:r>
      <w:r w:rsidRPr="00C6674F">
        <w:rPr>
          <w:vertAlign w:val="subscript"/>
        </w:rPr>
        <w:t>α</w:t>
      </w:r>
      <w:r w:rsidRPr="00C6674F">
        <w:t xml:space="preserve"> + y*∆H</w:t>
      </w:r>
      <w:r w:rsidRPr="00C6674F">
        <w:rPr>
          <w:vertAlign w:val="subscript"/>
        </w:rPr>
        <w:t>β</w:t>
      </w:r>
      <w:r w:rsidRPr="00C6674F">
        <w:t>), the standard deviation of degree of crystallinity used for the DSC measurements can be determined by Equation 8.</w:t>
      </w:r>
    </w:p>
    <w:p w14:paraId="2AC275C5" w14:textId="77777777" w:rsidR="00562240" w:rsidRPr="00C6674F" w:rsidRDefault="00562240" w:rsidP="00D67DBB">
      <w:pPr>
        <w:pStyle w:val="MDPI31text"/>
      </w:pPr>
      <w:r w:rsidRPr="00C6674F">
        <w:rPr>
          <w:noProof/>
        </w:rPr>
        <w:drawing>
          <wp:inline distT="0" distB="0" distL="0" distR="0" wp14:anchorId="4B1931A8" wp14:editId="2092E808">
            <wp:extent cx="2191109" cy="516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350" r="31740"/>
                    <a:stretch/>
                  </pic:blipFill>
                  <pic:spPr bwMode="auto">
                    <a:xfrm>
                      <a:off x="0" y="0"/>
                      <a:ext cx="2193801" cy="517525"/>
                    </a:xfrm>
                    <a:prstGeom prst="rect">
                      <a:avLst/>
                    </a:prstGeom>
                    <a:noFill/>
                    <a:ln>
                      <a:noFill/>
                    </a:ln>
                    <a:extLst>
                      <a:ext uri="{53640926-AAD7-44D8-BBD7-CCE9431645EC}">
                        <a14:shadowObscured xmlns:a14="http://schemas.microsoft.com/office/drawing/2010/main"/>
                      </a:ext>
                    </a:extLst>
                  </pic:spPr>
                </pic:pic>
              </a:graphicData>
            </a:graphic>
          </wp:inline>
        </w:drawing>
      </w:r>
      <w:r w:rsidRPr="00C6674F">
        <w:t xml:space="preserve"> </w:t>
      </w:r>
      <w:r w:rsidRPr="00C6674F">
        <w:tab/>
        <w:t>(8)</w:t>
      </w:r>
    </w:p>
    <w:p w14:paraId="012CD6F8" w14:textId="6747427F" w:rsidR="00562240" w:rsidRPr="00C6674F" w:rsidRDefault="00562240" w:rsidP="00D67DBB">
      <w:pPr>
        <w:pStyle w:val="MDPI31text"/>
      </w:pPr>
      <w:r w:rsidRPr="00C6674F">
        <w:t>Whereas</w:t>
      </w:r>
    </w:p>
    <w:p w14:paraId="303F97C0" w14:textId="33CEFED2" w:rsidR="00562240" w:rsidRPr="00C6674F" w:rsidRDefault="00562240" w:rsidP="00D67DBB">
      <w:pPr>
        <w:pStyle w:val="MDPI31text"/>
      </w:pPr>
      <w:r w:rsidRPr="00C6674F">
        <w:rPr>
          <w:noProof/>
        </w:rPr>
        <w:drawing>
          <wp:inline distT="0" distB="0" distL="0" distR="0" wp14:anchorId="3EDC2C5C" wp14:editId="1F9E9AC4">
            <wp:extent cx="2147510" cy="391750"/>
            <wp:effectExtent l="0" t="0" r="571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789" r="32075"/>
                    <a:stretch/>
                  </pic:blipFill>
                  <pic:spPr bwMode="auto">
                    <a:xfrm>
                      <a:off x="0" y="0"/>
                      <a:ext cx="2147758" cy="391795"/>
                    </a:xfrm>
                    <a:prstGeom prst="rect">
                      <a:avLst/>
                    </a:prstGeom>
                    <a:noFill/>
                    <a:ln>
                      <a:noFill/>
                    </a:ln>
                    <a:extLst>
                      <a:ext uri="{53640926-AAD7-44D8-BBD7-CCE9431645EC}">
                        <a14:shadowObscured xmlns:a14="http://schemas.microsoft.com/office/drawing/2010/main"/>
                      </a:ext>
                    </a:extLst>
                  </pic:spPr>
                </pic:pic>
              </a:graphicData>
            </a:graphic>
          </wp:inline>
        </w:drawing>
      </w:r>
    </w:p>
    <w:p w14:paraId="12AD6850" w14:textId="77777777" w:rsidR="00562240" w:rsidRPr="00C6674F" w:rsidRDefault="00562240" w:rsidP="00D67DBB">
      <w:pPr>
        <w:pStyle w:val="MDPI31text"/>
      </w:pPr>
      <w:r w:rsidRPr="00C6674F">
        <w:rPr>
          <w:noProof/>
        </w:rPr>
        <w:drawing>
          <wp:inline distT="0" distB="0" distL="0" distR="0" wp14:anchorId="22A426C6" wp14:editId="0E703E0B">
            <wp:extent cx="2188419" cy="44857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641" r="31495" b="13851"/>
                    <a:stretch/>
                  </pic:blipFill>
                  <pic:spPr bwMode="auto">
                    <a:xfrm>
                      <a:off x="0" y="0"/>
                      <a:ext cx="2191088" cy="449121"/>
                    </a:xfrm>
                    <a:prstGeom prst="rect">
                      <a:avLst/>
                    </a:prstGeom>
                    <a:noFill/>
                    <a:ln>
                      <a:noFill/>
                    </a:ln>
                    <a:extLst>
                      <a:ext uri="{53640926-AAD7-44D8-BBD7-CCE9431645EC}">
                        <a14:shadowObscured xmlns:a14="http://schemas.microsoft.com/office/drawing/2010/main"/>
                      </a:ext>
                    </a:extLst>
                  </pic:spPr>
                </pic:pic>
              </a:graphicData>
            </a:graphic>
          </wp:inline>
        </w:drawing>
      </w:r>
    </w:p>
    <w:p w14:paraId="5447A54A" w14:textId="17B258E9" w:rsidR="00562240" w:rsidRPr="00C6674F" w:rsidRDefault="00E02BFC" w:rsidP="00D67DBB">
      <w:pPr>
        <w:pStyle w:val="MDPI41tablecaption"/>
      </w:pPr>
      <w:r w:rsidRPr="00C6674F">
        <w:rPr>
          <w:b/>
          <w:bCs/>
        </w:rPr>
        <w:t xml:space="preserve">Table S14. </w:t>
      </w:r>
      <w:r w:rsidR="00562240" w:rsidRPr="00C6674F">
        <w:t>Degree of crystallinity of Polymer:IL (GNP).</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0"/>
        <w:gridCol w:w="2432"/>
        <w:gridCol w:w="2154"/>
        <w:gridCol w:w="1901"/>
      </w:tblGrid>
      <w:tr w:rsidR="00E02BFC" w:rsidRPr="00C6674F" w14:paraId="285EDAF5" w14:textId="77777777" w:rsidTr="00E02BFC">
        <w:tc>
          <w:tcPr>
            <w:tcW w:w="1532" w:type="dxa"/>
            <w:tcBorders>
              <w:top w:val="single" w:sz="8" w:space="0" w:color="auto"/>
              <w:bottom w:val="single" w:sz="4" w:space="0" w:color="auto"/>
            </w:tcBorders>
            <w:shd w:val="clear" w:color="auto" w:fill="auto"/>
            <w:vAlign w:val="center"/>
          </w:tcPr>
          <w:p w14:paraId="5B9CF607" w14:textId="77777777" w:rsidR="00562240" w:rsidRPr="00C6674F" w:rsidRDefault="00562240" w:rsidP="00D67DBB">
            <w:pPr>
              <w:pBdr>
                <w:top w:val="nil"/>
                <w:left w:val="nil"/>
                <w:bottom w:val="nil"/>
                <w:right w:val="nil"/>
                <w:between w:val="nil"/>
              </w:pBdr>
              <w:adjustRightInd w:val="0"/>
              <w:snapToGrid w:val="0"/>
              <w:spacing w:line="240" w:lineRule="auto"/>
              <w:jc w:val="center"/>
              <w:rPr>
                <w:rFonts w:ascii="Times New Roman" w:hAnsi="Times New Roman"/>
                <w:b/>
                <w:noProof w:val="0"/>
              </w:rPr>
            </w:pPr>
            <w:r w:rsidRPr="00C6674F">
              <w:rPr>
                <w:rFonts w:ascii="Times New Roman" w:hAnsi="Times New Roman"/>
                <w:b/>
                <w:noProof w:val="0"/>
              </w:rPr>
              <w:t xml:space="preserve">IL wt % </w:t>
            </w:r>
          </w:p>
          <w:p w14:paraId="2F9744D5"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(GNP wt %)</w:t>
            </w:r>
          </w:p>
        </w:tc>
        <w:tc>
          <w:tcPr>
            <w:tcW w:w="2721" w:type="dxa"/>
            <w:tcBorders>
              <w:top w:val="single" w:sz="8" w:space="0" w:color="auto"/>
              <w:bottom w:val="single" w:sz="4" w:space="0" w:color="auto"/>
            </w:tcBorders>
            <w:shd w:val="clear" w:color="auto" w:fill="auto"/>
            <w:vAlign w:val="center"/>
          </w:tcPr>
          <w:p w14:paraId="5938747F" w14:textId="6A35EAC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X</w:t>
            </w:r>
            <w:r w:rsidRPr="00C6674F">
              <w:rPr>
                <w:rFonts w:ascii="Times New Roman" w:hAnsi="Times New Roman"/>
                <w:b/>
                <w:noProof w:val="0"/>
                <w:vertAlign w:val="subscript"/>
              </w:rPr>
              <w:t>c</w:t>
            </w:r>
            <w:r w:rsidRPr="00C6674F">
              <w:rPr>
                <w:rFonts w:ascii="Times New Roman" w:hAnsi="Times New Roman"/>
                <w:b/>
                <w:noProof w:val="0"/>
              </w:rPr>
              <w:t xml:space="preserve"> ± σ</w:t>
            </w:r>
            <w:r w:rsidRPr="00C6674F">
              <w:rPr>
                <w:rFonts w:ascii="Times New Roman" w:hAnsi="Times New Roman"/>
                <w:b/>
                <w:noProof w:val="0"/>
                <w:vertAlign w:val="subscript"/>
              </w:rPr>
              <w:t xml:space="preserve"> </w:t>
            </w:r>
            <w:r w:rsidRPr="00C6674F">
              <w:rPr>
                <w:rFonts w:ascii="Times New Roman" w:hAnsi="Times New Roman"/>
                <w:b/>
                <w:noProof w:val="0"/>
              </w:rPr>
              <w:t>x 10</w:t>
            </w:r>
            <w:r w:rsidR="00D67DBB" w:rsidRPr="00C6674F">
              <w:rPr>
                <w:b/>
                <w:noProof w:val="0"/>
                <w:vertAlign w:val="superscript"/>
              </w:rPr>
              <w:t>−3</w:t>
            </w:r>
            <w:r w:rsidRPr="00C6674F">
              <w:rPr>
                <w:rFonts w:ascii="Times New Roman" w:hAnsi="Times New Roman"/>
                <w:b/>
                <w:noProof w:val="0"/>
                <w:vertAlign w:val="subscript"/>
              </w:rPr>
              <w:t xml:space="preserve"> </w:t>
            </w:r>
            <w:r w:rsidRPr="00C6674F">
              <w:rPr>
                <w:rFonts w:ascii="Times New Roman" w:hAnsi="Times New Roman"/>
                <w:b/>
                <w:noProof w:val="0"/>
              </w:rPr>
              <w:t>(%)</w:t>
            </w:r>
          </w:p>
          <w:p w14:paraId="65DA1329"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eastAsiaTheme="minorEastAsia" w:hAnsi="Times New Roman"/>
                <w:b/>
                <w:noProof w:val="0"/>
              </w:rPr>
              <w:t>(DSC, this work)</w:t>
            </w:r>
          </w:p>
          <w:p w14:paraId="7A1E02BA" w14:textId="77777777" w:rsidR="00562240" w:rsidRPr="00C6674F" w:rsidRDefault="00562240" w:rsidP="00D67DBB">
            <w:pPr>
              <w:adjustRightInd w:val="0"/>
              <w:snapToGrid w:val="0"/>
              <w:spacing w:line="240" w:lineRule="auto"/>
              <w:jc w:val="center"/>
              <w:rPr>
                <w:rFonts w:ascii="Times New Roman" w:eastAsiaTheme="minorEastAsia" w:hAnsi="Times New Roman"/>
                <w:b/>
                <w:noProof w:val="0"/>
              </w:rPr>
            </w:pPr>
            <w:r w:rsidRPr="00C6674F">
              <w:rPr>
                <w:rFonts w:ascii="Times New Roman" w:hAnsi="Times New Roman"/>
                <w:b/>
                <w:noProof w:val="0"/>
              </w:rPr>
              <w:t>(mean ±</w:t>
            </w:r>
            <w:r w:rsidRPr="00C6674F">
              <w:rPr>
                <w:rFonts w:ascii="Times New Roman" w:eastAsiaTheme="minorEastAsia" w:hAnsi="Times New Roman"/>
                <w:b/>
                <w:noProof w:val="0"/>
              </w:rPr>
              <w:t xml:space="preserve"> std.)</w:t>
            </w:r>
          </w:p>
        </w:tc>
        <w:tc>
          <w:tcPr>
            <w:tcW w:w="2410" w:type="dxa"/>
            <w:tcBorders>
              <w:top w:val="single" w:sz="8" w:space="0" w:color="auto"/>
              <w:bottom w:val="single" w:sz="4" w:space="0" w:color="auto"/>
            </w:tcBorders>
            <w:shd w:val="clear" w:color="auto" w:fill="auto"/>
            <w:vAlign w:val="center"/>
          </w:tcPr>
          <w:p w14:paraId="6C5B9CEB" w14:textId="68CB30A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X</w:t>
            </w:r>
            <w:r w:rsidRPr="00C6674F">
              <w:rPr>
                <w:rFonts w:ascii="Times New Roman" w:hAnsi="Times New Roman"/>
                <w:b/>
                <w:noProof w:val="0"/>
                <w:vertAlign w:val="subscript"/>
              </w:rPr>
              <w:t xml:space="preserve">c </w:t>
            </w:r>
            <w:r w:rsidRPr="00C6674F">
              <w:rPr>
                <w:rFonts w:ascii="Times New Roman" w:hAnsi="Times New Roman"/>
                <w:b/>
                <w:noProof w:val="0"/>
              </w:rPr>
              <w:t>± σ</w:t>
            </w:r>
            <w:r w:rsidRPr="00C6674F">
              <w:rPr>
                <w:rFonts w:ascii="Times New Roman" w:hAnsi="Times New Roman"/>
                <w:b/>
                <w:noProof w:val="0"/>
                <w:vertAlign w:val="subscript"/>
              </w:rPr>
              <w:t xml:space="preserve"> </w:t>
            </w:r>
            <w:r w:rsidRPr="00C6674F">
              <w:rPr>
                <w:rFonts w:ascii="Times New Roman" w:hAnsi="Times New Roman"/>
                <w:b/>
                <w:noProof w:val="0"/>
              </w:rPr>
              <w:t>x 10</w:t>
            </w:r>
            <w:r w:rsidR="00D67DBB" w:rsidRPr="00C6674F">
              <w:rPr>
                <w:b/>
                <w:noProof w:val="0"/>
                <w:vertAlign w:val="superscript"/>
              </w:rPr>
              <w:t>−3</w:t>
            </w:r>
            <w:r w:rsidRPr="00C6674F">
              <w:rPr>
                <w:rFonts w:ascii="Times New Roman" w:hAnsi="Times New Roman"/>
                <w:b/>
                <w:noProof w:val="0"/>
                <w:vertAlign w:val="subscript"/>
              </w:rPr>
              <w:t xml:space="preserve"> </w:t>
            </w:r>
            <w:r w:rsidRPr="00C6674F">
              <w:rPr>
                <w:rFonts w:ascii="Times New Roman" w:hAnsi="Times New Roman"/>
                <w:b/>
                <w:noProof w:val="0"/>
              </w:rPr>
              <w:t>(%)</w:t>
            </w:r>
          </w:p>
          <w:p w14:paraId="119FCD3F"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eastAsiaTheme="minorEastAsia" w:hAnsi="Times New Roman"/>
                <w:b/>
                <w:noProof w:val="0"/>
              </w:rPr>
              <w:t xml:space="preserve">(XRD, </w:t>
            </w:r>
            <w:r w:rsidRPr="00C6674F">
              <w:rPr>
                <w:rFonts w:ascii="Times New Roman" w:hAnsi="Times New Roman"/>
                <w:b/>
                <w:noProof w:val="0"/>
              </w:rPr>
              <w:t>this work)</w:t>
            </w:r>
          </w:p>
          <w:p w14:paraId="3A91B6B0" w14:textId="77777777" w:rsidR="00562240" w:rsidRPr="00C6674F" w:rsidRDefault="00562240" w:rsidP="00D67DBB">
            <w:pPr>
              <w:adjustRightInd w:val="0"/>
              <w:snapToGrid w:val="0"/>
              <w:spacing w:line="240" w:lineRule="auto"/>
              <w:jc w:val="center"/>
              <w:rPr>
                <w:rFonts w:ascii="Times New Roman" w:eastAsiaTheme="minorEastAsia" w:hAnsi="Times New Roman"/>
                <w:b/>
                <w:noProof w:val="0"/>
              </w:rPr>
            </w:pPr>
            <w:r w:rsidRPr="00C6674F">
              <w:rPr>
                <w:rFonts w:ascii="Times New Roman" w:hAnsi="Times New Roman"/>
                <w:b/>
                <w:noProof w:val="0"/>
              </w:rPr>
              <w:t>(mean ±</w:t>
            </w:r>
            <w:r w:rsidRPr="00C6674F">
              <w:rPr>
                <w:rFonts w:ascii="Times New Roman" w:eastAsiaTheme="minorEastAsia" w:hAnsi="Times New Roman"/>
                <w:b/>
                <w:noProof w:val="0"/>
              </w:rPr>
              <w:t xml:space="preserve"> std.)</w:t>
            </w:r>
          </w:p>
        </w:tc>
        <w:tc>
          <w:tcPr>
            <w:tcW w:w="2126" w:type="dxa"/>
            <w:tcBorders>
              <w:top w:val="single" w:sz="8" w:space="0" w:color="auto"/>
              <w:bottom w:val="single" w:sz="4" w:space="0" w:color="auto"/>
            </w:tcBorders>
            <w:shd w:val="clear" w:color="auto" w:fill="auto"/>
            <w:vAlign w:val="center"/>
          </w:tcPr>
          <w:p w14:paraId="031A5EC0"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hAnsi="Times New Roman"/>
                <w:b/>
                <w:noProof w:val="0"/>
              </w:rPr>
              <w:t>X</w:t>
            </w:r>
            <w:r w:rsidRPr="00C6674F">
              <w:rPr>
                <w:rFonts w:ascii="Times New Roman" w:hAnsi="Times New Roman"/>
                <w:b/>
                <w:noProof w:val="0"/>
                <w:vertAlign w:val="subscript"/>
              </w:rPr>
              <w:t>c</w:t>
            </w:r>
            <w:r w:rsidRPr="00C6674F">
              <w:rPr>
                <w:rFonts w:ascii="Times New Roman" w:hAnsi="Times New Roman"/>
                <w:b/>
                <w:noProof w:val="0"/>
              </w:rPr>
              <w:t xml:space="preserve"> (%)</w:t>
            </w:r>
          </w:p>
          <w:p w14:paraId="25B192F0" w14:textId="77777777" w:rsidR="00562240" w:rsidRPr="00C6674F" w:rsidRDefault="00562240" w:rsidP="00D67DBB">
            <w:pPr>
              <w:adjustRightInd w:val="0"/>
              <w:snapToGrid w:val="0"/>
              <w:spacing w:line="240" w:lineRule="auto"/>
              <w:jc w:val="center"/>
              <w:rPr>
                <w:rFonts w:ascii="Times New Roman" w:hAnsi="Times New Roman"/>
                <w:b/>
                <w:noProof w:val="0"/>
              </w:rPr>
            </w:pPr>
            <w:r w:rsidRPr="00C6674F">
              <w:rPr>
                <w:rFonts w:ascii="Times New Roman" w:eastAsiaTheme="minorEastAsia" w:hAnsi="Times New Roman"/>
                <w:b/>
                <w:noProof w:val="0"/>
              </w:rPr>
              <w:t>(</w:t>
            </w:r>
            <w:r w:rsidRPr="00C6674F">
              <w:rPr>
                <w:rFonts w:ascii="Times New Roman" w:hAnsi="Times New Roman"/>
                <w:b/>
                <w:noProof w:val="0"/>
              </w:rPr>
              <w:t>reported</w:t>
            </w:r>
            <w:r w:rsidRPr="00C6674F">
              <w:rPr>
                <w:rFonts w:ascii="Times New Roman" w:eastAsiaTheme="minorEastAsia" w:hAnsi="Times New Roman"/>
                <w:b/>
                <w:noProof w:val="0"/>
              </w:rPr>
              <w:t>)</w:t>
            </w:r>
          </w:p>
        </w:tc>
      </w:tr>
      <w:tr w:rsidR="00E02BFC" w:rsidRPr="00C6674F" w14:paraId="3643E1DC" w14:textId="77777777" w:rsidTr="00E02BFC">
        <w:tc>
          <w:tcPr>
            <w:tcW w:w="1532" w:type="dxa"/>
            <w:tcBorders>
              <w:top w:val="single" w:sz="4" w:space="0" w:color="auto"/>
            </w:tcBorders>
            <w:shd w:val="clear" w:color="auto" w:fill="auto"/>
            <w:vAlign w:val="center"/>
          </w:tcPr>
          <w:p w14:paraId="5A02A459"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0</w:t>
            </w:r>
          </w:p>
        </w:tc>
        <w:tc>
          <w:tcPr>
            <w:tcW w:w="2721" w:type="dxa"/>
            <w:tcBorders>
              <w:top w:val="single" w:sz="4" w:space="0" w:color="auto"/>
            </w:tcBorders>
            <w:shd w:val="clear" w:color="auto" w:fill="auto"/>
            <w:vAlign w:val="center"/>
          </w:tcPr>
          <w:p w14:paraId="3267BEC7"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20.5 ±</w:t>
            </w:r>
            <w:r w:rsidRPr="00C6674F">
              <w:rPr>
                <w:rFonts w:ascii="Times New Roman" w:eastAsiaTheme="minorEastAsia" w:hAnsi="Times New Roman"/>
                <w:noProof w:val="0"/>
              </w:rPr>
              <w:t xml:space="preserve"> 34</w:t>
            </w:r>
          </w:p>
        </w:tc>
        <w:tc>
          <w:tcPr>
            <w:tcW w:w="2410" w:type="dxa"/>
            <w:tcBorders>
              <w:top w:val="single" w:sz="4" w:space="0" w:color="auto"/>
            </w:tcBorders>
            <w:shd w:val="clear" w:color="auto" w:fill="auto"/>
            <w:vAlign w:val="center"/>
          </w:tcPr>
          <w:p w14:paraId="510EA6F8"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28.29 ± 0.12</w:t>
            </w:r>
          </w:p>
        </w:tc>
        <w:tc>
          <w:tcPr>
            <w:tcW w:w="2126" w:type="dxa"/>
            <w:tcBorders>
              <w:top w:val="single" w:sz="4" w:space="0" w:color="auto"/>
            </w:tcBorders>
            <w:shd w:val="clear" w:color="auto" w:fill="auto"/>
            <w:vAlign w:val="center"/>
          </w:tcPr>
          <w:p w14:paraId="3A28474B"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22.5,</w:t>
            </w:r>
            <w:r w:rsidRPr="00C6674F">
              <w:rPr>
                <w:rFonts w:ascii="Times New Roman" w:hAnsi="Times New Roman"/>
                <w:noProof w:val="0"/>
                <w:vertAlign w:val="superscript"/>
              </w:rPr>
              <w:fldChar w:fldCharType="begin"/>
            </w:r>
            <w:r w:rsidRPr="00C6674F">
              <w:rPr>
                <w:rFonts w:ascii="Times New Roman" w:hAnsi="Times New Roman"/>
                <w:noProof w:val="0"/>
                <w:vertAlign w:val="superscript"/>
              </w:rPr>
              <w:instrText xml:space="preserve"> ADDIN ZOTERO_ITEM CSL_CITATION {"citationID":"KvAffjTZ","properties":{"formattedCitation":"\\super 37\\nosupersub{}","plainCitation":"37","noteIndex":0},"citationItems":[{"id":146,"uris":["http://zotero.org/groups/4545406/items/W46F48BF"],"itemData":{"id":146,"type":"article-journal","abstract":"To investigate the performance of graphene (Gra) modified with ethoxycarbonyl ionic liquid (IL), chain mobility and crystallization kinetics of poly(L-lactic acid) (PLLA), a series of PLLA nanocomposites have been prepared using solution-cast method. IL can improve the dispersion of Gra in PLLA matrix and the samples containing IL have higher growth rate of PLLA spherulite than neat PLLA does. PLLA/IL/Gra and PLLA/2Gra exhibit the same relaxation strength and time of αN relaxation that corresponds to the longest normal mode motion at 110−140 °C. PLLA/IL/Gra shows a faster crystallization rate than PLLA/2Gra does, which might be attributed to the Gra-imidazolium cation interaction in IL modified Gra, the significant dispersion effect of IL at Gra surface, and the increase of nuclei density of PLLA/IL/Gra.","container-title":"Chinese Journal of Polymer Science","DOI":"10.1007/s10118-019-2192-5","ISSN":"1439-6203","issue":"3","journalAbbreviation":"Chin J Polym Sci","language":"en","page":"243-252","source":"Springer Link","title":"Enhanced Crystallization Kinetics of PLLA by Ethoxycarbonyl Ionic Liquid Modified Graphene","volume":"37","author":[{"family":"Xu","given":"Pei"},{"family":"Cui","given":"Zhao-Pei"},{"family":"Ruan","given":"Gang"},{"family":"Ding","given":"Yun-Sheng"}],"issued":{"date-parts":[["2019",3,1]]}}}],"schema":"https://github.com/citation-style-language/schema/raw/master/csl-citation.json"} </w:instrText>
            </w:r>
            <w:r w:rsidRPr="00C6674F">
              <w:rPr>
                <w:rFonts w:ascii="Times New Roman" w:hAnsi="Times New Roman"/>
                <w:noProof w:val="0"/>
                <w:vertAlign w:val="superscript"/>
              </w:rPr>
              <w:fldChar w:fldCharType="separate"/>
            </w:r>
            <w:r w:rsidRPr="00C6674F">
              <w:rPr>
                <w:rFonts w:ascii="Times New Roman" w:hAnsi="Times New Roman"/>
                <w:noProof w:val="0"/>
                <w:szCs w:val="24"/>
                <w:vertAlign w:val="superscript"/>
              </w:rPr>
              <w:t>37</w:t>
            </w:r>
            <w:r w:rsidRPr="00C6674F">
              <w:rPr>
                <w:rFonts w:ascii="Times New Roman" w:hAnsi="Times New Roman"/>
                <w:noProof w:val="0"/>
                <w:vertAlign w:val="superscript"/>
              </w:rPr>
              <w:fldChar w:fldCharType="end"/>
            </w:r>
            <w:r w:rsidRPr="00C6674F">
              <w:rPr>
                <w:rFonts w:ascii="Times New Roman" w:hAnsi="Times New Roman"/>
                <w:noProof w:val="0"/>
                <w:vertAlign w:val="superscript"/>
              </w:rPr>
              <w:t xml:space="preserve"> </w:t>
            </w:r>
            <w:r w:rsidRPr="00C6674F">
              <w:rPr>
                <w:rFonts w:ascii="Times New Roman" w:hAnsi="Times New Roman"/>
                <w:noProof w:val="0"/>
              </w:rPr>
              <w:t>23,</w:t>
            </w:r>
            <w:r w:rsidRPr="00C6674F">
              <w:rPr>
                <w:rFonts w:ascii="Times New Roman" w:hAnsi="Times New Roman"/>
                <w:noProof w:val="0"/>
                <w:vertAlign w:val="superscript"/>
              </w:rPr>
              <w:fldChar w:fldCharType="begin"/>
            </w:r>
            <w:r w:rsidRPr="00C6674F">
              <w:rPr>
                <w:rFonts w:ascii="Times New Roman" w:hAnsi="Times New Roman"/>
                <w:noProof w:val="0"/>
                <w:vertAlign w:val="superscript"/>
              </w:rPr>
              <w:instrText xml:space="preserve"> ADDIN ZOTERO_ITEM CSL_CITATION {"citationID":"M3VVxb2Q","properties":{"formattedCitation":"\\super 42\\nosupersub{}","plainCitation":"42","noteIndex":0},"citationItems":[{"id":139,"uris":["http://zotero.org/groups/4545406/items/I6SLIYQ4"],"itemData":{"id":139,"type":"article-journal","abstract":"In order to improve the piezoelectric properties of poly(vinylidene fluoride-co-hexafluoropropylene) (PVDF-HFP), we added various amounts of silver nanowires (AgNWs) into PVDF-HFP and N,N-dimethylformamide (DMF) solution to prepare composite films. Stretching and poling were applied to the films to induce the formation of the polar β-phase and reorientation of the dipole moment. The crystal structure of the films was investigated by polarized optical microscopy (POM), Fourier transform infrared spectroscopy (FTIR) and differential scanning calorimetry (DSC). The obtained results showed that the phase transformation mainly occurred in stretching and the reorientation of the dipole moment was attributed to poling. It was also concluded that the AgNWs played a role as nucleate agents in the β-phase formation and the phase transformation. The piezoelectric properties were also evaluated by the output voltage and harvested power density. It was found that the open circuit voltage of 0.1 wt% AgNWs containing films was 52% higher than that of pure PVDF-HFP films. Furthermore, the harvested power density was increased by 159%. Overdose of AgNWs resulted in crystal defects and the lower degree of crystallinity, leading to worse piezoelectric properties.","container-title":"RSC Advances","DOI":"10.1039/C4RA03382E","ISSN":"2046-2069","issue":"68","journalAbbreviation":"RSC Adv.","language":"en","note":"publisher: The Royal Society of Chemistry","page":"35896-35903","source":"pubs.rsc.org","title":"Improvement of the piezoelectric properties of PVDF-HFP using AgNWs","volume":"4","author":[{"family":"Wu","given":"Liangke"},{"family":"Huang","given":"Guiwen"},{"family":"Hu","given":"Ning"},{"family":"Fu","given":"Shaoyun"},{"family":"Qiu","given":"Jianhui"},{"family":"Wang","given":"Zhongchang"},{"family":"Ying","given":"Ji"},{"family":"Chen","given":"Zichen"},{"family":"Li","given":"Weiguo"},{"family":"Tang","given":"Shan"}],"issued":{"date-parts":[["2014",8,15]]}}}],"schema":"https://github.com/citation-style-language/schema/raw/master/csl-citation.json"} </w:instrText>
            </w:r>
            <w:r w:rsidRPr="00C6674F">
              <w:rPr>
                <w:rFonts w:ascii="Times New Roman" w:hAnsi="Times New Roman"/>
                <w:noProof w:val="0"/>
                <w:vertAlign w:val="superscript"/>
              </w:rPr>
              <w:fldChar w:fldCharType="separate"/>
            </w:r>
            <w:r w:rsidRPr="00C6674F">
              <w:rPr>
                <w:rFonts w:ascii="Times New Roman" w:hAnsi="Times New Roman"/>
                <w:noProof w:val="0"/>
                <w:szCs w:val="24"/>
                <w:vertAlign w:val="superscript"/>
              </w:rPr>
              <w:t>42</w:t>
            </w:r>
            <w:r w:rsidRPr="00C6674F">
              <w:rPr>
                <w:rFonts w:ascii="Times New Roman" w:hAnsi="Times New Roman"/>
                <w:noProof w:val="0"/>
                <w:vertAlign w:val="superscript"/>
              </w:rPr>
              <w:fldChar w:fldCharType="end"/>
            </w:r>
            <w:r w:rsidRPr="00C6674F">
              <w:rPr>
                <w:rFonts w:ascii="Times New Roman" w:hAnsi="Times New Roman"/>
                <w:noProof w:val="0"/>
              </w:rPr>
              <w:t xml:space="preserve">  21</w:t>
            </w:r>
            <w:r w:rsidRPr="00C6674F">
              <w:rPr>
                <w:rFonts w:ascii="Times New Roman" w:hAnsi="Times New Roman"/>
                <w:noProof w:val="0"/>
                <w:vertAlign w:val="superscript"/>
              </w:rPr>
              <w:fldChar w:fldCharType="begin"/>
            </w:r>
            <w:r w:rsidRPr="00C6674F">
              <w:rPr>
                <w:rFonts w:ascii="Times New Roman" w:hAnsi="Times New Roman"/>
                <w:noProof w:val="0"/>
                <w:vertAlign w:val="superscript"/>
              </w:rPr>
              <w:instrText xml:space="preserve"> ADDIN ZOTERO_ITEM CSL_CITATION {"citationID":"8wrtw9o0","properties":{"formattedCitation":"\\super 32\\nosupersub{}","plainCitation":"32","noteIndex":0},"citationItems":[{"id":102,"uris":["http://zotero.org/groups/4545406/items/TMFY8NPN"],"itemData":{"id":102,"type":"article-journal","abstract":"Herein, we investigate the morphology, structure and piezoelectric performances of neat polyvinylidene fluoride hexafluoropropylene (PVDF-HFP) and PVDF-HFP/Co-ZnO nanofibers, fabricated by electrospinning. An increase in the amount of crystalline β-phase of PVDF-HFP has been observed with the increase in Co-doped ZnO nanofiller concentration in the PVDF-HFP matrix. The dielectric constants of the neat PVDF-HFP and PVDF-HFP/2 wt.% Co-ZnO nanofibers are derived as 8 and 38 respectively. The flexible nanogenerator manipulated from the polymer nanocomposite (PVDF-HFP/Co-ZnO) exhibits an output voltage as high as 2.8 V compared with the neat PVDF-HFP sample (~120 mV). These results indicate that the investigated nanocomposite is appropriate for fabricating various flexible and wearable self-powered electrical devices and systems.","container-title":"Scientific Reports","DOI":"10.1038/s41598-017-19082-3","ISSN":"2045-2322","issue":"1","journalAbbreviation":"Sci Rep","language":"en","note":"Bandiera_abtest: a\nCc_license_type: cc_by\nCg_type: Nature Research Journals\nnumber: 1\nPrimary_atype: Research\npublisher: Nature Publishing Group\nSubject_term: Electronic properties and materials;Materials for energy and catalysis\nSubject_term_id: electronic-properties-and-materials;materials-for-energy-and-catalysis","page":"754","source":"www.nature.com","title":"Stretchable Electrospun PVDF-HFP/Co-ZnO Nanofibers as Piezoelectric Nanogenerators","volume":"8","author":[{"family":"Parangusan","given":"Hemalatha"},{"family":"Ponnamma","given":"Deepalekshmi"},{"family":"Al-Maadeed","given":"Mariam Al Ali"}],"issued":{"date-parts":[["2018",1,15]]}}}],"schema":"https://github.com/citation-style-language/schema/raw/master/csl-citation.json"} </w:instrText>
            </w:r>
            <w:r w:rsidRPr="00C6674F">
              <w:rPr>
                <w:rFonts w:ascii="Times New Roman" w:hAnsi="Times New Roman"/>
                <w:noProof w:val="0"/>
                <w:vertAlign w:val="superscript"/>
              </w:rPr>
              <w:fldChar w:fldCharType="separate"/>
            </w:r>
            <w:r w:rsidRPr="00C6674F">
              <w:rPr>
                <w:rFonts w:ascii="Times New Roman" w:hAnsi="Times New Roman"/>
                <w:noProof w:val="0"/>
                <w:szCs w:val="24"/>
                <w:vertAlign w:val="superscript"/>
              </w:rPr>
              <w:t>32</w:t>
            </w:r>
            <w:r w:rsidRPr="00C6674F">
              <w:rPr>
                <w:rFonts w:ascii="Times New Roman" w:hAnsi="Times New Roman"/>
                <w:noProof w:val="0"/>
                <w:vertAlign w:val="superscript"/>
              </w:rPr>
              <w:fldChar w:fldCharType="end"/>
            </w:r>
          </w:p>
        </w:tc>
      </w:tr>
      <w:tr w:rsidR="00E02BFC" w:rsidRPr="00C6674F" w14:paraId="5BFDA2A7" w14:textId="77777777" w:rsidTr="00E02BFC">
        <w:tc>
          <w:tcPr>
            <w:tcW w:w="1532" w:type="dxa"/>
            <w:shd w:val="clear" w:color="auto" w:fill="auto"/>
            <w:vAlign w:val="center"/>
          </w:tcPr>
          <w:p w14:paraId="653C980D"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w:t>
            </w:r>
          </w:p>
        </w:tc>
        <w:tc>
          <w:tcPr>
            <w:tcW w:w="2721" w:type="dxa"/>
            <w:shd w:val="clear" w:color="auto" w:fill="auto"/>
            <w:vAlign w:val="center"/>
          </w:tcPr>
          <w:p w14:paraId="60A21079"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17.9</w:t>
            </w:r>
          </w:p>
        </w:tc>
        <w:tc>
          <w:tcPr>
            <w:tcW w:w="2410" w:type="dxa"/>
            <w:shd w:val="clear" w:color="auto" w:fill="auto"/>
            <w:vAlign w:val="center"/>
          </w:tcPr>
          <w:p w14:paraId="445EE56C"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22.25 ± 0.07</w:t>
            </w:r>
          </w:p>
        </w:tc>
        <w:tc>
          <w:tcPr>
            <w:tcW w:w="2126" w:type="dxa"/>
            <w:shd w:val="clear" w:color="auto" w:fill="auto"/>
            <w:vAlign w:val="center"/>
          </w:tcPr>
          <w:p w14:paraId="0794368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20 </w:t>
            </w:r>
            <w:r w:rsidRPr="00C6674F">
              <w:rPr>
                <w:rFonts w:ascii="Times New Roman" w:hAnsi="Times New Roman"/>
                <w:noProof w:val="0"/>
                <w:vertAlign w:val="superscript"/>
              </w:rPr>
              <w:fldChar w:fldCharType="begin"/>
            </w:r>
            <w:r w:rsidRPr="00C6674F">
              <w:rPr>
                <w:rFonts w:ascii="Times New Roman" w:hAnsi="Times New Roman"/>
                <w:noProof w:val="0"/>
                <w:vertAlign w:val="superscript"/>
              </w:rPr>
              <w:instrText xml:space="preserve"> ADDIN ZOTERO_ITEM CSL_CITATION {"citationID":"TLRZDRrM","properties":{"formattedCitation":"\\super 23\\nosupersub{}","plainCitation":"23","noteIndex":0},"citationItems":[{"id":67,"uris":["http://zotero.org/groups/4545406/items/VSI7U9KF"],"itemData":{"id":67,"type":"article-journal","abstract":"Poly(vinylidene fluoride) (PVDF), poly(vinylidene fluoride-co-trifluoroethylene) (PVDF-TrFE), poly(vinylidene fluoride-co-hexafluropropylene) (PVDF-HFP) and poly(vinylidene fluoride-co-chlorotrifluoroethylene) (PVDF-CTFE) were evaluated for the development of ionic liquid (IL) - polymer composite bending actuators. The selected guest IL, 1-ethyl-3-methylimidazolium bis(trifluoromethanesulfonyl)imide, [Emim][TFSI], was incorporated into the different host polymer matrixes in concentrations ranging from 10 to 40 wt%. The IL/polymer composites electrical properties strongly depend on the IL content. The largest bending response was found for the IL/PVDF-TrFE composites with a maximum bending value of </w:instrText>
            </w:r>
            <w:r w:rsidRPr="00C6674F">
              <w:rPr>
                <w:rFonts w:ascii="Cambria Math" w:hAnsi="Cambria Math" w:cs="Cambria Math"/>
                <w:noProof w:val="0"/>
                <w:vertAlign w:val="superscript"/>
              </w:rPr>
              <w:instrText>∼</w:instrText>
            </w:r>
            <w:r w:rsidRPr="00C6674F">
              <w:rPr>
                <w:rFonts w:ascii="Times New Roman" w:hAnsi="Times New Roman"/>
                <w:noProof w:val="0"/>
                <w:vertAlign w:val="superscript"/>
              </w:rPr>
              <w:instrText xml:space="preserve">3.5 mm using a frequency of 100 mHz at an applied potential difference of 5.0 Vpp. Thus, PVDF-TrFE are attractive candidates for the development of high performance bending actuators.","container-title":"Electrochimica Acta","DOI":"10.1016/j.electacta.2018.11.049","ISSN":"0013-4686","journalAbbreviation":"Electrochimica Acta","language":"en","page":"598-607","source":"ScienceDirect","title":"Improved response of ionic liquid-based bending actuators by tailored interaction with the polar fluorinated polymer matrix","volume":"296","author":[{"family":"Dias","given":"Juliana C."},{"family":"Correia","given":"Daniela M."},{"family":"Costa","given":"Carlos M."},{"family":"Ribeiro","given":"Clarisse"},{"family":"Maceiras","given":"Alberto"},{"family":"Vilas","given":"José L."},{"family":"Botelho","given":"Gabriela"},{"family":"Zea Bermudez","given":"Verónica","non-dropping-particle":"de"},{"family":"Lanceros-Mendez","given":"Senentxu"}],"issued":{"date-parts":[["2019",2,10]]}}}],"schema":"https://github.com/citation-style-language/schema/raw/master/csl-citation.json"} </w:instrText>
            </w:r>
            <w:r w:rsidRPr="00C6674F">
              <w:rPr>
                <w:rFonts w:ascii="Times New Roman" w:hAnsi="Times New Roman"/>
                <w:noProof w:val="0"/>
                <w:vertAlign w:val="superscript"/>
              </w:rPr>
              <w:fldChar w:fldCharType="separate"/>
            </w:r>
            <w:r w:rsidRPr="00C6674F">
              <w:rPr>
                <w:rFonts w:ascii="Times New Roman" w:hAnsi="Times New Roman"/>
                <w:noProof w:val="0"/>
                <w:szCs w:val="24"/>
                <w:vertAlign w:val="superscript"/>
              </w:rPr>
              <w:t>23</w:t>
            </w:r>
            <w:r w:rsidRPr="00C6674F">
              <w:rPr>
                <w:rFonts w:ascii="Times New Roman" w:hAnsi="Times New Roman"/>
                <w:noProof w:val="0"/>
                <w:vertAlign w:val="superscript"/>
              </w:rPr>
              <w:fldChar w:fldCharType="end"/>
            </w:r>
          </w:p>
        </w:tc>
      </w:tr>
      <w:tr w:rsidR="00E02BFC" w:rsidRPr="00C6674F" w14:paraId="0F8BDCD8" w14:textId="77777777" w:rsidTr="00E02BFC">
        <w:tc>
          <w:tcPr>
            <w:tcW w:w="1532" w:type="dxa"/>
            <w:shd w:val="clear" w:color="auto" w:fill="auto"/>
            <w:vAlign w:val="center"/>
          </w:tcPr>
          <w:p w14:paraId="2C55BBE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30</w:t>
            </w:r>
          </w:p>
        </w:tc>
        <w:tc>
          <w:tcPr>
            <w:tcW w:w="2721" w:type="dxa"/>
            <w:shd w:val="clear" w:color="auto" w:fill="auto"/>
            <w:vAlign w:val="center"/>
          </w:tcPr>
          <w:p w14:paraId="70177C7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14.6 ±</w:t>
            </w:r>
            <w:r w:rsidRPr="00C6674F">
              <w:rPr>
                <w:rFonts w:ascii="Times New Roman" w:eastAsiaTheme="minorEastAsia" w:hAnsi="Times New Roman"/>
                <w:noProof w:val="0"/>
              </w:rPr>
              <w:t xml:space="preserve"> 0.4</w:t>
            </w:r>
          </w:p>
        </w:tc>
        <w:tc>
          <w:tcPr>
            <w:tcW w:w="2410" w:type="dxa"/>
            <w:shd w:val="clear" w:color="auto" w:fill="auto"/>
            <w:vAlign w:val="center"/>
          </w:tcPr>
          <w:p w14:paraId="500DD2D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24.99 ± 0.12</w:t>
            </w:r>
          </w:p>
        </w:tc>
        <w:tc>
          <w:tcPr>
            <w:tcW w:w="2126" w:type="dxa"/>
            <w:shd w:val="clear" w:color="auto" w:fill="auto"/>
            <w:vAlign w:val="center"/>
          </w:tcPr>
          <w:p w14:paraId="3D5F63FE"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22.5 </w:t>
            </w:r>
            <w:r w:rsidRPr="00C6674F">
              <w:rPr>
                <w:rFonts w:ascii="Times New Roman" w:hAnsi="Times New Roman"/>
                <w:noProof w:val="0"/>
                <w:vertAlign w:val="superscript"/>
              </w:rPr>
              <w:fldChar w:fldCharType="begin"/>
            </w:r>
            <w:r w:rsidRPr="00C6674F">
              <w:rPr>
                <w:rFonts w:ascii="Times New Roman" w:hAnsi="Times New Roman"/>
                <w:noProof w:val="0"/>
                <w:vertAlign w:val="superscript"/>
              </w:rPr>
              <w:instrText xml:space="preserve"> ADDIN ZOTERO_ITEM CSL_CITATION {"citationID":"YSfhguvj","properties":{"formattedCitation":"\\super 23\\nosupersub{}","plainCitation":"23","noteIndex":0},"citationItems":[{"id":67,"uris":["http://zotero.org/groups/4545406/items/VSI7U9KF"],"itemData":{"id":67,"type":"article-journal","abstract":"Poly(vinylidene fluoride) (PVDF), poly(vinylidene fluoride-co-trifluoroethylene) (PVDF-TrFE), poly(vinylidene fluoride-co-hexafluropropylene) (PVDF-HFP) and poly(vinylidene fluoride-co-chlorotrifluoroethylene) (PVDF-CTFE) were evaluated for the development of ionic liquid (IL) - polymer composite bending actuators. The selected guest IL, 1-ethyl-3-methylimidazolium bis(trifluoromethanesulfonyl)imide, [Emim][TFSI], was incorporated into the different host polymer matrixes in concentrations ranging from 10 to 40 wt%. The IL/polymer composites electrical properties strongly depend on the IL content. The largest bending response was found for the IL/PVDF-TrFE composites with a maximum bending value of </w:instrText>
            </w:r>
            <w:r w:rsidRPr="00C6674F">
              <w:rPr>
                <w:rFonts w:ascii="Cambria Math" w:hAnsi="Cambria Math" w:cs="Cambria Math"/>
                <w:noProof w:val="0"/>
                <w:vertAlign w:val="superscript"/>
              </w:rPr>
              <w:instrText>∼</w:instrText>
            </w:r>
            <w:r w:rsidRPr="00C6674F">
              <w:rPr>
                <w:rFonts w:ascii="Times New Roman" w:hAnsi="Times New Roman"/>
                <w:noProof w:val="0"/>
                <w:vertAlign w:val="superscript"/>
              </w:rPr>
              <w:instrText xml:space="preserve">3.5 mm using a frequency of 100 mHz at an applied potential difference of 5.0 Vpp. Thus, PVDF-TrFE are attractive candidates for the development of high performance bending actuators.","container-title":"Electrochimica Acta","DOI":"10.1016/j.electacta.2018.11.049","ISSN":"0013-4686","journalAbbreviation":"Electrochimica Acta","language":"en","page":"598-607","source":"ScienceDirect","title":"Improved response of ionic liquid-based bending actuators by tailored interaction with the polar fluorinated polymer matrix","volume":"296","author":[{"family":"Dias","given":"Juliana C."},{"family":"Correia","given":"Daniela M."},{"family":"Costa","given":"Carlos M."},{"family":"Ribeiro","given":"Clarisse"},{"family":"Maceiras","given":"Alberto"},{"family":"Vilas","given":"José L."},{"family":"Botelho","given":"Gabriela"},{"family":"Zea Bermudez","given":"Verónica","non-dropping-particle":"de"},{"family":"Lanceros-Mendez","given":"Senentxu"}],"issued":{"date-parts":[["2019",2,10]]}}}],"schema":"https://github.com/citation-style-language/schema/raw/master/csl-citation.json"} </w:instrText>
            </w:r>
            <w:r w:rsidRPr="00C6674F">
              <w:rPr>
                <w:rFonts w:ascii="Times New Roman" w:hAnsi="Times New Roman"/>
                <w:noProof w:val="0"/>
                <w:vertAlign w:val="superscript"/>
              </w:rPr>
              <w:fldChar w:fldCharType="separate"/>
            </w:r>
            <w:r w:rsidRPr="00C6674F">
              <w:rPr>
                <w:rFonts w:ascii="Times New Roman" w:hAnsi="Times New Roman"/>
                <w:noProof w:val="0"/>
                <w:szCs w:val="24"/>
                <w:vertAlign w:val="superscript"/>
              </w:rPr>
              <w:t>23</w:t>
            </w:r>
            <w:r w:rsidRPr="00C6674F">
              <w:rPr>
                <w:rFonts w:ascii="Times New Roman" w:hAnsi="Times New Roman"/>
                <w:noProof w:val="0"/>
                <w:vertAlign w:val="superscript"/>
              </w:rPr>
              <w:fldChar w:fldCharType="end"/>
            </w:r>
          </w:p>
        </w:tc>
      </w:tr>
      <w:tr w:rsidR="00E02BFC" w:rsidRPr="00C6674F" w14:paraId="3B1DC330" w14:textId="77777777" w:rsidTr="00E02BFC">
        <w:tc>
          <w:tcPr>
            <w:tcW w:w="1532" w:type="dxa"/>
            <w:shd w:val="clear" w:color="auto" w:fill="auto"/>
            <w:vAlign w:val="center"/>
          </w:tcPr>
          <w:p w14:paraId="03A40E9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w:t>
            </w:r>
          </w:p>
        </w:tc>
        <w:tc>
          <w:tcPr>
            <w:tcW w:w="2721" w:type="dxa"/>
            <w:shd w:val="clear" w:color="auto" w:fill="auto"/>
            <w:vAlign w:val="center"/>
          </w:tcPr>
          <w:p w14:paraId="47D021E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10.8 ±</w:t>
            </w:r>
            <w:r w:rsidRPr="00C6674F">
              <w:rPr>
                <w:rFonts w:ascii="Times New Roman" w:eastAsiaTheme="minorEastAsia" w:hAnsi="Times New Roman"/>
                <w:noProof w:val="0"/>
              </w:rPr>
              <w:t xml:space="preserve"> 8</w:t>
            </w:r>
          </w:p>
        </w:tc>
        <w:tc>
          <w:tcPr>
            <w:tcW w:w="2410" w:type="dxa"/>
            <w:shd w:val="clear" w:color="auto" w:fill="auto"/>
            <w:vAlign w:val="center"/>
          </w:tcPr>
          <w:p w14:paraId="16B06D9D"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19.83 ± 0.87</w:t>
            </w:r>
          </w:p>
        </w:tc>
        <w:tc>
          <w:tcPr>
            <w:tcW w:w="2126" w:type="dxa"/>
            <w:shd w:val="clear" w:color="auto" w:fill="auto"/>
            <w:vAlign w:val="center"/>
          </w:tcPr>
          <w:p w14:paraId="0969CE58" w14:textId="77777777" w:rsidR="00562240" w:rsidRPr="00C6674F" w:rsidRDefault="00562240" w:rsidP="00D67DBB">
            <w:pPr>
              <w:pStyle w:val="Footnote"/>
              <w:adjustRightInd w:val="0"/>
              <w:snapToGrid w:val="0"/>
              <w:rPr>
                <w:rFonts w:ascii="Times New Roman" w:hAnsi="Times New Roman" w:cs="Times New Roman"/>
                <w:sz w:val="20"/>
              </w:rPr>
            </w:pPr>
            <w:r w:rsidRPr="00C6674F">
              <w:rPr>
                <w:rFonts w:ascii="Times New Roman" w:hAnsi="Times New Roman" w:cs="Times New Roman"/>
                <w:sz w:val="20"/>
              </w:rPr>
              <w:t>19</w:t>
            </w:r>
            <w:r w:rsidRPr="00C6674F">
              <w:rPr>
                <w:rFonts w:ascii="Times New Roman" w:hAnsi="Times New Roman" w:cs="Times New Roman"/>
                <w:sz w:val="20"/>
                <w:vertAlign w:val="superscript"/>
              </w:rPr>
              <w:t xml:space="preserve"> </w:t>
            </w:r>
            <w:r w:rsidRPr="00C6674F">
              <w:rPr>
                <w:rFonts w:ascii="Times New Roman" w:hAnsi="Times New Roman" w:cs="Times New Roman"/>
                <w:sz w:val="20"/>
                <w:vertAlign w:val="superscript"/>
              </w:rPr>
              <w:fldChar w:fldCharType="begin"/>
            </w:r>
            <w:r w:rsidRPr="00C6674F">
              <w:rPr>
                <w:rFonts w:ascii="Times New Roman" w:hAnsi="Times New Roman" w:cs="Times New Roman"/>
                <w:sz w:val="20"/>
                <w:vertAlign w:val="superscript"/>
              </w:rPr>
              <w:instrText xml:space="preserve"> ADDIN ZOTERO_ITEM CSL_CITATION {"citationID":"cB8A55jH","properties":{"formattedCitation":"\\super 23\\nosupersub{}","plainCitation":"23","noteIndex":0},"citationItems":[{"id":67,"uris":["http://zotero.org/groups/4545406/items/VSI7U9KF"],"itemData":{"id":67,"type":"article-journal","abstract":"Poly(vinylidene fluoride) (PVDF), poly(vinylidene fluoride-co-trifluoroethylene) (PVDF-TrFE), poly(vinylidene fluoride-co-hexafluropropylene) (PVDF-HFP) and poly(vinylidene fluoride-co-chlorotrifluoroethylene) (PVDF-CTFE) were evaluated for the development of ionic liquid (IL) - polymer composite bending actuators. The selected guest IL, 1-ethyl-3-methylimidazolium bis(trifluoromethanesulfonyl)imide, [Emim][TFSI], was incorporated into the different host polymer matrixes in concentrations ranging from 10 to 40 wt%. The IL/polymer composites electrical properties strongly depend on the IL content. The largest bending response was found for the IL/PVDF-TrFE composites with a maximum bending value of </w:instrText>
            </w:r>
            <w:r w:rsidRPr="00C6674F">
              <w:rPr>
                <w:rFonts w:ascii="Cambria Math" w:hAnsi="Cambria Math" w:cs="Cambria Math"/>
                <w:sz w:val="20"/>
                <w:vertAlign w:val="superscript"/>
              </w:rPr>
              <w:instrText>∼</w:instrText>
            </w:r>
            <w:r w:rsidRPr="00C6674F">
              <w:rPr>
                <w:rFonts w:ascii="Times New Roman" w:hAnsi="Times New Roman" w:cs="Times New Roman"/>
                <w:sz w:val="20"/>
                <w:vertAlign w:val="superscript"/>
              </w:rPr>
              <w:instrText xml:space="preserve">3.5 mm using a frequency of 100 mHz at an applied potential difference of 5.0 Vpp. Thus, PVDF-TrFE are attractive candidates for the development of high performance bending actuators.","container-title":"Electrochimica Acta","DOI":"10.1016/j.electacta.2018.11.049","ISSN":"0013-4686","journalAbbreviation":"Electrochimica Acta","language":"en","page":"598-607","source":"ScienceDirect","title":"Improved response of ionic liquid-based bending actuators by tailored interaction with the polar fluorinated polymer matrix","volume":"296","author":[{"family":"Dias","given":"Juliana C."},{"family":"Correia","given":"Daniela M."},{"family":"Costa","given":"Carlos M."},{"family":"Ribeiro","given":"Clarisse"},{"family":"Maceiras","given":"Alberto"},{"family":"Vilas","given":"José L."},{"family":"Botelho","given":"Gabriela"},{"family":"Zea Bermudez","given":"Verónica","non-dropping-particle":"de"},{"family":"Lanceros-Mendez","given":"Senentxu"}],"issued":{"date-parts":[["2019",2,10]]}}}],"schema":"https://github.com/citation-style-language/schema/raw/master/csl-citation.json"} </w:instrText>
            </w:r>
            <w:r w:rsidRPr="00C6674F">
              <w:rPr>
                <w:rFonts w:ascii="Times New Roman" w:hAnsi="Times New Roman" w:cs="Times New Roman"/>
                <w:sz w:val="20"/>
                <w:vertAlign w:val="superscript"/>
              </w:rPr>
              <w:fldChar w:fldCharType="separate"/>
            </w:r>
            <w:r w:rsidRPr="00C6674F">
              <w:rPr>
                <w:rFonts w:ascii="Times New Roman" w:hAnsi="Times New Roman" w:cs="Times New Roman"/>
                <w:sz w:val="20"/>
                <w:szCs w:val="24"/>
                <w:vertAlign w:val="superscript"/>
              </w:rPr>
              <w:t>23</w:t>
            </w:r>
            <w:r w:rsidRPr="00C6674F">
              <w:rPr>
                <w:rFonts w:ascii="Times New Roman" w:hAnsi="Times New Roman" w:cs="Times New Roman"/>
                <w:sz w:val="20"/>
                <w:vertAlign w:val="superscript"/>
              </w:rPr>
              <w:fldChar w:fldCharType="end"/>
            </w:r>
          </w:p>
        </w:tc>
      </w:tr>
      <w:tr w:rsidR="00E02BFC" w:rsidRPr="00C6674F" w14:paraId="1BC0BF46" w14:textId="77777777" w:rsidTr="00E02BFC">
        <w:tc>
          <w:tcPr>
            <w:tcW w:w="1532" w:type="dxa"/>
            <w:shd w:val="clear" w:color="auto" w:fill="auto"/>
            <w:vAlign w:val="center"/>
          </w:tcPr>
          <w:p w14:paraId="7FD5CB4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 (0.1)</w:t>
            </w:r>
          </w:p>
        </w:tc>
        <w:tc>
          <w:tcPr>
            <w:tcW w:w="2721" w:type="dxa"/>
            <w:shd w:val="clear" w:color="auto" w:fill="auto"/>
            <w:vAlign w:val="center"/>
          </w:tcPr>
          <w:p w14:paraId="47E4172B"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10.4 ±</w:t>
            </w:r>
            <w:r w:rsidRPr="00C6674F">
              <w:rPr>
                <w:rFonts w:ascii="Times New Roman" w:eastAsiaTheme="minorEastAsia" w:hAnsi="Times New Roman"/>
                <w:noProof w:val="0"/>
              </w:rPr>
              <w:t xml:space="preserve"> 9</w:t>
            </w:r>
          </w:p>
        </w:tc>
        <w:tc>
          <w:tcPr>
            <w:tcW w:w="2410" w:type="dxa"/>
            <w:shd w:val="clear" w:color="auto" w:fill="auto"/>
            <w:vAlign w:val="center"/>
          </w:tcPr>
          <w:p w14:paraId="1459A544"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15.90 ± 0.14</w:t>
            </w:r>
          </w:p>
        </w:tc>
        <w:tc>
          <w:tcPr>
            <w:tcW w:w="2126" w:type="dxa"/>
            <w:shd w:val="clear" w:color="auto" w:fill="auto"/>
            <w:vAlign w:val="center"/>
          </w:tcPr>
          <w:p w14:paraId="4E25D09C"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r>
      <w:tr w:rsidR="00E02BFC" w:rsidRPr="00C6674F" w14:paraId="1FB4300F" w14:textId="77777777" w:rsidTr="00E02BFC">
        <w:tc>
          <w:tcPr>
            <w:tcW w:w="1532" w:type="dxa"/>
            <w:shd w:val="clear" w:color="auto" w:fill="auto"/>
            <w:vAlign w:val="center"/>
          </w:tcPr>
          <w:p w14:paraId="4C76A8A9"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 (0.2)</w:t>
            </w:r>
          </w:p>
        </w:tc>
        <w:tc>
          <w:tcPr>
            <w:tcW w:w="2721" w:type="dxa"/>
            <w:shd w:val="clear" w:color="auto" w:fill="auto"/>
            <w:vAlign w:val="center"/>
          </w:tcPr>
          <w:p w14:paraId="7F313920"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10.2 ±</w:t>
            </w:r>
            <w:r w:rsidRPr="00C6674F">
              <w:rPr>
                <w:rFonts w:ascii="Times New Roman" w:eastAsiaTheme="minorEastAsia" w:hAnsi="Times New Roman"/>
                <w:noProof w:val="0"/>
              </w:rPr>
              <w:t xml:space="preserve"> 3</w:t>
            </w:r>
          </w:p>
        </w:tc>
        <w:tc>
          <w:tcPr>
            <w:tcW w:w="2410" w:type="dxa"/>
            <w:shd w:val="clear" w:color="auto" w:fill="auto"/>
            <w:vAlign w:val="center"/>
          </w:tcPr>
          <w:p w14:paraId="1E6989BF"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10.86 ± 0.10</w:t>
            </w:r>
          </w:p>
        </w:tc>
        <w:tc>
          <w:tcPr>
            <w:tcW w:w="2126" w:type="dxa"/>
            <w:shd w:val="clear" w:color="auto" w:fill="auto"/>
            <w:vAlign w:val="center"/>
          </w:tcPr>
          <w:p w14:paraId="51D62772"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r>
      <w:tr w:rsidR="00E02BFC" w:rsidRPr="00C6674F" w14:paraId="1FCC0CF5" w14:textId="77777777" w:rsidTr="00E02BFC">
        <w:tc>
          <w:tcPr>
            <w:tcW w:w="1532" w:type="dxa"/>
            <w:tcBorders>
              <w:bottom w:val="single" w:sz="8" w:space="0" w:color="auto"/>
            </w:tcBorders>
            <w:shd w:val="clear" w:color="auto" w:fill="auto"/>
            <w:vAlign w:val="center"/>
          </w:tcPr>
          <w:p w14:paraId="5EA47BA6"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50 (0.4)</w:t>
            </w:r>
          </w:p>
        </w:tc>
        <w:tc>
          <w:tcPr>
            <w:tcW w:w="2721" w:type="dxa"/>
            <w:tcBorders>
              <w:bottom w:val="single" w:sz="8" w:space="0" w:color="auto"/>
            </w:tcBorders>
            <w:shd w:val="clear" w:color="auto" w:fill="auto"/>
            <w:vAlign w:val="center"/>
          </w:tcPr>
          <w:p w14:paraId="67288517"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 xml:space="preserve">9.6 ± </w:t>
            </w:r>
            <w:r w:rsidRPr="00C6674F">
              <w:rPr>
                <w:rFonts w:ascii="Times New Roman" w:eastAsiaTheme="minorEastAsia" w:hAnsi="Times New Roman"/>
                <w:noProof w:val="0"/>
              </w:rPr>
              <w:t>2</w:t>
            </w:r>
          </w:p>
        </w:tc>
        <w:tc>
          <w:tcPr>
            <w:tcW w:w="2410" w:type="dxa"/>
            <w:tcBorders>
              <w:bottom w:val="single" w:sz="8" w:space="0" w:color="auto"/>
            </w:tcBorders>
            <w:shd w:val="clear" w:color="auto" w:fill="auto"/>
            <w:vAlign w:val="center"/>
          </w:tcPr>
          <w:p w14:paraId="1886B1E1"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8.10 ± 0.05</w:t>
            </w:r>
          </w:p>
        </w:tc>
        <w:tc>
          <w:tcPr>
            <w:tcW w:w="2126" w:type="dxa"/>
            <w:tcBorders>
              <w:bottom w:val="single" w:sz="8" w:space="0" w:color="auto"/>
            </w:tcBorders>
            <w:shd w:val="clear" w:color="auto" w:fill="auto"/>
            <w:vAlign w:val="center"/>
          </w:tcPr>
          <w:p w14:paraId="0262B525" w14:textId="77777777" w:rsidR="00562240" w:rsidRPr="00C6674F" w:rsidRDefault="00562240" w:rsidP="00D67DBB">
            <w:pPr>
              <w:adjustRightInd w:val="0"/>
              <w:snapToGrid w:val="0"/>
              <w:spacing w:line="240" w:lineRule="auto"/>
              <w:jc w:val="center"/>
              <w:rPr>
                <w:rFonts w:ascii="Times New Roman" w:hAnsi="Times New Roman"/>
                <w:noProof w:val="0"/>
              </w:rPr>
            </w:pPr>
            <w:r w:rsidRPr="00C6674F">
              <w:rPr>
                <w:rFonts w:ascii="Times New Roman" w:hAnsi="Times New Roman"/>
                <w:noProof w:val="0"/>
              </w:rPr>
              <w:t>-</w:t>
            </w:r>
          </w:p>
        </w:tc>
      </w:tr>
    </w:tbl>
    <w:p w14:paraId="7219D58A" w14:textId="27127B5C" w:rsidR="00562240" w:rsidRPr="00C6674F" w:rsidRDefault="00562240" w:rsidP="00D67DBB">
      <w:pPr>
        <w:pStyle w:val="MDPI31text"/>
      </w:pPr>
      <w:r w:rsidRPr="00C6674F">
        <w:t>Although the absolute value of crystallinity estimated from DSC and XRD are not in the same range, both the data set present the same trend. In the case of GNP-containing films, the estimated values for the crystallinity measured from DSC and XRD are similar.</w:t>
      </w:r>
    </w:p>
    <w:p w14:paraId="66B12451" w14:textId="77777777" w:rsidR="00562240" w:rsidRPr="00C6674F" w:rsidRDefault="00562240" w:rsidP="00D67DBB">
      <w:pPr>
        <w:pStyle w:val="MDPI21heading1"/>
        <w:ind w:left="0"/>
      </w:pPr>
      <w:r w:rsidRPr="00C6674F">
        <w:t>References</w:t>
      </w:r>
    </w:p>
    <w:p w14:paraId="34CB2546" w14:textId="77777777" w:rsidR="00562240" w:rsidRPr="00C6674F" w:rsidRDefault="00562240" w:rsidP="00D67DBB">
      <w:pPr>
        <w:pStyle w:val="Bibliography"/>
        <w:adjustRightInd w:val="0"/>
        <w:snapToGrid w:val="0"/>
        <w:rPr>
          <w:rFonts w:ascii="Times New Roman" w:hAnsi="Times New Roman"/>
          <w:noProof w:val="0"/>
        </w:rPr>
      </w:pPr>
      <w:r w:rsidRPr="00C6674F">
        <w:rPr>
          <w:rFonts w:ascii="Arial" w:hAnsi="Arial" w:cs="Arial"/>
          <w:noProof w:val="0"/>
        </w:rPr>
        <w:fldChar w:fldCharType="begin"/>
      </w:r>
      <w:r w:rsidRPr="00C6674F">
        <w:rPr>
          <w:noProof w:val="0"/>
        </w:rPr>
        <w:instrText xml:space="preserve"> ADDIN ZOTERO_BIBL {"uncited":[],"omitted":[],"custom":[]} CSL_BIBLIOGRAPHY </w:instrText>
      </w:r>
      <w:r w:rsidRPr="00C6674F">
        <w:rPr>
          <w:rFonts w:ascii="Arial" w:hAnsi="Arial" w:cs="Arial"/>
          <w:noProof w:val="0"/>
        </w:rPr>
        <w:fldChar w:fldCharType="separate"/>
      </w:r>
      <w:r w:rsidRPr="00C6674F">
        <w:rPr>
          <w:rFonts w:ascii="Times New Roman" w:hAnsi="Times New Roman"/>
          <w:noProof w:val="0"/>
        </w:rPr>
        <w:t xml:space="preserve">(1) </w:t>
      </w:r>
      <w:r w:rsidRPr="00C6674F">
        <w:rPr>
          <w:rFonts w:ascii="Times New Roman" w:hAnsi="Times New Roman"/>
          <w:noProof w:val="0"/>
        </w:rPr>
        <w:tab/>
        <w:t xml:space="preserve">Manna, S.; Batabyal, S. K.; Nandi, A. K. Preparation and Characterization of Silver−Poly(Vinylidene Fluoride) Nanocomposites:  Formation of Piezoelectric Polymorph of Poly(Vinylidene Fluoride). </w:t>
      </w:r>
      <w:r w:rsidRPr="00C6674F">
        <w:rPr>
          <w:rFonts w:ascii="Times New Roman" w:hAnsi="Times New Roman"/>
          <w:i/>
          <w:iCs/>
          <w:noProof w:val="0"/>
        </w:rPr>
        <w:t>J. Phys. Chem. B</w:t>
      </w:r>
      <w:r w:rsidRPr="00C6674F">
        <w:rPr>
          <w:rFonts w:ascii="Times New Roman" w:hAnsi="Times New Roman"/>
          <w:noProof w:val="0"/>
        </w:rPr>
        <w:t xml:space="preserve"> </w:t>
      </w:r>
      <w:r w:rsidRPr="00C6674F">
        <w:rPr>
          <w:rFonts w:ascii="Times New Roman" w:hAnsi="Times New Roman"/>
          <w:b/>
          <w:bCs/>
          <w:noProof w:val="0"/>
        </w:rPr>
        <w:t>2006</w:t>
      </w:r>
      <w:r w:rsidRPr="00C6674F">
        <w:rPr>
          <w:rFonts w:ascii="Times New Roman" w:hAnsi="Times New Roman"/>
          <w:noProof w:val="0"/>
        </w:rPr>
        <w:t xml:space="preserve">, </w:t>
      </w:r>
      <w:r w:rsidRPr="00C6674F">
        <w:rPr>
          <w:rFonts w:ascii="Times New Roman" w:hAnsi="Times New Roman"/>
          <w:i/>
          <w:iCs/>
          <w:noProof w:val="0"/>
        </w:rPr>
        <w:t>110</w:t>
      </w:r>
      <w:r w:rsidRPr="00C6674F">
        <w:rPr>
          <w:rFonts w:ascii="Times New Roman" w:hAnsi="Times New Roman"/>
          <w:noProof w:val="0"/>
        </w:rPr>
        <w:t xml:space="preserve"> (25), 12318–12326. https://doi.org/10.1021/jp061445y.</w:t>
      </w:r>
    </w:p>
    <w:p w14:paraId="7061ACD8"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(2) </w:t>
      </w:r>
      <w:r w:rsidRPr="00C6674F">
        <w:rPr>
          <w:rFonts w:ascii="Times New Roman" w:hAnsi="Times New Roman"/>
          <w:noProof w:val="0"/>
        </w:rPr>
        <w:tab/>
        <w:t xml:space="preserve">Höfft, O.; Bahr, S.; Kempter, V. Investigations with Infrared Spectroscopy on Films of the Ionic Liquid [EMIM]Tf2N. </w:t>
      </w:r>
      <w:r w:rsidRPr="00C6674F">
        <w:rPr>
          <w:rFonts w:ascii="Times New Roman" w:hAnsi="Times New Roman"/>
          <w:i/>
          <w:iCs/>
          <w:noProof w:val="0"/>
        </w:rPr>
        <w:t>Langmuir</w:t>
      </w:r>
      <w:r w:rsidRPr="00C6674F">
        <w:rPr>
          <w:rFonts w:ascii="Times New Roman" w:hAnsi="Times New Roman"/>
          <w:noProof w:val="0"/>
        </w:rPr>
        <w:t xml:space="preserve"> </w:t>
      </w:r>
      <w:r w:rsidRPr="00C6674F">
        <w:rPr>
          <w:rFonts w:ascii="Times New Roman" w:hAnsi="Times New Roman"/>
          <w:b/>
          <w:bCs/>
          <w:noProof w:val="0"/>
        </w:rPr>
        <w:t>2008</w:t>
      </w:r>
      <w:r w:rsidRPr="00C6674F">
        <w:rPr>
          <w:rFonts w:ascii="Times New Roman" w:hAnsi="Times New Roman"/>
          <w:noProof w:val="0"/>
        </w:rPr>
        <w:t xml:space="preserve">, </w:t>
      </w:r>
      <w:r w:rsidRPr="00C6674F">
        <w:rPr>
          <w:rFonts w:ascii="Times New Roman" w:hAnsi="Times New Roman"/>
          <w:i/>
          <w:iCs/>
          <w:noProof w:val="0"/>
        </w:rPr>
        <w:t>24</w:t>
      </w:r>
      <w:r w:rsidRPr="00C6674F">
        <w:rPr>
          <w:rFonts w:ascii="Times New Roman" w:hAnsi="Times New Roman"/>
          <w:noProof w:val="0"/>
        </w:rPr>
        <w:t xml:space="preserve"> (20), 11562–11566. https://doi.org/10.1021/la802045j.</w:t>
      </w:r>
    </w:p>
    <w:p w14:paraId="6E30C012"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(3) </w:t>
      </w:r>
      <w:r w:rsidRPr="00C6674F">
        <w:rPr>
          <w:rFonts w:ascii="Times New Roman" w:hAnsi="Times New Roman"/>
          <w:noProof w:val="0"/>
        </w:rPr>
        <w:tab/>
        <w:t xml:space="preserve">Baltus, R. E.; Culbertson, B. H.; Dai, S.; Luo, H.; DePaoli, D. W. Low-Pressure Solubility of Carbon Dioxide in Room-Temperature Ionic Liquids Measured with a Quartz Crystal Microbalance. </w:t>
      </w:r>
      <w:r w:rsidRPr="00C6674F">
        <w:rPr>
          <w:rFonts w:ascii="Times New Roman" w:hAnsi="Times New Roman"/>
          <w:i/>
          <w:iCs/>
          <w:noProof w:val="0"/>
        </w:rPr>
        <w:t>J. Phys. Chem. B</w:t>
      </w:r>
      <w:r w:rsidRPr="00C6674F">
        <w:rPr>
          <w:rFonts w:ascii="Times New Roman" w:hAnsi="Times New Roman"/>
          <w:noProof w:val="0"/>
        </w:rPr>
        <w:t xml:space="preserve"> </w:t>
      </w:r>
      <w:r w:rsidRPr="00C6674F">
        <w:rPr>
          <w:rFonts w:ascii="Times New Roman" w:hAnsi="Times New Roman"/>
          <w:b/>
          <w:bCs/>
          <w:noProof w:val="0"/>
        </w:rPr>
        <w:t>2004</w:t>
      </w:r>
      <w:r w:rsidRPr="00C6674F">
        <w:rPr>
          <w:rFonts w:ascii="Times New Roman" w:hAnsi="Times New Roman"/>
          <w:noProof w:val="0"/>
        </w:rPr>
        <w:t xml:space="preserve">, </w:t>
      </w:r>
      <w:r w:rsidRPr="00C6674F">
        <w:rPr>
          <w:rFonts w:ascii="Times New Roman" w:hAnsi="Times New Roman"/>
          <w:i/>
          <w:iCs/>
          <w:noProof w:val="0"/>
        </w:rPr>
        <w:t>108</w:t>
      </w:r>
      <w:r w:rsidRPr="00C6674F">
        <w:rPr>
          <w:rFonts w:ascii="Times New Roman" w:hAnsi="Times New Roman"/>
          <w:noProof w:val="0"/>
        </w:rPr>
        <w:t xml:space="preserve"> (2), 721–727. https://doi.org/10.1021/jp036051a.</w:t>
      </w:r>
    </w:p>
    <w:p w14:paraId="5F455811"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(4) </w:t>
      </w:r>
      <w:r w:rsidRPr="00C6674F">
        <w:rPr>
          <w:rFonts w:ascii="Times New Roman" w:hAnsi="Times New Roman"/>
          <w:noProof w:val="0"/>
        </w:rPr>
        <w:tab/>
        <w:t xml:space="preserve">Anthony, J. L.; Maginn, E. J.; Brennecke, J. F. Solubilities and Thermodynamic Properties of Gases in the Ionic Liquid 1-n-Butyl-3-Methylimidazolium Hexafluorophosphate. </w:t>
      </w:r>
      <w:r w:rsidRPr="00C6674F">
        <w:rPr>
          <w:rFonts w:ascii="Times New Roman" w:hAnsi="Times New Roman"/>
          <w:i/>
          <w:iCs/>
          <w:noProof w:val="0"/>
        </w:rPr>
        <w:t>J. Phys. Chem. B</w:t>
      </w:r>
      <w:r w:rsidRPr="00C6674F">
        <w:rPr>
          <w:rFonts w:ascii="Times New Roman" w:hAnsi="Times New Roman"/>
          <w:noProof w:val="0"/>
        </w:rPr>
        <w:t xml:space="preserve"> </w:t>
      </w:r>
      <w:r w:rsidRPr="00C6674F">
        <w:rPr>
          <w:rFonts w:ascii="Times New Roman" w:hAnsi="Times New Roman"/>
          <w:b/>
          <w:bCs/>
          <w:noProof w:val="0"/>
        </w:rPr>
        <w:t>2002</w:t>
      </w:r>
      <w:r w:rsidRPr="00C6674F">
        <w:rPr>
          <w:rFonts w:ascii="Times New Roman" w:hAnsi="Times New Roman"/>
          <w:noProof w:val="0"/>
        </w:rPr>
        <w:t xml:space="preserve">, </w:t>
      </w:r>
      <w:r w:rsidRPr="00C6674F">
        <w:rPr>
          <w:rFonts w:ascii="Times New Roman" w:hAnsi="Times New Roman"/>
          <w:i/>
          <w:iCs/>
          <w:noProof w:val="0"/>
        </w:rPr>
        <w:t>106</w:t>
      </w:r>
      <w:r w:rsidRPr="00C6674F">
        <w:rPr>
          <w:rFonts w:ascii="Times New Roman" w:hAnsi="Times New Roman"/>
          <w:noProof w:val="0"/>
        </w:rPr>
        <w:t xml:space="preserve"> (29), 7315–7320. https://doi.org/10.1021/jp020631a.</w:t>
      </w:r>
    </w:p>
    <w:p w14:paraId="025062D0"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(5) </w:t>
      </w:r>
      <w:r w:rsidRPr="00C6674F">
        <w:rPr>
          <w:rFonts w:ascii="Times New Roman" w:hAnsi="Times New Roman"/>
          <w:noProof w:val="0"/>
        </w:rPr>
        <w:tab/>
        <w:t xml:space="preserve">Shiflett, M. B.; Maginn, E. J. The Solubility of Gases in Ionic Liquids. </w:t>
      </w:r>
      <w:r w:rsidRPr="00C6674F">
        <w:rPr>
          <w:rFonts w:ascii="Times New Roman" w:hAnsi="Times New Roman"/>
          <w:i/>
          <w:iCs/>
          <w:noProof w:val="0"/>
        </w:rPr>
        <w:t>AIChE Journal</w:t>
      </w:r>
      <w:r w:rsidRPr="00C6674F">
        <w:rPr>
          <w:rFonts w:ascii="Times New Roman" w:hAnsi="Times New Roman"/>
          <w:noProof w:val="0"/>
        </w:rPr>
        <w:t xml:space="preserve"> </w:t>
      </w:r>
      <w:r w:rsidRPr="00C6674F">
        <w:rPr>
          <w:rFonts w:ascii="Times New Roman" w:hAnsi="Times New Roman"/>
          <w:b/>
          <w:bCs/>
          <w:noProof w:val="0"/>
        </w:rPr>
        <w:t>2017</w:t>
      </w:r>
      <w:r w:rsidRPr="00C6674F">
        <w:rPr>
          <w:rFonts w:ascii="Times New Roman" w:hAnsi="Times New Roman"/>
          <w:noProof w:val="0"/>
        </w:rPr>
        <w:t xml:space="preserve">, </w:t>
      </w:r>
      <w:r w:rsidRPr="00C6674F">
        <w:rPr>
          <w:rFonts w:ascii="Times New Roman" w:hAnsi="Times New Roman"/>
          <w:i/>
          <w:iCs/>
          <w:noProof w:val="0"/>
        </w:rPr>
        <w:t>63</w:t>
      </w:r>
      <w:r w:rsidRPr="00C6674F">
        <w:rPr>
          <w:rFonts w:ascii="Times New Roman" w:hAnsi="Times New Roman"/>
          <w:noProof w:val="0"/>
        </w:rPr>
        <w:t xml:space="preserve"> (11), 4722–4737. https://doi.org/10.1002/aic.15957.</w:t>
      </w:r>
    </w:p>
    <w:p w14:paraId="60EB88D9"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(6) </w:t>
      </w:r>
      <w:r w:rsidRPr="00C6674F">
        <w:rPr>
          <w:rFonts w:ascii="Times New Roman" w:hAnsi="Times New Roman"/>
          <w:noProof w:val="0"/>
        </w:rPr>
        <w:tab/>
        <w:t>Cadena, C.; Anthony, J. L.; Shah, J. K.; Morrow, T. I.; Brennecke, J. F.; Maginn, E. J. Why Is CO</w:t>
      </w:r>
      <w:r w:rsidRPr="00C6674F">
        <w:rPr>
          <w:rFonts w:ascii="Times New Roman" w:hAnsi="Times New Roman"/>
          <w:noProof w:val="0"/>
          <w:vertAlign w:val="subscript"/>
        </w:rPr>
        <w:t>2</w:t>
      </w:r>
      <w:r w:rsidRPr="00C6674F">
        <w:rPr>
          <w:rFonts w:ascii="Times New Roman" w:hAnsi="Times New Roman"/>
          <w:noProof w:val="0"/>
        </w:rPr>
        <w:t xml:space="preserve"> So Soluble in Imidazolium-Based Ionic Liquids? </w:t>
      </w:r>
      <w:r w:rsidRPr="00C6674F">
        <w:rPr>
          <w:rFonts w:ascii="Times New Roman" w:hAnsi="Times New Roman"/>
          <w:i/>
          <w:iCs/>
          <w:noProof w:val="0"/>
        </w:rPr>
        <w:t>J. Am. Chem. Soc.</w:t>
      </w:r>
      <w:r w:rsidRPr="00C6674F">
        <w:rPr>
          <w:rFonts w:ascii="Times New Roman" w:hAnsi="Times New Roman"/>
          <w:noProof w:val="0"/>
        </w:rPr>
        <w:t xml:space="preserve"> </w:t>
      </w:r>
      <w:r w:rsidRPr="00C6674F">
        <w:rPr>
          <w:rFonts w:ascii="Times New Roman" w:hAnsi="Times New Roman"/>
          <w:b/>
          <w:bCs/>
          <w:noProof w:val="0"/>
        </w:rPr>
        <w:t>2004</w:t>
      </w:r>
      <w:r w:rsidRPr="00C6674F">
        <w:rPr>
          <w:rFonts w:ascii="Times New Roman" w:hAnsi="Times New Roman"/>
          <w:noProof w:val="0"/>
        </w:rPr>
        <w:t xml:space="preserve">, </w:t>
      </w:r>
      <w:r w:rsidRPr="00C6674F">
        <w:rPr>
          <w:rFonts w:ascii="Times New Roman" w:hAnsi="Times New Roman"/>
          <w:i/>
          <w:iCs/>
          <w:noProof w:val="0"/>
        </w:rPr>
        <w:t>126</w:t>
      </w:r>
      <w:r w:rsidRPr="00C6674F">
        <w:rPr>
          <w:rFonts w:ascii="Times New Roman" w:hAnsi="Times New Roman"/>
          <w:noProof w:val="0"/>
        </w:rPr>
        <w:t xml:space="preserve"> (16), 5300–5308. https://doi.org/10.1021/ja039615x.</w:t>
      </w:r>
    </w:p>
    <w:p w14:paraId="46EDCB05"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(7) </w:t>
      </w:r>
      <w:r w:rsidRPr="00C6674F">
        <w:rPr>
          <w:rFonts w:ascii="Times New Roman" w:hAnsi="Times New Roman"/>
          <w:noProof w:val="0"/>
        </w:rPr>
        <w:tab/>
        <w:t xml:space="preserve">Schilderman, A. M.; Raeissi, S.; Peters, C. J. Solubility of Carbon Dioxide in the Ionic Liquid 1-Ethyl-3-Methylimidazolium Bis(Trifluoromethylsulfonyl)Imide. </w:t>
      </w:r>
      <w:r w:rsidRPr="00C6674F">
        <w:rPr>
          <w:rFonts w:ascii="Times New Roman" w:hAnsi="Times New Roman"/>
          <w:i/>
          <w:iCs/>
          <w:noProof w:val="0"/>
        </w:rPr>
        <w:t>Fluid Phase Equilibria</w:t>
      </w:r>
      <w:r w:rsidRPr="00C6674F">
        <w:rPr>
          <w:rFonts w:ascii="Times New Roman" w:hAnsi="Times New Roman"/>
          <w:noProof w:val="0"/>
        </w:rPr>
        <w:t xml:space="preserve"> </w:t>
      </w:r>
      <w:r w:rsidRPr="00C6674F">
        <w:rPr>
          <w:rFonts w:ascii="Times New Roman" w:hAnsi="Times New Roman"/>
          <w:b/>
          <w:bCs/>
          <w:noProof w:val="0"/>
        </w:rPr>
        <w:t>2007</w:t>
      </w:r>
      <w:r w:rsidRPr="00C6674F">
        <w:rPr>
          <w:rFonts w:ascii="Times New Roman" w:hAnsi="Times New Roman"/>
          <w:noProof w:val="0"/>
        </w:rPr>
        <w:t xml:space="preserve">, </w:t>
      </w:r>
      <w:r w:rsidRPr="00C6674F">
        <w:rPr>
          <w:rFonts w:ascii="Times New Roman" w:hAnsi="Times New Roman"/>
          <w:i/>
          <w:iCs/>
          <w:noProof w:val="0"/>
        </w:rPr>
        <w:t>260</w:t>
      </w:r>
      <w:r w:rsidRPr="00C6674F">
        <w:rPr>
          <w:rFonts w:ascii="Times New Roman" w:hAnsi="Times New Roman"/>
          <w:noProof w:val="0"/>
        </w:rPr>
        <w:t xml:space="preserve"> (1), 19–22. https://doi.org/10.1016/j.fluid.2007.06.003.</w:t>
      </w:r>
    </w:p>
    <w:p w14:paraId="2B9255A9"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lastRenderedPageBreak/>
        <w:t xml:space="preserve">(8) </w:t>
      </w:r>
      <w:r w:rsidRPr="00C6674F">
        <w:rPr>
          <w:rFonts w:ascii="Times New Roman" w:hAnsi="Times New Roman"/>
          <w:noProof w:val="0"/>
        </w:rPr>
        <w:tab/>
        <w:t>Mirarab, M.; Sharifi, M.; Ghayyem, M. A.; Mirarab, F. Prediction of Solubility of CO</w:t>
      </w:r>
      <w:r w:rsidRPr="00C6674F">
        <w:rPr>
          <w:rFonts w:ascii="Times New Roman" w:hAnsi="Times New Roman"/>
          <w:noProof w:val="0"/>
          <w:vertAlign w:val="subscript"/>
        </w:rPr>
        <w:t>2</w:t>
      </w:r>
      <w:r w:rsidRPr="00C6674F">
        <w:rPr>
          <w:rFonts w:ascii="Times New Roman" w:hAnsi="Times New Roman"/>
          <w:noProof w:val="0"/>
        </w:rPr>
        <w:t xml:space="preserve"> in Ethanol–[EMIM][Tf2N] Ionic Liquid Mixtures Using Artificial Neural Networks Based on Genetic Algorithm. </w:t>
      </w:r>
      <w:r w:rsidRPr="00C6674F">
        <w:rPr>
          <w:rFonts w:ascii="Times New Roman" w:hAnsi="Times New Roman"/>
          <w:i/>
          <w:iCs/>
          <w:noProof w:val="0"/>
        </w:rPr>
        <w:t>Fluid Phase Equilibria</w:t>
      </w:r>
      <w:r w:rsidRPr="00C6674F">
        <w:rPr>
          <w:rFonts w:ascii="Times New Roman" w:hAnsi="Times New Roman"/>
          <w:noProof w:val="0"/>
        </w:rPr>
        <w:t xml:space="preserve"> </w:t>
      </w:r>
      <w:r w:rsidRPr="00C6674F">
        <w:rPr>
          <w:rFonts w:ascii="Times New Roman" w:hAnsi="Times New Roman"/>
          <w:b/>
          <w:bCs/>
          <w:noProof w:val="0"/>
        </w:rPr>
        <w:t>2014</w:t>
      </w:r>
      <w:r w:rsidRPr="00C6674F">
        <w:rPr>
          <w:rFonts w:ascii="Times New Roman" w:hAnsi="Times New Roman"/>
          <w:noProof w:val="0"/>
        </w:rPr>
        <w:t xml:space="preserve">, </w:t>
      </w:r>
      <w:r w:rsidRPr="00C6674F">
        <w:rPr>
          <w:rFonts w:ascii="Times New Roman" w:hAnsi="Times New Roman"/>
          <w:i/>
          <w:iCs/>
          <w:noProof w:val="0"/>
        </w:rPr>
        <w:t>371</w:t>
      </w:r>
      <w:r w:rsidRPr="00C6674F">
        <w:rPr>
          <w:rFonts w:ascii="Times New Roman" w:hAnsi="Times New Roman"/>
          <w:noProof w:val="0"/>
        </w:rPr>
        <w:t>, 6–14. https://doi.org/10.1016/j.fluid.2014.02.030.</w:t>
      </w:r>
    </w:p>
    <w:p w14:paraId="27ECFBE1"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(9) </w:t>
      </w:r>
      <w:r w:rsidRPr="00C6674F">
        <w:rPr>
          <w:rFonts w:ascii="Times New Roman" w:hAnsi="Times New Roman"/>
          <w:noProof w:val="0"/>
        </w:rPr>
        <w:tab/>
        <w:t xml:space="preserve">Carvalho, P. J.; Álvarez, V. H.; Machado, J. J. B.; Pauly, J.; Daridon, J.-L.; Marrucho, I. M.; Aznar, M.; Coutinho, J. A. P. High Pressure Phase Behavior of Carbon Dioxide in 1-Alkyl-3-Methylimidazolium Bis(Trifluoromethylsulfonyl)Imide Ionic Liquids. </w:t>
      </w:r>
      <w:r w:rsidRPr="00C6674F">
        <w:rPr>
          <w:rFonts w:ascii="Times New Roman" w:hAnsi="Times New Roman"/>
          <w:i/>
          <w:iCs/>
          <w:noProof w:val="0"/>
        </w:rPr>
        <w:t>The Journal of Supercritical Fluids</w:t>
      </w:r>
      <w:r w:rsidRPr="00C6674F">
        <w:rPr>
          <w:rFonts w:ascii="Times New Roman" w:hAnsi="Times New Roman"/>
          <w:noProof w:val="0"/>
        </w:rPr>
        <w:t xml:space="preserve"> </w:t>
      </w:r>
      <w:r w:rsidRPr="00C6674F">
        <w:rPr>
          <w:rFonts w:ascii="Times New Roman" w:hAnsi="Times New Roman"/>
          <w:b/>
          <w:bCs/>
          <w:noProof w:val="0"/>
        </w:rPr>
        <w:t>2009</w:t>
      </w:r>
      <w:r w:rsidRPr="00C6674F">
        <w:rPr>
          <w:rFonts w:ascii="Times New Roman" w:hAnsi="Times New Roman"/>
          <w:noProof w:val="0"/>
        </w:rPr>
        <w:t xml:space="preserve">, </w:t>
      </w:r>
      <w:r w:rsidRPr="00C6674F">
        <w:rPr>
          <w:rFonts w:ascii="Times New Roman" w:hAnsi="Times New Roman"/>
          <w:i/>
          <w:iCs/>
          <w:noProof w:val="0"/>
        </w:rPr>
        <w:t>48</w:t>
      </w:r>
      <w:r w:rsidRPr="00C6674F">
        <w:rPr>
          <w:rFonts w:ascii="Times New Roman" w:hAnsi="Times New Roman"/>
          <w:noProof w:val="0"/>
        </w:rPr>
        <w:t xml:space="preserve"> (2), 99–107. https://doi.org/10.1016/j.supflu.2008.10.012.</w:t>
      </w:r>
    </w:p>
    <w:p w14:paraId="4987A527"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(10) </w:t>
      </w:r>
      <w:r w:rsidRPr="00C6674F">
        <w:rPr>
          <w:rFonts w:ascii="Times New Roman" w:hAnsi="Times New Roman"/>
          <w:noProof w:val="0"/>
        </w:rPr>
        <w:tab/>
        <w:t xml:space="preserve">Brunauer, S. Chapter VIII: The Heat of Adsorption II. In </w:t>
      </w:r>
      <w:r w:rsidRPr="00C6674F">
        <w:rPr>
          <w:rFonts w:ascii="Times New Roman" w:hAnsi="Times New Roman"/>
          <w:i/>
          <w:iCs/>
          <w:noProof w:val="0"/>
        </w:rPr>
        <w:t>The adsorption of gases and vapors</w:t>
      </w:r>
      <w:r w:rsidRPr="00C6674F">
        <w:rPr>
          <w:rFonts w:ascii="Times New Roman" w:hAnsi="Times New Roman"/>
          <w:noProof w:val="0"/>
        </w:rPr>
        <w:t>; H. Milford, Oxford University Press, 1943; Vol. 1, pp 218–270.</w:t>
      </w:r>
    </w:p>
    <w:p w14:paraId="73D7AEC5"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(11) </w:t>
      </w:r>
      <w:r w:rsidRPr="00C6674F">
        <w:rPr>
          <w:rFonts w:ascii="Times New Roman" w:hAnsi="Times New Roman"/>
          <w:noProof w:val="0"/>
        </w:rPr>
        <w:tab/>
        <w:t xml:space="preserve">Zheng, X.; Sauer, B. B.; Van Alsten, J. G.; Schwarz, S. A.; Rafailovich, M. H.; Sokolov, J.; Rubinstein, M. Reptation Dynamics of a Polymer Melt near an Attractive Solid Interface. </w:t>
      </w:r>
      <w:r w:rsidRPr="00C6674F">
        <w:rPr>
          <w:rFonts w:ascii="Times New Roman" w:hAnsi="Times New Roman"/>
          <w:i/>
          <w:iCs/>
          <w:noProof w:val="0"/>
        </w:rPr>
        <w:t>Phys. Rev. Lett.</w:t>
      </w:r>
      <w:r w:rsidRPr="00C6674F">
        <w:rPr>
          <w:rFonts w:ascii="Times New Roman" w:hAnsi="Times New Roman"/>
          <w:noProof w:val="0"/>
        </w:rPr>
        <w:t xml:space="preserve"> </w:t>
      </w:r>
      <w:r w:rsidRPr="00C6674F">
        <w:rPr>
          <w:rFonts w:ascii="Times New Roman" w:hAnsi="Times New Roman"/>
          <w:b/>
          <w:bCs/>
          <w:noProof w:val="0"/>
        </w:rPr>
        <w:t>1995</w:t>
      </w:r>
      <w:r w:rsidRPr="00C6674F">
        <w:rPr>
          <w:rFonts w:ascii="Times New Roman" w:hAnsi="Times New Roman"/>
          <w:noProof w:val="0"/>
        </w:rPr>
        <w:t xml:space="preserve">, </w:t>
      </w:r>
      <w:r w:rsidRPr="00C6674F">
        <w:rPr>
          <w:rFonts w:ascii="Times New Roman" w:hAnsi="Times New Roman"/>
          <w:i/>
          <w:iCs/>
          <w:noProof w:val="0"/>
        </w:rPr>
        <w:t>74</w:t>
      </w:r>
      <w:r w:rsidRPr="00C6674F">
        <w:rPr>
          <w:rFonts w:ascii="Times New Roman" w:hAnsi="Times New Roman"/>
          <w:noProof w:val="0"/>
        </w:rPr>
        <w:t xml:space="preserve"> (3), 407–410. https://doi.org/10.1103/PhysRevLett.74.407.</w:t>
      </w:r>
    </w:p>
    <w:p w14:paraId="3458A118"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(12) </w:t>
      </w:r>
      <w:r w:rsidRPr="00C6674F">
        <w:rPr>
          <w:rFonts w:ascii="Times New Roman" w:hAnsi="Times New Roman"/>
          <w:noProof w:val="0"/>
        </w:rPr>
        <w:tab/>
        <w:t xml:space="preserve">Shih, C.-J.; Vijayaraghavan, A.; Krishnan, R.; Sharma, R.; Han, J.-H.; Ham, M.-H.; Jin, Z.; Lin, S.; Paulus, G. L. C.; Reuel, N. F.; Wang, Q. H.; Blankschtein, D.; Strano, M. S. Bi- and Trilayer Graphene Solutions. </w:t>
      </w:r>
      <w:r w:rsidRPr="00C6674F">
        <w:rPr>
          <w:rFonts w:ascii="Times New Roman" w:hAnsi="Times New Roman"/>
          <w:i/>
          <w:iCs/>
          <w:noProof w:val="0"/>
        </w:rPr>
        <w:t>Nature Nanotech</w:t>
      </w:r>
      <w:r w:rsidRPr="00C6674F">
        <w:rPr>
          <w:rFonts w:ascii="Times New Roman" w:hAnsi="Times New Roman"/>
          <w:noProof w:val="0"/>
        </w:rPr>
        <w:t xml:space="preserve"> </w:t>
      </w:r>
      <w:r w:rsidRPr="00C6674F">
        <w:rPr>
          <w:rFonts w:ascii="Times New Roman" w:hAnsi="Times New Roman"/>
          <w:b/>
          <w:bCs/>
          <w:noProof w:val="0"/>
        </w:rPr>
        <w:t>2011</w:t>
      </w:r>
      <w:r w:rsidRPr="00C6674F">
        <w:rPr>
          <w:rFonts w:ascii="Times New Roman" w:hAnsi="Times New Roman"/>
          <w:noProof w:val="0"/>
        </w:rPr>
        <w:t xml:space="preserve">, </w:t>
      </w:r>
      <w:r w:rsidRPr="00C6674F">
        <w:rPr>
          <w:rFonts w:ascii="Times New Roman" w:hAnsi="Times New Roman"/>
          <w:i/>
          <w:iCs/>
          <w:noProof w:val="0"/>
        </w:rPr>
        <w:t>6</w:t>
      </w:r>
      <w:r w:rsidRPr="00C6674F">
        <w:rPr>
          <w:rFonts w:ascii="Times New Roman" w:hAnsi="Times New Roman"/>
          <w:noProof w:val="0"/>
        </w:rPr>
        <w:t xml:space="preserve"> (7), 439–445. https://doi.org/10.1038/nnano.2011.94.</w:t>
      </w:r>
    </w:p>
    <w:p w14:paraId="4728F45A"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(13) </w:t>
      </w:r>
      <w:r w:rsidRPr="00C6674F">
        <w:rPr>
          <w:rFonts w:ascii="Times New Roman" w:hAnsi="Times New Roman"/>
          <w:noProof w:val="0"/>
        </w:rPr>
        <w:tab/>
        <w:t xml:space="preserve">Schindelin, J.; Arganda-Carreras, I.; Frise, E.; Kaynig, V.; Longair, M.; Pietzsch, T.; Preibisch, S.; Rueden, C.; Saalfeld, S.; Schmid, B.; Tinevez, J.-Y.; White, D. J.; Hartenstein, V.; Eliceiri, K.; Tomancak, P.; Cardona, A. Fiji: An Open-Source Platform for Biological-Image Analysis. </w:t>
      </w:r>
      <w:r w:rsidRPr="00C6674F">
        <w:rPr>
          <w:rFonts w:ascii="Times New Roman" w:hAnsi="Times New Roman"/>
          <w:i/>
          <w:iCs/>
          <w:noProof w:val="0"/>
        </w:rPr>
        <w:t>Nat Methods</w:t>
      </w:r>
      <w:r w:rsidRPr="00C6674F">
        <w:rPr>
          <w:rFonts w:ascii="Times New Roman" w:hAnsi="Times New Roman"/>
          <w:noProof w:val="0"/>
        </w:rPr>
        <w:t xml:space="preserve"> </w:t>
      </w:r>
      <w:r w:rsidRPr="00C6674F">
        <w:rPr>
          <w:rFonts w:ascii="Times New Roman" w:hAnsi="Times New Roman"/>
          <w:b/>
          <w:bCs/>
          <w:noProof w:val="0"/>
        </w:rPr>
        <w:t>2012</w:t>
      </w:r>
      <w:r w:rsidRPr="00C6674F">
        <w:rPr>
          <w:rFonts w:ascii="Times New Roman" w:hAnsi="Times New Roman"/>
          <w:noProof w:val="0"/>
        </w:rPr>
        <w:t xml:space="preserve">, </w:t>
      </w:r>
      <w:r w:rsidRPr="00C6674F">
        <w:rPr>
          <w:rFonts w:ascii="Times New Roman" w:hAnsi="Times New Roman"/>
          <w:i/>
          <w:iCs/>
          <w:noProof w:val="0"/>
        </w:rPr>
        <w:t>9</w:t>
      </w:r>
      <w:r w:rsidRPr="00C6674F">
        <w:rPr>
          <w:rFonts w:ascii="Times New Roman" w:hAnsi="Times New Roman"/>
          <w:noProof w:val="0"/>
        </w:rPr>
        <w:t xml:space="preserve"> (7), 676–682. https://doi.org/10.1038/nmeth.2019.</w:t>
      </w:r>
    </w:p>
    <w:p w14:paraId="09330A59"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(14) </w:t>
      </w:r>
      <w:r w:rsidRPr="00C6674F">
        <w:rPr>
          <w:rFonts w:ascii="Times New Roman" w:hAnsi="Times New Roman"/>
          <w:noProof w:val="0"/>
        </w:rPr>
        <w:tab/>
        <w:t xml:space="preserve">Arganda-Carreras, I.; Kaynig, V.; Rueden, C.; Eliceiri, K. W.; Schindelin, J.; Cardona, A.; Sebastian Seung, H. Trainable Weka Segmentation: A Machine Learning Tool for Microscopy Pixel Classification. </w:t>
      </w:r>
      <w:r w:rsidRPr="00C6674F">
        <w:rPr>
          <w:rFonts w:ascii="Times New Roman" w:hAnsi="Times New Roman"/>
          <w:i/>
          <w:iCs/>
          <w:noProof w:val="0"/>
        </w:rPr>
        <w:t>Bioinformatics</w:t>
      </w:r>
      <w:r w:rsidRPr="00C6674F">
        <w:rPr>
          <w:rFonts w:ascii="Times New Roman" w:hAnsi="Times New Roman"/>
          <w:noProof w:val="0"/>
        </w:rPr>
        <w:t xml:space="preserve"> </w:t>
      </w:r>
      <w:r w:rsidRPr="00C6674F">
        <w:rPr>
          <w:rFonts w:ascii="Times New Roman" w:hAnsi="Times New Roman"/>
          <w:b/>
          <w:bCs/>
          <w:noProof w:val="0"/>
        </w:rPr>
        <w:t>2017</w:t>
      </w:r>
      <w:r w:rsidRPr="00C6674F">
        <w:rPr>
          <w:rFonts w:ascii="Times New Roman" w:hAnsi="Times New Roman"/>
          <w:noProof w:val="0"/>
        </w:rPr>
        <w:t xml:space="preserve">, </w:t>
      </w:r>
      <w:r w:rsidRPr="00C6674F">
        <w:rPr>
          <w:rFonts w:ascii="Times New Roman" w:hAnsi="Times New Roman"/>
          <w:i/>
          <w:iCs/>
          <w:noProof w:val="0"/>
        </w:rPr>
        <w:t>33</w:t>
      </w:r>
      <w:r w:rsidRPr="00C6674F">
        <w:rPr>
          <w:rFonts w:ascii="Times New Roman" w:hAnsi="Times New Roman"/>
          <w:noProof w:val="0"/>
        </w:rPr>
        <w:t xml:space="preserve"> (15), 2424–2426. https://doi.org/10.1093/bioinformatics/btx180.</w:t>
      </w:r>
    </w:p>
    <w:p w14:paraId="0620B028"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(15) </w:t>
      </w:r>
      <w:r w:rsidRPr="00C6674F">
        <w:rPr>
          <w:rFonts w:ascii="Times New Roman" w:hAnsi="Times New Roman"/>
          <w:noProof w:val="0"/>
        </w:rPr>
        <w:tab/>
        <w:t xml:space="preserve">Ghosh, S. K.; Alam, M. M.; Mandal, D. The in Situ Formation of Platinum Nanoparticles and Their Catalytic Role in Electroactive Phase Formation in Poly(Vinylidene Fluoride): A Simple Preparation of Multifunctional Poly(Vinylidene Fluoride) Films Doped with Platinum Nanoparticles. </w:t>
      </w:r>
      <w:r w:rsidRPr="00C6674F">
        <w:rPr>
          <w:rFonts w:ascii="Times New Roman" w:hAnsi="Times New Roman"/>
          <w:i/>
          <w:iCs/>
          <w:noProof w:val="0"/>
        </w:rPr>
        <w:t>RSC Adv.</w:t>
      </w:r>
      <w:r w:rsidRPr="00C6674F">
        <w:rPr>
          <w:rFonts w:ascii="Times New Roman" w:hAnsi="Times New Roman"/>
          <w:noProof w:val="0"/>
        </w:rPr>
        <w:t xml:space="preserve"> </w:t>
      </w:r>
      <w:r w:rsidRPr="00C6674F">
        <w:rPr>
          <w:rFonts w:ascii="Times New Roman" w:hAnsi="Times New Roman"/>
          <w:b/>
          <w:bCs/>
          <w:noProof w:val="0"/>
        </w:rPr>
        <w:t>2014</w:t>
      </w:r>
      <w:r w:rsidRPr="00C6674F">
        <w:rPr>
          <w:rFonts w:ascii="Times New Roman" w:hAnsi="Times New Roman"/>
          <w:noProof w:val="0"/>
        </w:rPr>
        <w:t xml:space="preserve">, </w:t>
      </w:r>
      <w:r w:rsidRPr="00C6674F">
        <w:rPr>
          <w:rFonts w:ascii="Times New Roman" w:hAnsi="Times New Roman"/>
          <w:i/>
          <w:iCs/>
          <w:noProof w:val="0"/>
        </w:rPr>
        <w:t>4</w:t>
      </w:r>
      <w:r w:rsidRPr="00C6674F">
        <w:rPr>
          <w:rFonts w:ascii="Times New Roman" w:hAnsi="Times New Roman"/>
          <w:noProof w:val="0"/>
        </w:rPr>
        <w:t xml:space="preserve"> (79), 41886–41894. https://doi.org/10.1039/C4RA06334A.</w:t>
      </w:r>
    </w:p>
    <w:p w14:paraId="2F12AE5F"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(16) </w:t>
      </w:r>
      <w:r w:rsidRPr="00C6674F">
        <w:rPr>
          <w:rFonts w:ascii="Times New Roman" w:hAnsi="Times New Roman"/>
          <w:noProof w:val="0"/>
        </w:rPr>
        <w:tab/>
        <w:t xml:space="preserve">Ramasundaram, S.; Yoon, S.; Kim, K. J.; Park, C. Preferential Formation of Electroactive Crystalline Phases in Poly(Vinylidene Fluoride)/Organically Modified Silicate Nanocomposites. </w:t>
      </w:r>
      <w:r w:rsidRPr="00C6674F">
        <w:rPr>
          <w:rFonts w:ascii="Times New Roman" w:hAnsi="Times New Roman"/>
          <w:i/>
          <w:iCs/>
          <w:noProof w:val="0"/>
        </w:rPr>
        <w:t>Journal of Polymer Science Part B: Polymer Physics</w:t>
      </w:r>
      <w:r w:rsidRPr="00C6674F">
        <w:rPr>
          <w:rFonts w:ascii="Times New Roman" w:hAnsi="Times New Roman"/>
          <w:noProof w:val="0"/>
        </w:rPr>
        <w:t xml:space="preserve"> </w:t>
      </w:r>
      <w:r w:rsidRPr="00C6674F">
        <w:rPr>
          <w:rFonts w:ascii="Times New Roman" w:hAnsi="Times New Roman"/>
          <w:b/>
          <w:bCs/>
          <w:noProof w:val="0"/>
        </w:rPr>
        <w:t>2008</w:t>
      </w:r>
      <w:r w:rsidRPr="00C6674F">
        <w:rPr>
          <w:rFonts w:ascii="Times New Roman" w:hAnsi="Times New Roman"/>
          <w:noProof w:val="0"/>
        </w:rPr>
        <w:t xml:space="preserve">, </w:t>
      </w:r>
      <w:r w:rsidRPr="00C6674F">
        <w:rPr>
          <w:rFonts w:ascii="Times New Roman" w:hAnsi="Times New Roman"/>
          <w:i/>
          <w:iCs/>
          <w:noProof w:val="0"/>
        </w:rPr>
        <w:t>46</w:t>
      </w:r>
      <w:r w:rsidRPr="00C6674F">
        <w:rPr>
          <w:rFonts w:ascii="Times New Roman" w:hAnsi="Times New Roman"/>
          <w:noProof w:val="0"/>
        </w:rPr>
        <w:t xml:space="preserve"> (20), 2173–2187. https://doi.org/10.1002/polb.21550.</w:t>
      </w:r>
    </w:p>
    <w:p w14:paraId="7AB8430E"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(17) </w:t>
      </w:r>
      <w:r w:rsidRPr="00C6674F">
        <w:rPr>
          <w:rFonts w:ascii="Times New Roman" w:hAnsi="Times New Roman"/>
          <w:noProof w:val="0"/>
        </w:rPr>
        <w:tab/>
        <w:t xml:space="preserve">Gregorio, R., Jr.; Cestari, M. Effect of Crystallization Temperature on the Crystalline Phase Content and Morphology of Poly(Vinylidene Fluoride). </w:t>
      </w:r>
      <w:r w:rsidRPr="00C6674F">
        <w:rPr>
          <w:rFonts w:ascii="Times New Roman" w:hAnsi="Times New Roman"/>
          <w:i/>
          <w:iCs/>
          <w:noProof w:val="0"/>
        </w:rPr>
        <w:t>Journal of Polymer Science Part B: Polymer Physics</w:t>
      </w:r>
      <w:r w:rsidRPr="00C6674F">
        <w:rPr>
          <w:rFonts w:ascii="Times New Roman" w:hAnsi="Times New Roman"/>
          <w:noProof w:val="0"/>
        </w:rPr>
        <w:t xml:space="preserve"> </w:t>
      </w:r>
      <w:r w:rsidRPr="00C6674F">
        <w:rPr>
          <w:rFonts w:ascii="Times New Roman" w:hAnsi="Times New Roman"/>
          <w:b/>
          <w:bCs/>
          <w:noProof w:val="0"/>
        </w:rPr>
        <w:t>1994</w:t>
      </w:r>
      <w:r w:rsidRPr="00C6674F">
        <w:rPr>
          <w:rFonts w:ascii="Times New Roman" w:hAnsi="Times New Roman"/>
          <w:noProof w:val="0"/>
        </w:rPr>
        <w:t xml:space="preserve">, </w:t>
      </w:r>
      <w:r w:rsidRPr="00C6674F">
        <w:rPr>
          <w:rFonts w:ascii="Times New Roman" w:hAnsi="Times New Roman"/>
          <w:i/>
          <w:iCs/>
          <w:noProof w:val="0"/>
        </w:rPr>
        <w:t>32</w:t>
      </w:r>
      <w:r w:rsidRPr="00C6674F">
        <w:rPr>
          <w:rFonts w:ascii="Times New Roman" w:hAnsi="Times New Roman"/>
          <w:noProof w:val="0"/>
        </w:rPr>
        <w:t xml:space="preserve"> (5), 859–870. https://doi.org/10.1002/polb.1994.090320509.</w:t>
      </w:r>
    </w:p>
    <w:p w14:paraId="09F17A68"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(18) </w:t>
      </w:r>
      <w:r w:rsidRPr="00C6674F">
        <w:rPr>
          <w:rFonts w:ascii="Times New Roman" w:hAnsi="Times New Roman"/>
          <w:noProof w:val="0"/>
        </w:rPr>
        <w:tab/>
        <w:t xml:space="preserve">Peng, G.; Zhao, X.; Zhan, Z.; Ci, S.; Wang, Q.; Liang, Y.; Zhao, M. New Crystal Structure and Discharge Efficiency of Poly(Vinylidene Fluoride-Hexafluoropropylene)/Poly(Methyl Methacrylate) Blend Films. </w:t>
      </w:r>
      <w:r w:rsidRPr="00C6674F">
        <w:rPr>
          <w:rFonts w:ascii="Times New Roman" w:hAnsi="Times New Roman"/>
          <w:i/>
          <w:iCs/>
          <w:noProof w:val="0"/>
        </w:rPr>
        <w:t>RSC Adv.</w:t>
      </w:r>
      <w:r w:rsidRPr="00C6674F">
        <w:rPr>
          <w:rFonts w:ascii="Times New Roman" w:hAnsi="Times New Roman"/>
          <w:noProof w:val="0"/>
        </w:rPr>
        <w:t xml:space="preserve"> </w:t>
      </w:r>
      <w:r w:rsidRPr="00C6674F">
        <w:rPr>
          <w:rFonts w:ascii="Times New Roman" w:hAnsi="Times New Roman"/>
          <w:b/>
          <w:bCs/>
          <w:noProof w:val="0"/>
        </w:rPr>
        <w:t>2014</w:t>
      </w:r>
      <w:r w:rsidRPr="00C6674F">
        <w:rPr>
          <w:rFonts w:ascii="Times New Roman" w:hAnsi="Times New Roman"/>
          <w:noProof w:val="0"/>
        </w:rPr>
        <w:t xml:space="preserve">, </w:t>
      </w:r>
      <w:r w:rsidRPr="00C6674F">
        <w:rPr>
          <w:rFonts w:ascii="Times New Roman" w:hAnsi="Times New Roman"/>
          <w:i/>
          <w:iCs/>
          <w:noProof w:val="0"/>
        </w:rPr>
        <w:t>4</w:t>
      </w:r>
      <w:r w:rsidRPr="00C6674F">
        <w:rPr>
          <w:rFonts w:ascii="Times New Roman" w:hAnsi="Times New Roman"/>
          <w:noProof w:val="0"/>
        </w:rPr>
        <w:t xml:space="preserve"> (32), 16849–16854. https://doi.org/10.1039/C3RA47462C.</w:t>
      </w:r>
    </w:p>
    <w:p w14:paraId="0FF1A740"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(19) </w:t>
      </w:r>
      <w:r w:rsidRPr="00C6674F">
        <w:rPr>
          <w:rFonts w:ascii="Times New Roman" w:hAnsi="Times New Roman"/>
          <w:noProof w:val="0"/>
        </w:rPr>
        <w:tab/>
        <w:t xml:space="preserve">Li, Y.; Hu, J.; He, J.; Gao, L. The Graphene Oxide Polymer Composites with High Breakdown Field Strength and Energy Storage Ability. In </w:t>
      </w:r>
      <w:r w:rsidRPr="00C6674F">
        <w:rPr>
          <w:rFonts w:ascii="Times New Roman" w:hAnsi="Times New Roman"/>
          <w:i/>
          <w:iCs/>
          <w:noProof w:val="0"/>
        </w:rPr>
        <w:t>The Graphene Oxide Polymer Composites with High Breakdown Field Strength and Energy Storage Ability | SpringerLink</w:t>
      </w:r>
      <w:r w:rsidRPr="00C6674F">
        <w:rPr>
          <w:rFonts w:ascii="Times New Roman" w:hAnsi="Times New Roman"/>
          <w:noProof w:val="0"/>
        </w:rPr>
        <w:t>; Springer, Cham: Turkey, 2013; Vol. 1, pp 431–438.</w:t>
      </w:r>
    </w:p>
    <w:p w14:paraId="44A9EFF5"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(20) </w:t>
      </w:r>
      <w:r w:rsidRPr="00C6674F">
        <w:rPr>
          <w:rFonts w:ascii="Times New Roman" w:hAnsi="Times New Roman"/>
          <w:noProof w:val="0"/>
        </w:rPr>
        <w:tab/>
        <w:t xml:space="preserve">Feng, Y.; Li, W. L.; Hou, Y. F.; Yu, Y.; Cao, W. P.; Zhang, T. D.; Fei, W. D. Enhanced Dielectric Properties of PVDF-HFP/BaTiO3-Nanowire Composites Induced by Interfacial Polarization and Wire-Shape. </w:t>
      </w:r>
      <w:r w:rsidRPr="00C6674F">
        <w:rPr>
          <w:rFonts w:ascii="Times New Roman" w:hAnsi="Times New Roman"/>
          <w:i/>
          <w:iCs/>
          <w:noProof w:val="0"/>
        </w:rPr>
        <w:t>J. Mater. Chem. C</w:t>
      </w:r>
      <w:r w:rsidRPr="00C6674F">
        <w:rPr>
          <w:rFonts w:ascii="Times New Roman" w:hAnsi="Times New Roman"/>
          <w:noProof w:val="0"/>
        </w:rPr>
        <w:t xml:space="preserve"> </w:t>
      </w:r>
      <w:r w:rsidRPr="00C6674F">
        <w:rPr>
          <w:rFonts w:ascii="Times New Roman" w:hAnsi="Times New Roman"/>
          <w:b/>
          <w:bCs/>
          <w:noProof w:val="0"/>
        </w:rPr>
        <w:t>2015</w:t>
      </w:r>
      <w:r w:rsidRPr="00C6674F">
        <w:rPr>
          <w:rFonts w:ascii="Times New Roman" w:hAnsi="Times New Roman"/>
          <w:noProof w:val="0"/>
        </w:rPr>
        <w:t xml:space="preserve">, </w:t>
      </w:r>
      <w:r w:rsidRPr="00C6674F">
        <w:rPr>
          <w:rFonts w:ascii="Times New Roman" w:hAnsi="Times New Roman"/>
          <w:i/>
          <w:iCs/>
          <w:noProof w:val="0"/>
        </w:rPr>
        <w:t>3</w:t>
      </w:r>
      <w:r w:rsidRPr="00C6674F">
        <w:rPr>
          <w:rFonts w:ascii="Times New Roman" w:hAnsi="Times New Roman"/>
          <w:noProof w:val="0"/>
        </w:rPr>
        <w:t xml:space="preserve"> (6), 1250–1260. https://doi.org/10.1039/C4TC02183E.</w:t>
      </w:r>
    </w:p>
    <w:p w14:paraId="46675C33"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(21) </w:t>
      </w:r>
      <w:r w:rsidRPr="00C6674F">
        <w:rPr>
          <w:rFonts w:ascii="Times New Roman" w:hAnsi="Times New Roman"/>
          <w:noProof w:val="0"/>
        </w:rPr>
        <w:tab/>
        <w:t xml:space="preserve">Salimi, A.; Yousefi, A. A. Analysis Method: FTIR Studies of β-Phase Crystal Formation in Stretched PVDF Films. </w:t>
      </w:r>
      <w:r w:rsidRPr="00C6674F">
        <w:rPr>
          <w:rFonts w:ascii="Times New Roman" w:hAnsi="Times New Roman"/>
          <w:i/>
          <w:iCs/>
          <w:noProof w:val="0"/>
        </w:rPr>
        <w:t>Polymer Testing</w:t>
      </w:r>
      <w:r w:rsidRPr="00C6674F">
        <w:rPr>
          <w:rFonts w:ascii="Times New Roman" w:hAnsi="Times New Roman"/>
          <w:noProof w:val="0"/>
        </w:rPr>
        <w:t xml:space="preserve"> </w:t>
      </w:r>
      <w:r w:rsidRPr="00C6674F">
        <w:rPr>
          <w:rFonts w:ascii="Times New Roman" w:hAnsi="Times New Roman"/>
          <w:b/>
          <w:bCs/>
          <w:noProof w:val="0"/>
        </w:rPr>
        <w:t>2003</w:t>
      </w:r>
      <w:r w:rsidRPr="00C6674F">
        <w:rPr>
          <w:rFonts w:ascii="Times New Roman" w:hAnsi="Times New Roman"/>
          <w:noProof w:val="0"/>
        </w:rPr>
        <w:t xml:space="preserve">, </w:t>
      </w:r>
      <w:r w:rsidRPr="00C6674F">
        <w:rPr>
          <w:rFonts w:ascii="Times New Roman" w:hAnsi="Times New Roman"/>
          <w:i/>
          <w:iCs/>
          <w:noProof w:val="0"/>
        </w:rPr>
        <w:t>22</w:t>
      </w:r>
      <w:r w:rsidRPr="00C6674F">
        <w:rPr>
          <w:rFonts w:ascii="Times New Roman" w:hAnsi="Times New Roman"/>
          <w:noProof w:val="0"/>
        </w:rPr>
        <w:t xml:space="preserve"> (6), 699–704. https://doi.org/10.1016/S0142-9418(03)00003-5.</w:t>
      </w:r>
    </w:p>
    <w:p w14:paraId="0648F456"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(22) </w:t>
      </w:r>
      <w:r w:rsidRPr="00C6674F">
        <w:rPr>
          <w:rFonts w:ascii="Times New Roman" w:hAnsi="Times New Roman"/>
          <w:noProof w:val="0"/>
        </w:rPr>
        <w:tab/>
        <w:t xml:space="preserve">Li, J.; Wang, H.; Li, S. Thermal Stability and Flame Retardancy of an Epoxy Resin Modified with Phosphoric Triamide and Glycidyl POSS. </w:t>
      </w:r>
      <w:r w:rsidRPr="00C6674F">
        <w:rPr>
          <w:rFonts w:ascii="Times New Roman" w:hAnsi="Times New Roman"/>
          <w:i/>
          <w:iCs/>
          <w:noProof w:val="0"/>
        </w:rPr>
        <w:t>High Performance Polymers</w:t>
      </w:r>
      <w:r w:rsidRPr="00C6674F">
        <w:rPr>
          <w:rFonts w:ascii="Times New Roman" w:hAnsi="Times New Roman"/>
          <w:noProof w:val="0"/>
        </w:rPr>
        <w:t xml:space="preserve"> </w:t>
      </w:r>
      <w:r w:rsidRPr="00C6674F">
        <w:rPr>
          <w:rFonts w:ascii="Times New Roman" w:hAnsi="Times New Roman"/>
          <w:b/>
          <w:bCs/>
          <w:noProof w:val="0"/>
        </w:rPr>
        <w:t>2019</w:t>
      </w:r>
      <w:r w:rsidRPr="00C6674F">
        <w:rPr>
          <w:rFonts w:ascii="Times New Roman" w:hAnsi="Times New Roman"/>
          <w:noProof w:val="0"/>
        </w:rPr>
        <w:t xml:space="preserve">, </w:t>
      </w:r>
      <w:r w:rsidRPr="00C6674F">
        <w:rPr>
          <w:rFonts w:ascii="Times New Roman" w:hAnsi="Times New Roman"/>
          <w:i/>
          <w:iCs/>
          <w:noProof w:val="0"/>
        </w:rPr>
        <w:t>31</w:t>
      </w:r>
      <w:r w:rsidRPr="00C6674F">
        <w:rPr>
          <w:rFonts w:ascii="Times New Roman" w:hAnsi="Times New Roman"/>
          <w:noProof w:val="0"/>
        </w:rPr>
        <w:t xml:space="preserve"> (9–10), 1217–1225. https://doi.org/10.1177/0954008319843979.</w:t>
      </w:r>
    </w:p>
    <w:p w14:paraId="37D2389F"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(23) </w:t>
      </w:r>
      <w:r w:rsidRPr="00C6674F">
        <w:rPr>
          <w:rFonts w:ascii="Times New Roman" w:hAnsi="Times New Roman"/>
          <w:noProof w:val="0"/>
        </w:rPr>
        <w:tab/>
        <w:t xml:space="preserve">Dias, J. C.; Correia, D. M.; Costa, C. M.; Ribeiro, C.; Maceiras, A.; Vilas, J. L.; Botelho, G.; de Zea Bermudez, V.; Lanceros-Mendez, S. Improved Response of Ionic Liquid-Based Bending Actuators by Tailored Interaction with the Polar Fluorinated Polymer Matrix. </w:t>
      </w:r>
      <w:r w:rsidRPr="00C6674F">
        <w:rPr>
          <w:rFonts w:ascii="Times New Roman" w:hAnsi="Times New Roman"/>
          <w:i/>
          <w:iCs/>
          <w:noProof w:val="0"/>
        </w:rPr>
        <w:t>Electrochimica Acta</w:t>
      </w:r>
      <w:r w:rsidRPr="00C6674F">
        <w:rPr>
          <w:rFonts w:ascii="Times New Roman" w:hAnsi="Times New Roman"/>
          <w:noProof w:val="0"/>
        </w:rPr>
        <w:t xml:space="preserve"> </w:t>
      </w:r>
      <w:r w:rsidRPr="00C6674F">
        <w:rPr>
          <w:rFonts w:ascii="Times New Roman" w:hAnsi="Times New Roman"/>
          <w:b/>
          <w:bCs/>
          <w:noProof w:val="0"/>
        </w:rPr>
        <w:t>2019</w:t>
      </w:r>
      <w:r w:rsidRPr="00C6674F">
        <w:rPr>
          <w:rFonts w:ascii="Times New Roman" w:hAnsi="Times New Roman"/>
          <w:noProof w:val="0"/>
        </w:rPr>
        <w:t xml:space="preserve">, </w:t>
      </w:r>
      <w:r w:rsidRPr="00C6674F">
        <w:rPr>
          <w:rFonts w:ascii="Times New Roman" w:hAnsi="Times New Roman"/>
          <w:i/>
          <w:iCs/>
          <w:noProof w:val="0"/>
        </w:rPr>
        <w:t>296</w:t>
      </w:r>
      <w:r w:rsidRPr="00C6674F">
        <w:rPr>
          <w:rFonts w:ascii="Times New Roman" w:hAnsi="Times New Roman"/>
          <w:noProof w:val="0"/>
        </w:rPr>
        <w:t>, 598–607. https://doi.org/10.1016/j.electacta.2018.11.049.</w:t>
      </w:r>
    </w:p>
    <w:p w14:paraId="16D2FA24"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(24) </w:t>
      </w:r>
      <w:r w:rsidRPr="00C6674F">
        <w:rPr>
          <w:rFonts w:ascii="Times New Roman" w:hAnsi="Times New Roman"/>
          <w:noProof w:val="0"/>
        </w:rPr>
        <w:tab/>
        <w:t xml:space="preserve">Hu, Y.; Xu, P.; Gui, H.; Yang, S.; Ding, Y. Effect of Graphene Modified by a Long Alkyl Chain Ionic Liquid on Crystallization Kinetics Behavior of Poly(Vinylidene Fluoride). </w:t>
      </w:r>
      <w:r w:rsidRPr="00C6674F">
        <w:rPr>
          <w:rFonts w:ascii="Times New Roman" w:hAnsi="Times New Roman"/>
          <w:i/>
          <w:iCs/>
          <w:noProof w:val="0"/>
        </w:rPr>
        <w:t>RSC Adv.</w:t>
      </w:r>
      <w:r w:rsidRPr="00C6674F">
        <w:rPr>
          <w:rFonts w:ascii="Times New Roman" w:hAnsi="Times New Roman"/>
          <w:noProof w:val="0"/>
        </w:rPr>
        <w:t xml:space="preserve"> </w:t>
      </w:r>
      <w:r w:rsidRPr="00C6674F">
        <w:rPr>
          <w:rFonts w:ascii="Times New Roman" w:hAnsi="Times New Roman"/>
          <w:b/>
          <w:bCs/>
          <w:noProof w:val="0"/>
        </w:rPr>
        <w:t>2015</w:t>
      </w:r>
      <w:r w:rsidRPr="00C6674F">
        <w:rPr>
          <w:rFonts w:ascii="Times New Roman" w:hAnsi="Times New Roman"/>
          <w:noProof w:val="0"/>
        </w:rPr>
        <w:t xml:space="preserve">, </w:t>
      </w:r>
      <w:r w:rsidRPr="00C6674F">
        <w:rPr>
          <w:rFonts w:ascii="Times New Roman" w:hAnsi="Times New Roman"/>
          <w:i/>
          <w:iCs/>
          <w:noProof w:val="0"/>
        </w:rPr>
        <w:t>5</w:t>
      </w:r>
      <w:r w:rsidRPr="00C6674F">
        <w:rPr>
          <w:rFonts w:ascii="Times New Roman" w:hAnsi="Times New Roman"/>
          <w:noProof w:val="0"/>
        </w:rPr>
        <w:t xml:space="preserve"> (112), 92418–92427. https://doi.org/10.1039/C5RA17169E.</w:t>
      </w:r>
    </w:p>
    <w:p w14:paraId="36D2EA68"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(25) </w:t>
      </w:r>
      <w:r w:rsidRPr="00C6674F">
        <w:rPr>
          <w:rFonts w:ascii="Times New Roman" w:hAnsi="Times New Roman"/>
          <w:noProof w:val="0"/>
        </w:rPr>
        <w:tab/>
        <w:t xml:space="preserve">Guo, H.; Zhang, Y.; Xue, F.; Cai, Z.; Shang, Y.; Li, J.; Chen, Y.; Wu, Z.; Jiang, S. In-Situ Synchrotron SAXS and WAXS Investigations on Deformation and α–β Transformation of Uniaxial Stretched Poly(Vinylidene Fluoride). </w:t>
      </w:r>
      <w:r w:rsidRPr="00C6674F">
        <w:rPr>
          <w:rFonts w:ascii="Times New Roman" w:hAnsi="Times New Roman"/>
          <w:i/>
          <w:iCs/>
          <w:noProof w:val="0"/>
        </w:rPr>
        <w:t>CrystEngComm</w:t>
      </w:r>
      <w:r w:rsidRPr="00C6674F">
        <w:rPr>
          <w:rFonts w:ascii="Times New Roman" w:hAnsi="Times New Roman"/>
          <w:noProof w:val="0"/>
        </w:rPr>
        <w:t xml:space="preserve"> </w:t>
      </w:r>
      <w:r w:rsidRPr="00C6674F">
        <w:rPr>
          <w:rFonts w:ascii="Times New Roman" w:hAnsi="Times New Roman"/>
          <w:b/>
          <w:bCs/>
          <w:noProof w:val="0"/>
        </w:rPr>
        <w:t>2013</w:t>
      </w:r>
      <w:r w:rsidRPr="00C6674F">
        <w:rPr>
          <w:rFonts w:ascii="Times New Roman" w:hAnsi="Times New Roman"/>
          <w:noProof w:val="0"/>
        </w:rPr>
        <w:t xml:space="preserve">, </w:t>
      </w:r>
      <w:r w:rsidRPr="00C6674F">
        <w:rPr>
          <w:rFonts w:ascii="Times New Roman" w:hAnsi="Times New Roman"/>
          <w:i/>
          <w:iCs/>
          <w:noProof w:val="0"/>
        </w:rPr>
        <w:t>15</w:t>
      </w:r>
      <w:r w:rsidRPr="00C6674F">
        <w:rPr>
          <w:rFonts w:ascii="Times New Roman" w:hAnsi="Times New Roman"/>
          <w:noProof w:val="0"/>
        </w:rPr>
        <w:t xml:space="preserve"> (8), 1597–1606. https://doi.org/10.1039/C2CE26578H.</w:t>
      </w:r>
    </w:p>
    <w:p w14:paraId="54775B84"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(26) </w:t>
      </w:r>
      <w:r w:rsidRPr="00C6674F">
        <w:rPr>
          <w:rFonts w:ascii="Times New Roman" w:hAnsi="Times New Roman"/>
          <w:noProof w:val="0"/>
        </w:rPr>
        <w:tab/>
        <w:t xml:space="preserve">Bidsorkhi, H. C.; D’Aloia, A. G.; De Bellis, G.; Proietti, A.; Rinaldi, A.; Fortunato, M.; Ballirano, P.; Bracciale, M. P.; Santarelli, M. L.; Sarto, M. S. Nucleation Effect of Unmodified Graphene Nanoplatelets on PVDF/GNP Film Composites. </w:t>
      </w:r>
      <w:r w:rsidRPr="00C6674F">
        <w:rPr>
          <w:rFonts w:ascii="Times New Roman" w:hAnsi="Times New Roman"/>
          <w:i/>
          <w:iCs/>
          <w:noProof w:val="0"/>
        </w:rPr>
        <w:t>Materials Today Communications</w:t>
      </w:r>
      <w:r w:rsidRPr="00C6674F">
        <w:rPr>
          <w:rFonts w:ascii="Times New Roman" w:hAnsi="Times New Roman"/>
          <w:noProof w:val="0"/>
        </w:rPr>
        <w:t xml:space="preserve"> </w:t>
      </w:r>
      <w:r w:rsidRPr="00C6674F">
        <w:rPr>
          <w:rFonts w:ascii="Times New Roman" w:hAnsi="Times New Roman"/>
          <w:b/>
          <w:bCs/>
          <w:noProof w:val="0"/>
        </w:rPr>
        <w:t>2017</w:t>
      </w:r>
      <w:r w:rsidRPr="00C6674F">
        <w:rPr>
          <w:rFonts w:ascii="Times New Roman" w:hAnsi="Times New Roman"/>
          <w:noProof w:val="0"/>
        </w:rPr>
        <w:t xml:space="preserve">, </w:t>
      </w:r>
      <w:r w:rsidRPr="00C6674F">
        <w:rPr>
          <w:rFonts w:ascii="Times New Roman" w:hAnsi="Times New Roman"/>
          <w:i/>
          <w:iCs/>
          <w:noProof w:val="0"/>
        </w:rPr>
        <w:t>11</w:t>
      </w:r>
      <w:r w:rsidRPr="00C6674F">
        <w:rPr>
          <w:rFonts w:ascii="Times New Roman" w:hAnsi="Times New Roman"/>
          <w:noProof w:val="0"/>
        </w:rPr>
        <w:t>, 163–173. https://doi.org/10.1016/j.mtcomm.2017.04.001.</w:t>
      </w:r>
    </w:p>
    <w:p w14:paraId="01FEB897"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lastRenderedPageBreak/>
        <w:t xml:space="preserve">(27) </w:t>
      </w:r>
      <w:r w:rsidRPr="00C6674F">
        <w:rPr>
          <w:rFonts w:ascii="Times New Roman" w:hAnsi="Times New Roman"/>
          <w:noProof w:val="0"/>
        </w:rPr>
        <w:tab/>
        <w:t xml:space="preserve">Rowe, M. C.; Brewer, B. J. AMORPH: A Statistical Program for Characterizing Amorphous Materials by X-Ray Diffraction. </w:t>
      </w:r>
      <w:r w:rsidRPr="00C6674F">
        <w:rPr>
          <w:rFonts w:ascii="Times New Roman" w:hAnsi="Times New Roman"/>
          <w:i/>
          <w:iCs/>
          <w:noProof w:val="0"/>
        </w:rPr>
        <w:t>Computers &amp; Geosciences</w:t>
      </w:r>
      <w:r w:rsidRPr="00C6674F">
        <w:rPr>
          <w:rFonts w:ascii="Times New Roman" w:hAnsi="Times New Roman"/>
          <w:noProof w:val="0"/>
        </w:rPr>
        <w:t xml:space="preserve"> </w:t>
      </w:r>
      <w:r w:rsidRPr="00C6674F">
        <w:rPr>
          <w:rFonts w:ascii="Times New Roman" w:hAnsi="Times New Roman"/>
          <w:b/>
          <w:bCs/>
          <w:noProof w:val="0"/>
        </w:rPr>
        <w:t>2018</w:t>
      </w:r>
      <w:r w:rsidRPr="00C6674F">
        <w:rPr>
          <w:rFonts w:ascii="Times New Roman" w:hAnsi="Times New Roman"/>
          <w:noProof w:val="0"/>
        </w:rPr>
        <w:t xml:space="preserve">, </w:t>
      </w:r>
      <w:r w:rsidRPr="00C6674F">
        <w:rPr>
          <w:rFonts w:ascii="Times New Roman" w:hAnsi="Times New Roman"/>
          <w:i/>
          <w:iCs/>
          <w:noProof w:val="0"/>
        </w:rPr>
        <w:t>120</w:t>
      </w:r>
      <w:r w:rsidRPr="00C6674F">
        <w:rPr>
          <w:rFonts w:ascii="Times New Roman" w:hAnsi="Times New Roman"/>
          <w:noProof w:val="0"/>
        </w:rPr>
        <w:t>, 21–31. https://doi.org/10.1016/j.cageo.2018.07.004.</w:t>
      </w:r>
    </w:p>
    <w:p w14:paraId="23FC1FF8"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(28) </w:t>
      </w:r>
      <w:r w:rsidRPr="00C6674F">
        <w:rPr>
          <w:rFonts w:ascii="Times New Roman" w:hAnsi="Times New Roman"/>
          <w:noProof w:val="0"/>
        </w:rPr>
        <w:tab/>
        <w:t xml:space="preserve">Esterly, D. M.; Love, B. J. Phase Transformation to β-Poly(Vinylidene Fluoride) by Milling. </w:t>
      </w:r>
      <w:r w:rsidRPr="00C6674F">
        <w:rPr>
          <w:rFonts w:ascii="Times New Roman" w:hAnsi="Times New Roman"/>
          <w:i/>
          <w:iCs/>
          <w:noProof w:val="0"/>
        </w:rPr>
        <w:t>Journal of Polymer Science Part B: Polymer Physics</w:t>
      </w:r>
      <w:r w:rsidRPr="00C6674F">
        <w:rPr>
          <w:rFonts w:ascii="Times New Roman" w:hAnsi="Times New Roman"/>
          <w:noProof w:val="0"/>
        </w:rPr>
        <w:t xml:space="preserve"> </w:t>
      </w:r>
      <w:r w:rsidRPr="00C6674F">
        <w:rPr>
          <w:rFonts w:ascii="Times New Roman" w:hAnsi="Times New Roman"/>
          <w:b/>
          <w:bCs/>
          <w:noProof w:val="0"/>
        </w:rPr>
        <w:t>2004</w:t>
      </w:r>
      <w:r w:rsidRPr="00C6674F">
        <w:rPr>
          <w:rFonts w:ascii="Times New Roman" w:hAnsi="Times New Roman"/>
          <w:noProof w:val="0"/>
        </w:rPr>
        <w:t xml:space="preserve">, </w:t>
      </w:r>
      <w:r w:rsidRPr="00C6674F">
        <w:rPr>
          <w:rFonts w:ascii="Times New Roman" w:hAnsi="Times New Roman"/>
          <w:i/>
          <w:iCs/>
          <w:noProof w:val="0"/>
        </w:rPr>
        <w:t>42</w:t>
      </w:r>
      <w:r w:rsidRPr="00C6674F">
        <w:rPr>
          <w:rFonts w:ascii="Times New Roman" w:hAnsi="Times New Roman"/>
          <w:noProof w:val="0"/>
        </w:rPr>
        <w:t xml:space="preserve"> (1), 91–97. https://doi.org/10.1002/polb.10613.</w:t>
      </w:r>
    </w:p>
    <w:p w14:paraId="1A633FE5"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(29) </w:t>
      </w:r>
      <w:r w:rsidRPr="00C6674F">
        <w:rPr>
          <w:rFonts w:ascii="Times New Roman" w:hAnsi="Times New Roman"/>
          <w:noProof w:val="0"/>
        </w:rPr>
        <w:tab/>
        <w:t xml:space="preserve">Cataldi, P.; Bayer, I. S.; Cingolani, R.; Marras, S.; Chellali, R.; Athanassiou, A. A Thermochromic Superhydrophobic Surface. </w:t>
      </w:r>
      <w:r w:rsidRPr="00C6674F">
        <w:rPr>
          <w:rFonts w:ascii="Times New Roman" w:hAnsi="Times New Roman"/>
          <w:i/>
          <w:iCs/>
          <w:noProof w:val="0"/>
        </w:rPr>
        <w:t>Sci Rep</w:t>
      </w:r>
      <w:r w:rsidRPr="00C6674F">
        <w:rPr>
          <w:rFonts w:ascii="Times New Roman" w:hAnsi="Times New Roman"/>
          <w:noProof w:val="0"/>
        </w:rPr>
        <w:t xml:space="preserve"> </w:t>
      </w:r>
      <w:r w:rsidRPr="00C6674F">
        <w:rPr>
          <w:rFonts w:ascii="Times New Roman" w:hAnsi="Times New Roman"/>
          <w:b/>
          <w:bCs/>
          <w:noProof w:val="0"/>
        </w:rPr>
        <w:t>2016</w:t>
      </w:r>
      <w:r w:rsidRPr="00C6674F">
        <w:rPr>
          <w:rFonts w:ascii="Times New Roman" w:hAnsi="Times New Roman"/>
          <w:noProof w:val="0"/>
        </w:rPr>
        <w:t xml:space="preserve">, </w:t>
      </w:r>
      <w:r w:rsidRPr="00C6674F">
        <w:rPr>
          <w:rFonts w:ascii="Times New Roman" w:hAnsi="Times New Roman"/>
          <w:i/>
          <w:iCs/>
          <w:noProof w:val="0"/>
        </w:rPr>
        <w:t>6</w:t>
      </w:r>
      <w:r w:rsidRPr="00C6674F">
        <w:rPr>
          <w:rFonts w:ascii="Times New Roman" w:hAnsi="Times New Roman"/>
          <w:noProof w:val="0"/>
        </w:rPr>
        <w:t xml:space="preserve"> (1), 27984. https://doi.org/10.1038/srep27984.</w:t>
      </w:r>
    </w:p>
    <w:p w14:paraId="6C96F3A7"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(30) </w:t>
      </w:r>
      <w:r w:rsidRPr="00C6674F">
        <w:rPr>
          <w:rFonts w:ascii="Times New Roman" w:hAnsi="Times New Roman"/>
          <w:noProof w:val="0"/>
        </w:rPr>
        <w:tab/>
        <w:t xml:space="preserve">Liu, X.; Liang, B.; Long, J. Preparation of Novel Thick Sheet Graphene and Its Effect on the Properties of Polyolefins with Different Crystallinities. </w:t>
      </w:r>
      <w:r w:rsidRPr="00C6674F">
        <w:rPr>
          <w:rFonts w:ascii="Times New Roman" w:hAnsi="Times New Roman"/>
          <w:i/>
          <w:iCs/>
          <w:noProof w:val="0"/>
        </w:rPr>
        <w:t>Polym. Bull.</w:t>
      </w:r>
      <w:r w:rsidRPr="00C6674F">
        <w:rPr>
          <w:rFonts w:ascii="Times New Roman" w:hAnsi="Times New Roman"/>
          <w:noProof w:val="0"/>
        </w:rPr>
        <w:t xml:space="preserve"> </w:t>
      </w:r>
      <w:r w:rsidRPr="00C6674F">
        <w:rPr>
          <w:rFonts w:ascii="Times New Roman" w:hAnsi="Times New Roman"/>
          <w:b/>
          <w:bCs/>
          <w:noProof w:val="0"/>
        </w:rPr>
        <w:t>2021</w:t>
      </w:r>
      <w:r w:rsidRPr="00C6674F">
        <w:rPr>
          <w:rFonts w:ascii="Times New Roman" w:hAnsi="Times New Roman"/>
          <w:noProof w:val="0"/>
        </w:rPr>
        <w:t>. https://doi.org/10.1007/s00289-021-03791-x.</w:t>
      </w:r>
    </w:p>
    <w:p w14:paraId="760E4819"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(31) </w:t>
      </w:r>
      <w:r w:rsidRPr="00C6674F">
        <w:rPr>
          <w:rFonts w:ascii="Times New Roman" w:hAnsi="Times New Roman"/>
          <w:noProof w:val="0"/>
        </w:rPr>
        <w:tab/>
        <w:t xml:space="preserve">Tripathi, M.; Bobade, S. M.; Kumar, A. Preparation of Polyvinylidene Fluoride-Co-Hexafluoropropylene-Based Polymer Gel Electrolyte and Its Performance Evaluation for Application in EDLCs. </w:t>
      </w:r>
      <w:r w:rsidRPr="00C6674F">
        <w:rPr>
          <w:rFonts w:ascii="Times New Roman" w:hAnsi="Times New Roman"/>
          <w:i/>
          <w:iCs/>
          <w:noProof w:val="0"/>
        </w:rPr>
        <w:t>Bull Mater Sci</w:t>
      </w:r>
      <w:r w:rsidRPr="00C6674F">
        <w:rPr>
          <w:rFonts w:ascii="Times New Roman" w:hAnsi="Times New Roman"/>
          <w:noProof w:val="0"/>
        </w:rPr>
        <w:t xml:space="preserve"> </w:t>
      </w:r>
      <w:r w:rsidRPr="00C6674F">
        <w:rPr>
          <w:rFonts w:ascii="Times New Roman" w:hAnsi="Times New Roman"/>
          <w:b/>
          <w:bCs/>
          <w:noProof w:val="0"/>
        </w:rPr>
        <w:t>2019</w:t>
      </w:r>
      <w:r w:rsidRPr="00C6674F">
        <w:rPr>
          <w:rFonts w:ascii="Times New Roman" w:hAnsi="Times New Roman"/>
          <w:noProof w:val="0"/>
        </w:rPr>
        <w:t xml:space="preserve">, </w:t>
      </w:r>
      <w:r w:rsidRPr="00C6674F">
        <w:rPr>
          <w:rFonts w:ascii="Times New Roman" w:hAnsi="Times New Roman"/>
          <w:i/>
          <w:iCs/>
          <w:noProof w:val="0"/>
        </w:rPr>
        <w:t>42</w:t>
      </w:r>
      <w:r w:rsidRPr="00C6674F">
        <w:rPr>
          <w:rFonts w:ascii="Times New Roman" w:hAnsi="Times New Roman"/>
          <w:noProof w:val="0"/>
        </w:rPr>
        <w:t xml:space="preserve"> (1), 27. https://doi.org/10.1007/s12034-018-1685-0.</w:t>
      </w:r>
    </w:p>
    <w:p w14:paraId="1CF0DFCB"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(32) </w:t>
      </w:r>
      <w:r w:rsidRPr="00C6674F">
        <w:rPr>
          <w:rFonts w:ascii="Times New Roman" w:hAnsi="Times New Roman"/>
          <w:noProof w:val="0"/>
        </w:rPr>
        <w:tab/>
        <w:t xml:space="preserve">Parangusan, H.; Ponnamma, D.; Al-Maadeed, M. A. A. Stretchable Electrospun PVDF-HFP/Co-ZnO Nanofibers as Piezoelectric Nanogenerators. </w:t>
      </w:r>
      <w:r w:rsidRPr="00C6674F">
        <w:rPr>
          <w:rFonts w:ascii="Times New Roman" w:hAnsi="Times New Roman"/>
          <w:i/>
          <w:iCs/>
          <w:noProof w:val="0"/>
        </w:rPr>
        <w:t>Sci Rep</w:t>
      </w:r>
      <w:r w:rsidRPr="00C6674F">
        <w:rPr>
          <w:rFonts w:ascii="Times New Roman" w:hAnsi="Times New Roman"/>
          <w:noProof w:val="0"/>
        </w:rPr>
        <w:t xml:space="preserve"> </w:t>
      </w:r>
      <w:r w:rsidRPr="00C6674F">
        <w:rPr>
          <w:rFonts w:ascii="Times New Roman" w:hAnsi="Times New Roman"/>
          <w:b/>
          <w:bCs/>
          <w:noProof w:val="0"/>
        </w:rPr>
        <w:t>2018</w:t>
      </w:r>
      <w:r w:rsidRPr="00C6674F">
        <w:rPr>
          <w:rFonts w:ascii="Times New Roman" w:hAnsi="Times New Roman"/>
          <w:noProof w:val="0"/>
        </w:rPr>
        <w:t xml:space="preserve">, </w:t>
      </w:r>
      <w:r w:rsidRPr="00C6674F">
        <w:rPr>
          <w:rFonts w:ascii="Times New Roman" w:hAnsi="Times New Roman"/>
          <w:i/>
          <w:iCs/>
          <w:noProof w:val="0"/>
        </w:rPr>
        <w:t>8</w:t>
      </w:r>
      <w:r w:rsidRPr="00C6674F">
        <w:rPr>
          <w:rFonts w:ascii="Times New Roman" w:hAnsi="Times New Roman"/>
          <w:noProof w:val="0"/>
        </w:rPr>
        <w:t xml:space="preserve"> (1), 754. https://doi.org/10.1038/s41598-017-19082-3.</w:t>
      </w:r>
    </w:p>
    <w:p w14:paraId="5FC63A33"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(33) </w:t>
      </w:r>
      <w:r w:rsidRPr="00C6674F">
        <w:rPr>
          <w:rFonts w:ascii="Times New Roman" w:hAnsi="Times New Roman"/>
          <w:noProof w:val="0"/>
        </w:rPr>
        <w:tab/>
        <w:t xml:space="preserve">Hayes, R.; Warr, G. G.; Atkin, R. Structure and Nanostructure in Ionic Liquids. </w:t>
      </w:r>
      <w:r w:rsidRPr="00C6674F">
        <w:rPr>
          <w:rFonts w:ascii="Times New Roman" w:hAnsi="Times New Roman"/>
          <w:i/>
          <w:iCs/>
          <w:noProof w:val="0"/>
        </w:rPr>
        <w:t>Chem. Rev.</w:t>
      </w:r>
      <w:r w:rsidRPr="00C6674F">
        <w:rPr>
          <w:rFonts w:ascii="Times New Roman" w:hAnsi="Times New Roman"/>
          <w:noProof w:val="0"/>
        </w:rPr>
        <w:t xml:space="preserve"> </w:t>
      </w:r>
      <w:r w:rsidRPr="00C6674F">
        <w:rPr>
          <w:rFonts w:ascii="Times New Roman" w:hAnsi="Times New Roman"/>
          <w:b/>
          <w:bCs/>
          <w:noProof w:val="0"/>
        </w:rPr>
        <w:t>2015</w:t>
      </w:r>
      <w:r w:rsidRPr="00C6674F">
        <w:rPr>
          <w:rFonts w:ascii="Times New Roman" w:hAnsi="Times New Roman"/>
          <w:noProof w:val="0"/>
        </w:rPr>
        <w:t xml:space="preserve">, </w:t>
      </w:r>
      <w:r w:rsidRPr="00C6674F">
        <w:rPr>
          <w:rFonts w:ascii="Times New Roman" w:hAnsi="Times New Roman"/>
          <w:i/>
          <w:iCs/>
          <w:noProof w:val="0"/>
        </w:rPr>
        <w:t>115</w:t>
      </w:r>
      <w:r w:rsidRPr="00C6674F">
        <w:rPr>
          <w:rFonts w:ascii="Times New Roman" w:hAnsi="Times New Roman"/>
          <w:noProof w:val="0"/>
        </w:rPr>
        <w:t xml:space="preserve"> (13), 6357–6426. https://doi.org/10.1021/cr500411q.</w:t>
      </w:r>
    </w:p>
    <w:p w14:paraId="52B38CFE"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(34) </w:t>
      </w:r>
      <w:r w:rsidRPr="00C6674F">
        <w:rPr>
          <w:rFonts w:ascii="Times New Roman" w:hAnsi="Times New Roman"/>
          <w:noProof w:val="0"/>
        </w:rPr>
        <w:tab/>
        <w:t xml:space="preserve">Thomas, E.; Parvathy, C.; Balachandran, N.; Bhuvaneswari, S.; Vijayalakshmi, K. P.; George, B. K. PVDF-Ionic Liquid Modified Clay Nanocomposites: Phase Changes and Shish-Kebab Structure. </w:t>
      </w:r>
      <w:r w:rsidRPr="00C6674F">
        <w:rPr>
          <w:rFonts w:ascii="Times New Roman" w:hAnsi="Times New Roman"/>
          <w:i/>
          <w:iCs/>
          <w:noProof w:val="0"/>
        </w:rPr>
        <w:t>Polymer</w:t>
      </w:r>
      <w:r w:rsidRPr="00C6674F">
        <w:rPr>
          <w:rFonts w:ascii="Times New Roman" w:hAnsi="Times New Roman"/>
          <w:noProof w:val="0"/>
        </w:rPr>
        <w:t xml:space="preserve"> </w:t>
      </w:r>
      <w:r w:rsidRPr="00C6674F">
        <w:rPr>
          <w:rFonts w:ascii="Times New Roman" w:hAnsi="Times New Roman"/>
          <w:b/>
          <w:bCs/>
          <w:noProof w:val="0"/>
        </w:rPr>
        <w:t>2017</w:t>
      </w:r>
      <w:r w:rsidRPr="00C6674F">
        <w:rPr>
          <w:rFonts w:ascii="Times New Roman" w:hAnsi="Times New Roman"/>
          <w:noProof w:val="0"/>
        </w:rPr>
        <w:t xml:space="preserve">, </w:t>
      </w:r>
      <w:r w:rsidRPr="00C6674F">
        <w:rPr>
          <w:rFonts w:ascii="Times New Roman" w:hAnsi="Times New Roman"/>
          <w:i/>
          <w:iCs/>
          <w:noProof w:val="0"/>
        </w:rPr>
        <w:t>115</w:t>
      </w:r>
      <w:r w:rsidRPr="00C6674F">
        <w:rPr>
          <w:rFonts w:ascii="Times New Roman" w:hAnsi="Times New Roman"/>
          <w:noProof w:val="0"/>
        </w:rPr>
        <w:t>, 70–76. https://doi.org/10.1016/j.polymer.2017.03.026.</w:t>
      </w:r>
    </w:p>
    <w:p w14:paraId="4D34DDA4"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(35) </w:t>
      </w:r>
      <w:r w:rsidRPr="00C6674F">
        <w:rPr>
          <w:rFonts w:ascii="Times New Roman" w:hAnsi="Times New Roman"/>
          <w:noProof w:val="0"/>
        </w:rPr>
        <w:tab/>
        <w:t xml:space="preserve">Sownthari, K.; Austin Suthanthiraraj, S. Preparation and Properties of a Gel Polymer Electrolyte System Based on Poly-ε-Caprolactone Containing 1-Ethyl-3-Methylimidazolium Bis(Trifluoromethylsulfonyl)Imide. </w:t>
      </w:r>
      <w:r w:rsidRPr="00C6674F">
        <w:rPr>
          <w:rFonts w:ascii="Times New Roman" w:hAnsi="Times New Roman"/>
          <w:i/>
          <w:iCs/>
          <w:noProof w:val="0"/>
        </w:rPr>
        <w:t>Journal of Physics and Chemistry of Solids</w:t>
      </w:r>
      <w:r w:rsidRPr="00C6674F">
        <w:rPr>
          <w:rFonts w:ascii="Times New Roman" w:hAnsi="Times New Roman"/>
          <w:noProof w:val="0"/>
        </w:rPr>
        <w:t xml:space="preserve"> </w:t>
      </w:r>
      <w:r w:rsidRPr="00C6674F">
        <w:rPr>
          <w:rFonts w:ascii="Times New Roman" w:hAnsi="Times New Roman"/>
          <w:b/>
          <w:bCs/>
          <w:noProof w:val="0"/>
        </w:rPr>
        <w:t>2014</w:t>
      </w:r>
      <w:r w:rsidRPr="00C6674F">
        <w:rPr>
          <w:rFonts w:ascii="Times New Roman" w:hAnsi="Times New Roman"/>
          <w:noProof w:val="0"/>
        </w:rPr>
        <w:t xml:space="preserve">, </w:t>
      </w:r>
      <w:r w:rsidRPr="00C6674F">
        <w:rPr>
          <w:rFonts w:ascii="Times New Roman" w:hAnsi="Times New Roman"/>
          <w:i/>
          <w:iCs/>
          <w:noProof w:val="0"/>
        </w:rPr>
        <w:t>75</w:t>
      </w:r>
      <w:r w:rsidRPr="00C6674F">
        <w:rPr>
          <w:rFonts w:ascii="Times New Roman" w:hAnsi="Times New Roman"/>
          <w:noProof w:val="0"/>
        </w:rPr>
        <w:t xml:space="preserve"> (6), 746–751. https://doi.org/10.1016/j.jpcs.2014.02.003.</w:t>
      </w:r>
    </w:p>
    <w:p w14:paraId="0027AF9A"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(36) </w:t>
      </w:r>
      <w:r w:rsidRPr="00C6674F">
        <w:rPr>
          <w:rFonts w:ascii="Times New Roman" w:hAnsi="Times New Roman"/>
          <w:noProof w:val="0"/>
        </w:rPr>
        <w:tab/>
        <w:t xml:space="preserve">Kang, S. J.; Park, Y. J.; Hwang, J. Y.; Jeong, H. J.; Lee, J. S.; Kim, K. J.; Kim, H.-C.; Huh, J.; Park, C. Localized Pressure-Induced Ferroelectric Pattern Arrays of Semicrystalline Poly(Vinylidene Fluoride) by Microimprinting. </w:t>
      </w:r>
      <w:r w:rsidRPr="00C6674F">
        <w:rPr>
          <w:rFonts w:ascii="Times New Roman" w:hAnsi="Times New Roman"/>
          <w:i/>
          <w:iCs/>
          <w:noProof w:val="0"/>
        </w:rPr>
        <w:t>Advanced Materials</w:t>
      </w:r>
      <w:r w:rsidRPr="00C6674F">
        <w:rPr>
          <w:rFonts w:ascii="Times New Roman" w:hAnsi="Times New Roman"/>
          <w:noProof w:val="0"/>
        </w:rPr>
        <w:t xml:space="preserve"> </w:t>
      </w:r>
      <w:r w:rsidRPr="00C6674F">
        <w:rPr>
          <w:rFonts w:ascii="Times New Roman" w:hAnsi="Times New Roman"/>
          <w:b/>
          <w:bCs/>
          <w:noProof w:val="0"/>
        </w:rPr>
        <w:t>2007</w:t>
      </w:r>
      <w:r w:rsidRPr="00C6674F">
        <w:rPr>
          <w:rFonts w:ascii="Times New Roman" w:hAnsi="Times New Roman"/>
          <w:noProof w:val="0"/>
        </w:rPr>
        <w:t xml:space="preserve">, </w:t>
      </w:r>
      <w:r w:rsidRPr="00C6674F">
        <w:rPr>
          <w:rFonts w:ascii="Times New Roman" w:hAnsi="Times New Roman"/>
          <w:i/>
          <w:iCs/>
          <w:noProof w:val="0"/>
        </w:rPr>
        <w:t>19</w:t>
      </w:r>
      <w:r w:rsidRPr="00C6674F">
        <w:rPr>
          <w:rFonts w:ascii="Times New Roman" w:hAnsi="Times New Roman"/>
          <w:noProof w:val="0"/>
        </w:rPr>
        <w:t xml:space="preserve"> (4), 581–586. https://doi.org/10.1002/adma.200601474.</w:t>
      </w:r>
    </w:p>
    <w:p w14:paraId="0D886451"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(37) </w:t>
      </w:r>
      <w:r w:rsidRPr="00C6674F">
        <w:rPr>
          <w:rFonts w:ascii="Times New Roman" w:hAnsi="Times New Roman"/>
          <w:noProof w:val="0"/>
        </w:rPr>
        <w:tab/>
        <w:t xml:space="preserve">Xu, P.; Cui, Z.-P.; Ruan, G.; Ding, Y.-S. Enhanced Crystallization Kinetics of PLLA by Ethoxycarbonyl Ionic Liquid Modified Graphene. </w:t>
      </w:r>
      <w:r w:rsidRPr="00C6674F">
        <w:rPr>
          <w:rFonts w:ascii="Times New Roman" w:hAnsi="Times New Roman"/>
          <w:i/>
          <w:iCs/>
          <w:noProof w:val="0"/>
        </w:rPr>
        <w:t>Chin J Polym Sci</w:t>
      </w:r>
      <w:r w:rsidRPr="00C6674F">
        <w:rPr>
          <w:rFonts w:ascii="Times New Roman" w:hAnsi="Times New Roman"/>
          <w:noProof w:val="0"/>
        </w:rPr>
        <w:t xml:space="preserve"> </w:t>
      </w:r>
      <w:r w:rsidRPr="00C6674F">
        <w:rPr>
          <w:rFonts w:ascii="Times New Roman" w:hAnsi="Times New Roman"/>
          <w:b/>
          <w:bCs/>
          <w:noProof w:val="0"/>
        </w:rPr>
        <w:t>2019</w:t>
      </w:r>
      <w:r w:rsidRPr="00C6674F">
        <w:rPr>
          <w:rFonts w:ascii="Times New Roman" w:hAnsi="Times New Roman"/>
          <w:noProof w:val="0"/>
        </w:rPr>
        <w:t xml:space="preserve">, </w:t>
      </w:r>
      <w:r w:rsidRPr="00C6674F">
        <w:rPr>
          <w:rFonts w:ascii="Times New Roman" w:hAnsi="Times New Roman"/>
          <w:i/>
          <w:iCs/>
          <w:noProof w:val="0"/>
        </w:rPr>
        <w:t>37</w:t>
      </w:r>
      <w:r w:rsidRPr="00C6674F">
        <w:rPr>
          <w:rFonts w:ascii="Times New Roman" w:hAnsi="Times New Roman"/>
          <w:noProof w:val="0"/>
        </w:rPr>
        <w:t xml:space="preserve"> (3), 243–252. https://doi.org/10.1007/s10118-019-2192-5.</w:t>
      </w:r>
    </w:p>
    <w:p w14:paraId="447D21D6"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(38) </w:t>
      </w:r>
      <w:r w:rsidRPr="00C6674F">
        <w:rPr>
          <w:rFonts w:ascii="Times New Roman" w:hAnsi="Times New Roman"/>
          <w:noProof w:val="0"/>
        </w:rPr>
        <w:tab/>
        <w:t xml:space="preserve">Maiz, J.; Martin, J.; Mijangos, C. Confinement Effects on the Crystallization of Poly(Ethylene Oxide) Nanotubes. </w:t>
      </w:r>
      <w:r w:rsidRPr="00C6674F">
        <w:rPr>
          <w:rFonts w:ascii="Times New Roman" w:hAnsi="Times New Roman"/>
          <w:i/>
          <w:iCs/>
          <w:noProof w:val="0"/>
        </w:rPr>
        <w:t>Langmuir</w:t>
      </w:r>
      <w:r w:rsidRPr="00C6674F">
        <w:rPr>
          <w:rFonts w:ascii="Times New Roman" w:hAnsi="Times New Roman"/>
          <w:noProof w:val="0"/>
        </w:rPr>
        <w:t xml:space="preserve"> </w:t>
      </w:r>
      <w:r w:rsidRPr="00C6674F">
        <w:rPr>
          <w:rFonts w:ascii="Times New Roman" w:hAnsi="Times New Roman"/>
          <w:b/>
          <w:bCs/>
          <w:noProof w:val="0"/>
        </w:rPr>
        <w:t>2012</w:t>
      </w:r>
      <w:r w:rsidRPr="00C6674F">
        <w:rPr>
          <w:rFonts w:ascii="Times New Roman" w:hAnsi="Times New Roman"/>
          <w:noProof w:val="0"/>
        </w:rPr>
        <w:t xml:space="preserve">, </w:t>
      </w:r>
      <w:r w:rsidRPr="00C6674F">
        <w:rPr>
          <w:rFonts w:ascii="Times New Roman" w:hAnsi="Times New Roman"/>
          <w:i/>
          <w:iCs/>
          <w:noProof w:val="0"/>
        </w:rPr>
        <w:t>28</w:t>
      </w:r>
      <w:r w:rsidRPr="00C6674F">
        <w:rPr>
          <w:rFonts w:ascii="Times New Roman" w:hAnsi="Times New Roman"/>
          <w:noProof w:val="0"/>
        </w:rPr>
        <w:t xml:space="preserve"> (33), 12296–12303. https://doi.org/10.1021/la302675k.</w:t>
      </w:r>
    </w:p>
    <w:p w14:paraId="0F87EF9C" w14:textId="62F864B6"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(39) </w:t>
      </w:r>
      <w:r w:rsidRPr="00C6674F">
        <w:rPr>
          <w:rFonts w:ascii="Times New Roman" w:hAnsi="Times New Roman"/>
          <w:noProof w:val="0"/>
        </w:rPr>
        <w:tab/>
        <w:t>Shalu; Kumar</w:t>
      </w:r>
      <w:r w:rsidR="00D67DBB" w:rsidRPr="00C6674F">
        <w:rPr>
          <w:rFonts w:ascii="Times New Roman" w:hAnsi="Times New Roman"/>
          <w:noProof w:val="0"/>
        </w:rPr>
        <w:t xml:space="preserve"> </w:t>
      </w:r>
      <w:r w:rsidRPr="00C6674F">
        <w:rPr>
          <w:rFonts w:ascii="Times New Roman" w:hAnsi="Times New Roman"/>
          <w:noProof w:val="0"/>
        </w:rPr>
        <w:t>Singh, V.; Kumar</w:t>
      </w:r>
      <w:r w:rsidR="00D67DBB" w:rsidRPr="00C6674F">
        <w:rPr>
          <w:rFonts w:ascii="Times New Roman" w:hAnsi="Times New Roman"/>
          <w:noProof w:val="0"/>
        </w:rPr>
        <w:t xml:space="preserve"> </w:t>
      </w:r>
      <w:r w:rsidRPr="00C6674F">
        <w:rPr>
          <w:rFonts w:ascii="Times New Roman" w:hAnsi="Times New Roman"/>
          <w:noProof w:val="0"/>
        </w:rPr>
        <w:t xml:space="preserve">Singh, R. Development of Ion Conducting Polymer Gel Electrolyte Membranes Based on Polymer PVdF-HFP, BMIMTFSI Ionic Liquid and the Li-Salt with Improved Electrical, Thermal and Structural Properties. </w:t>
      </w:r>
      <w:r w:rsidRPr="00C6674F">
        <w:rPr>
          <w:rFonts w:ascii="Times New Roman" w:hAnsi="Times New Roman"/>
          <w:i/>
          <w:iCs/>
          <w:noProof w:val="0"/>
        </w:rPr>
        <w:t>Journal of Materials Chemistry C</w:t>
      </w:r>
      <w:r w:rsidRPr="00C6674F">
        <w:rPr>
          <w:rFonts w:ascii="Times New Roman" w:hAnsi="Times New Roman"/>
          <w:noProof w:val="0"/>
        </w:rPr>
        <w:t xml:space="preserve"> </w:t>
      </w:r>
      <w:r w:rsidRPr="00C6674F">
        <w:rPr>
          <w:rFonts w:ascii="Times New Roman" w:hAnsi="Times New Roman"/>
          <w:b/>
          <w:bCs/>
          <w:noProof w:val="0"/>
        </w:rPr>
        <w:t>2015</w:t>
      </w:r>
      <w:r w:rsidRPr="00C6674F">
        <w:rPr>
          <w:rFonts w:ascii="Times New Roman" w:hAnsi="Times New Roman"/>
          <w:noProof w:val="0"/>
        </w:rPr>
        <w:t xml:space="preserve">, </w:t>
      </w:r>
      <w:r w:rsidRPr="00C6674F">
        <w:rPr>
          <w:rFonts w:ascii="Times New Roman" w:hAnsi="Times New Roman"/>
          <w:i/>
          <w:iCs/>
          <w:noProof w:val="0"/>
        </w:rPr>
        <w:t>3</w:t>
      </w:r>
      <w:r w:rsidRPr="00C6674F">
        <w:rPr>
          <w:rFonts w:ascii="Times New Roman" w:hAnsi="Times New Roman"/>
          <w:noProof w:val="0"/>
        </w:rPr>
        <w:t xml:space="preserve"> (28), 7305–7318. https://doi.org/10.1039/C5TC00940E.</w:t>
      </w:r>
    </w:p>
    <w:p w14:paraId="6CFFE9B1"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(40) </w:t>
      </w:r>
      <w:r w:rsidRPr="00C6674F">
        <w:rPr>
          <w:rFonts w:ascii="Times New Roman" w:hAnsi="Times New Roman"/>
          <w:noProof w:val="0"/>
        </w:rPr>
        <w:tab/>
        <w:t xml:space="preserve">Gonçalves, R.; Martins, P. M.; Caparrós, C.; Martins, P.; Benelmekki, M.; Botelho, G.; Lanceros-Mendez, S.; Lasheras, A.; Gutiérrez, J.; Barandiarán, J. M. Nucleation of the Electroactive β-Phase, Dielectric and Magnetic Response of Poly(Vinylidene Fluoride) Composites with Fe2O3 Nanoparticles. </w:t>
      </w:r>
      <w:r w:rsidRPr="00C6674F">
        <w:rPr>
          <w:rFonts w:ascii="Times New Roman" w:hAnsi="Times New Roman"/>
          <w:i/>
          <w:iCs/>
          <w:noProof w:val="0"/>
        </w:rPr>
        <w:t>Journal of Non-Crystalline Solids</w:t>
      </w:r>
      <w:r w:rsidRPr="00C6674F">
        <w:rPr>
          <w:rFonts w:ascii="Times New Roman" w:hAnsi="Times New Roman"/>
          <w:noProof w:val="0"/>
        </w:rPr>
        <w:t xml:space="preserve"> </w:t>
      </w:r>
      <w:r w:rsidRPr="00C6674F">
        <w:rPr>
          <w:rFonts w:ascii="Times New Roman" w:hAnsi="Times New Roman"/>
          <w:b/>
          <w:bCs/>
          <w:noProof w:val="0"/>
        </w:rPr>
        <w:t>2013</w:t>
      </w:r>
      <w:r w:rsidRPr="00C6674F">
        <w:rPr>
          <w:rFonts w:ascii="Times New Roman" w:hAnsi="Times New Roman"/>
          <w:noProof w:val="0"/>
        </w:rPr>
        <w:t xml:space="preserve">, </w:t>
      </w:r>
      <w:r w:rsidRPr="00C6674F">
        <w:rPr>
          <w:rFonts w:ascii="Times New Roman" w:hAnsi="Times New Roman"/>
          <w:i/>
          <w:iCs/>
          <w:noProof w:val="0"/>
        </w:rPr>
        <w:t>361</w:t>
      </w:r>
      <w:r w:rsidRPr="00C6674F">
        <w:rPr>
          <w:rFonts w:ascii="Times New Roman" w:hAnsi="Times New Roman"/>
          <w:noProof w:val="0"/>
        </w:rPr>
        <w:t>, 93–99. https://doi.org/10.1016/j.jnoncrysol.2012.11.003.</w:t>
      </w:r>
    </w:p>
    <w:p w14:paraId="30B52A15"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(41) </w:t>
      </w:r>
      <w:r w:rsidRPr="00C6674F">
        <w:rPr>
          <w:rFonts w:ascii="Times New Roman" w:hAnsi="Times New Roman"/>
          <w:noProof w:val="0"/>
        </w:rPr>
        <w:tab/>
        <w:t xml:space="preserve">Tong, Y.; Que, M.; Su, S.; Chen, L. Design of Amphiphilic Poly(Vinylidene Fluoride-Co-Hexafluoropropylene)-Based Gel Electrolytes for High-Performance Lithium-Ion Batteries. </w:t>
      </w:r>
      <w:r w:rsidRPr="00C6674F">
        <w:rPr>
          <w:rFonts w:ascii="Times New Roman" w:hAnsi="Times New Roman"/>
          <w:i/>
          <w:iCs/>
          <w:noProof w:val="0"/>
        </w:rPr>
        <w:t>Ionics</w:t>
      </w:r>
      <w:r w:rsidRPr="00C6674F">
        <w:rPr>
          <w:rFonts w:ascii="Times New Roman" w:hAnsi="Times New Roman"/>
          <w:noProof w:val="0"/>
        </w:rPr>
        <w:t xml:space="preserve"> </w:t>
      </w:r>
      <w:r w:rsidRPr="00C6674F">
        <w:rPr>
          <w:rFonts w:ascii="Times New Roman" w:hAnsi="Times New Roman"/>
          <w:b/>
          <w:bCs/>
          <w:noProof w:val="0"/>
        </w:rPr>
        <w:t>2016</w:t>
      </w:r>
      <w:r w:rsidRPr="00C6674F">
        <w:rPr>
          <w:rFonts w:ascii="Times New Roman" w:hAnsi="Times New Roman"/>
          <w:noProof w:val="0"/>
        </w:rPr>
        <w:t xml:space="preserve">, </w:t>
      </w:r>
      <w:r w:rsidRPr="00C6674F">
        <w:rPr>
          <w:rFonts w:ascii="Times New Roman" w:hAnsi="Times New Roman"/>
          <w:i/>
          <w:iCs/>
          <w:noProof w:val="0"/>
        </w:rPr>
        <w:t>22</w:t>
      </w:r>
      <w:r w:rsidRPr="00C6674F">
        <w:rPr>
          <w:rFonts w:ascii="Times New Roman" w:hAnsi="Times New Roman"/>
          <w:noProof w:val="0"/>
        </w:rPr>
        <w:t xml:space="preserve"> (8), 1311–1318. https://doi.org/10.1007/s11581-016-1662-9.</w:t>
      </w:r>
    </w:p>
    <w:p w14:paraId="311C27FE"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(42) </w:t>
      </w:r>
      <w:r w:rsidRPr="00C6674F">
        <w:rPr>
          <w:rFonts w:ascii="Times New Roman" w:hAnsi="Times New Roman"/>
          <w:noProof w:val="0"/>
        </w:rPr>
        <w:tab/>
        <w:t xml:space="preserve">Wu, L.; Huang, G.; Hu, N.; Fu, S.; Qiu, J.; Wang, Z.; Ying, J.; Chen, Z.; Li, W.; Tang, S. Improvement of the Piezoelectric Properties of PVDF-HFP Using AgNWs. </w:t>
      </w:r>
      <w:r w:rsidRPr="00C6674F">
        <w:rPr>
          <w:rFonts w:ascii="Times New Roman" w:hAnsi="Times New Roman"/>
          <w:i/>
          <w:iCs/>
          <w:noProof w:val="0"/>
        </w:rPr>
        <w:t>RSC Adv.</w:t>
      </w:r>
      <w:r w:rsidRPr="00C6674F">
        <w:rPr>
          <w:rFonts w:ascii="Times New Roman" w:hAnsi="Times New Roman"/>
          <w:noProof w:val="0"/>
        </w:rPr>
        <w:t xml:space="preserve"> </w:t>
      </w:r>
      <w:r w:rsidRPr="00C6674F">
        <w:rPr>
          <w:rFonts w:ascii="Times New Roman" w:hAnsi="Times New Roman"/>
          <w:b/>
          <w:bCs/>
          <w:noProof w:val="0"/>
        </w:rPr>
        <w:t>2014</w:t>
      </w:r>
      <w:r w:rsidRPr="00C6674F">
        <w:rPr>
          <w:rFonts w:ascii="Times New Roman" w:hAnsi="Times New Roman"/>
          <w:noProof w:val="0"/>
        </w:rPr>
        <w:t xml:space="preserve">, </w:t>
      </w:r>
      <w:r w:rsidRPr="00C6674F">
        <w:rPr>
          <w:rFonts w:ascii="Times New Roman" w:hAnsi="Times New Roman"/>
          <w:i/>
          <w:iCs/>
          <w:noProof w:val="0"/>
        </w:rPr>
        <w:t>4</w:t>
      </w:r>
      <w:r w:rsidRPr="00C6674F">
        <w:rPr>
          <w:rFonts w:ascii="Times New Roman" w:hAnsi="Times New Roman"/>
          <w:noProof w:val="0"/>
        </w:rPr>
        <w:t xml:space="preserve"> (68), 35896–35903. https://doi.org/10.1039/C4RA03382E.</w:t>
      </w:r>
    </w:p>
    <w:p w14:paraId="2037163D"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(43) </w:t>
      </w:r>
      <w:r w:rsidRPr="00C6674F">
        <w:rPr>
          <w:rFonts w:ascii="Times New Roman" w:hAnsi="Times New Roman"/>
          <w:noProof w:val="0"/>
        </w:rPr>
        <w:tab/>
        <w:t xml:space="preserve">Chacko, S. K.; Rahul, M. T.; Raneesh, B.; Kalarikkal, N. Enhanced Magnetoelectric Coupling and Dielectric Constant in Flexible Ternary Composite Electrospun Fibers of PVDF-HFP Loaded with Nanoclay and NiFe2O4 Nanoparticles. </w:t>
      </w:r>
      <w:r w:rsidRPr="00C6674F">
        <w:rPr>
          <w:rFonts w:ascii="Times New Roman" w:hAnsi="Times New Roman"/>
          <w:i/>
          <w:iCs/>
          <w:noProof w:val="0"/>
        </w:rPr>
        <w:t>New J. Chem.</w:t>
      </w:r>
      <w:r w:rsidRPr="00C6674F">
        <w:rPr>
          <w:rFonts w:ascii="Times New Roman" w:hAnsi="Times New Roman"/>
          <w:noProof w:val="0"/>
        </w:rPr>
        <w:t xml:space="preserve"> </w:t>
      </w:r>
      <w:r w:rsidRPr="00C6674F">
        <w:rPr>
          <w:rFonts w:ascii="Times New Roman" w:hAnsi="Times New Roman"/>
          <w:b/>
          <w:bCs/>
          <w:noProof w:val="0"/>
        </w:rPr>
        <w:t>2020</w:t>
      </w:r>
      <w:r w:rsidRPr="00C6674F">
        <w:rPr>
          <w:rFonts w:ascii="Times New Roman" w:hAnsi="Times New Roman"/>
          <w:noProof w:val="0"/>
        </w:rPr>
        <w:t xml:space="preserve">, </w:t>
      </w:r>
      <w:r w:rsidRPr="00C6674F">
        <w:rPr>
          <w:rFonts w:ascii="Times New Roman" w:hAnsi="Times New Roman"/>
          <w:i/>
          <w:iCs/>
          <w:noProof w:val="0"/>
        </w:rPr>
        <w:t>44</w:t>
      </w:r>
      <w:r w:rsidRPr="00C6674F">
        <w:rPr>
          <w:rFonts w:ascii="Times New Roman" w:hAnsi="Times New Roman"/>
          <w:noProof w:val="0"/>
        </w:rPr>
        <w:t xml:space="preserve"> (26), 11356–11364. https://doi.org/10.1039/D0NJ02494E.</w:t>
      </w:r>
    </w:p>
    <w:p w14:paraId="7C5CE944" w14:textId="77777777" w:rsidR="00562240" w:rsidRPr="00C6674F" w:rsidRDefault="00562240" w:rsidP="00D67DBB">
      <w:pPr>
        <w:pStyle w:val="Bibliography"/>
        <w:adjustRightInd w:val="0"/>
        <w:snapToGrid w:val="0"/>
        <w:rPr>
          <w:rFonts w:ascii="Times New Roman" w:hAnsi="Times New Roman"/>
          <w:noProof w:val="0"/>
        </w:rPr>
      </w:pPr>
      <w:r w:rsidRPr="00C6674F">
        <w:rPr>
          <w:rFonts w:ascii="Times New Roman" w:hAnsi="Times New Roman"/>
          <w:noProof w:val="0"/>
        </w:rPr>
        <w:t xml:space="preserve">(44) </w:t>
      </w:r>
      <w:r w:rsidRPr="00C6674F">
        <w:rPr>
          <w:rFonts w:ascii="Times New Roman" w:hAnsi="Times New Roman"/>
          <w:noProof w:val="0"/>
        </w:rPr>
        <w:tab/>
        <w:t xml:space="preserve">Kim, K. M.; Park, N.-G.; Ryu, K. S.; Chang, S. H. Characteristics of PVdF-HFP/TiO2 Composite Membrane Electrolytes Prepared by Phase Inversion and Conventional Casting Methods. </w:t>
      </w:r>
      <w:r w:rsidRPr="00C6674F">
        <w:rPr>
          <w:rFonts w:ascii="Times New Roman" w:hAnsi="Times New Roman"/>
          <w:i/>
          <w:iCs/>
          <w:noProof w:val="0"/>
        </w:rPr>
        <w:t>Electrochimica Acta</w:t>
      </w:r>
      <w:r w:rsidRPr="00C6674F">
        <w:rPr>
          <w:rFonts w:ascii="Times New Roman" w:hAnsi="Times New Roman"/>
          <w:noProof w:val="0"/>
        </w:rPr>
        <w:t xml:space="preserve"> </w:t>
      </w:r>
      <w:r w:rsidRPr="00C6674F">
        <w:rPr>
          <w:rFonts w:ascii="Times New Roman" w:hAnsi="Times New Roman"/>
          <w:b/>
          <w:bCs/>
          <w:noProof w:val="0"/>
        </w:rPr>
        <w:t>2006</w:t>
      </w:r>
      <w:r w:rsidRPr="00C6674F">
        <w:rPr>
          <w:rFonts w:ascii="Times New Roman" w:hAnsi="Times New Roman"/>
          <w:noProof w:val="0"/>
        </w:rPr>
        <w:t xml:space="preserve">, </w:t>
      </w:r>
      <w:r w:rsidRPr="00C6674F">
        <w:rPr>
          <w:rFonts w:ascii="Times New Roman" w:hAnsi="Times New Roman"/>
          <w:i/>
          <w:iCs/>
          <w:noProof w:val="0"/>
        </w:rPr>
        <w:t>51</w:t>
      </w:r>
      <w:r w:rsidRPr="00C6674F">
        <w:rPr>
          <w:rFonts w:ascii="Times New Roman" w:hAnsi="Times New Roman"/>
          <w:noProof w:val="0"/>
        </w:rPr>
        <w:t xml:space="preserve"> (26), 5636–5644. https://doi.org/10.1016/j.electacta.2006.02.038.</w:t>
      </w:r>
    </w:p>
    <w:p w14:paraId="6457D4E8" w14:textId="1734535E" w:rsidR="007D6959" w:rsidRPr="00C6674F" w:rsidRDefault="00562240" w:rsidP="00C6674F">
      <w:pPr>
        <w:adjustRightInd w:val="0"/>
        <w:snapToGrid w:val="0"/>
        <w:spacing w:after="80"/>
        <w:rPr>
          <w:rFonts w:ascii="Times New Roman" w:hAnsi="Times New Roman"/>
          <w:noProof w:val="0"/>
        </w:rPr>
      </w:pPr>
      <w:r w:rsidRPr="00C6674F">
        <w:rPr>
          <w:rFonts w:ascii="Times New Roman" w:hAnsi="Times New Roman"/>
          <w:noProof w:val="0"/>
        </w:rPr>
        <w:fldChar w:fldCharType="end"/>
      </w:r>
    </w:p>
    <w:sectPr w:rsidR="007D6959" w:rsidRPr="00C6674F" w:rsidSect="00D67DBB">
      <w:headerReference w:type="even" r:id="rId26"/>
      <w:headerReference w:type="default" r:id="rId27"/>
      <w:footerReference w:type="default" r:id="rId28"/>
      <w:headerReference w:type="first" r:id="rId29"/>
      <w:footerReference w:type="first" r:id="rId30"/>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D07FA" w14:textId="77777777" w:rsidR="001E0324" w:rsidRDefault="001E0324">
      <w:pPr>
        <w:spacing w:line="240" w:lineRule="auto"/>
      </w:pPr>
      <w:r>
        <w:separator/>
      </w:r>
    </w:p>
  </w:endnote>
  <w:endnote w:type="continuationSeparator" w:id="0">
    <w:p w14:paraId="1220CEDB" w14:textId="77777777" w:rsidR="001E0324" w:rsidRDefault="001E03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Leelawadee UI"/>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default"/>
  </w:font>
  <w:font w:name="Palanquin Dark">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B48B" w14:textId="77777777" w:rsidR="00003763" w:rsidRPr="00875983" w:rsidRDefault="00003763" w:rsidP="00003763">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D9AA0" w14:textId="77777777" w:rsidR="006D7FF9" w:rsidRDefault="006D7FF9" w:rsidP="009D49A3">
    <w:pPr>
      <w:pBdr>
        <w:top w:val="single" w:sz="4" w:space="0" w:color="000000"/>
      </w:pBdr>
      <w:tabs>
        <w:tab w:val="right" w:pos="8844"/>
      </w:tabs>
      <w:adjustRightInd w:val="0"/>
      <w:snapToGrid w:val="0"/>
      <w:spacing w:before="480" w:line="100" w:lineRule="exact"/>
      <w:jc w:val="left"/>
      <w:rPr>
        <w:i/>
        <w:sz w:val="16"/>
        <w:szCs w:val="16"/>
        <w:lang w:val="it-IT"/>
      </w:rPr>
    </w:pPr>
  </w:p>
  <w:p w14:paraId="2651BE40" w14:textId="64A91487" w:rsidR="00003763" w:rsidRPr="00372FCD" w:rsidRDefault="00003763" w:rsidP="004A5EC8">
    <w:pPr>
      <w:tabs>
        <w:tab w:val="right" w:pos="10466"/>
      </w:tabs>
      <w:adjustRightInd w:val="0"/>
      <w:snapToGrid w:val="0"/>
      <w:spacing w:line="240" w:lineRule="auto"/>
      <w:rPr>
        <w:sz w:val="16"/>
        <w:szCs w:val="16"/>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E2585" w14:textId="77777777" w:rsidR="001E0324" w:rsidRDefault="001E0324">
      <w:pPr>
        <w:spacing w:line="240" w:lineRule="auto"/>
      </w:pPr>
      <w:r>
        <w:separator/>
      </w:r>
    </w:p>
  </w:footnote>
  <w:footnote w:type="continuationSeparator" w:id="0">
    <w:p w14:paraId="036AE3A8" w14:textId="77777777" w:rsidR="001E0324" w:rsidRDefault="001E03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055B" w14:textId="77777777" w:rsidR="00003763" w:rsidRDefault="00003763" w:rsidP="0000376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BC70" w14:textId="77777777" w:rsidR="00003763" w:rsidRPr="00651818" w:rsidRDefault="00003763" w:rsidP="009D49A3">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3BC4" w14:textId="77777777" w:rsidR="00003763" w:rsidRPr="006D7FF9" w:rsidRDefault="00003763" w:rsidP="009D49A3">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AB23CE"/>
    <w:multiLevelType w:val="hybridMultilevel"/>
    <w:tmpl w:val="E38ABBCA"/>
    <w:lvl w:ilvl="0" w:tplc="5138205C">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6D74B6"/>
    <w:multiLevelType w:val="hybridMultilevel"/>
    <w:tmpl w:val="9286C09E"/>
    <w:lvl w:ilvl="0" w:tplc="CEA296A4">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400E01"/>
    <w:multiLevelType w:val="hybridMultilevel"/>
    <w:tmpl w:val="1E76E6B0"/>
    <w:lvl w:ilvl="0" w:tplc="92C875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236CEB"/>
    <w:multiLevelType w:val="hybridMultilevel"/>
    <w:tmpl w:val="8DDCD96A"/>
    <w:lvl w:ilvl="0" w:tplc="E6328BB2">
      <w:start w:val="1"/>
      <w:numFmt w:val="decimal"/>
      <w:lvlRestart w:val="0"/>
      <w:lvlText w:val="%1."/>
      <w:lvlJc w:val="left"/>
      <w:pPr>
        <w:ind w:left="3033" w:hanging="425"/>
      </w:pPr>
      <w:rPr>
        <w:vertAlign w:val="superscript"/>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9269941">
    <w:abstractNumId w:val="4"/>
  </w:num>
  <w:num w:numId="2" w16cid:durableId="1716076519">
    <w:abstractNumId w:val="7"/>
  </w:num>
  <w:num w:numId="3" w16cid:durableId="1528517195">
    <w:abstractNumId w:val="3"/>
  </w:num>
  <w:num w:numId="4" w16cid:durableId="1128090180">
    <w:abstractNumId w:val="5"/>
  </w:num>
  <w:num w:numId="5" w16cid:durableId="1257976555">
    <w:abstractNumId w:val="10"/>
  </w:num>
  <w:num w:numId="6" w16cid:durableId="970749890">
    <w:abstractNumId w:val="2"/>
  </w:num>
  <w:num w:numId="7" w16cid:durableId="871500091">
    <w:abstractNumId w:val="10"/>
  </w:num>
  <w:num w:numId="8" w16cid:durableId="2081445716">
    <w:abstractNumId w:val="2"/>
  </w:num>
  <w:num w:numId="9" w16cid:durableId="1561819198">
    <w:abstractNumId w:val="10"/>
  </w:num>
  <w:num w:numId="10" w16cid:durableId="1864436516">
    <w:abstractNumId w:val="2"/>
  </w:num>
  <w:num w:numId="11" w16cid:durableId="19928332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6118967">
    <w:abstractNumId w:val="0"/>
  </w:num>
  <w:num w:numId="13" w16cid:durableId="1442411209">
    <w:abstractNumId w:val="11"/>
  </w:num>
  <w:num w:numId="14" w16cid:durableId="1238786073">
    <w:abstractNumId w:val="14"/>
  </w:num>
  <w:num w:numId="15" w16cid:durableId="1987080792">
    <w:abstractNumId w:val="10"/>
  </w:num>
  <w:num w:numId="16" w16cid:durableId="1535460332">
    <w:abstractNumId w:val="2"/>
  </w:num>
  <w:num w:numId="17" w16cid:durableId="1881701309">
    <w:abstractNumId w:val="1"/>
  </w:num>
  <w:num w:numId="18" w16cid:durableId="1686395709">
    <w:abstractNumId w:val="9"/>
  </w:num>
  <w:num w:numId="19" w16cid:durableId="185141923">
    <w:abstractNumId w:val="0"/>
  </w:num>
  <w:num w:numId="20" w16cid:durableId="1997801473">
    <w:abstractNumId w:val="10"/>
  </w:num>
  <w:num w:numId="21" w16cid:durableId="1857303216">
    <w:abstractNumId w:val="2"/>
  </w:num>
  <w:num w:numId="22" w16cid:durableId="641276726">
    <w:abstractNumId w:val="1"/>
  </w:num>
  <w:num w:numId="23" w16cid:durableId="1738824142">
    <w:abstractNumId w:val="6"/>
  </w:num>
  <w:num w:numId="24" w16cid:durableId="1262571090">
    <w:abstractNumId w:val="13"/>
  </w:num>
  <w:num w:numId="25" w16cid:durableId="186990503">
    <w:abstractNumId w:val="8"/>
  </w:num>
  <w:num w:numId="26" w16cid:durableId="1438065689">
    <w:abstractNumId w:val="12"/>
  </w:num>
  <w:num w:numId="27" w16cid:durableId="1360469911">
    <w:abstractNumId w:val="10"/>
  </w:num>
  <w:num w:numId="28" w16cid:durableId="612324085">
    <w:abstractNumId w:val="2"/>
  </w:num>
  <w:num w:numId="29" w16cid:durableId="568998485">
    <w:abstractNumId w:val="9"/>
  </w:num>
  <w:num w:numId="30" w16cid:durableId="370108339">
    <w:abstractNumId w:val="1"/>
  </w:num>
  <w:num w:numId="31" w16cid:durableId="1730423796">
    <w:abstractNumId w:val="10"/>
  </w:num>
  <w:num w:numId="32" w16cid:durableId="63798397">
    <w:abstractNumId w:val="2"/>
  </w:num>
  <w:num w:numId="33" w16cid:durableId="1652366642">
    <w:abstractNumId w:val="9"/>
  </w:num>
  <w:num w:numId="34" w16cid:durableId="1200361038">
    <w:abstractNumId w:val="1"/>
  </w:num>
  <w:num w:numId="35" w16cid:durableId="434404423">
    <w:abstractNumId w:val="10"/>
  </w:num>
  <w:num w:numId="36" w16cid:durableId="631406330">
    <w:abstractNumId w:val="2"/>
  </w:num>
  <w:num w:numId="37" w16cid:durableId="212424062">
    <w:abstractNumId w:val="9"/>
  </w:num>
  <w:num w:numId="38" w16cid:durableId="299579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MzY2sQQShuYm5ko6SsGpxcWZ+XkgBYa1AGIOnsgsAAAA"/>
  </w:docVars>
  <w:rsids>
    <w:rsidRoot w:val="00562240"/>
    <w:rsid w:val="000002D4"/>
    <w:rsid w:val="00003763"/>
    <w:rsid w:val="00031B6B"/>
    <w:rsid w:val="000407BF"/>
    <w:rsid w:val="00062B21"/>
    <w:rsid w:val="00062BE2"/>
    <w:rsid w:val="00080A08"/>
    <w:rsid w:val="0008707A"/>
    <w:rsid w:val="00091DEF"/>
    <w:rsid w:val="0009258E"/>
    <w:rsid w:val="00096978"/>
    <w:rsid w:val="000B5FB3"/>
    <w:rsid w:val="000B7B71"/>
    <w:rsid w:val="000C0B40"/>
    <w:rsid w:val="000C1B3B"/>
    <w:rsid w:val="000D6E38"/>
    <w:rsid w:val="00137864"/>
    <w:rsid w:val="00140FA8"/>
    <w:rsid w:val="0014750B"/>
    <w:rsid w:val="00167F6F"/>
    <w:rsid w:val="001871B5"/>
    <w:rsid w:val="00187D84"/>
    <w:rsid w:val="001A536C"/>
    <w:rsid w:val="001C1471"/>
    <w:rsid w:val="001E0324"/>
    <w:rsid w:val="001E06C6"/>
    <w:rsid w:val="001E2AEB"/>
    <w:rsid w:val="001F6A29"/>
    <w:rsid w:val="00217505"/>
    <w:rsid w:val="002303E6"/>
    <w:rsid w:val="00234AA6"/>
    <w:rsid w:val="00235C86"/>
    <w:rsid w:val="00267DBF"/>
    <w:rsid w:val="00290AD2"/>
    <w:rsid w:val="002979E1"/>
    <w:rsid w:val="002A0923"/>
    <w:rsid w:val="002A24F9"/>
    <w:rsid w:val="002A5CA9"/>
    <w:rsid w:val="002C2D8F"/>
    <w:rsid w:val="002C7154"/>
    <w:rsid w:val="002D68AE"/>
    <w:rsid w:val="002E5F0D"/>
    <w:rsid w:val="002F2043"/>
    <w:rsid w:val="0032421E"/>
    <w:rsid w:val="00326141"/>
    <w:rsid w:val="00345A6B"/>
    <w:rsid w:val="003646C2"/>
    <w:rsid w:val="00374C17"/>
    <w:rsid w:val="0038012B"/>
    <w:rsid w:val="00390330"/>
    <w:rsid w:val="00393114"/>
    <w:rsid w:val="003A05E4"/>
    <w:rsid w:val="003E7886"/>
    <w:rsid w:val="003F591A"/>
    <w:rsid w:val="00401D30"/>
    <w:rsid w:val="004022FE"/>
    <w:rsid w:val="00404931"/>
    <w:rsid w:val="004158F7"/>
    <w:rsid w:val="00417700"/>
    <w:rsid w:val="00434C77"/>
    <w:rsid w:val="00450CC4"/>
    <w:rsid w:val="00472D03"/>
    <w:rsid w:val="00476730"/>
    <w:rsid w:val="004810D5"/>
    <w:rsid w:val="004950CC"/>
    <w:rsid w:val="004A5EC8"/>
    <w:rsid w:val="004C2628"/>
    <w:rsid w:val="004E3BB7"/>
    <w:rsid w:val="005002E3"/>
    <w:rsid w:val="00512E32"/>
    <w:rsid w:val="005364C6"/>
    <w:rsid w:val="0054019D"/>
    <w:rsid w:val="005405C6"/>
    <w:rsid w:val="0054184C"/>
    <w:rsid w:val="00553017"/>
    <w:rsid w:val="00553FCA"/>
    <w:rsid w:val="005604E8"/>
    <w:rsid w:val="0056206C"/>
    <w:rsid w:val="00562240"/>
    <w:rsid w:val="00584072"/>
    <w:rsid w:val="005A687E"/>
    <w:rsid w:val="005B44FC"/>
    <w:rsid w:val="005E51F3"/>
    <w:rsid w:val="006062D1"/>
    <w:rsid w:val="00610F08"/>
    <w:rsid w:val="00613915"/>
    <w:rsid w:val="006210C7"/>
    <w:rsid w:val="00662499"/>
    <w:rsid w:val="006722CB"/>
    <w:rsid w:val="006816FC"/>
    <w:rsid w:val="00684CE9"/>
    <w:rsid w:val="006850F7"/>
    <w:rsid w:val="006858A3"/>
    <w:rsid w:val="00687C0B"/>
    <w:rsid w:val="00692393"/>
    <w:rsid w:val="0069536B"/>
    <w:rsid w:val="006A5778"/>
    <w:rsid w:val="006C40B2"/>
    <w:rsid w:val="006C4E8A"/>
    <w:rsid w:val="006D7FF9"/>
    <w:rsid w:val="006E59B4"/>
    <w:rsid w:val="006F5293"/>
    <w:rsid w:val="007167CB"/>
    <w:rsid w:val="007235F2"/>
    <w:rsid w:val="00774319"/>
    <w:rsid w:val="007772CC"/>
    <w:rsid w:val="007B47C6"/>
    <w:rsid w:val="007B5467"/>
    <w:rsid w:val="007D1202"/>
    <w:rsid w:val="007D6959"/>
    <w:rsid w:val="007D6F77"/>
    <w:rsid w:val="0080326F"/>
    <w:rsid w:val="008235EE"/>
    <w:rsid w:val="008316C8"/>
    <w:rsid w:val="00853B80"/>
    <w:rsid w:val="00864AD6"/>
    <w:rsid w:val="00877FBC"/>
    <w:rsid w:val="0088321E"/>
    <w:rsid w:val="008A24C2"/>
    <w:rsid w:val="008D62E4"/>
    <w:rsid w:val="00907314"/>
    <w:rsid w:val="00925602"/>
    <w:rsid w:val="00952E53"/>
    <w:rsid w:val="0095527D"/>
    <w:rsid w:val="00970620"/>
    <w:rsid w:val="00973A7D"/>
    <w:rsid w:val="00997633"/>
    <w:rsid w:val="009B0BDB"/>
    <w:rsid w:val="009C2617"/>
    <w:rsid w:val="009D49A3"/>
    <w:rsid w:val="009D615B"/>
    <w:rsid w:val="009E5443"/>
    <w:rsid w:val="009F21FA"/>
    <w:rsid w:val="009F5518"/>
    <w:rsid w:val="009F5D13"/>
    <w:rsid w:val="009F70E6"/>
    <w:rsid w:val="00A20AAC"/>
    <w:rsid w:val="00A22208"/>
    <w:rsid w:val="00A25069"/>
    <w:rsid w:val="00A25C96"/>
    <w:rsid w:val="00A348AF"/>
    <w:rsid w:val="00A613A4"/>
    <w:rsid w:val="00A63568"/>
    <w:rsid w:val="00A72480"/>
    <w:rsid w:val="00A768CB"/>
    <w:rsid w:val="00A81550"/>
    <w:rsid w:val="00AA34F3"/>
    <w:rsid w:val="00AB5EF8"/>
    <w:rsid w:val="00AC1369"/>
    <w:rsid w:val="00AD63F9"/>
    <w:rsid w:val="00AF6C9C"/>
    <w:rsid w:val="00B0282E"/>
    <w:rsid w:val="00B07A86"/>
    <w:rsid w:val="00B12DD2"/>
    <w:rsid w:val="00B13EF6"/>
    <w:rsid w:val="00B14203"/>
    <w:rsid w:val="00B242AA"/>
    <w:rsid w:val="00B40E72"/>
    <w:rsid w:val="00B47A9D"/>
    <w:rsid w:val="00B677CD"/>
    <w:rsid w:val="00B846C8"/>
    <w:rsid w:val="00BA03E5"/>
    <w:rsid w:val="00BB10DA"/>
    <w:rsid w:val="00BB1AEA"/>
    <w:rsid w:val="00BC6F0D"/>
    <w:rsid w:val="00BE538A"/>
    <w:rsid w:val="00C1367B"/>
    <w:rsid w:val="00C22000"/>
    <w:rsid w:val="00C32621"/>
    <w:rsid w:val="00C345B5"/>
    <w:rsid w:val="00C622DC"/>
    <w:rsid w:val="00C63804"/>
    <w:rsid w:val="00C6674F"/>
    <w:rsid w:val="00C67C12"/>
    <w:rsid w:val="00C82056"/>
    <w:rsid w:val="00CB68A0"/>
    <w:rsid w:val="00CB754C"/>
    <w:rsid w:val="00CC5CF2"/>
    <w:rsid w:val="00CD590C"/>
    <w:rsid w:val="00CE0F5C"/>
    <w:rsid w:val="00CE77A1"/>
    <w:rsid w:val="00D04A79"/>
    <w:rsid w:val="00D055C9"/>
    <w:rsid w:val="00D229C0"/>
    <w:rsid w:val="00D35318"/>
    <w:rsid w:val="00D360CF"/>
    <w:rsid w:val="00D41259"/>
    <w:rsid w:val="00D5629E"/>
    <w:rsid w:val="00D67DBB"/>
    <w:rsid w:val="00D75847"/>
    <w:rsid w:val="00D85A92"/>
    <w:rsid w:val="00D861E2"/>
    <w:rsid w:val="00D877BD"/>
    <w:rsid w:val="00DF4A03"/>
    <w:rsid w:val="00DF59E3"/>
    <w:rsid w:val="00E029D8"/>
    <w:rsid w:val="00E02BFC"/>
    <w:rsid w:val="00E212A1"/>
    <w:rsid w:val="00E255C2"/>
    <w:rsid w:val="00E70FE0"/>
    <w:rsid w:val="00E807B9"/>
    <w:rsid w:val="00E80B68"/>
    <w:rsid w:val="00E86529"/>
    <w:rsid w:val="00E87B65"/>
    <w:rsid w:val="00EA02AD"/>
    <w:rsid w:val="00EA57D3"/>
    <w:rsid w:val="00ED08AB"/>
    <w:rsid w:val="00EF7A5F"/>
    <w:rsid w:val="00F16C7B"/>
    <w:rsid w:val="00F2025E"/>
    <w:rsid w:val="00F37DC5"/>
    <w:rsid w:val="00F407C6"/>
    <w:rsid w:val="00F525CA"/>
    <w:rsid w:val="00F5284D"/>
    <w:rsid w:val="00F63CB6"/>
    <w:rsid w:val="00F6601C"/>
    <w:rsid w:val="00F816E1"/>
    <w:rsid w:val="00F82986"/>
    <w:rsid w:val="00F845ED"/>
    <w:rsid w:val="00FB3E88"/>
    <w:rsid w:val="00FE3789"/>
    <w:rsid w:val="00FE514A"/>
    <w:rsid w:val="00FF11EE"/>
    <w:rsid w:val="00FF77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01CC1"/>
  <w15:chartTrackingRefBased/>
  <w15:docId w15:val="{5E73103F-F059-4A3E-997F-BBF671A05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DBB"/>
    <w:pPr>
      <w:spacing w:line="260" w:lineRule="atLeast"/>
      <w:jc w:val="both"/>
    </w:pPr>
    <w:rPr>
      <w:rFonts w:ascii="Palatino Linotype" w:eastAsiaTheme="minorHAnsi" w:hAnsi="Palatino Linotype"/>
      <w:noProof/>
      <w:color w:val="000000"/>
      <w:lang w:eastAsia="en-US"/>
    </w:rPr>
  </w:style>
  <w:style w:type="paragraph" w:styleId="Heading2">
    <w:name w:val="heading 2"/>
    <w:basedOn w:val="Normal"/>
    <w:next w:val="Normal"/>
    <w:link w:val="Heading2Char"/>
    <w:uiPriority w:val="9"/>
    <w:unhideWhenUsed/>
    <w:qFormat/>
    <w:rsid w:val="00562240"/>
    <w:pPr>
      <w:keepNext/>
      <w:keepLines/>
      <w:spacing w:before="360" w:after="120" w:line="276" w:lineRule="auto"/>
      <w:jc w:val="left"/>
      <w:outlineLvl w:val="1"/>
    </w:pPr>
    <w:rPr>
      <w:rFonts w:ascii="Arial" w:eastAsia="Arial" w:hAnsi="Arial" w:cs="Arial"/>
      <w:noProof w:val="0"/>
      <w:color w:val="auto"/>
      <w:sz w:val="32"/>
      <w:szCs w:val="32"/>
      <w:lang w:val="en"/>
    </w:rPr>
  </w:style>
  <w:style w:type="paragraph" w:styleId="Heading3">
    <w:name w:val="heading 3"/>
    <w:basedOn w:val="Normal"/>
    <w:next w:val="Normal"/>
    <w:link w:val="Heading3Char"/>
    <w:uiPriority w:val="9"/>
    <w:unhideWhenUsed/>
    <w:qFormat/>
    <w:rsid w:val="00562240"/>
    <w:pPr>
      <w:keepNext/>
      <w:keepLines/>
      <w:spacing w:before="320" w:after="80" w:line="276" w:lineRule="auto"/>
      <w:jc w:val="left"/>
      <w:outlineLvl w:val="2"/>
    </w:pPr>
    <w:rPr>
      <w:rFonts w:ascii="Arial" w:eastAsia="Arial" w:hAnsi="Arial" w:cs="Arial"/>
      <w:noProof w:val="0"/>
      <w:color w:val="434343"/>
      <w:sz w:val="28"/>
      <w:szCs w:val="28"/>
      <w:lang w:val="en"/>
    </w:rPr>
  </w:style>
  <w:style w:type="paragraph" w:styleId="Heading4">
    <w:name w:val="heading 4"/>
    <w:basedOn w:val="Normal"/>
    <w:next w:val="Normal"/>
    <w:link w:val="Heading4Char"/>
    <w:uiPriority w:val="9"/>
    <w:unhideWhenUsed/>
    <w:qFormat/>
    <w:rsid w:val="00562240"/>
    <w:pPr>
      <w:keepNext/>
      <w:keepLines/>
      <w:spacing w:before="280" w:after="80" w:line="276" w:lineRule="auto"/>
      <w:jc w:val="left"/>
      <w:outlineLvl w:val="3"/>
    </w:pPr>
    <w:rPr>
      <w:rFonts w:ascii="Arial" w:eastAsia="Arial" w:hAnsi="Arial" w:cs="Arial"/>
      <w:noProof w:val="0"/>
      <w:color w:val="666666"/>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D67DBB"/>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D67DBB"/>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D67DBB"/>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D67DBB"/>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D67DBB"/>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D67DBB"/>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D67DBB"/>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D67DBB"/>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F407C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D67DBB"/>
    <w:pPr>
      <w:spacing w:line="260" w:lineRule="atLeast"/>
      <w:jc w:val="both"/>
    </w:pPr>
    <w:rPr>
      <w:rFonts w:ascii="Palatino Linotype" w:eastAsiaTheme="minorHAnsi" w:hAnsi="Palatino Linotype"/>
      <w:color w:val="00000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67DBB"/>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D67DBB"/>
    <w:rPr>
      <w:rFonts w:ascii="Palatino Linotype" w:eastAsiaTheme="minorHAnsi" w:hAnsi="Palatino Linotype"/>
      <w:noProof/>
      <w:color w:val="000000"/>
      <w:szCs w:val="18"/>
      <w:lang w:eastAsia="en-US"/>
    </w:rPr>
  </w:style>
  <w:style w:type="paragraph" w:styleId="Header">
    <w:name w:val="header"/>
    <w:basedOn w:val="Normal"/>
    <w:link w:val="HeaderChar"/>
    <w:uiPriority w:val="99"/>
    <w:rsid w:val="00D67DBB"/>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D67DBB"/>
    <w:rPr>
      <w:rFonts w:ascii="Palatino Linotype" w:eastAsiaTheme="minorHAnsi" w:hAnsi="Palatino Linotype"/>
      <w:noProof/>
      <w:color w:val="000000"/>
      <w:szCs w:val="18"/>
      <w:lang w:eastAsia="en-US"/>
    </w:rPr>
  </w:style>
  <w:style w:type="paragraph" w:customStyle="1" w:styleId="MDPIheaderjournallogo">
    <w:name w:val="MDPI_header_journal_logo"/>
    <w:qFormat/>
    <w:rsid w:val="00D67DBB"/>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D67DBB"/>
    <w:pPr>
      <w:ind w:firstLine="0"/>
    </w:pPr>
  </w:style>
  <w:style w:type="paragraph" w:customStyle="1" w:styleId="MDPI31text">
    <w:name w:val="MDPI_3.1_text"/>
    <w:qFormat/>
    <w:rsid w:val="00D67DB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D67DBB"/>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D67DBB"/>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D67DB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D67DBB"/>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D67DBB"/>
    <w:pPr>
      <w:numPr>
        <w:numId w:val="3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D67DBB"/>
    <w:pPr>
      <w:numPr>
        <w:numId w:val="36"/>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D67DBB"/>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D67DBB"/>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D67DBB"/>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D67DBB"/>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D67DBB"/>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D67DBB"/>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D67DBB"/>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D67DBB"/>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D67DBB"/>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D67DBB"/>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D67DBB"/>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67DBB"/>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D67DBB"/>
    <w:pPr>
      <w:numPr>
        <w:numId w:val="38"/>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D67DBB"/>
    <w:rPr>
      <w:rFonts w:cs="Tahoma"/>
      <w:szCs w:val="18"/>
    </w:rPr>
  </w:style>
  <w:style w:type="character" w:customStyle="1" w:styleId="BalloonTextChar">
    <w:name w:val="Balloon Text Char"/>
    <w:basedOn w:val="DefaultParagraphFont"/>
    <w:link w:val="BalloonText"/>
    <w:uiPriority w:val="99"/>
    <w:rsid w:val="00D67DBB"/>
    <w:rPr>
      <w:rFonts w:ascii="Palatino Linotype" w:eastAsiaTheme="minorHAnsi" w:hAnsi="Palatino Linotype" w:cs="Tahoma"/>
      <w:noProof/>
      <w:color w:val="000000"/>
      <w:szCs w:val="18"/>
      <w:lang w:eastAsia="en-US"/>
    </w:rPr>
  </w:style>
  <w:style w:type="character" w:styleId="LineNumber">
    <w:name w:val="line number"/>
    <w:uiPriority w:val="99"/>
    <w:rsid w:val="00D67DBB"/>
    <w:rPr>
      <w:rFonts w:ascii="Palatino Linotype" w:hAnsi="Palatino Linotype"/>
      <w:sz w:val="16"/>
    </w:rPr>
  </w:style>
  <w:style w:type="table" w:customStyle="1" w:styleId="MDPI41threelinetable">
    <w:name w:val="MDPI_4.1_three_line_table"/>
    <w:basedOn w:val="TableNormal"/>
    <w:uiPriority w:val="99"/>
    <w:rsid w:val="00D67DBB"/>
    <w:pPr>
      <w:adjustRightInd w:val="0"/>
      <w:snapToGrid w:val="0"/>
      <w:jc w:val="center"/>
    </w:pPr>
    <w:rPr>
      <w:rFonts w:ascii="Palatino Linotype" w:eastAsiaTheme="minorHAnsi" w:hAnsi="Palatino Linotype"/>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D67DBB"/>
    <w:rPr>
      <w:color w:val="0000FF"/>
      <w:u w:val="single"/>
    </w:rPr>
  </w:style>
  <w:style w:type="character" w:styleId="UnresolvedMention">
    <w:name w:val="Unresolved Mention"/>
    <w:uiPriority w:val="99"/>
    <w:semiHidden/>
    <w:unhideWhenUsed/>
    <w:rsid w:val="00A348AF"/>
    <w:rPr>
      <w:color w:val="605E5C"/>
      <w:shd w:val="clear" w:color="auto" w:fill="E1DFDD"/>
    </w:rPr>
  </w:style>
  <w:style w:type="table" w:styleId="PlainTable4">
    <w:name w:val="Plain Table 4"/>
    <w:basedOn w:val="TableNormal"/>
    <w:uiPriority w:val="44"/>
    <w:rsid w:val="005604E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D67DBB"/>
    <w:pPr>
      <w:adjustRightInd w:val="0"/>
      <w:snapToGrid w:val="0"/>
      <w:spacing w:line="240" w:lineRule="atLeast"/>
      <w:ind w:right="113"/>
    </w:pPr>
    <w:rPr>
      <w:rFonts w:ascii="Palatino Linotype" w:eastAsiaTheme="minorHAnsi" w:hAnsi="Palatino Linotype" w:cstheme="minorBidi"/>
      <w:sz w:val="14"/>
      <w:szCs w:val="22"/>
      <w:lang w:eastAsia="en-US"/>
    </w:rPr>
  </w:style>
  <w:style w:type="paragraph" w:customStyle="1" w:styleId="MDPI62BackMatter">
    <w:name w:val="MDPI_6.2_BackMatter"/>
    <w:qFormat/>
    <w:rsid w:val="00D67DBB"/>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D67DBB"/>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D67DBB"/>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D67DBB"/>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D67DBB"/>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eastAsia="en-US" w:bidi="en-US"/>
    </w:rPr>
  </w:style>
  <w:style w:type="paragraph" w:customStyle="1" w:styleId="MDPI511onefigurecaption">
    <w:name w:val="MDPI_5.1.1_one_figure_caption"/>
    <w:qFormat/>
    <w:rsid w:val="00D67DBB"/>
    <w:pPr>
      <w:adjustRightInd w:val="0"/>
      <w:snapToGrid w:val="0"/>
      <w:spacing w:before="240" w:after="120" w:line="260" w:lineRule="atLeast"/>
      <w:jc w:val="center"/>
    </w:pPr>
    <w:rPr>
      <w:rFonts w:ascii="Palatino Linotype" w:eastAsiaTheme="minorHAnsi" w:hAnsi="Palatino Linotype"/>
      <w:noProof/>
      <w:color w:val="000000"/>
      <w:sz w:val="18"/>
      <w:lang w:eastAsia="en-US" w:bidi="en-US"/>
    </w:rPr>
  </w:style>
  <w:style w:type="paragraph" w:customStyle="1" w:styleId="MDPI72Copyright">
    <w:name w:val="MDPI_7.2_Copyright"/>
    <w:qFormat/>
    <w:rsid w:val="00D67DBB"/>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D67DBB"/>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D67DBB"/>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D67DBB"/>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D67DBB"/>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D67DBB"/>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D67DBB"/>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D67DBB"/>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D67DBB"/>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D67DBB"/>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D67DBB"/>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basedOn w:val="DefaultParagraphFont"/>
    <w:rsid w:val="00D67DBB"/>
  </w:style>
  <w:style w:type="paragraph" w:styleId="Bibliography">
    <w:name w:val="Bibliography"/>
    <w:basedOn w:val="Normal"/>
    <w:next w:val="Normal"/>
    <w:uiPriority w:val="37"/>
    <w:unhideWhenUsed/>
    <w:rsid w:val="00D67DBB"/>
  </w:style>
  <w:style w:type="paragraph" w:styleId="BodyText">
    <w:name w:val="Body Text"/>
    <w:link w:val="BodyTextChar"/>
    <w:rsid w:val="00D67DBB"/>
    <w:pPr>
      <w:spacing w:after="120" w:line="340" w:lineRule="atLeast"/>
      <w:jc w:val="both"/>
    </w:pPr>
    <w:rPr>
      <w:rFonts w:ascii="Palatino Linotype" w:eastAsiaTheme="minorHAnsi" w:hAnsi="Palatino Linotype"/>
      <w:color w:val="000000"/>
      <w:sz w:val="24"/>
      <w:lang w:eastAsia="de-DE"/>
    </w:rPr>
  </w:style>
  <w:style w:type="character" w:customStyle="1" w:styleId="BodyTextChar">
    <w:name w:val="Body Text Char"/>
    <w:basedOn w:val="DefaultParagraphFont"/>
    <w:link w:val="BodyText"/>
    <w:rsid w:val="00D67DBB"/>
    <w:rPr>
      <w:rFonts w:ascii="Palatino Linotype" w:eastAsiaTheme="minorHAnsi" w:hAnsi="Palatino Linotype"/>
      <w:color w:val="000000"/>
      <w:sz w:val="24"/>
      <w:lang w:eastAsia="de-DE"/>
    </w:rPr>
  </w:style>
  <w:style w:type="character" w:styleId="CommentReference">
    <w:name w:val="annotation reference"/>
    <w:basedOn w:val="DefaultParagraphFont"/>
    <w:rsid w:val="00D67DBB"/>
    <w:rPr>
      <w:sz w:val="21"/>
      <w:szCs w:val="21"/>
    </w:rPr>
  </w:style>
  <w:style w:type="paragraph" w:styleId="CommentText">
    <w:name w:val="annotation text"/>
    <w:basedOn w:val="Normal"/>
    <w:link w:val="CommentTextChar"/>
    <w:rsid w:val="00D67DBB"/>
  </w:style>
  <w:style w:type="character" w:customStyle="1" w:styleId="CommentTextChar">
    <w:name w:val="Comment Text Char"/>
    <w:basedOn w:val="DefaultParagraphFont"/>
    <w:link w:val="CommentText"/>
    <w:rsid w:val="00D67DBB"/>
    <w:rPr>
      <w:rFonts w:ascii="Palatino Linotype" w:eastAsiaTheme="minorHAnsi" w:hAnsi="Palatino Linotype"/>
      <w:noProof/>
      <w:color w:val="000000"/>
      <w:lang w:eastAsia="en-US"/>
    </w:rPr>
  </w:style>
  <w:style w:type="paragraph" w:styleId="CommentSubject">
    <w:name w:val="annotation subject"/>
    <w:basedOn w:val="CommentText"/>
    <w:next w:val="CommentText"/>
    <w:link w:val="CommentSubjectChar"/>
    <w:rsid w:val="00D67DBB"/>
    <w:rPr>
      <w:b/>
      <w:bCs/>
    </w:rPr>
  </w:style>
  <w:style w:type="character" w:customStyle="1" w:styleId="CommentSubjectChar">
    <w:name w:val="Comment Subject Char"/>
    <w:basedOn w:val="CommentTextChar"/>
    <w:link w:val="CommentSubject"/>
    <w:rsid w:val="00D67DBB"/>
    <w:rPr>
      <w:rFonts w:ascii="Palatino Linotype" w:eastAsiaTheme="minorHAnsi" w:hAnsi="Palatino Linotype"/>
      <w:b/>
      <w:bCs/>
      <w:noProof/>
      <w:color w:val="000000"/>
      <w:lang w:eastAsia="en-US"/>
    </w:rPr>
  </w:style>
  <w:style w:type="character" w:styleId="EndnoteReference">
    <w:name w:val="endnote reference"/>
    <w:basedOn w:val="DefaultParagraphFont"/>
    <w:rsid w:val="00D67DBB"/>
    <w:rPr>
      <w:vertAlign w:val="superscript"/>
    </w:rPr>
  </w:style>
  <w:style w:type="paragraph" w:styleId="EndnoteText">
    <w:name w:val="endnote text"/>
    <w:basedOn w:val="Normal"/>
    <w:link w:val="EndnoteTextChar"/>
    <w:semiHidden/>
    <w:unhideWhenUsed/>
    <w:rsid w:val="00D67DBB"/>
    <w:pPr>
      <w:spacing w:line="240" w:lineRule="auto"/>
    </w:pPr>
  </w:style>
  <w:style w:type="character" w:customStyle="1" w:styleId="EndnoteTextChar">
    <w:name w:val="Endnote Text Char"/>
    <w:basedOn w:val="DefaultParagraphFont"/>
    <w:link w:val="EndnoteText"/>
    <w:semiHidden/>
    <w:rsid w:val="00D67DBB"/>
    <w:rPr>
      <w:rFonts w:ascii="Palatino Linotype" w:eastAsiaTheme="minorHAnsi" w:hAnsi="Palatino Linotype"/>
      <w:noProof/>
      <w:color w:val="000000"/>
      <w:lang w:eastAsia="en-US"/>
    </w:rPr>
  </w:style>
  <w:style w:type="character" w:styleId="FollowedHyperlink">
    <w:name w:val="FollowedHyperlink"/>
    <w:basedOn w:val="DefaultParagraphFont"/>
    <w:rsid w:val="00D67DBB"/>
    <w:rPr>
      <w:color w:val="954F72" w:themeColor="followedHyperlink"/>
      <w:u w:val="single"/>
    </w:rPr>
  </w:style>
  <w:style w:type="paragraph" w:styleId="FootnoteText">
    <w:name w:val="footnote text"/>
    <w:basedOn w:val="Normal"/>
    <w:link w:val="FootnoteTextChar"/>
    <w:semiHidden/>
    <w:unhideWhenUsed/>
    <w:rsid w:val="00D67DBB"/>
    <w:pPr>
      <w:spacing w:line="240" w:lineRule="auto"/>
    </w:pPr>
  </w:style>
  <w:style w:type="character" w:customStyle="1" w:styleId="FootnoteTextChar">
    <w:name w:val="Footnote Text Char"/>
    <w:basedOn w:val="DefaultParagraphFont"/>
    <w:link w:val="FootnoteText"/>
    <w:semiHidden/>
    <w:rsid w:val="00D67DBB"/>
    <w:rPr>
      <w:rFonts w:ascii="Palatino Linotype" w:eastAsiaTheme="minorHAnsi" w:hAnsi="Palatino Linotype"/>
      <w:noProof/>
      <w:color w:val="000000"/>
      <w:lang w:eastAsia="en-US"/>
    </w:rPr>
  </w:style>
  <w:style w:type="paragraph" w:styleId="NormalWeb">
    <w:name w:val="Normal (Web)"/>
    <w:basedOn w:val="Normal"/>
    <w:uiPriority w:val="99"/>
    <w:rsid w:val="00D67DBB"/>
    <w:rPr>
      <w:szCs w:val="24"/>
    </w:rPr>
  </w:style>
  <w:style w:type="paragraph" w:customStyle="1" w:styleId="MsoFootnoteText0">
    <w:name w:val="MsoFootnoteText"/>
    <w:basedOn w:val="NormalWeb"/>
    <w:qFormat/>
    <w:rsid w:val="00D67DBB"/>
    <w:rPr>
      <w:rFonts w:ascii="Times New Roman" w:hAnsi="Times New Roman"/>
    </w:rPr>
  </w:style>
  <w:style w:type="character" w:styleId="PageNumber">
    <w:name w:val="page number"/>
    <w:basedOn w:val="DefaultParagraphFont"/>
    <w:rsid w:val="00D67DBB"/>
  </w:style>
  <w:style w:type="character" w:styleId="PlaceholderText">
    <w:name w:val="Placeholder Text"/>
    <w:basedOn w:val="DefaultParagraphFont"/>
    <w:uiPriority w:val="99"/>
    <w:semiHidden/>
    <w:rsid w:val="00D67DBB"/>
    <w:rPr>
      <w:color w:val="808080"/>
    </w:rPr>
  </w:style>
  <w:style w:type="paragraph" w:customStyle="1" w:styleId="MDPI71FootNotes">
    <w:name w:val="MDPI_7.1_FootNotes"/>
    <w:qFormat/>
    <w:rsid w:val="00D67DBB"/>
    <w:pPr>
      <w:numPr>
        <w:numId w:val="37"/>
      </w:numPr>
      <w:adjustRightInd w:val="0"/>
      <w:snapToGrid w:val="0"/>
      <w:spacing w:line="228" w:lineRule="auto"/>
      <w:jc w:val="both"/>
    </w:pPr>
    <w:rPr>
      <w:rFonts w:ascii="Palatino Linotype" w:eastAsiaTheme="minorHAnsi" w:hAnsi="Palatino Linotype"/>
      <w:noProof/>
      <w:color w:val="000000"/>
      <w:sz w:val="18"/>
      <w:lang w:eastAsia="en-US"/>
    </w:rPr>
  </w:style>
  <w:style w:type="character" w:customStyle="1" w:styleId="Heading2Char">
    <w:name w:val="Heading 2 Char"/>
    <w:basedOn w:val="DefaultParagraphFont"/>
    <w:link w:val="Heading2"/>
    <w:uiPriority w:val="9"/>
    <w:rsid w:val="00562240"/>
    <w:rPr>
      <w:rFonts w:ascii="Arial" w:eastAsia="Arial" w:hAnsi="Arial" w:cs="Arial"/>
      <w:sz w:val="32"/>
      <w:szCs w:val="32"/>
      <w:lang w:val="en" w:eastAsia="en-US"/>
    </w:rPr>
  </w:style>
  <w:style w:type="character" w:customStyle="1" w:styleId="Heading3Char">
    <w:name w:val="Heading 3 Char"/>
    <w:basedOn w:val="DefaultParagraphFont"/>
    <w:link w:val="Heading3"/>
    <w:uiPriority w:val="9"/>
    <w:rsid w:val="00562240"/>
    <w:rPr>
      <w:rFonts w:ascii="Arial" w:eastAsia="Arial" w:hAnsi="Arial" w:cs="Arial"/>
      <w:color w:val="434343"/>
      <w:sz w:val="28"/>
      <w:szCs w:val="28"/>
      <w:lang w:val="en" w:eastAsia="en-US"/>
    </w:rPr>
  </w:style>
  <w:style w:type="character" w:customStyle="1" w:styleId="Heading4Char">
    <w:name w:val="Heading 4 Char"/>
    <w:basedOn w:val="DefaultParagraphFont"/>
    <w:link w:val="Heading4"/>
    <w:uiPriority w:val="9"/>
    <w:rsid w:val="00562240"/>
    <w:rPr>
      <w:rFonts w:ascii="Arial" w:eastAsia="Arial" w:hAnsi="Arial" w:cs="Arial"/>
      <w:color w:val="666666"/>
      <w:sz w:val="24"/>
      <w:szCs w:val="24"/>
      <w:lang w:val="en" w:eastAsia="en-US"/>
    </w:rPr>
  </w:style>
  <w:style w:type="character" w:customStyle="1" w:styleId="normaltextrun">
    <w:name w:val="normaltextrun"/>
    <w:basedOn w:val="DefaultParagraphFont"/>
    <w:rsid w:val="00562240"/>
  </w:style>
  <w:style w:type="character" w:styleId="FootnoteReference">
    <w:name w:val="footnote reference"/>
    <w:basedOn w:val="DefaultParagraphFont"/>
    <w:uiPriority w:val="99"/>
    <w:semiHidden/>
    <w:unhideWhenUsed/>
    <w:rsid w:val="00562240"/>
    <w:rPr>
      <w:vertAlign w:val="superscript"/>
    </w:rPr>
  </w:style>
  <w:style w:type="paragraph" w:styleId="ListParagraph">
    <w:name w:val="List Paragraph"/>
    <w:basedOn w:val="Normal"/>
    <w:uiPriority w:val="34"/>
    <w:qFormat/>
    <w:rsid w:val="00562240"/>
    <w:pPr>
      <w:spacing w:line="276" w:lineRule="auto"/>
      <w:ind w:left="720"/>
      <w:contextualSpacing/>
      <w:jc w:val="left"/>
    </w:pPr>
    <w:rPr>
      <w:rFonts w:ascii="Arial" w:eastAsia="Arial" w:hAnsi="Arial" w:cs="Arial"/>
      <w:noProof w:val="0"/>
      <w:color w:val="auto"/>
      <w:sz w:val="22"/>
      <w:szCs w:val="22"/>
      <w:lang w:val="en"/>
    </w:rPr>
  </w:style>
  <w:style w:type="paragraph" w:customStyle="1" w:styleId="Footnote">
    <w:name w:val="Footnote"/>
    <w:basedOn w:val="Normal"/>
    <w:qFormat/>
    <w:rsid w:val="00562240"/>
    <w:pPr>
      <w:spacing w:line="240" w:lineRule="auto"/>
      <w:jc w:val="center"/>
    </w:pPr>
    <w:rPr>
      <w:rFonts w:ascii="Arial" w:hAnsi="Arial" w:cs="Arial"/>
      <w:noProof w:val="0"/>
      <w:color w:val="auto"/>
      <w:sz w:val="22"/>
      <w:szCs w:val="22"/>
    </w:rPr>
  </w:style>
  <w:style w:type="paragraph" w:styleId="Revision">
    <w:name w:val="Revision"/>
    <w:hidden/>
    <w:uiPriority w:val="99"/>
    <w:semiHidden/>
    <w:rsid w:val="00D67DBB"/>
    <w:rPr>
      <w:rFonts w:ascii="Palatino Linotype" w:eastAsiaTheme="minorHAnsi" w:hAnsi="Palatino Linotype"/>
      <w:noProof/>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nejati@unl.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Word%20templates\membran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BAB4D-2E09-4B14-B6F4-4996764E5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membranes-template.dot</Template>
  <TotalTime>1</TotalTime>
  <Pages>20</Pages>
  <Words>6827</Words>
  <Characters>35672</Characters>
  <Application>Microsoft Office Word</Application>
  <DocSecurity>0</DocSecurity>
  <Lines>1075</Lines>
  <Paragraphs>671</Paragraphs>
  <ScaleCrop>false</ScaleCrop>
  <HeadingPairs>
    <vt:vector size="2" baseType="variant">
      <vt:variant>
        <vt:lpstr>Title</vt:lpstr>
      </vt:variant>
      <vt:variant>
        <vt:i4>1</vt:i4>
      </vt:variant>
    </vt:vector>
  </HeadingPairs>
  <TitlesOfParts>
    <vt:vector size="1" baseType="lpstr">
      <vt:lpstr>S</vt:lpstr>
    </vt:vector>
  </TitlesOfParts>
  <Company/>
  <LinksUpToDate>false</LinksUpToDate>
  <CharactersWithSpaces>41869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MDPI</dc:creator>
  <cp:keywords/>
  <dc:description/>
  <cp:lastModifiedBy>MDPI-21</cp:lastModifiedBy>
  <cp:revision>3</cp:revision>
  <dcterms:created xsi:type="dcterms:W3CDTF">2022-09-24T15:27:00Z</dcterms:created>
  <dcterms:modified xsi:type="dcterms:W3CDTF">2022-10-05T15:38:00Z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e9653477f1267bd2920900a2773ff2dd43a3661970b04d0b7aab52b74818a403</vt:lpwstr>
  </property>
</Properties>
</file>