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57" w:rsidRPr="003C1587" w:rsidRDefault="009F7B57" w:rsidP="009F7B57">
      <w:pPr>
        <w:pStyle w:val="4"/>
        <w:spacing w:after="0" w:line="480" w:lineRule="auto"/>
        <w:rPr>
          <w:i w:val="0"/>
          <w:lang w:val="en-US"/>
        </w:rPr>
      </w:pPr>
      <w:r w:rsidRPr="002412C7">
        <w:rPr>
          <w:i w:val="0"/>
          <w:lang w:val="en-US"/>
        </w:rPr>
        <w:t xml:space="preserve">Combined Fungicide Treatment Affects Soil Microbial Community and </w:t>
      </w:r>
      <w:r>
        <w:rPr>
          <w:i w:val="0"/>
          <w:lang w:val="en-US"/>
        </w:rPr>
        <w:t xml:space="preserve">Incidences of </w:t>
      </w:r>
      <w:r w:rsidRPr="002412C7">
        <w:rPr>
          <w:i w:val="0"/>
          <w:lang w:val="en-US"/>
        </w:rPr>
        <w:t xml:space="preserve">Fungal Diseases </w:t>
      </w:r>
      <w:r>
        <w:rPr>
          <w:i w:val="0"/>
          <w:lang w:val="en-US"/>
        </w:rPr>
        <w:t>on</w:t>
      </w:r>
      <w:r w:rsidRPr="002412C7">
        <w:rPr>
          <w:i w:val="0"/>
          <w:lang w:val="en-US"/>
        </w:rPr>
        <w:t xml:space="preserve"> Wheat</w:t>
      </w:r>
    </w:p>
    <w:p w:rsidR="009F7B57" w:rsidRPr="00A7057D" w:rsidRDefault="009F7B57" w:rsidP="009F7B57">
      <w:pPr>
        <w:spacing w:line="480" w:lineRule="auto"/>
        <w:rPr>
          <w:lang w:val="en-US"/>
        </w:rPr>
      </w:pPr>
    </w:p>
    <w:p w:rsidR="009F7B57" w:rsidRPr="00DF03BE" w:rsidRDefault="009F7B57" w:rsidP="009F7B57">
      <w:pPr>
        <w:spacing w:line="480" w:lineRule="auto"/>
        <w:rPr>
          <w:lang w:val="en-US"/>
        </w:rPr>
      </w:pPr>
      <w:r w:rsidRPr="00DF03BE">
        <w:rPr>
          <w:lang w:val="en-US"/>
        </w:rPr>
        <w:t>Alexey S. Vasilchenko</w:t>
      </w:r>
      <w:r>
        <w:rPr>
          <w:vertAlign w:val="superscript"/>
          <w:lang w:val="en-US"/>
        </w:rPr>
        <w:t>1</w:t>
      </w:r>
      <w:r w:rsidRPr="00DF03BE">
        <w:rPr>
          <w:lang w:val="en-US"/>
        </w:rPr>
        <w:t xml:space="preserve">*, </w:t>
      </w:r>
      <w:r>
        <w:rPr>
          <w:lang w:val="en-US"/>
        </w:rPr>
        <w:t>Darya V. Poshvina</w:t>
      </w:r>
      <w:r>
        <w:rPr>
          <w:vertAlign w:val="superscript"/>
          <w:lang w:val="en-US"/>
        </w:rPr>
        <w:t>1</w:t>
      </w:r>
      <w:r>
        <w:rPr>
          <w:lang w:val="en-US"/>
        </w:rPr>
        <w:t>, Mikhail V. Semenov</w:t>
      </w:r>
      <w:r w:rsidRPr="001C4490">
        <w:rPr>
          <w:vertAlign w:val="superscript"/>
          <w:lang w:val="en-US"/>
        </w:rPr>
        <w:t>1,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Vyacheslav</w:t>
      </w:r>
      <w:proofErr w:type="spellEnd"/>
      <w:r>
        <w:rPr>
          <w:lang w:val="en-US"/>
        </w:rPr>
        <w:t xml:space="preserve"> Timofeev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Artyom</w:t>
      </w:r>
      <w:proofErr w:type="spellEnd"/>
      <w:r>
        <w:rPr>
          <w:lang w:val="en-US"/>
        </w:rPr>
        <w:t xml:space="preserve"> Stepanov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proofErr w:type="spellStart"/>
      <w:r w:rsidRPr="002F2A66">
        <w:rPr>
          <w:color w:val="242424"/>
          <w:shd w:val="clear" w:color="auto" w:fill="FFFFFF"/>
          <w:lang w:val="en-US"/>
        </w:rPr>
        <w:t>Arina</w:t>
      </w:r>
      <w:proofErr w:type="spellEnd"/>
      <w:r w:rsidRPr="002F2A66">
        <w:rPr>
          <w:color w:val="242424"/>
          <w:shd w:val="clear" w:color="auto" w:fill="FFFFFF"/>
          <w:lang w:val="en-US"/>
        </w:rPr>
        <w:t xml:space="preserve"> N. Pervushina</w:t>
      </w:r>
      <w:r w:rsidRPr="002F2A66">
        <w:rPr>
          <w:color w:val="242424"/>
          <w:shd w:val="clear" w:color="auto" w:fill="FFFFFF"/>
          <w:vertAlign w:val="superscript"/>
          <w:lang w:val="en-US"/>
        </w:rPr>
        <w:t xml:space="preserve">1 </w:t>
      </w:r>
      <w:r>
        <w:rPr>
          <w:lang w:val="en-US"/>
        </w:rPr>
        <w:t xml:space="preserve">and </w:t>
      </w:r>
      <w:r w:rsidRPr="00DF03BE">
        <w:rPr>
          <w:lang w:val="en-US"/>
        </w:rPr>
        <w:t xml:space="preserve">Anastasia V. Vasilchenko </w:t>
      </w:r>
      <w:r>
        <w:rPr>
          <w:vertAlign w:val="superscript"/>
          <w:lang w:val="en-US"/>
        </w:rPr>
        <w:t>1</w:t>
      </w:r>
    </w:p>
    <w:p w:rsidR="009F7B57" w:rsidRDefault="009F7B57" w:rsidP="009F7B57">
      <w:pPr>
        <w:spacing w:line="480" w:lineRule="auto"/>
        <w:rPr>
          <w:lang w:val="en-US"/>
        </w:rPr>
      </w:pPr>
      <w:r>
        <w:rPr>
          <w:vertAlign w:val="superscript"/>
          <w:lang w:val="en-US"/>
        </w:rPr>
        <w:t>1</w:t>
      </w:r>
      <w:r w:rsidRPr="00837018">
        <w:rPr>
          <w:lang w:val="en-US"/>
        </w:rPr>
        <w:t xml:space="preserve">Laboratory of </w:t>
      </w:r>
      <w:r>
        <w:rPr>
          <w:lang w:val="en-US"/>
        </w:rPr>
        <w:t>Antimicrobial Resistance,</w:t>
      </w:r>
      <w:r w:rsidRPr="00837018">
        <w:rPr>
          <w:lang w:val="en-US"/>
        </w:rPr>
        <w:t xml:space="preserve"> Institute of Environmental and Agricultural Biology (X-BIO), Tyumen State University, Tyumen, Russia</w:t>
      </w:r>
      <w:r>
        <w:rPr>
          <w:lang w:val="en-US"/>
        </w:rPr>
        <w:t>n Federation</w:t>
      </w:r>
    </w:p>
    <w:p w:rsidR="009F7B57" w:rsidRPr="002412C7" w:rsidRDefault="009F7B57" w:rsidP="009F7B57">
      <w:pPr>
        <w:spacing w:line="480" w:lineRule="auto"/>
        <w:rPr>
          <w:rFonts w:eastAsia="Times New Roman"/>
          <w:color w:val="111111"/>
          <w:lang w:val="en-US"/>
        </w:rPr>
      </w:pPr>
      <w:r w:rsidRPr="002412C7">
        <w:rPr>
          <w:vertAlign w:val="superscript"/>
          <w:lang w:val="en-US"/>
        </w:rPr>
        <w:t xml:space="preserve">2 </w:t>
      </w:r>
      <w:proofErr w:type="spellStart"/>
      <w:r w:rsidRPr="002412C7">
        <w:rPr>
          <w:color w:val="111111"/>
          <w:lang w:val="en-US"/>
        </w:rPr>
        <w:t>Dokuchaev</w:t>
      </w:r>
      <w:proofErr w:type="spellEnd"/>
      <w:r w:rsidRPr="002412C7">
        <w:rPr>
          <w:color w:val="111111"/>
          <w:lang w:val="en-US"/>
        </w:rPr>
        <w:t xml:space="preserve"> Soil Science Institute</w:t>
      </w:r>
      <w:r>
        <w:rPr>
          <w:color w:val="111111"/>
          <w:lang w:val="en-US"/>
        </w:rPr>
        <w:t xml:space="preserve">, Moscow, </w:t>
      </w:r>
      <w:r w:rsidRPr="00837018">
        <w:rPr>
          <w:lang w:val="en-US"/>
        </w:rPr>
        <w:t>Russia</w:t>
      </w:r>
      <w:r>
        <w:rPr>
          <w:lang w:val="en-US"/>
        </w:rPr>
        <w:t>n Federation</w:t>
      </w:r>
    </w:p>
    <w:p w:rsidR="009F7B57" w:rsidRDefault="009F7B57" w:rsidP="009F7B57">
      <w:pPr>
        <w:spacing w:line="480" w:lineRule="auto"/>
        <w:rPr>
          <w:color w:val="222222"/>
          <w:szCs w:val="28"/>
          <w:shd w:val="clear" w:color="auto" w:fill="FFFFFF"/>
          <w:lang w:val="en-US"/>
        </w:rPr>
      </w:pPr>
      <w:r>
        <w:rPr>
          <w:vertAlign w:val="superscript"/>
          <w:lang w:val="en-US"/>
        </w:rPr>
        <w:t xml:space="preserve">3 </w:t>
      </w:r>
      <w:r w:rsidRPr="002F2A66">
        <w:rPr>
          <w:color w:val="222222"/>
          <w:szCs w:val="28"/>
          <w:shd w:val="clear" w:color="auto" w:fill="FFFFFF"/>
          <w:lang w:val="en-US"/>
        </w:rPr>
        <w:t>Scientific Research Institute of Agriculture for Northern Trans-Ural Region </w:t>
      </w:r>
      <w:r w:rsidRPr="002F2A66">
        <w:rPr>
          <w:b/>
          <w:bCs/>
          <w:color w:val="222222"/>
          <w:szCs w:val="28"/>
          <w:shd w:val="clear" w:color="auto" w:fill="FFFFFF"/>
          <w:lang w:val="en-US"/>
        </w:rPr>
        <w:t>-</w:t>
      </w:r>
      <w:r w:rsidRPr="002F2A66">
        <w:rPr>
          <w:color w:val="222222"/>
          <w:szCs w:val="28"/>
          <w:shd w:val="clear" w:color="auto" w:fill="FFFFFF"/>
          <w:lang w:val="en-US"/>
        </w:rPr>
        <w:t> Branch of Tyumen Scientific Centre SB RAS</w:t>
      </w:r>
    </w:p>
    <w:p w:rsidR="009F7B57" w:rsidRDefault="009F7B57" w:rsidP="009F7B57">
      <w:pPr>
        <w:spacing w:line="480" w:lineRule="auto"/>
        <w:rPr>
          <w:color w:val="222222"/>
          <w:szCs w:val="28"/>
          <w:shd w:val="clear" w:color="auto" w:fill="FFFFFF"/>
          <w:lang w:val="en-US"/>
        </w:rPr>
      </w:pPr>
    </w:p>
    <w:p w:rsidR="003D34A7" w:rsidRPr="009F7B57" w:rsidRDefault="003D34A7">
      <w:pPr>
        <w:rPr>
          <w:lang w:val="en-US"/>
        </w:rPr>
      </w:pPr>
      <w:bookmarkStart w:id="0" w:name="_GoBack"/>
      <w:bookmarkEnd w:id="0"/>
    </w:p>
    <w:p w:rsidR="009F7B57" w:rsidRPr="009F7B57" w:rsidRDefault="009F7B57">
      <w:pPr>
        <w:rPr>
          <w:lang w:val="en-US"/>
        </w:rPr>
      </w:pPr>
    </w:p>
    <w:p w:rsidR="009F7B57" w:rsidRPr="00CE1418" w:rsidRDefault="009F7B57" w:rsidP="009F7B57">
      <w:pPr>
        <w:spacing w:line="480" w:lineRule="auto"/>
        <w:rPr>
          <w:b/>
          <w:lang w:val="en-US"/>
        </w:rPr>
      </w:pPr>
      <w:r w:rsidRPr="00CE1418">
        <w:rPr>
          <w:b/>
          <w:lang w:val="en-US"/>
        </w:rPr>
        <w:t>Supplementary material</w:t>
      </w:r>
    </w:p>
    <w:p w:rsidR="009F7B57" w:rsidRDefault="009F7B57" w:rsidP="009F7B57">
      <w:pPr>
        <w:spacing w:line="480" w:lineRule="auto"/>
        <w:rPr>
          <w:lang w:val="en-US"/>
        </w:rPr>
      </w:pPr>
    </w:p>
    <w:p w:rsidR="009F7B57" w:rsidRPr="006B248B" w:rsidRDefault="009F7B57" w:rsidP="009F7B57">
      <w:pPr>
        <w:spacing w:line="480" w:lineRule="auto"/>
        <w:rPr>
          <w:lang w:val="en-US"/>
        </w:rPr>
      </w:pPr>
      <w:r w:rsidRPr="006B248B">
        <w:rPr>
          <w:lang w:val="en-US"/>
        </w:rPr>
        <w:t>Table S1</w:t>
      </w:r>
      <w:r w:rsidRPr="006B248B">
        <w:rPr>
          <w:rFonts w:eastAsia="Times New Roman"/>
          <w:color w:val="222222"/>
          <w:lang w:val="en-US"/>
        </w:rPr>
        <w:t xml:space="preserve">. The genera of </w:t>
      </w:r>
      <w:r>
        <w:rPr>
          <w:rFonts w:eastAsia="Times New Roman"/>
          <w:color w:val="222222"/>
          <w:lang w:val="en-US"/>
        </w:rPr>
        <w:t xml:space="preserve">soil </w:t>
      </w:r>
      <w:r w:rsidRPr="006B248B">
        <w:rPr>
          <w:rFonts w:eastAsia="Times New Roman"/>
          <w:color w:val="222222"/>
          <w:lang w:val="en-US"/>
        </w:rPr>
        <w:t xml:space="preserve">bacteria and fungi that were </w:t>
      </w:r>
      <w:r>
        <w:rPr>
          <w:rFonts w:eastAsia="Times New Roman"/>
          <w:color w:val="222222"/>
          <w:lang w:val="en-US"/>
        </w:rPr>
        <w:t xml:space="preserve">not detected in 16S </w:t>
      </w:r>
      <w:proofErr w:type="spellStart"/>
      <w:r>
        <w:rPr>
          <w:rFonts w:eastAsia="Times New Roman"/>
          <w:color w:val="222222"/>
          <w:lang w:val="en-US"/>
        </w:rPr>
        <w:t>rRNA</w:t>
      </w:r>
      <w:proofErr w:type="spellEnd"/>
      <w:r>
        <w:rPr>
          <w:rFonts w:eastAsia="Times New Roman"/>
          <w:color w:val="222222"/>
          <w:lang w:val="en-US"/>
        </w:rPr>
        <w:t xml:space="preserve"> and ITS sequence libraries</w:t>
      </w:r>
    </w:p>
    <w:tbl>
      <w:tblPr>
        <w:tblW w:w="9165" w:type="dxa"/>
        <w:tblInd w:w="75" w:type="dxa"/>
        <w:tblBorders>
          <w:top w:val="single" w:sz="12" w:space="0" w:color="111111"/>
          <w:bottom w:val="single" w:sz="12" w:space="0" w:color="11111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2756"/>
        <w:gridCol w:w="2077"/>
        <w:gridCol w:w="2076"/>
      </w:tblGrid>
      <w:tr w:rsidR="009F7B57" w:rsidRPr="00F333CE" w:rsidTr="00B45D5D">
        <w:trPr>
          <w:tblHeader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b/>
                <w:color w:val="222222"/>
                <w:lang w:val="en-US"/>
              </w:rPr>
            </w:pPr>
            <w:r w:rsidRPr="006B248B">
              <w:rPr>
                <w:rFonts w:eastAsia="Times New Roman"/>
                <w:b/>
                <w:color w:val="222222"/>
                <w:lang w:val="en-US"/>
              </w:rPr>
              <w:t xml:space="preserve">Bacteria which are absent in </w:t>
            </w:r>
            <w:r>
              <w:rPr>
                <w:rFonts w:eastAsia="Times New Roman"/>
                <w:b/>
                <w:color w:val="222222"/>
                <w:lang w:val="en-US"/>
              </w:rPr>
              <w:t xml:space="preserve">the </w:t>
            </w:r>
            <w:r w:rsidRPr="006B248B">
              <w:rPr>
                <w:rFonts w:eastAsia="Times New Roman"/>
                <w:b/>
                <w:color w:val="222222"/>
                <w:lang w:val="en-US"/>
              </w:rPr>
              <w:t>fungicide treated soil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b/>
                <w:color w:val="222222"/>
                <w:lang w:val="en-US"/>
              </w:rPr>
            </w:pPr>
            <w:r w:rsidRPr="006B248B">
              <w:rPr>
                <w:rFonts w:eastAsia="Times New Roman"/>
                <w:b/>
                <w:color w:val="222222"/>
                <w:lang w:val="en-US"/>
              </w:rPr>
              <w:t>Bacteria which are absent in</w:t>
            </w:r>
            <w:r>
              <w:rPr>
                <w:rFonts w:eastAsia="Times New Roman"/>
                <w:b/>
                <w:color w:val="222222"/>
                <w:lang w:val="en-US"/>
              </w:rPr>
              <w:t xml:space="preserve"> the</w:t>
            </w:r>
            <w:r w:rsidRPr="006B248B">
              <w:rPr>
                <w:rFonts w:eastAsia="Times New Roman"/>
                <w:b/>
                <w:color w:val="222222"/>
                <w:lang w:val="en-US"/>
              </w:rPr>
              <w:t xml:space="preserve"> intact soil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b/>
                <w:color w:val="222222"/>
                <w:lang w:val="en-US"/>
              </w:rPr>
            </w:pPr>
            <w:r w:rsidRPr="006B248B">
              <w:rPr>
                <w:rFonts w:eastAsia="Times New Roman"/>
                <w:b/>
                <w:color w:val="222222"/>
                <w:lang w:val="en-US"/>
              </w:rPr>
              <w:t xml:space="preserve">Fungi </w:t>
            </w:r>
            <w:bookmarkStart w:id="1" w:name="_Hlk106103224"/>
            <w:r w:rsidRPr="006B248B">
              <w:rPr>
                <w:rFonts w:eastAsia="Times New Roman"/>
                <w:b/>
                <w:color w:val="222222"/>
                <w:lang w:val="en-US"/>
              </w:rPr>
              <w:t xml:space="preserve">which are absent in </w:t>
            </w:r>
            <w:r>
              <w:rPr>
                <w:rFonts w:eastAsia="Times New Roman"/>
                <w:b/>
                <w:color w:val="222222"/>
                <w:lang w:val="en-US"/>
              </w:rPr>
              <w:t xml:space="preserve">the </w:t>
            </w:r>
            <w:r w:rsidRPr="006B248B">
              <w:rPr>
                <w:rFonts w:eastAsia="Times New Roman"/>
                <w:b/>
                <w:color w:val="222222"/>
                <w:lang w:val="en-US"/>
              </w:rPr>
              <w:t>fungicide treated soil</w:t>
            </w:r>
            <w:bookmarkEnd w:id="1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b/>
                <w:color w:val="222222"/>
                <w:lang w:val="en-US"/>
              </w:rPr>
            </w:pPr>
            <w:r w:rsidRPr="006B248B">
              <w:rPr>
                <w:rFonts w:eastAsia="Times New Roman"/>
                <w:b/>
                <w:color w:val="222222"/>
                <w:lang w:val="en-US"/>
              </w:rPr>
              <w:t>Fungi which are absent in</w:t>
            </w:r>
            <w:r>
              <w:rPr>
                <w:rFonts w:eastAsia="Times New Roman"/>
                <w:b/>
                <w:color w:val="222222"/>
                <w:lang w:val="en-US"/>
              </w:rPr>
              <w:t xml:space="preserve"> the</w:t>
            </w:r>
            <w:r w:rsidRPr="006B248B">
              <w:rPr>
                <w:rFonts w:eastAsia="Times New Roman"/>
                <w:b/>
                <w:color w:val="222222"/>
                <w:lang w:val="en-US"/>
              </w:rPr>
              <w:t xml:space="preserve"> intact soil</w:t>
            </w: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Tardiphaga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  <w:lang w:val="en-US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Glycomyces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Rhizopus</w:t>
            </w:r>
            <w:proofErr w:type="spellEnd"/>
            <w:r w:rsidRPr="00ED7B60">
              <w:rPr>
                <w:rFonts w:eastAsia="Times New Roman"/>
                <w:i/>
                <w:color w:val="222222"/>
              </w:rPr>
              <w:t xml:space="preserve"> </w:t>
            </w:r>
            <w:proofErr w:type="spellStart"/>
            <w:r w:rsidRPr="00ED7B60">
              <w:rPr>
                <w:rFonts w:eastAsia="Times New Roman"/>
                <w:i/>
                <w:color w:val="222222"/>
              </w:rPr>
              <w:t>elegans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Arthrographis</w:t>
            </w:r>
            <w:proofErr w:type="spellEnd"/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Chryseolinea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Actinosynnema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Gliomastix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bCs/>
                <w:i/>
                <w:color w:val="000000"/>
              </w:rPr>
              <w:t>Lecythophora</w:t>
            </w:r>
            <w:proofErr w:type="spellEnd"/>
            <w:r w:rsidRPr="00ED7B60">
              <w:rPr>
                <w:bCs/>
                <w:i/>
                <w:color w:val="000000"/>
              </w:rPr>
              <w:t xml:space="preserve"> </w:t>
            </w: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Salinisphaera_A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Hyphomicrobium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Idriella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lastRenderedPageBreak/>
              <w:t>Devosia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Promicromonospora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Agrocybe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Kaistia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Pseudoduganella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Conocybe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Luteitalea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Chryseobacterium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Schizothecium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UBA1315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QHVH01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Flavobacterium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DP-6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PMG-095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17J80-11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ED7B60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i/>
                <w:color w:val="222222"/>
              </w:rPr>
            </w:pPr>
            <w:proofErr w:type="spellStart"/>
            <w:r w:rsidRPr="00ED7B60">
              <w:rPr>
                <w:rFonts w:eastAsia="Times New Roman"/>
                <w:i/>
                <w:color w:val="222222"/>
              </w:rPr>
              <w:t>Herminiimonas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Ga0077541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Opi-474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JACDCK01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  <w:tr w:rsidR="009F7B57" w:rsidRPr="006B248B" w:rsidTr="00B45D5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SHYK01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  <w:r w:rsidRPr="006B248B">
              <w:rPr>
                <w:rFonts w:eastAsia="Times New Roman"/>
                <w:color w:val="222222"/>
              </w:rPr>
              <w:t>Palsa-1392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F7B57" w:rsidRPr="006B248B" w:rsidRDefault="009F7B57" w:rsidP="00B45D5D">
            <w:pPr>
              <w:spacing w:before="150" w:after="150" w:line="480" w:lineRule="auto"/>
              <w:jc w:val="center"/>
              <w:rPr>
                <w:rFonts w:eastAsia="Times New Roman"/>
                <w:color w:val="222222"/>
              </w:rPr>
            </w:pPr>
          </w:p>
        </w:tc>
      </w:tr>
    </w:tbl>
    <w:p w:rsidR="009F7B57" w:rsidRPr="009405AF" w:rsidRDefault="009F7B57" w:rsidP="009F7B57">
      <w:pPr>
        <w:spacing w:line="480" w:lineRule="auto"/>
        <w:rPr>
          <w:rFonts w:cstheme="minorHAnsi"/>
          <w:lang w:val="en-US"/>
        </w:rPr>
      </w:pPr>
    </w:p>
    <w:p w:rsidR="009F7B57" w:rsidRPr="00C94A01" w:rsidRDefault="009F7B57" w:rsidP="009F7B57">
      <w:pPr>
        <w:spacing w:line="480" w:lineRule="auto"/>
        <w:ind w:firstLine="567"/>
        <w:jc w:val="both"/>
        <w:rPr>
          <w:lang w:val="en-US"/>
        </w:rPr>
      </w:pPr>
    </w:p>
    <w:p w:rsidR="009F7B57" w:rsidRDefault="009F7B57"/>
    <w:sectPr w:rsidR="009F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57"/>
    <w:rsid w:val="003D34A7"/>
    <w:rsid w:val="009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D494"/>
  <w15:chartTrackingRefBased/>
  <w15:docId w15:val="{914F1745-7FEF-44A7-A5CD-09DE3D04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F7B57"/>
    <w:pPr>
      <w:keepNext/>
      <w:spacing w:before="240" w:after="240"/>
      <w:outlineLvl w:val="3"/>
    </w:pPr>
    <w:rPr>
      <w:b/>
      <w:bCs/>
      <w:i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7B57"/>
    <w:rPr>
      <w:rFonts w:ascii="Times New Roman" w:eastAsia="MS Mincho" w:hAnsi="Times New Roman" w:cs="Times New Roman"/>
      <w:b/>
      <w:bCs/>
      <w:i/>
      <w:sz w:val="26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Vasilchenko</dc:creator>
  <cp:keywords/>
  <dc:description/>
  <cp:lastModifiedBy>Alexey Vasilchenko</cp:lastModifiedBy>
  <cp:revision>1</cp:revision>
  <dcterms:created xsi:type="dcterms:W3CDTF">2022-08-22T06:57:00Z</dcterms:created>
  <dcterms:modified xsi:type="dcterms:W3CDTF">2022-08-22T06:58:00Z</dcterms:modified>
</cp:coreProperties>
</file>