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D8E2C" w14:textId="32E1F57A" w:rsidR="00D85BAF" w:rsidRDefault="0061067B">
      <w:pPr>
        <w:rPr>
          <w:rFonts w:ascii="Arial" w:hAnsi="Arial" w:cs="Arial"/>
          <w:b/>
        </w:rPr>
      </w:pPr>
      <w:bookmarkStart w:id="0" w:name="_GoBack"/>
      <w:bookmarkEnd w:id="0"/>
      <w:r w:rsidRPr="000C39FE">
        <w:rPr>
          <w:rFonts w:ascii="Arial" w:hAnsi="Arial" w:cs="Arial"/>
          <w:b/>
        </w:rPr>
        <w:t>Supplementary information</w:t>
      </w:r>
    </w:p>
    <w:p w14:paraId="21932808" w14:textId="667727BE" w:rsidR="00F55193" w:rsidRDefault="009A69C2">
      <w:pPr>
        <w:rPr>
          <w:rFonts w:ascii="Arial" w:hAnsi="Arial" w:cs="Arial"/>
          <w:bCs/>
        </w:rPr>
      </w:pPr>
      <w:r>
        <w:rPr>
          <w:rFonts w:ascii="Arial" w:hAnsi="Arial" w:cs="Arial"/>
          <w:bCs/>
        </w:rPr>
        <w:t>F</w:t>
      </w:r>
      <w:r w:rsidR="00F55193">
        <w:rPr>
          <w:rFonts w:ascii="Arial" w:hAnsi="Arial" w:cs="Arial"/>
          <w:bCs/>
        </w:rPr>
        <w:t xml:space="preserve">igures </w:t>
      </w:r>
      <w:r w:rsidR="00456C3A">
        <w:rPr>
          <w:rFonts w:ascii="Arial" w:hAnsi="Arial" w:cs="Arial"/>
          <w:bCs/>
        </w:rPr>
        <w:t>S</w:t>
      </w:r>
      <w:r w:rsidR="00F55193">
        <w:rPr>
          <w:rFonts w:ascii="Arial" w:hAnsi="Arial" w:cs="Arial"/>
          <w:bCs/>
        </w:rPr>
        <w:t xml:space="preserve">1 </w:t>
      </w:r>
      <w:r w:rsidR="003660C3">
        <w:rPr>
          <w:rFonts w:ascii="Arial" w:hAnsi="Arial" w:cs="Arial"/>
          <w:bCs/>
        </w:rPr>
        <w:t xml:space="preserve">– </w:t>
      </w:r>
      <w:r w:rsidR="00456C3A">
        <w:rPr>
          <w:rFonts w:ascii="Arial" w:hAnsi="Arial" w:cs="Arial"/>
          <w:bCs/>
        </w:rPr>
        <w:t>S</w:t>
      </w:r>
      <w:r w:rsidR="003660C3">
        <w:rPr>
          <w:rFonts w:ascii="Arial" w:hAnsi="Arial" w:cs="Arial"/>
          <w:bCs/>
        </w:rPr>
        <w:t>1</w:t>
      </w:r>
      <w:r w:rsidR="00CD1C67">
        <w:rPr>
          <w:rFonts w:ascii="Arial" w:hAnsi="Arial" w:cs="Arial"/>
          <w:bCs/>
        </w:rPr>
        <w:t>3</w:t>
      </w:r>
      <w:r w:rsidR="003660C3">
        <w:rPr>
          <w:rFonts w:ascii="Arial" w:hAnsi="Arial" w:cs="Arial"/>
          <w:bCs/>
        </w:rPr>
        <w:t>.</w:t>
      </w:r>
    </w:p>
    <w:p w14:paraId="52B7B587" w14:textId="6BAA1FBC" w:rsidR="00F55193" w:rsidRPr="00F55193" w:rsidRDefault="00F55193">
      <w:pPr>
        <w:rPr>
          <w:rFonts w:ascii="Arial" w:hAnsi="Arial" w:cs="Arial"/>
          <w:bCs/>
        </w:rPr>
      </w:pPr>
      <w:r>
        <w:rPr>
          <w:rFonts w:ascii="Arial" w:hAnsi="Arial" w:cs="Arial"/>
          <w:bCs/>
        </w:rPr>
        <w:t>Table</w:t>
      </w:r>
      <w:r w:rsidR="003660C3">
        <w:rPr>
          <w:rFonts w:ascii="Arial" w:hAnsi="Arial" w:cs="Arial"/>
          <w:bCs/>
        </w:rPr>
        <w:t>s</w:t>
      </w:r>
      <w:r>
        <w:rPr>
          <w:rFonts w:ascii="Arial" w:hAnsi="Arial" w:cs="Arial"/>
          <w:bCs/>
        </w:rPr>
        <w:t xml:space="preserve"> </w:t>
      </w:r>
      <w:r w:rsidR="00456C3A">
        <w:rPr>
          <w:rFonts w:ascii="Arial" w:hAnsi="Arial" w:cs="Arial"/>
          <w:bCs/>
        </w:rPr>
        <w:t>S</w:t>
      </w:r>
      <w:r>
        <w:rPr>
          <w:rFonts w:ascii="Arial" w:hAnsi="Arial" w:cs="Arial"/>
          <w:bCs/>
        </w:rPr>
        <w:t xml:space="preserve">1 </w:t>
      </w:r>
      <w:r w:rsidR="003660C3">
        <w:rPr>
          <w:rFonts w:ascii="Arial" w:hAnsi="Arial" w:cs="Arial"/>
          <w:bCs/>
        </w:rPr>
        <w:t>–</w:t>
      </w:r>
      <w:r>
        <w:rPr>
          <w:rFonts w:ascii="Arial" w:hAnsi="Arial" w:cs="Arial"/>
          <w:bCs/>
        </w:rPr>
        <w:t xml:space="preserve"> </w:t>
      </w:r>
      <w:r w:rsidR="00456C3A">
        <w:rPr>
          <w:rFonts w:ascii="Arial" w:hAnsi="Arial" w:cs="Arial"/>
          <w:bCs/>
        </w:rPr>
        <w:t>S</w:t>
      </w:r>
      <w:r w:rsidR="003660C3">
        <w:rPr>
          <w:rFonts w:ascii="Arial" w:hAnsi="Arial" w:cs="Arial"/>
          <w:bCs/>
        </w:rPr>
        <w:t>6.</w:t>
      </w:r>
    </w:p>
    <w:p w14:paraId="5BC84FF5" w14:textId="77777777" w:rsidR="00F55193" w:rsidRPr="000C39FE" w:rsidRDefault="00F55193">
      <w:pPr>
        <w:rPr>
          <w:rFonts w:ascii="Arial" w:hAnsi="Arial" w:cs="Arial"/>
          <w:b/>
        </w:rPr>
      </w:pPr>
    </w:p>
    <w:p w14:paraId="05C20BEC" w14:textId="3096981A" w:rsidR="000C39FE" w:rsidRDefault="00696650">
      <w:pPr>
        <w:rPr>
          <w:b/>
        </w:rPr>
      </w:pPr>
      <w:r w:rsidRPr="00696650">
        <w:rPr>
          <w:b/>
          <w:noProof/>
        </w:rPr>
        <w:drawing>
          <wp:inline distT="0" distB="0" distL="0" distR="0" wp14:anchorId="03660BC3" wp14:editId="4EAA3509">
            <wp:extent cx="5731510" cy="4658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658360"/>
                    </a:xfrm>
                    <a:prstGeom prst="rect">
                      <a:avLst/>
                    </a:prstGeom>
                    <a:noFill/>
                    <a:ln>
                      <a:noFill/>
                    </a:ln>
                  </pic:spPr>
                </pic:pic>
              </a:graphicData>
            </a:graphic>
          </wp:inline>
        </w:drawing>
      </w:r>
    </w:p>
    <w:p w14:paraId="18C1ADDB" w14:textId="77777777" w:rsidR="000C39FE" w:rsidRDefault="000C39FE">
      <w:pPr>
        <w:rPr>
          <w:b/>
        </w:rPr>
      </w:pPr>
    </w:p>
    <w:p w14:paraId="0CB45542" w14:textId="739CC079" w:rsidR="006C5E5E" w:rsidRPr="006C5E5E" w:rsidRDefault="00456C3A" w:rsidP="006C5E5E">
      <w:pPr>
        <w:jc w:val="both"/>
        <w:rPr>
          <w:rFonts w:ascii="Arial" w:hAnsi="Arial" w:cs="Arial"/>
          <w:b/>
          <w:szCs w:val="24"/>
          <w:lang w:val="en-US"/>
        </w:rPr>
      </w:pPr>
      <w:r>
        <w:rPr>
          <w:rFonts w:ascii="Arial" w:hAnsi="Arial" w:cs="Arial"/>
          <w:b/>
          <w:bCs/>
        </w:rPr>
        <w:t>F</w:t>
      </w:r>
      <w:r w:rsidR="000C39FE">
        <w:rPr>
          <w:rFonts w:ascii="Arial" w:hAnsi="Arial" w:cs="Arial"/>
          <w:b/>
          <w:bCs/>
        </w:rPr>
        <w:t xml:space="preserve">igure </w:t>
      </w:r>
      <w:r>
        <w:rPr>
          <w:rFonts w:ascii="Arial" w:hAnsi="Arial" w:cs="Arial"/>
          <w:b/>
          <w:bCs/>
        </w:rPr>
        <w:t>S</w:t>
      </w:r>
      <w:r w:rsidR="000C39FE">
        <w:rPr>
          <w:rFonts w:ascii="Arial" w:hAnsi="Arial" w:cs="Arial"/>
          <w:b/>
          <w:bCs/>
        </w:rPr>
        <w:t>1</w:t>
      </w:r>
      <w:r w:rsidR="000C39FE" w:rsidRPr="003E686B">
        <w:rPr>
          <w:rFonts w:ascii="Arial" w:hAnsi="Arial" w:cs="Arial"/>
          <w:b/>
          <w:bCs/>
        </w:rPr>
        <w:t xml:space="preserve">: </w:t>
      </w:r>
      <w:r w:rsidR="006C5E5E" w:rsidRPr="006C5E5E">
        <w:rPr>
          <w:rFonts w:ascii="Arial" w:hAnsi="Arial" w:cs="Arial"/>
          <w:b/>
          <w:szCs w:val="24"/>
          <w:lang w:val="en-US"/>
        </w:rPr>
        <w:t xml:space="preserve">Correlation between the Abs(680nm)-Abs(750nm) value and amounts of chlorophyll measured following methanol extraction. </w:t>
      </w:r>
      <w:r w:rsidR="006C5E5E">
        <w:rPr>
          <w:rFonts w:ascii="Arial" w:hAnsi="Arial" w:cs="Arial"/>
          <w:szCs w:val="24"/>
          <w:lang w:val="en-US"/>
        </w:rPr>
        <w:t>S</w:t>
      </w:r>
      <w:r w:rsidR="006C5E5E" w:rsidRPr="006C5E5E">
        <w:rPr>
          <w:rFonts w:ascii="Arial" w:hAnsi="Arial" w:cs="Arial"/>
          <w:szCs w:val="24"/>
          <w:lang w:val="en-US"/>
        </w:rPr>
        <w:t>amples were measured at absorbance of 750nm and 680nm, followed by extraction with methanol to measure chlorophyll concentration. Amount of chlorophyll was correlated with absorbance (A</w:t>
      </w:r>
      <w:r w:rsidR="006C5E5E" w:rsidRPr="006C5E5E">
        <w:rPr>
          <w:rFonts w:ascii="Arial" w:hAnsi="Arial" w:cs="Arial"/>
          <w:szCs w:val="24"/>
          <w:vertAlign w:val="subscript"/>
          <w:lang w:val="en-US"/>
        </w:rPr>
        <w:t>680</w:t>
      </w:r>
      <w:r w:rsidR="006C5E5E" w:rsidRPr="006C5E5E">
        <w:rPr>
          <w:rFonts w:ascii="Arial" w:hAnsi="Arial" w:cs="Arial"/>
          <w:szCs w:val="24"/>
          <w:lang w:val="en-US"/>
        </w:rPr>
        <w:t>-A</w:t>
      </w:r>
      <w:r w:rsidR="006C5E5E" w:rsidRPr="006C5E5E">
        <w:rPr>
          <w:rFonts w:ascii="Arial" w:hAnsi="Arial" w:cs="Arial"/>
          <w:szCs w:val="24"/>
          <w:vertAlign w:val="subscript"/>
          <w:lang w:val="en-US"/>
        </w:rPr>
        <w:t>750</w:t>
      </w:r>
      <w:r w:rsidR="006C5E5E" w:rsidRPr="006C5E5E">
        <w:rPr>
          <w:rFonts w:ascii="Arial" w:hAnsi="Arial" w:cs="Arial"/>
          <w:szCs w:val="24"/>
          <w:lang w:val="en-US"/>
        </w:rPr>
        <w:t>). The regression line is shown. The slope of the regression line (R</w:t>
      </w:r>
      <w:r w:rsidR="006C5E5E" w:rsidRPr="006C5E5E">
        <w:rPr>
          <w:rFonts w:ascii="Arial" w:hAnsi="Arial" w:cs="Arial"/>
          <w:szCs w:val="24"/>
          <w:vertAlign w:val="superscript"/>
          <w:lang w:val="en-US"/>
        </w:rPr>
        <w:t>2</w:t>
      </w:r>
      <w:r w:rsidR="006C5E5E" w:rsidRPr="006C5E5E">
        <w:rPr>
          <w:rFonts w:ascii="Arial" w:hAnsi="Arial" w:cs="Arial"/>
          <w:szCs w:val="24"/>
          <w:lang w:val="en-US"/>
        </w:rPr>
        <w:t xml:space="preserve">) was </w:t>
      </w:r>
      <w:r w:rsidR="006C5E5E">
        <w:rPr>
          <w:rFonts w:ascii="Arial" w:hAnsi="Arial" w:cs="Arial"/>
          <w:szCs w:val="24"/>
          <w:lang w:val="en-US"/>
        </w:rPr>
        <w:t xml:space="preserve">then </w:t>
      </w:r>
      <w:r w:rsidR="006C5E5E" w:rsidRPr="006C5E5E">
        <w:rPr>
          <w:rFonts w:ascii="Arial" w:hAnsi="Arial" w:cs="Arial"/>
          <w:szCs w:val="24"/>
          <w:lang w:val="en-US"/>
        </w:rPr>
        <w:t xml:space="preserve">calculated. </w:t>
      </w:r>
    </w:p>
    <w:p w14:paraId="00542580" w14:textId="717B31E5" w:rsidR="0061067B" w:rsidRDefault="0061067B">
      <w:pPr>
        <w:rPr>
          <w:b/>
        </w:rPr>
      </w:pPr>
    </w:p>
    <w:p w14:paraId="7308EEE0" w14:textId="10FC55BC" w:rsidR="00896445" w:rsidRDefault="00970E68">
      <w:pPr>
        <w:rPr>
          <w:b/>
        </w:rPr>
      </w:pPr>
      <w:r w:rsidRPr="00970E68">
        <w:rPr>
          <w:b/>
          <w:noProof/>
        </w:rPr>
        <w:lastRenderedPageBreak/>
        <w:drawing>
          <wp:inline distT="0" distB="0" distL="0" distR="0" wp14:anchorId="2B021A6C" wp14:editId="522282AF">
            <wp:extent cx="4178847" cy="3724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327" t="1318"/>
                    <a:stretch/>
                  </pic:blipFill>
                  <pic:spPr bwMode="auto">
                    <a:xfrm>
                      <a:off x="0" y="0"/>
                      <a:ext cx="4192526" cy="3736466"/>
                    </a:xfrm>
                    <a:prstGeom prst="rect">
                      <a:avLst/>
                    </a:prstGeom>
                    <a:noFill/>
                    <a:ln>
                      <a:noFill/>
                    </a:ln>
                    <a:extLst>
                      <a:ext uri="{53640926-AAD7-44D8-BBD7-CCE9431645EC}">
                        <a14:shadowObscured xmlns:a14="http://schemas.microsoft.com/office/drawing/2010/main"/>
                      </a:ext>
                    </a:extLst>
                  </pic:spPr>
                </pic:pic>
              </a:graphicData>
            </a:graphic>
          </wp:inline>
        </w:drawing>
      </w:r>
    </w:p>
    <w:p w14:paraId="3B71BED3" w14:textId="0AA81CA1" w:rsidR="00970E68" w:rsidRDefault="00970E68">
      <w:pPr>
        <w:rPr>
          <w:b/>
        </w:rPr>
      </w:pPr>
      <w:r w:rsidRPr="00970E68">
        <w:rPr>
          <w:b/>
          <w:noProof/>
        </w:rPr>
        <w:drawing>
          <wp:inline distT="0" distB="0" distL="0" distR="0" wp14:anchorId="31DF0B59" wp14:editId="13F9709E">
            <wp:extent cx="4143375" cy="37617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207" r="1829"/>
                    <a:stretch/>
                  </pic:blipFill>
                  <pic:spPr bwMode="auto">
                    <a:xfrm>
                      <a:off x="0" y="0"/>
                      <a:ext cx="4147688" cy="3765656"/>
                    </a:xfrm>
                    <a:prstGeom prst="rect">
                      <a:avLst/>
                    </a:prstGeom>
                    <a:noFill/>
                    <a:ln>
                      <a:noFill/>
                    </a:ln>
                    <a:extLst>
                      <a:ext uri="{53640926-AAD7-44D8-BBD7-CCE9431645EC}">
                        <a14:shadowObscured xmlns:a14="http://schemas.microsoft.com/office/drawing/2010/main"/>
                      </a:ext>
                    </a:extLst>
                  </pic:spPr>
                </pic:pic>
              </a:graphicData>
            </a:graphic>
          </wp:inline>
        </w:drawing>
      </w:r>
    </w:p>
    <w:p w14:paraId="0CCD0F69" w14:textId="31D4DC41" w:rsidR="00D24A0E" w:rsidRDefault="00D24A0E">
      <w:pPr>
        <w:rPr>
          <w:b/>
        </w:rPr>
      </w:pPr>
    </w:p>
    <w:p w14:paraId="3315A34F" w14:textId="77777777" w:rsidR="00AD169E" w:rsidRPr="00AD169E" w:rsidRDefault="00D24A0E" w:rsidP="00AD169E">
      <w:pPr>
        <w:shd w:val="clear" w:color="auto" w:fill="FFFFFF"/>
        <w:textAlignment w:val="baseline"/>
        <w:rPr>
          <w:rFonts w:ascii="Calibri" w:eastAsia="Times New Roman" w:hAnsi="Calibri" w:cs="Calibri"/>
          <w:color w:val="000000"/>
          <w:sz w:val="24"/>
          <w:szCs w:val="24"/>
          <w:lang w:eastAsia="en-GB"/>
        </w:rPr>
      </w:pPr>
      <w:r>
        <w:rPr>
          <w:rFonts w:ascii="Arial" w:hAnsi="Arial" w:cs="Arial"/>
          <w:b/>
          <w:bCs/>
        </w:rPr>
        <w:t>Figure S2</w:t>
      </w:r>
      <w:r w:rsidRPr="003E686B">
        <w:rPr>
          <w:rFonts w:ascii="Arial" w:hAnsi="Arial" w:cs="Arial"/>
          <w:b/>
          <w:bCs/>
        </w:rPr>
        <w:t>:</w:t>
      </w:r>
      <w:r>
        <w:rPr>
          <w:rFonts w:ascii="Arial" w:hAnsi="Arial" w:cs="Arial"/>
          <w:b/>
          <w:bCs/>
        </w:rPr>
        <w:t xml:space="preserve"> </w:t>
      </w:r>
      <w:bookmarkStart w:id="1" w:name="_Hlk102575733"/>
      <w:r>
        <w:rPr>
          <w:rFonts w:ascii="Arial" w:hAnsi="Arial" w:cs="Arial"/>
          <w:b/>
          <w:bCs/>
        </w:rPr>
        <w:t xml:space="preserve">Plasmids pTS011 and pTS012. </w:t>
      </w:r>
      <w:bookmarkEnd w:id="1"/>
      <w:r w:rsidR="00896445">
        <w:rPr>
          <w:rFonts w:ascii="Arial" w:hAnsi="Arial" w:cs="Arial"/>
        </w:rPr>
        <w:t xml:space="preserve">Plasmid pTS011 </w:t>
      </w:r>
      <w:r w:rsidR="00970E68">
        <w:rPr>
          <w:rFonts w:ascii="Arial" w:hAnsi="Arial" w:cs="Arial"/>
        </w:rPr>
        <w:t>(</w:t>
      </w:r>
      <w:r w:rsidR="00970E68">
        <w:rPr>
          <w:rFonts w:ascii="Arial" w:hAnsi="Arial" w:cs="Arial"/>
          <w:i/>
          <w:iCs/>
        </w:rPr>
        <w:t>top</w:t>
      </w:r>
      <w:r w:rsidR="00970E68">
        <w:rPr>
          <w:rFonts w:ascii="Arial" w:hAnsi="Arial" w:cs="Arial"/>
        </w:rPr>
        <w:t>)</w:t>
      </w:r>
      <w:r w:rsidR="00970E68">
        <w:rPr>
          <w:rFonts w:ascii="Arial" w:hAnsi="Arial" w:cs="Arial"/>
          <w:i/>
          <w:iCs/>
        </w:rPr>
        <w:t xml:space="preserve"> </w:t>
      </w:r>
      <w:r w:rsidR="00896445">
        <w:rPr>
          <w:rFonts w:ascii="Arial" w:hAnsi="Arial" w:cs="Arial"/>
        </w:rPr>
        <w:t xml:space="preserve">was used to sequence the region </w:t>
      </w:r>
      <w:r w:rsidR="006F7160">
        <w:rPr>
          <w:rFonts w:ascii="Arial" w:hAnsi="Arial" w:cs="Arial"/>
        </w:rPr>
        <w:t>1000</w:t>
      </w:r>
      <w:r w:rsidR="008564D2">
        <w:rPr>
          <w:rFonts w:ascii="Arial" w:hAnsi="Arial" w:cs="Arial"/>
        </w:rPr>
        <w:t xml:space="preserve"> bp upstream </w:t>
      </w:r>
      <w:r w:rsidR="00F22EF9">
        <w:rPr>
          <w:rFonts w:ascii="Arial" w:hAnsi="Arial" w:cs="Arial"/>
        </w:rPr>
        <w:t xml:space="preserve">and 500 bp downstream of the WT </w:t>
      </w:r>
      <w:r w:rsidR="00896445" w:rsidRPr="00896445">
        <w:rPr>
          <w:rFonts w:ascii="Arial" w:hAnsi="Arial" w:cs="Arial"/>
          <w:i/>
          <w:iCs/>
        </w:rPr>
        <w:t>metE</w:t>
      </w:r>
      <w:r w:rsidR="008564D2">
        <w:rPr>
          <w:rFonts w:ascii="Arial" w:hAnsi="Arial" w:cs="Arial"/>
        </w:rPr>
        <w:t xml:space="preserve"> gene start codon</w:t>
      </w:r>
      <w:r w:rsidR="00896445">
        <w:rPr>
          <w:rFonts w:ascii="Arial" w:hAnsi="Arial" w:cs="Arial"/>
        </w:rPr>
        <w:t>, for comparison with both the published sequence and that of the B12ind_5 strain</w:t>
      </w:r>
      <w:r w:rsidR="00970E68">
        <w:rPr>
          <w:rFonts w:ascii="Arial" w:hAnsi="Arial" w:cs="Arial"/>
        </w:rPr>
        <w:t xml:space="preserve"> (cloned in pTS012, </w:t>
      </w:r>
      <w:r w:rsidR="00970E68" w:rsidRPr="00970E68">
        <w:rPr>
          <w:rFonts w:ascii="Arial" w:hAnsi="Arial" w:cs="Arial"/>
          <w:i/>
          <w:iCs/>
        </w:rPr>
        <w:t>bottom</w:t>
      </w:r>
      <w:r w:rsidR="00970E68">
        <w:rPr>
          <w:rFonts w:ascii="Arial" w:hAnsi="Arial" w:cs="Arial"/>
        </w:rPr>
        <w:t>)</w:t>
      </w:r>
      <w:r w:rsidR="00896445">
        <w:rPr>
          <w:rFonts w:ascii="Arial" w:hAnsi="Arial" w:cs="Arial"/>
        </w:rPr>
        <w:t xml:space="preserve">. Annotated GenBank files can be found in </w:t>
      </w:r>
      <w:r w:rsidR="00AD169E" w:rsidRPr="00AD169E">
        <w:rPr>
          <w:rFonts w:ascii="Calibri" w:eastAsia="Times New Roman" w:hAnsi="Calibri" w:cs="Calibri"/>
          <w:color w:val="000000"/>
          <w:sz w:val="24"/>
          <w:szCs w:val="24"/>
          <w:lang w:eastAsia="en-GB"/>
        </w:rPr>
        <w:lastRenderedPageBreak/>
        <w:t>pTS011: </w:t>
      </w:r>
      <w:hyperlink r:id="rId8" w:tgtFrame="_blank" w:tooltip="Original URL: https://benchling.com/s/seq-t6xsILttV82C2VMouGmb?m=slm-pIdDqYWKUrCx2dqMOCLo. Click or tap if you trust this link." w:history="1">
        <w:r w:rsidR="00AD169E" w:rsidRPr="00AD169E">
          <w:rPr>
            <w:rFonts w:ascii="Calibri" w:eastAsia="Times New Roman" w:hAnsi="Calibri" w:cs="Calibri"/>
            <w:color w:val="0000FF"/>
            <w:sz w:val="24"/>
            <w:szCs w:val="24"/>
            <w:u w:val="single"/>
            <w:bdr w:val="none" w:sz="0" w:space="0" w:color="auto" w:frame="1"/>
            <w:lang w:eastAsia="en-GB"/>
          </w:rPr>
          <w:t>https://benchling.com/s/seq-t6xsILttV82C2VMouGmb?m=slm-pIdDqYWKUrCx2dqMOCLo</w:t>
        </w:r>
      </w:hyperlink>
    </w:p>
    <w:p w14:paraId="6026CBE3" w14:textId="77777777" w:rsidR="00AD169E" w:rsidRPr="00AD169E" w:rsidRDefault="00AD169E" w:rsidP="00AD169E">
      <w:pPr>
        <w:shd w:val="clear" w:color="auto" w:fill="FFFFFF"/>
        <w:spacing w:after="0" w:line="240" w:lineRule="auto"/>
        <w:textAlignment w:val="baseline"/>
        <w:rPr>
          <w:rFonts w:ascii="Calibri" w:eastAsia="Times New Roman" w:hAnsi="Calibri" w:cs="Calibri"/>
          <w:color w:val="000000"/>
          <w:sz w:val="24"/>
          <w:szCs w:val="24"/>
          <w:lang w:eastAsia="en-GB"/>
        </w:rPr>
      </w:pPr>
      <w:r w:rsidRPr="00AD169E">
        <w:rPr>
          <w:rFonts w:ascii="Calibri" w:eastAsia="Times New Roman" w:hAnsi="Calibri" w:cs="Calibri"/>
          <w:color w:val="000000"/>
          <w:sz w:val="24"/>
          <w:szCs w:val="24"/>
          <w:lang w:eastAsia="en-GB"/>
        </w:rPr>
        <w:t>pTS012: </w:t>
      </w:r>
      <w:hyperlink r:id="rId9" w:tgtFrame="_blank" w:tooltip="Original URL: https://benchling.com/s/seq-hnUCIuMPolpxaGYDBPQs?m=slm-e9O29Gmllg5hovbBXnhF. Click or tap if you trust this link." w:history="1">
        <w:r w:rsidRPr="00AD169E">
          <w:rPr>
            <w:rFonts w:ascii="Calibri" w:eastAsia="Times New Roman" w:hAnsi="Calibri" w:cs="Calibri"/>
            <w:color w:val="0000FF"/>
            <w:sz w:val="24"/>
            <w:szCs w:val="24"/>
            <w:u w:val="single"/>
            <w:bdr w:val="none" w:sz="0" w:space="0" w:color="auto" w:frame="1"/>
            <w:lang w:eastAsia="en-GB"/>
          </w:rPr>
          <w:t>https://benchling.com/s/seq-hnUCIuMPolpxaGYDBPQs?m=slm-e9O29Gmllg5hovbBXnhF</w:t>
        </w:r>
      </w:hyperlink>
    </w:p>
    <w:p w14:paraId="4E126A6D" w14:textId="4B68BA87" w:rsidR="00D24A0E" w:rsidRPr="00896445" w:rsidRDefault="00D24A0E">
      <w:pPr>
        <w:rPr>
          <w:rFonts w:ascii="Arial" w:hAnsi="Arial" w:cs="Arial"/>
        </w:rPr>
      </w:pPr>
    </w:p>
    <w:p w14:paraId="4318F41A" w14:textId="0A6546EB" w:rsidR="00896445" w:rsidRDefault="00896445">
      <w:pPr>
        <w:rPr>
          <w:b/>
        </w:rPr>
      </w:pPr>
    </w:p>
    <w:p w14:paraId="372F4830" w14:textId="5CC68B82" w:rsidR="0061067B" w:rsidRDefault="00951C11">
      <w:pPr>
        <w:rPr>
          <w:b/>
        </w:rPr>
      </w:pPr>
      <w:r>
        <w:rPr>
          <w:noProof/>
        </w:rPr>
        <w:drawing>
          <wp:inline distT="0" distB="0" distL="0" distR="0" wp14:anchorId="095A231C" wp14:editId="0F6E4B5F">
            <wp:extent cx="5713859" cy="4219074"/>
            <wp:effectExtent l="0" t="0" r="0" b="0"/>
            <wp:docPr id="15" name="Picture 1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595" cy="4228478"/>
                    </a:xfrm>
                    <a:prstGeom prst="rect">
                      <a:avLst/>
                    </a:prstGeom>
                    <a:noFill/>
                    <a:ln>
                      <a:noFill/>
                    </a:ln>
                  </pic:spPr>
                </pic:pic>
              </a:graphicData>
            </a:graphic>
          </wp:inline>
        </w:drawing>
      </w:r>
    </w:p>
    <w:p w14:paraId="50CE9845" w14:textId="77777777" w:rsidR="00456C3A" w:rsidRDefault="00456C3A" w:rsidP="00BF2B43">
      <w:pPr>
        <w:jc w:val="both"/>
        <w:rPr>
          <w:rFonts w:ascii="Arial" w:hAnsi="Arial" w:cs="Arial"/>
          <w:b/>
          <w:bCs/>
        </w:rPr>
      </w:pPr>
    </w:p>
    <w:p w14:paraId="2BF1251E" w14:textId="59C1662D" w:rsidR="0061067B" w:rsidRPr="003E686B" w:rsidRDefault="00456C3A"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3</w:t>
      </w:r>
      <w:r w:rsidR="00C7773E" w:rsidRPr="003E686B">
        <w:rPr>
          <w:rFonts w:ascii="Arial" w:hAnsi="Arial" w:cs="Arial"/>
          <w:b/>
          <w:bCs/>
        </w:rPr>
        <w:t xml:space="preserve">: Schematic detailing the pathways involved in </w:t>
      </w:r>
      <w:r w:rsidR="00AD5EB7">
        <w:rPr>
          <w:rFonts w:ascii="Arial" w:hAnsi="Arial" w:cs="Arial"/>
          <w:b/>
          <w:bCs/>
        </w:rPr>
        <w:t xml:space="preserve">PCC 11901 </w:t>
      </w:r>
      <w:r w:rsidR="00C7773E" w:rsidRPr="003E686B">
        <w:rPr>
          <w:rFonts w:ascii="Arial" w:hAnsi="Arial" w:cs="Arial"/>
          <w:b/>
          <w:bCs/>
        </w:rPr>
        <w:t>central metabolism.</w:t>
      </w:r>
      <w:r w:rsidR="00C7773E" w:rsidRPr="003E686B">
        <w:rPr>
          <w:rFonts w:ascii="Arial" w:hAnsi="Arial" w:cs="Arial"/>
        </w:rPr>
        <w:t xml:space="preserve"> Biosynthetic steps involved in glycolysis and gluconeogenesis are highlighted in red and blue respectively. Steps in the Entner-Doudoroff pathway are highlighted in green. Steps involved in the oxidative pentose phosphate pathway and the Calvin-Benson-Bassham cycle are highlighted in orange and purple, respectively. Fermentation pathways are highlighted in pink. Photorespiration pathways are highlighted in olive. Where enzymes catalyse reactions in two pathways, the arrows are split between their respective colours. The carboyxsome is represented as a purple octagon. Cofactors in each reaction are shown with the exception of protons, water, oxygen and inorganic phosphate. Proteins with low sequence similarity to </w:t>
      </w:r>
      <w:r w:rsidR="00AD5EB7">
        <w:rPr>
          <w:rFonts w:ascii="Arial" w:hAnsi="Arial" w:cs="Arial"/>
        </w:rPr>
        <w:t>PCC 6803</w:t>
      </w:r>
      <w:r w:rsidR="00C7773E" w:rsidRPr="003E686B">
        <w:rPr>
          <w:rFonts w:ascii="Arial" w:hAnsi="Arial" w:cs="Arial"/>
        </w:rPr>
        <w:t xml:space="preserve"> enzymes are highlighted in red.</w:t>
      </w:r>
    </w:p>
    <w:p w14:paraId="5D29C34B" w14:textId="77777777" w:rsidR="00BF2B43" w:rsidRPr="003E686B" w:rsidRDefault="00BF2B43" w:rsidP="00BF2B43">
      <w:pPr>
        <w:jc w:val="both"/>
        <w:rPr>
          <w:rFonts w:ascii="Arial" w:hAnsi="Arial" w:cs="Arial"/>
        </w:rPr>
      </w:pPr>
    </w:p>
    <w:p w14:paraId="2635F475" w14:textId="77777777" w:rsidR="00BF2B43" w:rsidRDefault="00BF2B43" w:rsidP="00BF2B43">
      <w:pPr>
        <w:jc w:val="both"/>
      </w:pPr>
      <w:r w:rsidRPr="00BF2B43">
        <w:rPr>
          <w:noProof/>
          <w:lang w:eastAsia="en-GB"/>
        </w:rPr>
        <w:lastRenderedPageBreak/>
        <w:drawing>
          <wp:inline distT="0" distB="0" distL="0" distR="0" wp14:anchorId="79BC1066" wp14:editId="3ECE252C">
            <wp:extent cx="5705475" cy="2434973"/>
            <wp:effectExtent l="0" t="0" r="0" b="3810"/>
            <wp:docPr id="3" name="Picture 3" descr="D:\11901\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901\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4226" cy="2438708"/>
                    </a:xfrm>
                    <a:prstGeom prst="rect">
                      <a:avLst/>
                    </a:prstGeom>
                    <a:noFill/>
                    <a:ln>
                      <a:noFill/>
                    </a:ln>
                  </pic:spPr>
                </pic:pic>
              </a:graphicData>
            </a:graphic>
          </wp:inline>
        </w:drawing>
      </w:r>
    </w:p>
    <w:p w14:paraId="08510261" w14:textId="77777777" w:rsidR="00456C3A" w:rsidRDefault="00456C3A" w:rsidP="00BF2B43">
      <w:pPr>
        <w:jc w:val="both"/>
        <w:rPr>
          <w:rFonts w:ascii="Arial" w:hAnsi="Arial" w:cs="Arial"/>
          <w:b/>
          <w:bCs/>
        </w:rPr>
      </w:pPr>
    </w:p>
    <w:p w14:paraId="7EEFE8AB" w14:textId="3941BF10" w:rsidR="00BF2B43" w:rsidRPr="00702665" w:rsidRDefault="00456C3A"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4</w:t>
      </w:r>
      <w:r w:rsidR="00BF2B43" w:rsidRPr="00702665">
        <w:rPr>
          <w:rFonts w:ascii="Arial" w:hAnsi="Arial" w:cs="Arial"/>
          <w:b/>
          <w:bCs/>
        </w:rPr>
        <w:t>: Metabolism and degradation of nucleotide sugars and sugar osmolytes</w:t>
      </w:r>
      <w:r w:rsidR="00702665">
        <w:rPr>
          <w:rFonts w:ascii="Arial" w:hAnsi="Arial" w:cs="Arial"/>
          <w:b/>
          <w:bCs/>
        </w:rPr>
        <w:t xml:space="preserve"> in PCC 11901</w:t>
      </w:r>
      <w:r w:rsidR="00BF2B43" w:rsidRPr="00702665">
        <w:rPr>
          <w:rFonts w:ascii="Arial" w:hAnsi="Arial" w:cs="Arial"/>
          <w:b/>
          <w:bCs/>
        </w:rPr>
        <w:t>.</w:t>
      </w:r>
      <w:r w:rsidR="00BF2B43" w:rsidRPr="00702665">
        <w:rPr>
          <w:rFonts w:ascii="Arial" w:hAnsi="Arial" w:cs="Arial"/>
        </w:rPr>
        <w:t xml:space="preserve"> Compounds highlighted in blue are substrates for lipopolysaccharide biosynthesis. Steps highlighted in grey are compounds and reactions involved in these pathways but detailed in figure 1. Cofactors in each reaction are shown with the exception of protons, water, oxygen and inorganic phosphate. Proteins with low sequence similarity to </w:t>
      </w:r>
      <w:r w:rsidR="00702665">
        <w:rPr>
          <w:rFonts w:ascii="Arial" w:hAnsi="Arial" w:cs="Arial"/>
        </w:rPr>
        <w:t>PCC 6803</w:t>
      </w:r>
      <w:r w:rsidR="00BF2B43" w:rsidRPr="00702665">
        <w:rPr>
          <w:rFonts w:ascii="Arial" w:hAnsi="Arial" w:cs="Arial"/>
        </w:rPr>
        <w:t xml:space="preserve"> enzymes are highlighted in red.</w:t>
      </w:r>
    </w:p>
    <w:p w14:paraId="54BDE2DA" w14:textId="77777777" w:rsidR="00B763C7" w:rsidRPr="00702665" w:rsidRDefault="00B763C7" w:rsidP="00BF2B43">
      <w:pPr>
        <w:jc w:val="both"/>
        <w:rPr>
          <w:rFonts w:ascii="Arial" w:hAnsi="Arial" w:cs="Arial"/>
        </w:rPr>
      </w:pPr>
    </w:p>
    <w:p w14:paraId="13B4B36B" w14:textId="77777777" w:rsidR="00B763C7" w:rsidRDefault="00B763C7" w:rsidP="00BF2B43">
      <w:pPr>
        <w:jc w:val="both"/>
      </w:pPr>
      <w:r w:rsidRPr="00B763C7">
        <w:rPr>
          <w:noProof/>
          <w:lang w:eastAsia="en-GB"/>
        </w:rPr>
        <w:lastRenderedPageBreak/>
        <w:drawing>
          <wp:inline distT="0" distB="0" distL="0" distR="0" wp14:anchorId="0574D63D" wp14:editId="6E4BA00C">
            <wp:extent cx="5724525" cy="5334898"/>
            <wp:effectExtent l="0" t="0" r="0" b="0"/>
            <wp:docPr id="4" name="Picture 4" descr="D:\11901\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901\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216" cy="5336474"/>
                    </a:xfrm>
                    <a:prstGeom prst="rect">
                      <a:avLst/>
                    </a:prstGeom>
                    <a:noFill/>
                    <a:ln>
                      <a:noFill/>
                    </a:ln>
                  </pic:spPr>
                </pic:pic>
              </a:graphicData>
            </a:graphic>
          </wp:inline>
        </w:drawing>
      </w:r>
    </w:p>
    <w:p w14:paraId="0D620E7E" w14:textId="77777777" w:rsidR="00456C3A" w:rsidRDefault="00456C3A" w:rsidP="00BF2B43">
      <w:pPr>
        <w:jc w:val="both"/>
        <w:rPr>
          <w:rFonts w:ascii="Arial" w:hAnsi="Arial" w:cs="Arial"/>
          <w:b/>
          <w:bCs/>
        </w:rPr>
      </w:pPr>
    </w:p>
    <w:p w14:paraId="1653CAC5" w14:textId="2F5318E1" w:rsidR="00B763C7" w:rsidRPr="00702665" w:rsidRDefault="00456C3A"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5</w:t>
      </w:r>
      <w:r w:rsidR="00B763C7" w:rsidRPr="00702665">
        <w:rPr>
          <w:rFonts w:ascii="Arial" w:hAnsi="Arial" w:cs="Arial"/>
          <w:b/>
          <w:bCs/>
        </w:rPr>
        <w:t>: Metabolism of amino acids, cyanophycin, glutathione and iron-sul</w:t>
      </w:r>
      <w:r w:rsidR="000C39FE">
        <w:rPr>
          <w:rFonts w:ascii="Arial" w:hAnsi="Arial" w:cs="Arial"/>
          <w:b/>
          <w:bCs/>
        </w:rPr>
        <w:t>ph</w:t>
      </w:r>
      <w:r w:rsidR="00B763C7" w:rsidRPr="00702665">
        <w:rPr>
          <w:rFonts w:ascii="Arial" w:hAnsi="Arial" w:cs="Arial"/>
          <w:b/>
          <w:bCs/>
        </w:rPr>
        <w:t>ur clusters</w:t>
      </w:r>
      <w:r w:rsidR="00702665">
        <w:rPr>
          <w:rFonts w:ascii="Arial" w:hAnsi="Arial" w:cs="Arial"/>
          <w:b/>
          <w:bCs/>
        </w:rPr>
        <w:t xml:space="preserve"> in PCC 11901</w:t>
      </w:r>
      <w:r w:rsidR="00B763C7" w:rsidRPr="00702665">
        <w:rPr>
          <w:rFonts w:ascii="Arial" w:hAnsi="Arial" w:cs="Arial"/>
          <w:b/>
          <w:bCs/>
        </w:rPr>
        <w:t xml:space="preserve">. </w:t>
      </w:r>
      <w:r w:rsidR="00B763C7" w:rsidRPr="00702665">
        <w:rPr>
          <w:rFonts w:ascii="Arial" w:hAnsi="Arial" w:cs="Arial"/>
        </w:rPr>
        <w:t xml:space="preserve">The twenty L-amino acids are highlighted in red while amino acids incorporated into peptidoglycan are highlighted in blue. The iron-sulfur biosynthetic pathway </w:t>
      </w:r>
      <w:r w:rsidR="00702665">
        <w:rPr>
          <w:rFonts w:ascii="Arial" w:hAnsi="Arial" w:cs="Arial"/>
        </w:rPr>
        <w:t>is</w:t>
      </w:r>
      <w:r w:rsidR="00B763C7" w:rsidRPr="00702665">
        <w:rPr>
          <w:rFonts w:ascii="Arial" w:hAnsi="Arial" w:cs="Arial"/>
        </w:rPr>
        <w:t xml:space="preserve"> highlighted in green. Steps highlighted in grey are compounds and reactions involved in these pathways but detailed in figure 1. Cofactors in each reaction are shown with the exception of protons, water, oxygen and inorganic phosphate. Proteins with low sequence similarity to </w:t>
      </w:r>
      <w:r w:rsidR="00702665">
        <w:rPr>
          <w:rFonts w:ascii="Arial" w:hAnsi="Arial" w:cs="Arial"/>
        </w:rPr>
        <w:t>PCC 6803</w:t>
      </w:r>
      <w:r w:rsidR="00B763C7" w:rsidRPr="00702665">
        <w:rPr>
          <w:rFonts w:ascii="Arial" w:hAnsi="Arial" w:cs="Arial"/>
        </w:rPr>
        <w:t xml:space="preserve"> enzymes are highlighted in red.</w:t>
      </w:r>
    </w:p>
    <w:p w14:paraId="27969234" w14:textId="77777777" w:rsidR="00B763C7" w:rsidRPr="00702665" w:rsidRDefault="00B763C7" w:rsidP="00BF2B43">
      <w:pPr>
        <w:jc w:val="both"/>
        <w:rPr>
          <w:rFonts w:ascii="Arial" w:hAnsi="Arial" w:cs="Arial"/>
        </w:rPr>
      </w:pPr>
    </w:p>
    <w:p w14:paraId="567395ED" w14:textId="77777777" w:rsidR="00B763C7" w:rsidRDefault="00DB6D4A" w:rsidP="00BF2B43">
      <w:pPr>
        <w:jc w:val="both"/>
      </w:pPr>
      <w:r w:rsidRPr="00DB6D4A">
        <w:rPr>
          <w:noProof/>
          <w:lang w:eastAsia="en-GB"/>
        </w:rPr>
        <w:lastRenderedPageBreak/>
        <w:drawing>
          <wp:inline distT="0" distB="0" distL="0" distR="0" wp14:anchorId="6647EDE9" wp14:editId="707EDFBB">
            <wp:extent cx="5676900" cy="6136760"/>
            <wp:effectExtent l="0" t="0" r="0" b="0"/>
            <wp:docPr id="5" name="Picture 5" descr="D:\11901\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901\Fig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758" cy="6140930"/>
                    </a:xfrm>
                    <a:prstGeom prst="rect">
                      <a:avLst/>
                    </a:prstGeom>
                    <a:noFill/>
                    <a:ln>
                      <a:noFill/>
                    </a:ln>
                  </pic:spPr>
                </pic:pic>
              </a:graphicData>
            </a:graphic>
          </wp:inline>
        </w:drawing>
      </w:r>
    </w:p>
    <w:p w14:paraId="7888AB3D" w14:textId="77777777" w:rsidR="00AD70BF" w:rsidRDefault="00AD70BF" w:rsidP="00BF2B43">
      <w:pPr>
        <w:jc w:val="both"/>
        <w:rPr>
          <w:rFonts w:ascii="Arial" w:hAnsi="Arial" w:cs="Arial"/>
          <w:b/>
          <w:bCs/>
        </w:rPr>
      </w:pPr>
    </w:p>
    <w:p w14:paraId="2B4B986A" w14:textId="4D898470" w:rsidR="00DB6D4A" w:rsidRPr="00152815"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6</w:t>
      </w:r>
      <w:r w:rsidR="00DB6D4A" w:rsidRPr="00152815">
        <w:rPr>
          <w:rFonts w:ascii="Arial" w:hAnsi="Arial" w:cs="Arial"/>
          <w:b/>
          <w:bCs/>
        </w:rPr>
        <w:t>: Metabolism of nucleotides</w:t>
      </w:r>
      <w:r w:rsidR="00152815">
        <w:rPr>
          <w:rFonts w:ascii="Arial" w:hAnsi="Arial" w:cs="Arial"/>
          <w:b/>
          <w:bCs/>
        </w:rPr>
        <w:t xml:space="preserve"> in PCC 11901</w:t>
      </w:r>
      <w:r w:rsidR="00DB6D4A" w:rsidRPr="00152815">
        <w:rPr>
          <w:rFonts w:ascii="Arial" w:hAnsi="Arial" w:cs="Arial"/>
          <w:b/>
          <w:bCs/>
        </w:rPr>
        <w:t>.</w:t>
      </w:r>
      <w:r w:rsidR="00DB6D4A" w:rsidRPr="00152815">
        <w:rPr>
          <w:rFonts w:ascii="Arial" w:hAnsi="Arial" w:cs="Arial"/>
        </w:rPr>
        <w:t xml:space="preserve"> The purine and pyrimidine biosynthesis pathways are highlighted in red and blue respectively. Possible nucleotide salvage pathways are highlighted in green. Cofactors in each reaction are shown with the exception of protons, water, oxygen and inorganic phosphate.</w:t>
      </w:r>
    </w:p>
    <w:p w14:paraId="0E22E2E4" w14:textId="77777777" w:rsidR="00B763C7" w:rsidRDefault="00B763C7" w:rsidP="00BF2B43">
      <w:pPr>
        <w:jc w:val="both"/>
      </w:pPr>
    </w:p>
    <w:p w14:paraId="6B670A22" w14:textId="540EEDEB" w:rsidR="00DB6D4A" w:rsidRDefault="00B85969" w:rsidP="00BF2B43">
      <w:pPr>
        <w:jc w:val="both"/>
      </w:pPr>
      <w:r>
        <w:rPr>
          <w:noProof/>
        </w:rPr>
        <w:lastRenderedPageBreak/>
        <w:drawing>
          <wp:inline distT="0" distB="0" distL="0" distR="0" wp14:anchorId="3CABF577" wp14:editId="7E69CD40">
            <wp:extent cx="5730240" cy="5730240"/>
            <wp:effectExtent l="0" t="0" r="3810" b="381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5AF7380" w14:textId="77777777" w:rsidR="00AD70BF" w:rsidRDefault="00AD70BF" w:rsidP="00BF2B43">
      <w:pPr>
        <w:jc w:val="both"/>
        <w:rPr>
          <w:rFonts w:ascii="Arial" w:hAnsi="Arial" w:cs="Arial"/>
          <w:b/>
          <w:bCs/>
        </w:rPr>
      </w:pPr>
    </w:p>
    <w:p w14:paraId="6AFCBB3A" w14:textId="3E4C4B7E" w:rsidR="00DB6D4A" w:rsidRPr="00152815"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7</w:t>
      </w:r>
      <w:r w:rsidR="00CB7897" w:rsidRPr="00152815">
        <w:rPr>
          <w:rFonts w:ascii="Arial" w:hAnsi="Arial" w:cs="Arial"/>
          <w:b/>
          <w:bCs/>
        </w:rPr>
        <w:t>: Metabolism of vitamins and cofactors</w:t>
      </w:r>
      <w:r w:rsidR="00152815">
        <w:rPr>
          <w:rFonts w:ascii="Arial" w:hAnsi="Arial" w:cs="Arial"/>
          <w:b/>
          <w:bCs/>
        </w:rPr>
        <w:t xml:space="preserve"> in PCC 11901</w:t>
      </w:r>
      <w:r w:rsidR="00CB7897" w:rsidRPr="00152815">
        <w:rPr>
          <w:rFonts w:ascii="Arial" w:hAnsi="Arial" w:cs="Arial"/>
          <w:b/>
          <w:bCs/>
        </w:rPr>
        <w:t>.</w:t>
      </w:r>
      <w:r w:rsidR="00CB7897" w:rsidRPr="00152815">
        <w:rPr>
          <w:rFonts w:ascii="Arial" w:hAnsi="Arial" w:cs="Arial"/>
        </w:rPr>
        <w:t xml:space="preserve"> Detailed are the pathways for biosynthesis of A) Biotin, B) NAD+ and NADP+, C) folate, D) molybdenum cofactors, E) riboflavin and FAD, F) thiamine, G) pantothenate and coenzyme A, H) pyridoxal-5P. Vitamins and cofactors are highlighted in blue. Cofactors in each reaction are shown with the exception of protons, water, oxygen and inorganic phosphate. Proteins with low sequence similarity to </w:t>
      </w:r>
      <w:r w:rsidR="00FB4016">
        <w:rPr>
          <w:rFonts w:ascii="Arial" w:hAnsi="Arial" w:cs="Arial"/>
        </w:rPr>
        <w:t>PCC 6803</w:t>
      </w:r>
      <w:r w:rsidR="00CB7897" w:rsidRPr="00152815">
        <w:rPr>
          <w:rFonts w:ascii="Arial" w:hAnsi="Arial" w:cs="Arial"/>
        </w:rPr>
        <w:t xml:space="preserve"> enzymes are highlighted in red.</w:t>
      </w:r>
    </w:p>
    <w:p w14:paraId="7CA78A17" w14:textId="77777777" w:rsidR="00CB7897" w:rsidRDefault="00CB7897" w:rsidP="00BF2B43">
      <w:pPr>
        <w:jc w:val="both"/>
      </w:pPr>
    </w:p>
    <w:p w14:paraId="42699575" w14:textId="6042471A" w:rsidR="00CB7897" w:rsidRDefault="008B6368" w:rsidP="008379F9">
      <w:pPr>
        <w:jc w:val="center"/>
      </w:pPr>
      <w:r>
        <w:rPr>
          <w:noProof/>
        </w:rPr>
        <w:lastRenderedPageBreak/>
        <w:drawing>
          <wp:inline distT="0" distB="0" distL="0" distR="0" wp14:anchorId="51A9665B" wp14:editId="72106E71">
            <wp:extent cx="5356860" cy="7987117"/>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456" cy="8007388"/>
                    </a:xfrm>
                    <a:prstGeom prst="rect">
                      <a:avLst/>
                    </a:prstGeom>
                    <a:noFill/>
                    <a:ln>
                      <a:noFill/>
                    </a:ln>
                  </pic:spPr>
                </pic:pic>
              </a:graphicData>
            </a:graphic>
          </wp:inline>
        </w:drawing>
      </w:r>
    </w:p>
    <w:p w14:paraId="3958673B" w14:textId="77777777" w:rsidR="00AD70BF" w:rsidRDefault="00AD70BF" w:rsidP="00BF2B43">
      <w:pPr>
        <w:jc w:val="both"/>
        <w:rPr>
          <w:rFonts w:ascii="Arial" w:hAnsi="Arial" w:cs="Arial"/>
          <w:b/>
          <w:bCs/>
        </w:rPr>
      </w:pPr>
    </w:p>
    <w:p w14:paraId="67978224" w14:textId="5B96C305" w:rsidR="00CB7897" w:rsidRPr="00FB4016"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8</w:t>
      </w:r>
      <w:r w:rsidR="008379F9" w:rsidRPr="00FB4016">
        <w:rPr>
          <w:rFonts w:ascii="Arial" w:hAnsi="Arial" w:cs="Arial"/>
          <w:b/>
          <w:bCs/>
        </w:rPr>
        <w:t>: Metabolism of membrane lipids, peptidoglycan and lipopolysaccharides</w:t>
      </w:r>
      <w:r w:rsidR="00FB4016">
        <w:rPr>
          <w:rFonts w:ascii="Arial" w:hAnsi="Arial" w:cs="Arial"/>
          <w:b/>
          <w:bCs/>
        </w:rPr>
        <w:t xml:space="preserve"> in PCC 11901</w:t>
      </w:r>
      <w:r w:rsidR="008379F9" w:rsidRPr="00FB4016">
        <w:rPr>
          <w:rFonts w:ascii="Arial" w:hAnsi="Arial" w:cs="Arial"/>
          <w:b/>
          <w:bCs/>
        </w:rPr>
        <w:t>.</w:t>
      </w:r>
      <w:r w:rsidR="008379F9" w:rsidRPr="00FB4016">
        <w:rPr>
          <w:rFonts w:ascii="Arial" w:hAnsi="Arial" w:cs="Arial"/>
        </w:rPr>
        <w:t xml:space="preserve"> Membrane lipids are highlighted in blue. Steps highlighted in grey are compounds </w:t>
      </w:r>
      <w:r w:rsidR="008379F9" w:rsidRPr="00FB4016">
        <w:rPr>
          <w:rFonts w:ascii="Arial" w:hAnsi="Arial" w:cs="Arial"/>
        </w:rPr>
        <w:lastRenderedPageBreak/>
        <w:t>and reactions involved in these pathways but detailed in figure 1. Cofactors in each reaction are shown with the exception of protons, water, oxygen and inorganic phosphate.</w:t>
      </w:r>
    </w:p>
    <w:p w14:paraId="3A689AB6" w14:textId="77777777" w:rsidR="008379F9" w:rsidRDefault="008379F9" w:rsidP="00BF2B43">
      <w:pPr>
        <w:jc w:val="both"/>
      </w:pPr>
    </w:p>
    <w:p w14:paraId="5A0406B7" w14:textId="77777777" w:rsidR="00DB4DC0" w:rsidRDefault="00DB4DC0" w:rsidP="00BF2B43">
      <w:pPr>
        <w:jc w:val="both"/>
      </w:pPr>
      <w:r w:rsidRPr="00DB4DC0">
        <w:rPr>
          <w:noProof/>
          <w:lang w:eastAsia="en-GB"/>
        </w:rPr>
        <w:drawing>
          <wp:inline distT="0" distB="0" distL="0" distR="0" wp14:anchorId="2FB9E7FF" wp14:editId="0A05EDFE">
            <wp:extent cx="5731510" cy="2523968"/>
            <wp:effectExtent l="0" t="0" r="2540" b="0"/>
            <wp:docPr id="8" name="Picture 8" descr="D:\11901\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1901\Fig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523968"/>
                    </a:xfrm>
                    <a:prstGeom prst="rect">
                      <a:avLst/>
                    </a:prstGeom>
                    <a:noFill/>
                    <a:ln>
                      <a:noFill/>
                    </a:ln>
                  </pic:spPr>
                </pic:pic>
              </a:graphicData>
            </a:graphic>
          </wp:inline>
        </w:drawing>
      </w:r>
    </w:p>
    <w:p w14:paraId="115966D6" w14:textId="77777777" w:rsidR="00AD70BF" w:rsidRDefault="00AD70BF" w:rsidP="00BF2B43">
      <w:pPr>
        <w:jc w:val="both"/>
        <w:rPr>
          <w:rFonts w:ascii="Arial" w:hAnsi="Arial" w:cs="Arial"/>
          <w:b/>
          <w:bCs/>
        </w:rPr>
      </w:pPr>
    </w:p>
    <w:p w14:paraId="67828913" w14:textId="2930E28C" w:rsidR="00DB4DC0"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9</w:t>
      </w:r>
      <w:r w:rsidR="00DB4DC0" w:rsidRPr="00FB4016">
        <w:rPr>
          <w:rFonts w:ascii="Arial" w:hAnsi="Arial" w:cs="Arial"/>
          <w:b/>
          <w:bCs/>
        </w:rPr>
        <w:t>: Metabolism of isoprenoids, quinols and carotenoids</w:t>
      </w:r>
      <w:r w:rsidR="00FB4016">
        <w:rPr>
          <w:rFonts w:ascii="Arial" w:hAnsi="Arial" w:cs="Arial"/>
          <w:b/>
          <w:bCs/>
        </w:rPr>
        <w:t xml:space="preserve"> in PCC 11901</w:t>
      </w:r>
      <w:r w:rsidR="00DB4DC0" w:rsidRPr="00FB4016">
        <w:rPr>
          <w:rFonts w:ascii="Arial" w:hAnsi="Arial" w:cs="Arial"/>
          <w:b/>
          <w:bCs/>
        </w:rPr>
        <w:t xml:space="preserve">. </w:t>
      </w:r>
      <w:r w:rsidR="00DB4DC0" w:rsidRPr="00FB4016">
        <w:rPr>
          <w:rFonts w:ascii="Arial" w:hAnsi="Arial" w:cs="Arial"/>
        </w:rPr>
        <w:t>Carotenoids are highlighted in blue. Cofactors in each reaction are shown with the exception of protons, water, oxygen and inorganic phosphate.</w:t>
      </w:r>
    </w:p>
    <w:p w14:paraId="2F8D64CD" w14:textId="77777777" w:rsidR="000C39FE" w:rsidRPr="00FB4016" w:rsidRDefault="000C39FE" w:rsidP="00BF2B43">
      <w:pPr>
        <w:jc w:val="both"/>
        <w:rPr>
          <w:rFonts w:ascii="Arial" w:hAnsi="Arial" w:cs="Arial"/>
        </w:rPr>
      </w:pPr>
    </w:p>
    <w:p w14:paraId="15D17BA4" w14:textId="77777777" w:rsidR="00DB4DC0" w:rsidRDefault="00DB4DC0" w:rsidP="00BF2B43">
      <w:pPr>
        <w:jc w:val="both"/>
      </w:pPr>
    </w:p>
    <w:p w14:paraId="2080FEF9" w14:textId="77777777" w:rsidR="00DB4DC0" w:rsidRDefault="00DB4DC0" w:rsidP="00BF2B43">
      <w:pPr>
        <w:jc w:val="both"/>
      </w:pPr>
      <w:r w:rsidRPr="00DB4DC0">
        <w:rPr>
          <w:noProof/>
          <w:lang w:eastAsia="en-GB"/>
        </w:rPr>
        <w:lastRenderedPageBreak/>
        <w:drawing>
          <wp:inline distT="0" distB="0" distL="0" distR="0" wp14:anchorId="2087E046" wp14:editId="17B39D59">
            <wp:extent cx="5657850" cy="4371975"/>
            <wp:effectExtent l="0" t="0" r="0" b="9525"/>
            <wp:docPr id="9" name="Picture 9" descr="D:\11901\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1901\Fig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8965" cy="4372837"/>
                    </a:xfrm>
                    <a:prstGeom prst="rect">
                      <a:avLst/>
                    </a:prstGeom>
                    <a:noFill/>
                    <a:ln>
                      <a:noFill/>
                    </a:ln>
                  </pic:spPr>
                </pic:pic>
              </a:graphicData>
            </a:graphic>
          </wp:inline>
        </w:drawing>
      </w:r>
    </w:p>
    <w:p w14:paraId="33B85A18" w14:textId="77777777" w:rsidR="00AD70BF" w:rsidRDefault="00AD70BF" w:rsidP="00BF2B43">
      <w:pPr>
        <w:jc w:val="both"/>
        <w:rPr>
          <w:rFonts w:ascii="Arial" w:hAnsi="Arial" w:cs="Arial"/>
          <w:b/>
          <w:bCs/>
        </w:rPr>
      </w:pPr>
    </w:p>
    <w:p w14:paraId="0FC2595F" w14:textId="7316F489" w:rsidR="00DB4DC0" w:rsidRPr="00FB4016"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D24A0E">
        <w:rPr>
          <w:rFonts w:ascii="Arial" w:hAnsi="Arial" w:cs="Arial"/>
          <w:b/>
          <w:bCs/>
        </w:rPr>
        <w:t>10</w:t>
      </w:r>
      <w:r w:rsidR="00DB4DC0" w:rsidRPr="00FB4016">
        <w:rPr>
          <w:rFonts w:ascii="Arial" w:hAnsi="Arial" w:cs="Arial"/>
          <w:b/>
          <w:bCs/>
        </w:rPr>
        <w:t>: Metabolism of chlorophyll, phycobilin and pseudocobalamin</w:t>
      </w:r>
      <w:r w:rsidR="00FB4016">
        <w:rPr>
          <w:rFonts w:ascii="Arial" w:hAnsi="Arial" w:cs="Arial"/>
          <w:b/>
          <w:bCs/>
        </w:rPr>
        <w:t xml:space="preserve"> in PCC 11901</w:t>
      </w:r>
      <w:r w:rsidR="00DB4DC0" w:rsidRPr="00FB4016">
        <w:rPr>
          <w:rFonts w:ascii="Arial" w:hAnsi="Arial" w:cs="Arial"/>
          <w:b/>
          <w:bCs/>
        </w:rPr>
        <w:t>.</w:t>
      </w:r>
      <w:r w:rsidR="00DB4DC0" w:rsidRPr="00FB4016">
        <w:rPr>
          <w:rFonts w:ascii="Arial" w:hAnsi="Arial" w:cs="Arial"/>
        </w:rPr>
        <w:t xml:space="preserve"> Proteins involved in anaerobic or low oxygen environment enzymatic steps are highlighted in blue. Cofactors in each reaction are shown with the exception of protons, water and inorganic phosphate. Proteins with low sequence similarity to </w:t>
      </w:r>
      <w:r w:rsidR="00FB4016">
        <w:rPr>
          <w:rFonts w:ascii="Arial" w:hAnsi="Arial" w:cs="Arial"/>
        </w:rPr>
        <w:t>PCC 6803</w:t>
      </w:r>
      <w:r w:rsidR="00DB4DC0" w:rsidRPr="00FB4016">
        <w:rPr>
          <w:rFonts w:ascii="Arial" w:hAnsi="Arial" w:cs="Arial"/>
        </w:rPr>
        <w:t xml:space="preserve"> enzymes are highlighted in red.</w:t>
      </w:r>
    </w:p>
    <w:p w14:paraId="2DEB4CDB" w14:textId="12960943" w:rsidR="00C9111C" w:rsidRDefault="00AA5C93" w:rsidP="00BF2B43">
      <w:pPr>
        <w:jc w:val="both"/>
      </w:pPr>
      <w:r>
        <w:rPr>
          <w:noProof/>
        </w:rPr>
        <w:lastRenderedPageBreak/>
        <w:drawing>
          <wp:inline distT="0" distB="0" distL="0" distR="0" wp14:anchorId="494F23B5" wp14:editId="1AAFC1A0">
            <wp:extent cx="5715000" cy="7235505"/>
            <wp:effectExtent l="0" t="0" r="0" b="381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414" cy="7252488"/>
                    </a:xfrm>
                    <a:prstGeom prst="rect">
                      <a:avLst/>
                    </a:prstGeom>
                    <a:noFill/>
                    <a:ln>
                      <a:noFill/>
                    </a:ln>
                  </pic:spPr>
                </pic:pic>
              </a:graphicData>
            </a:graphic>
          </wp:inline>
        </w:drawing>
      </w:r>
    </w:p>
    <w:p w14:paraId="36F04201" w14:textId="4C71172C" w:rsidR="00C9111C" w:rsidRDefault="00AD70BF" w:rsidP="00BF2B43">
      <w:pPr>
        <w:jc w:val="both"/>
        <w:rPr>
          <w:rFonts w:ascii="Arial" w:hAnsi="Arial" w:cs="Arial"/>
        </w:rPr>
      </w:pPr>
      <w:r>
        <w:rPr>
          <w:rFonts w:ascii="Arial" w:hAnsi="Arial" w:cs="Arial"/>
          <w:b/>
          <w:bCs/>
        </w:rPr>
        <w:t>F</w:t>
      </w:r>
      <w:r w:rsidR="000C39FE">
        <w:rPr>
          <w:rFonts w:ascii="Arial" w:hAnsi="Arial" w:cs="Arial"/>
          <w:b/>
          <w:bCs/>
        </w:rPr>
        <w:t xml:space="preserve">igure </w:t>
      </w:r>
      <w:r>
        <w:rPr>
          <w:rFonts w:ascii="Arial" w:hAnsi="Arial" w:cs="Arial"/>
          <w:b/>
          <w:bCs/>
        </w:rPr>
        <w:t>S</w:t>
      </w:r>
      <w:r w:rsidR="000C39FE">
        <w:rPr>
          <w:rFonts w:ascii="Arial" w:hAnsi="Arial" w:cs="Arial"/>
          <w:b/>
          <w:bCs/>
        </w:rPr>
        <w:t>1</w:t>
      </w:r>
      <w:r w:rsidR="00D24A0E">
        <w:rPr>
          <w:rFonts w:ascii="Arial" w:hAnsi="Arial" w:cs="Arial"/>
          <w:b/>
          <w:bCs/>
        </w:rPr>
        <w:t>1</w:t>
      </w:r>
      <w:r w:rsidR="00C9111C" w:rsidRPr="00FB4016">
        <w:rPr>
          <w:rFonts w:ascii="Arial" w:hAnsi="Arial" w:cs="Arial"/>
          <w:b/>
          <w:bCs/>
        </w:rPr>
        <w:t>: Proteins involved in metabolite transport and conversion of nitrogen, sul</w:t>
      </w:r>
      <w:r w:rsidR="000C39FE">
        <w:rPr>
          <w:rFonts w:ascii="Arial" w:hAnsi="Arial" w:cs="Arial"/>
          <w:b/>
          <w:bCs/>
        </w:rPr>
        <w:t>ph</w:t>
      </w:r>
      <w:r w:rsidR="00C9111C" w:rsidRPr="00FB4016">
        <w:rPr>
          <w:rFonts w:ascii="Arial" w:hAnsi="Arial" w:cs="Arial"/>
          <w:b/>
          <w:bCs/>
        </w:rPr>
        <w:t>ur and phosphate based compounds</w:t>
      </w:r>
      <w:r w:rsidR="00FB4016">
        <w:rPr>
          <w:rFonts w:ascii="Arial" w:hAnsi="Arial" w:cs="Arial"/>
          <w:b/>
          <w:bCs/>
        </w:rPr>
        <w:t xml:space="preserve"> in PCC 11901</w:t>
      </w:r>
      <w:r w:rsidR="00C9111C" w:rsidRPr="00FB4016">
        <w:rPr>
          <w:rFonts w:ascii="Arial" w:hAnsi="Arial" w:cs="Arial"/>
          <w:b/>
          <w:bCs/>
        </w:rPr>
        <w:t>.</w:t>
      </w:r>
      <w:r w:rsidR="00C9111C" w:rsidRPr="00FB4016">
        <w:rPr>
          <w:rFonts w:ascii="Arial" w:hAnsi="Arial" w:cs="Arial"/>
        </w:rPr>
        <w:t xml:space="preserve"> Localisation of transporters in either the </w:t>
      </w:r>
      <w:r w:rsidR="00FB4016">
        <w:rPr>
          <w:rFonts w:ascii="Arial" w:hAnsi="Arial" w:cs="Arial"/>
        </w:rPr>
        <w:t xml:space="preserve">plasma or thylakoid membrane </w:t>
      </w:r>
      <w:r w:rsidR="00C9111C" w:rsidRPr="00FB4016">
        <w:rPr>
          <w:rFonts w:ascii="Arial" w:hAnsi="Arial" w:cs="Arial"/>
        </w:rPr>
        <w:t xml:space="preserve">is detailed. Subunits in each complex may not all be membrane localised but soluble. Cofactors in each reaction are shown with the exception of protons, water, oxygen and inorganic phosphate. Proteins with low sequence similarity to </w:t>
      </w:r>
      <w:r w:rsidR="00FB4016">
        <w:rPr>
          <w:rFonts w:ascii="Arial" w:hAnsi="Arial" w:cs="Arial"/>
        </w:rPr>
        <w:t>PCC 6803</w:t>
      </w:r>
      <w:r w:rsidR="00C9111C" w:rsidRPr="00FB4016">
        <w:rPr>
          <w:rFonts w:ascii="Arial" w:hAnsi="Arial" w:cs="Arial"/>
        </w:rPr>
        <w:t xml:space="preserve"> enzymes and transporter subunits are highlighted in red.</w:t>
      </w:r>
    </w:p>
    <w:p w14:paraId="5EDB9B4A" w14:textId="77777777" w:rsidR="002F7130" w:rsidRDefault="002F7130" w:rsidP="002F7130">
      <w:pPr>
        <w:jc w:val="both"/>
        <w:rPr>
          <w:rFonts w:ascii="Arial" w:hAnsi="Arial" w:cs="Arial"/>
          <w:bCs/>
        </w:rPr>
      </w:pPr>
      <w:r>
        <w:rPr>
          <w:rFonts w:ascii="Arial" w:hAnsi="Arial" w:cs="Arial"/>
          <w:bCs/>
          <w:noProof/>
        </w:rPr>
        <w:lastRenderedPageBreak/>
        <w:drawing>
          <wp:anchor distT="0" distB="0" distL="114300" distR="114300" simplePos="0" relativeHeight="251659264" behindDoc="0" locked="0" layoutInCell="1" allowOverlap="1" wp14:anchorId="611D7A2D" wp14:editId="42E4F593">
            <wp:simplePos x="0" y="0"/>
            <wp:positionH relativeFrom="column">
              <wp:posOffset>0</wp:posOffset>
            </wp:positionH>
            <wp:positionV relativeFrom="paragraph">
              <wp:posOffset>358775</wp:posOffset>
            </wp:positionV>
            <wp:extent cx="5731510" cy="2076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076450"/>
                    </a:xfrm>
                    <a:prstGeom prst="rect">
                      <a:avLst/>
                    </a:prstGeom>
                    <a:noFill/>
                  </pic:spPr>
                </pic:pic>
              </a:graphicData>
            </a:graphic>
            <wp14:sizeRelH relativeFrom="page">
              <wp14:pctWidth>0</wp14:pctWidth>
            </wp14:sizeRelH>
            <wp14:sizeRelV relativeFrom="page">
              <wp14:pctHeight>0</wp14:pctHeight>
            </wp14:sizeRelV>
          </wp:anchor>
        </w:drawing>
      </w:r>
    </w:p>
    <w:p w14:paraId="29E15467" w14:textId="77777777" w:rsidR="002F7130" w:rsidRDefault="002F7130" w:rsidP="002F7130">
      <w:pPr>
        <w:jc w:val="both"/>
        <w:rPr>
          <w:rFonts w:ascii="Arial" w:hAnsi="Arial" w:cs="Arial"/>
          <w:bCs/>
        </w:rPr>
      </w:pPr>
    </w:p>
    <w:p w14:paraId="446FCA2F" w14:textId="7E27BF13" w:rsidR="002F7130" w:rsidRPr="00697A66" w:rsidRDefault="002F7130" w:rsidP="002F7130">
      <w:pPr>
        <w:jc w:val="both"/>
        <w:rPr>
          <w:rFonts w:ascii="Arial" w:hAnsi="Arial" w:cs="Arial"/>
          <w:bCs/>
        </w:rPr>
      </w:pPr>
      <w:r w:rsidRPr="00543BE5">
        <w:rPr>
          <w:rFonts w:ascii="Arial" w:hAnsi="Arial" w:cs="Arial"/>
          <w:b/>
        </w:rPr>
        <w:t xml:space="preserve">Figure </w:t>
      </w:r>
      <w:r w:rsidR="00AD70BF">
        <w:rPr>
          <w:rFonts w:ascii="Arial" w:hAnsi="Arial" w:cs="Arial"/>
          <w:b/>
        </w:rPr>
        <w:t>S</w:t>
      </w:r>
      <w:r>
        <w:rPr>
          <w:rFonts w:ascii="Arial" w:hAnsi="Arial" w:cs="Arial"/>
          <w:b/>
        </w:rPr>
        <w:t>1</w:t>
      </w:r>
      <w:r w:rsidR="00D24A0E">
        <w:rPr>
          <w:rFonts w:ascii="Arial" w:hAnsi="Arial" w:cs="Arial"/>
          <w:b/>
        </w:rPr>
        <w:t>2</w:t>
      </w:r>
      <w:r w:rsidRPr="00543BE5">
        <w:rPr>
          <w:rFonts w:ascii="Arial" w:hAnsi="Arial" w:cs="Arial"/>
          <w:b/>
        </w:rPr>
        <w:t>:</w:t>
      </w:r>
      <w:r>
        <w:rPr>
          <w:rFonts w:ascii="Arial" w:hAnsi="Arial" w:cs="Arial"/>
          <w:bCs/>
        </w:rPr>
        <w:t xml:space="preserve"> </w:t>
      </w:r>
      <w:r w:rsidRPr="00697A66">
        <w:rPr>
          <w:rFonts w:ascii="Arial" w:hAnsi="Arial" w:cs="Arial"/>
          <w:b/>
        </w:rPr>
        <w:t xml:space="preserve">Sequencing of the </w:t>
      </w:r>
      <w:r w:rsidRPr="00697A66">
        <w:rPr>
          <w:rFonts w:ascii="Arial" w:hAnsi="Arial" w:cs="Arial"/>
          <w:b/>
          <w:i/>
          <w:iCs/>
        </w:rPr>
        <w:t xml:space="preserve">metE </w:t>
      </w:r>
      <w:r w:rsidRPr="00697A66">
        <w:rPr>
          <w:rFonts w:ascii="Arial" w:hAnsi="Arial" w:cs="Arial"/>
          <w:b/>
        </w:rPr>
        <w:t>upstream</w:t>
      </w:r>
      <w:r w:rsidRPr="00697A66">
        <w:rPr>
          <w:rFonts w:ascii="Arial" w:hAnsi="Arial" w:cs="Arial"/>
          <w:b/>
          <w:i/>
          <w:iCs/>
        </w:rPr>
        <w:t xml:space="preserve"> </w:t>
      </w:r>
      <w:r w:rsidRPr="00697A66">
        <w:rPr>
          <w:rFonts w:ascii="Arial" w:hAnsi="Arial" w:cs="Arial"/>
          <w:b/>
        </w:rPr>
        <w:t>region of the PCC 11901 B12ind_5 strain.</w:t>
      </w:r>
      <w:r>
        <w:rPr>
          <w:rFonts w:ascii="Arial" w:hAnsi="Arial" w:cs="Arial"/>
          <w:bCs/>
        </w:rPr>
        <w:t xml:space="preserve"> Riboswitch components, including B</w:t>
      </w:r>
      <w:r w:rsidRPr="009E58E8">
        <w:rPr>
          <w:rFonts w:ascii="Arial" w:hAnsi="Arial" w:cs="Arial"/>
          <w:bCs/>
          <w:vertAlign w:val="subscript"/>
        </w:rPr>
        <w:t>12</w:t>
      </w:r>
      <w:r>
        <w:rPr>
          <w:rFonts w:ascii="Arial" w:hAnsi="Arial" w:cs="Arial"/>
          <w:bCs/>
        </w:rPr>
        <w:t xml:space="preserve"> binding motif (“B</w:t>
      </w:r>
      <w:r w:rsidRPr="009E58E8">
        <w:rPr>
          <w:rFonts w:ascii="Arial" w:hAnsi="Arial" w:cs="Arial"/>
          <w:bCs/>
          <w:vertAlign w:val="subscript"/>
        </w:rPr>
        <w:t>12</w:t>
      </w:r>
      <w:r>
        <w:rPr>
          <w:rFonts w:ascii="Arial" w:hAnsi="Arial" w:cs="Arial"/>
          <w:bCs/>
        </w:rPr>
        <w:t xml:space="preserve"> box”) and terminator/sequester, annotated as described by RibEx server. Insert shows sequencing chromatogram for the TT=&gt;AA double mutation present in the B</w:t>
      </w:r>
      <w:r w:rsidRPr="009E58E8">
        <w:rPr>
          <w:rFonts w:ascii="Arial" w:hAnsi="Arial" w:cs="Arial"/>
          <w:bCs/>
          <w:vertAlign w:val="subscript"/>
        </w:rPr>
        <w:t>12</w:t>
      </w:r>
      <w:r>
        <w:rPr>
          <w:rFonts w:ascii="Arial" w:hAnsi="Arial" w:cs="Arial"/>
          <w:bCs/>
        </w:rPr>
        <w:t>ind_5 strain and its alignment to the WT sequence.</w:t>
      </w:r>
    </w:p>
    <w:p w14:paraId="0FAC53F4" w14:textId="77777777" w:rsidR="002F7130" w:rsidRDefault="002F7130" w:rsidP="002F7130">
      <w:pPr>
        <w:jc w:val="both"/>
        <w:rPr>
          <w:rFonts w:ascii="Arial" w:hAnsi="Arial" w:cs="Arial"/>
          <w:bCs/>
        </w:rPr>
      </w:pPr>
    </w:p>
    <w:p w14:paraId="1FAC3B8A" w14:textId="77777777" w:rsidR="00456C3A" w:rsidRDefault="00456C3A" w:rsidP="00456C3A">
      <w:pPr>
        <w:jc w:val="both"/>
        <w:rPr>
          <w:rFonts w:ascii="Arial" w:hAnsi="Arial" w:cs="Arial"/>
        </w:rPr>
      </w:pPr>
      <w:r>
        <w:rPr>
          <w:noProof/>
        </w:rPr>
        <w:drawing>
          <wp:inline distT="0" distB="0" distL="0" distR="0" wp14:anchorId="787EBF4B" wp14:editId="317D9BBB">
            <wp:extent cx="5731510" cy="392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68E9B9FE" w14:textId="77777777" w:rsidR="00AD70BF" w:rsidRDefault="00AD70BF" w:rsidP="00456C3A">
      <w:pPr>
        <w:jc w:val="both"/>
        <w:rPr>
          <w:rFonts w:ascii="Arial" w:hAnsi="Arial" w:cs="Arial"/>
          <w:b/>
          <w:bCs/>
        </w:rPr>
      </w:pPr>
    </w:p>
    <w:p w14:paraId="2D74E4EA" w14:textId="2DBFA652" w:rsidR="00456C3A" w:rsidRDefault="00AD70BF" w:rsidP="00456C3A">
      <w:pPr>
        <w:jc w:val="both"/>
        <w:rPr>
          <w:rFonts w:ascii="Arial" w:hAnsi="Arial" w:cs="Arial"/>
          <w:bCs/>
        </w:rPr>
      </w:pPr>
      <w:r>
        <w:rPr>
          <w:rFonts w:ascii="Arial" w:hAnsi="Arial" w:cs="Arial"/>
          <w:b/>
          <w:bCs/>
        </w:rPr>
        <w:t>F</w:t>
      </w:r>
      <w:r w:rsidR="00456C3A" w:rsidRPr="00BE6BE8">
        <w:rPr>
          <w:rFonts w:ascii="Arial" w:hAnsi="Arial" w:cs="Arial"/>
          <w:b/>
          <w:bCs/>
        </w:rPr>
        <w:t xml:space="preserve">igure </w:t>
      </w:r>
      <w:r>
        <w:rPr>
          <w:rFonts w:ascii="Arial" w:hAnsi="Arial" w:cs="Arial"/>
          <w:b/>
          <w:bCs/>
        </w:rPr>
        <w:t>S</w:t>
      </w:r>
      <w:r w:rsidR="00456C3A" w:rsidRPr="00BE6BE8">
        <w:rPr>
          <w:rFonts w:ascii="Arial" w:hAnsi="Arial" w:cs="Arial"/>
          <w:b/>
          <w:bCs/>
        </w:rPr>
        <w:t>1</w:t>
      </w:r>
      <w:r w:rsidR="00D24A0E">
        <w:rPr>
          <w:rFonts w:ascii="Arial" w:hAnsi="Arial" w:cs="Arial"/>
          <w:b/>
          <w:bCs/>
        </w:rPr>
        <w:t>3</w:t>
      </w:r>
      <w:r w:rsidR="00456C3A" w:rsidRPr="00BE6BE8">
        <w:rPr>
          <w:rFonts w:ascii="Arial" w:hAnsi="Arial" w:cs="Arial"/>
          <w:b/>
          <w:bCs/>
        </w:rPr>
        <w:t xml:space="preserve">: </w:t>
      </w:r>
      <w:r w:rsidR="00456C3A">
        <w:rPr>
          <w:rFonts w:ascii="Arial" w:hAnsi="Arial" w:cs="Arial"/>
          <w:b/>
          <w:bCs/>
        </w:rPr>
        <w:t xml:space="preserve">Growth of wild-type 11901 and </w:t>
      </w:r>
      <w:r w:rsidR="00456C3A" w:rsidRPr="00BE6BE8">
        <w:rPr>
          <w:rFonts w:ascii="Arial" w:hAnsi="Arial" w:cs="Arial"/>
          <w:b/>
        </w:rPr>
        <w:t xml:space="preserve">the </w:t>
      </w:r>
      <w:r w:rsidR="00456C3A" w:rsidRPr="00BE6BE8">
        <w:rPr>
          <w:rFonts w:ascii="Arial" w:hAnsi="Arial" w:cs="Arial"/>
          <w:b/>
          <w:i/>
          <w:iCs/>
        </w:rPr>
        <w:t xml:space="preserve">ctaC1D1E1 </w:t>
      </w:r>
      <w:r w:rsidR="00456C3A" w:rsidRPr="00BE6BE8">
        <w:rPr>
          <w:rFonts w:ascii="Arial" w:hAnsi="Arial" w:cs="Arial"/>
          <w:b/>
        </w:rPr>
        <w:t>and</w:t>
      </w:r>
      <w:r w:rsidR="00456C3A" w:rsidRPr="00BE6BE8">
        <w:rPr>
          <w:rFonts w:ascii="Arial" w:hAnsi="Arial" w:cs="Arial"/>
          <w:b/>
          <w:i/>
          <w:iCs/>
        </w:rPr>
        <w:t xml:space="preserve"> ctaCII </w:t>
      </w:r>
      <w:r w:rsidR="00456C3A" w:rsidRPr="00BE6BE8">
        <w:rPr>
          <w:rFonts w:ascii="Arial" w:hAnsi="Arial" w:cs="Arial"/>
          <w:b/>
        </w:rPr>
        <w:t>marked mutants on plates with increasing concentrations of 5-FC</w:t>
      </w:r>
      <w:r w:rsidR="00456C3A">
        <w:rPr>
          <w:rFonts w:ascii="Arial" w:hAnsi="Arial" w:cs="Arial"/>
          <w:b/>
        </w:rPr>
        <w:t xml:space="preserve">. </w:t>
      </w:r>
      <w:r w:rsidR="00456C3A">
        <w:rPr>
          <w:rFonts w:ascii="Arial" w:hAnsi="Arial" w:cs="Arial"/>
          <w:bCs/>
        </w:rPr>
        <w:t>Dilutions are shown above each plate.</w:t>
      </w:r>
    </w:p>
    <w:p w14:paraId="484411FE" w14:textId="77777777" w:rsidR="00C30A22" w:rsidRDefault="00C30A22" w:rsidP="00BF2B43">
      <w:pPr>
        <w:jc w:val="both"/>
        <w:rPr>
          <w:rFonts w:ascii="Arial" w:hAnsi="Arial" w:cs="Arial"/>
          <w:b/>
        </w:rPr>
      </w:pPr>
      <w:bookmarkStart w:id="2" w:name="_Hlk100661432"/>
    </w:p>
    <w:p w14:paraId="199B24B4" w14:textId="63F1A497" w:rsidR="002F7130" w:rsidRDefault="00034E45" w:rsidP="00BF2B43">
      <w:pPr>
        <w:jc w:val="both"/>
        <w:rPr>
          <w:rFonts w:ascii="Arial" w:hAnsi="Arial" w:cs="Arial"/>
          <w:b/>
        </w:rPr>
      </w:pPr>
      <w:r>
        <w:rPr>
          <w:rFonts w:ascii="Arial" w:hAnsi="Arial" w:cs="Arial"/>
          <w:b/>
        </w:rPr>
        <w:lastRenderedPageBreak/>
        <w:t>Table S1: Primers used in this study.</w:t>
      </w:r>
    </w:p>
    <w:p w14:paraId="17465787" w14:textId="64599967" w:rsidR="00973F6F" w:rsidRDefault="00743991" w:rsidP="008702B1">
      <w:pPr>
        <w:spacing w:after="0" w:line="360" w:lineRule="auto"/>
        <w:jc w:val="both"/>
        <w:rPr>
          <w:rFonts w:ascii="Arial" w:hAnsi="Arial" w:cs="Arial"/>
          <w:b/>
        </w:rPr>
      </w:pPr>
      <w:r w:rsidRPr="00743991">
        <w:rPr>
          <w:noProof/>
        </w:rPr>
        <w:drawing>
          <wp:inline distT="0" distB="0" distL="0" distR="0" wp14:anchorId="3DBF4C2E" wp14:editId="1A787977">
            <wp:extent cx="5731510" cy="70091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009130"/>
                    </a:xfrm>
                    <a:prstGeom prst="rect">
                      <a:avLst/>
                    </a:prstGeom>
                    <a:noFill/>
                    <a:ln>
                      <a:noFill/>
                    </a:ln>
                  </pic:spPr>
                </pic:pic>
              </a:graphicData>
            </a:graphic>
          </wp:inline>
        </w:drawing>
      </w:r>
    </w:p>
    <w:p w14:paraId="2C535342" w14:textId="77777777" w:rsidR="00973F6F" w:rsidRDefault="00973F6F" w:rsidP="008702B1">
      <w:pPr>
        <w:spacing w:after="0" w:line="360" w:lineRule="auto"/>
        <w:jc w:val="both"/>
        <w:rPr>
          <w:rFonts w:ascii="Arial" w:hAnsi="Arial" w:cs="Arial"/>
          <w:b/>
        </w:rPr>
      </w:pPr>
    </w:p>
    <w:p w14:paraId="675D6495" w14:textId="77777777" w:rsidR="00FF4C81" w:rsidRDefault="00FF4C81" w:rsidP="008702B1">
      <w:pPr>
        <w:spacing w:after="0" w:line="360" w:lineRule="auto"/>
        <w:jc w:val="both"/>
        <w:rPr>
          <w:rFonts w:ascii="Arial" w:hAnsi="Arial" w:cs="Arial"/>
          <w:b/>
        </w:rPr>
      </w:pPr>
    </w:p>
    <w:p w14:paraId="6A7DAE58" w14:textId="77777777" w:rsidR="00FF4C81" w:rsidRDefault="00FF4C81" w:rsidP="008702B1">
      <w:pPr>
        <w:spacing w:after="0" w:line="360" w:lineRule="auto"/>
        <w:jc w:val="both"/>
        <w:rPr>
          <w:rFonts w:ascii="Arial" w:hAnsi="Arial" w:cs="Arial"/>
          <w:b/>
        </w:rPr>
      </w:pPr>
    </w:p>
    <w:p w14:paraId="0D7047F4" w14:textId="77777777" w:rsidR="00FF4C81" w:rsidRDefault="00FF4C81" w:rsidP="008702B1">
      <w:pPr>
        <w:spacing w:after="0" w:line="360" w:lineRule="auto"/>
        <w:jc w:val="both"/>
        <w:rPr>
          <w:rFonts w:ascii="Arial" w:hAnsi="Arial" w:cs="Arial"/>
          <w:b/>
        </w:rPr>
      </w:pPr>
    </w:p>
    <w:p w14:paraId="39A420E9" w14:textId="77777777" w:rsidR="00FF4C81" w:rsidRDefault="00FF4C81" w:rsidP="008702B1">
      <w:pPr>
        <w:spacing w:after="0" w:line="360" w:lineRule="auto"/>
        <w:jc w:val="both"/>
        <w:rPr>
          <w:rFonts w:ascii="Arial" w:hAnsi="Arial" w:cs="Arial"/>
          <w:b/>
        </w:rPr>
      </w:pPr>
    </w:p>
    <w:p w14:paraId="7DDFBFFC" w14:textId="77777777" w:rsidR="00743991" w:rsidRDefault="00743991" w:rsidP="008702B1">
      <w:pPr>
        <w:spacing w:after="0" w:line="360" w:lineRule="auto"/>
        <w:jc w:val="both"/>
        <w:rPr>
          <w:rFonts w:ascii="Arial" w:hAnsi="Arial" w:cs="Arial"/>
          <w:b/>
        </w:rPr>
      </w:pPr>
    </w:p>
    <w:p w14:paraId="7CD96240" w14:textId="1AD87A7D" w:rsidR="00034E45" w:rsidRPr="008702B1" w:rsidRDefault="00034E45" w:rsidP="008702B1">
      <w:pPr>
        <w:spacing w:after="0" w:line="360" w:lineRule="auto"/>
        <w:jc w:val="both"/>
        <w:rPr>
          <w:rFonts w:ascii="Arial" w:hAnsi="Arial" w:cs="Arial"/>
          <w:b/>
        </w:rPr>
      </w:pPr>
      <w:r w:rsidRPr="008702B1">
        <w:rPr>
          <w:rFonts w:ascii="Arial" w:hAnsi="Arial" w:cs="Arial"/>
          <w:b/>
        </w:rPr>
        <w:lastRenderedPageBreak/>
        <w:t>Table S2: Plasmids used in this study.</w:t>
      </w:r>
      <w:bookmarkEnd w:id="2"/>
    </w:p>
    <w:p w14:paraId="79E2EDD4" w14:textId="296E3279" w:rsidR="00973F6F" w:rsidRDefault="00973F6F" w:rsidP="008702B1">
      <w:pPr>
        <w:spacing w:after="0" w:line="360" w:lineRule="auto"/>
        <w:jc w:val="both"/>
        <w:rPr>
          <w:rFonts w:ascii="Arial" w:hAnsi="Arial" w:cs="Arial"/>
          <w:b/>
        </w:rPr>
      </w:pPr>
    </w:p>
    <w:p w14:paraId="039325E0" w14:textId="4CD06650" w:rsidR="00E61D11" w:rsidRDefault="00CD1C67" w:rsidP="008702B1">
      <w:pPr>
        <w:spacing w:after="0" w:line="360" w:lineRule="auto"/>
        <w:jc w:val="both"/>
        <w:rPr>
          <w:rFonts w:ascii="Arial" w:hAnsi="Arial" w:cs="Arial"/>
          <w:b/>
        </w:rPr>
      </w:pPr>
      <w:r w:rsidRPr="00CD1C67">
        <w:rPr>
          <w:noProof/>
        </w:rPr>
        <w:drawing>
          <wp:inline distT="0" distB="0" distL="0" distR="0" wp14:anchorId="0A48659C" wp14:editId="3F751009">
            <wp:extent cx="5731510" cy="51174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117465"/>
                    </a:xfrm>
                    <a:prstGeom prst="rect">
                      <a:avLst/>
                    </a:prstGeom>
                    <a:noFill/>
                    <a:ln>
                      <a:noFill/>
                    </a:ln>
                  </pic:spPr>
                </pic:pic>
              </a:graphicData>
            </a:graphic>
          </wp:inline>
        </w:drawing>
      </w:r>
    </w:p>
    <w:p w14:paraId="10AE9D6C" w14:textId="77777777" w:rsidR="00973F6F" w:rsidRDefault="00973F6F" w:rsidP="008702B1">
      <w:pPr>
        <w:spacing w:after="0" w:line="360" w:lineRule="auto"/>
        <w:jc w:val="both"/>
        <w:rPr>
          <w:rFonts w:ascii="Arial" w:hAnsi="Arial" w:cs="Arial"/>
          <w:b/>
        </w:rPr>
      </w:pPr>
    </w:p>
    <w:p w14:paraId="35F6E8CE" w14:textId="398541C9" w:rsidR="00034E45" w:rsidRPr="008702B1" w:rsidRDefault="00034E45" w:rsidP="008702B1">
      <w:pPr>
        <w:spacing w:after="0" w:line="360" w:lineRule="auto"/>
        <w:jc w:val="both"/>
        <w:rPr>
          <w:rFonts w:ascii="Arial" w:hAnsi="Arial" w:cs="Arial"/>
          <w:b/>
        </w:rPr>
      </w:pPr>
      <w:r w:rsidRPr="008702B1">
        <w:rPr>
          <w:rFonts w:ascii="Arial" w:hAnsi="Arial" w:cs="Arial"/>
          <w:b/>
        </w:rPr>
        <w:t>Table S3:</w:t>
      </w:r>
      <w:r w:rsidR="003410DC" w:rsidRPr="008702B1">
        <w:rPr>
          <w:rFonts w:ascii="Arial" w:hAnsi="Arial" w:cs="Arial"/>
          <w:b/>
        </w:rPr>
        <w:t xml:space="preserve"> </w:t>
      </w:r>
      <w:r w:rsidR="00E85159">
        <w:rPr>
          <w:rFonts w:ascii="Arial" w:hAnsi="Arial" w:cs="Arial"/>
          <w:b/>
        </w:rPr>
        <w:t xml:space="preserve">Potential </w:t>
      </w:r>
      <w:r w:rsidR="000025FF">
        <w:rPr>
          <w:rFonts w:ascii="Arial" w:hAnsi="Arial" w:cs="Arial"/>
          <w:b/>
        </w:rPr>
        <w:t>PCC 11910 homologues of PCC 6803 proteins involved in central metabolism</w:t>
      </w:r>
      <w:r w:rsidR="003410DC" w:rsidRPr="008702B1">
        <w:rPr>
          <w:rFonts w:ascii="Arial" w:hAnsi="Arial" w:cs="Arial"/>
          <w:b/>
        </w:rPr>
        <w:t>.</w:t>
      </w:r>
      <w:r w:rsidR="003410DC" w:rsidRPr="008702B1">
        <w:rPr>
          <w:rFonts w:ascii="Arial" w:hAnsi="Arial" w:cs="Arial"/>
        </w:rPr>
        <w:t xml:space="preserve"> Proteins were identified </w:t>
      </w:r>
      <w:r w:rsidR="000025FF">
        <w:rPr>
          <w:rFonts w:ascii="Arial" w:hAnsi="Arial" w:cs="Arial"/>
        </w:rPr>
        <w:t xml:space="preserve">in Mills </w:t>
      </w:r>
      <w:r w:rsidR="000025FF">
        <w:rPr>
          <w:rFonts w:ascii="Arial" w:hAnsi="Arial" w:cs="Arial"/>
          <w:i/>
          <w:iCs/>
        </w:rPr>
        <w:t xml:space="preserve">et al. </w:t>
      </w:r>
      <w:r w:rsidR="000025FF" w:rsidRPr="000025FF">
        <w:rPr>
          <w:rFonts w:ascii="Arial" w:hAnsi="Arial" w:cs="Arial"/>
        </w:rPr>
        <w:fldChar w:fldCharType="begin"/>
      </w:r>
      <w:r w:rsidR="000025FF" w:rsidRPr="000025FF">
        <w:rPr>
          <w:rFonts w:ascii="Arial" w:hAnsi="Arial" w:cs="Arial"/>
        </w:rPr>
        <w:instrText xml:space="preserve"> ADDIN EN.CITE &lt;EndNote&gt;&lt;Cite&gt;&lt;Author&gt;Mills&lt;/Author&gt;&lt;Year&gt;2020&lt;/Year&gt;&lt;RecNum&gt;2924&lt;/RecNum&gt;&lt;DisplayText&gt;&lt;style size="10"&gt;[1]&lt;/style&gt;&lt;/DisplayText&gt;&lt;record&gt;&lt;rec-number&gt;2924&lt;/rec-number&gt;&lt;foreign-keys&gt;&lt;key app="EN" db-id="0rzzaa9ajp2vz4ee20ppa0tc5dwrvt0sde5x" timestamp="1584381165"&gt;2924&lt;/key&gt;&lt;/foreign-keys&gt;&lt;ref-type name="Journal Article"&gt;17&lt;/ref-type&gt;&lt;contributors&gt;&lt;authors&gt;&lt;author&gt;Mills, L. A.&lt;/author&gt;&lt;author&gt;McCormick, A. J.&lt;/author&gt;&lt;author&gt;Lea-Smith, D. J.&lt;/author&gt;&lt;/authors&gt;&lt;/contributors&gt;&lt;auth-address&gt;University of East Anglia, Norwich, United Kingdom.&amp;#xD;University of Edinburgh, Edinburgh, Scotland.&lt;/auth-address&gt;&lt;titles&gt;&lt;title&gt;Current knowledge and recent advances in understanding metabolism of the model cyanobacterium Synechocystis sp. PCC 6803&lt;/title&gt;&lt;secondary-title&gt;Biosci Rep&lt;/secondary-title&gt;&lt;/titles&gt;&lt;periodical&gt;&lt;full-title&gt;Biosci Rep&lt;/full-title&gt;&lt;/periodical&gt;&lt;pages&gt;BSR20193325&lt;/pages&gt;&lt;volume&gt;40&lt;/volume&gt;&lt;number&gt;4&lt;/number&gt;&lt;keywords&gt;&lt;keyword&gt;Synechocystis&lt;/keyword&gt;&lt;keyword&gt;comparative genomics&lt;/keyword&gt;&lt;keyword&gt;cyanobacteria&lt;/keyword&gt;&lt;keyword&gt;degradation&lt;/keyword&gt;&lt;keyword&gt;metabolism&lt;/keyword&gt;&lt;/keywords&gt;&lt;dates&gt;&lt;year&gt;2020&lt;/year&gt;&lt;pub-dates&gt;&lt;date&gt;Mar 9&lt;/date&gt;&lt;/pub-dates&gt;&lt;/dates&gt;&lt;isbn&gt;1573-4935 (Electronic)&amp;#xD;0144-8463 (Linking)&lt;/isbn&gt;&lt;accession-num&gt;32149336&lt;/accession-num&gt;&lt;urls&gt;&lt;related-urls&gt;&lt;url&gt;https://www.ncbi.nlm.nih.gov/pubmed/32149336&lt;/url&gt;&lt;/related-urls&gt;&lt;/urls&gt;&lt;electronic-resource-num&gt;10.1042/BSR20193325&lt;/electronic-resource-num&gt;&lt;/record&gt;&lt;/Cite&gt;&lt;/EndNote&gt;</w:instrText>
      </w:r>
      <w:r w:rsidR="000025FF" w:rsidRPr="000025FF">
        <w:rPr>
          <w:rFonts w:ascii="Arial" w:hAnsi="Arial" w:cs="Arial"/>
        </w:rPr>
        <w:fldChar w:fldCharType="separate"/>
      </w:r>
      <w:r w:rsidR="000025FF" w:rsidRPr="000025FF">
        <w:rPr>
          <w:rFonts w:ascii="Arial" w:hAnsi="Arial" w:cs="Arial"/>
          <w:noProof/>
          <w:sz w:val="20"/>
        </w:rPr>
        <w:t>[1]</w:t>
      </w:r>
      <w:r w:rsidR="000025FF" w:rsidRPr="000025FF">
        <w:rPr>
          <w:rFonts w:ascii="Arial" w:hAnsi="Arial" w:cs="Arial"/>
        </w:rPr>
        <w:fldChar w:fldCharType="end"/>
      </w:r>
      <w:r w:rsidR="003410DC" w:rsidRPr="008702B1">
        <w:rPr>
          <w:rFonts w:ascii="Arial" w:hAnsi="Arial" w:cs="Arial"/>
        </w:rPr>
        <w:t xml:space="preserve">. The Uniprot ID relates to the identification system used on the Uniprot database </w:t>
      </w:r>
      <w:r w:rsidR="003410DC" w:rsidRPr="008702B1">
        <w:rPr>
          <w:rFonts w:ascii="Arial" w:hAnsi="Arial" w:cs="Arial"/>
        </w:rPr>
        <w:fldChar w:fldCharType="begin"/>
      </w:r>
      <w:r w:rsidR="000025FF">
        <w:rPr>
          <w:rFonts w:ascii="Arial" w:hAnsi="Arial" w:cs="Arial"/>
        </w:rPr>
        <w:instrText xml:space="preserve"> ADDIN EN.CITE &lt;EndNote&gt;&lt;Cite&gt;&lt;Author&gt;UniProt&lt;/Author&gt;&lt;Year&gt;2010&lt;/Year&gt;&lt;RecNum&gt;2851&lt;/RecNum&gt;&lt;DisplayText&gt;&lt;style size="10"&gt;[2]&lt;/style&gt;&lt;/DisplayText&gt;&lt;record&gt;&lt;rec-number&gt;2851&lt;/rec-number&gt;&lt;foreign-keys&gt;&lt;key app="EN" db-id="0rzzaa9ajp2vz4ee20ppa0tc5dwrvt0sde5x" timestamp="1579706276"&gt;2851&lt;/key&gt;&lt;/foreign-keys&gt;&lt;ref-type name="Journal Article"&gt;17&lt;/ref-type&gt;&lt;contributors&gt;&lt;authors&gt;&lt;author&gt;UniProt, Consortium&lt;/author&gt;&lt;/authors&gt;&lt;/contributors&gt;&lt;auth-address&gt;The EMBL Outstation, The European Bioinformatics Institute, Wellcome Trust Genome Campus, Hinxton, Cambridge CB10 1SD, UK.&lt;/auth-address&gt;&lt;titles&gt;&lt;title&gt;The Universal Protein Resource (UniProt) in 2010&lt;/title&gt;&lt;secondary-title&gt;Nucleic Acids Res&lt;/secondary-title&gt;&lt;/titles&gt;&lt;periodical&gt;&lt;full-title&gt;Nucleic Acids Res&lt;/full-title&gt;&lt;/periodical&gt;&lt;pages&gt;D142-8&lt;/pages&gt;&lt;volume&gt;38&lt;/volume&gt;&lt;number&gt;Database issue&lt;/number&gt;&lt;keywords&gt;&lt;keyword&gt;Algorithms&lt;/keyword&gt;&lt;keyword&gt;Animals&lt;/keyword&gt;&lt;keyword&gt;Computational Biology/*methods/trends&lt;/keyword&gt;&lt;keyword&gt;*Databases, Nucleic Acid&lt;/keyword&gt;&lt;keyword&gt;Databases, Protein&lt;/keyword&gt;&lt;keyword&gt;Europe&lt;/keyword&gt;&lt;keyword&gt;Genome, Fungal&lt;/keyword&gt;&lt;keyword&gt;Genome, Viral&lt;/keyword&gt;&lt;keyword&gt;Humans&lt;/keyword&gt;&lt;keyword&gt;Information Storage and Retrieval/methods&lt;/keyword&gt;&lt;keyword&gt;Internet&lt;/keyword&gt;&lt;keyword&gt;Protein Isoforms&lt;/keyword&gt;&lt;keyword&gt;Proteome&lt;/keyword&gt;&lt;keyword&gt;Proteomics&lt;/keyword&gt;&lt;keyword&gt;Software&lt;/keyword&gt;&lt;/keywords&gt;&lt;dates&gt;&lt;year&gt;2010&lt;/year&gt;&lt;pub-dates&gt;&lt;date&gt;Jan&lt;/date&gt;&lt;/pub-dates&gt;&lt;/dates&gt;&lt;isbn&gt;1362-4962 (Electronic)&amp;#xD;0305-1048 (Linking)&lt;/isbn&gt;&lt;accession-num&gt;19843607&lt;/accession-num&gt;&lt;urls&gt;&lt;related-urls&gt;&lt;url&gt;https://www.ncbi.nlm.nih.gov/pubmed/19843607&lt;/url&gt;&lt;/related-urls&gt;&lt;/urls&gt;&lt;custom2&gt;PMC2808944&lt;/custom2&gt;&lt;electronic-resource-num&gt;10.1093/nar/gkp846&lt;/electronic-resource-num&gt;&lt;/record&gt;&lt;/Cite&gt;&lt;/EndNote&gt;</w:instrText>
      </w:r>
      <w:r w:rsidR="003410DC" w:rsidRPr="008702B1">
        <w:rPr>
          <w:rFonts w:ascii="Arial" w:hAnsi="Arial" w:cs="Arial"/>
        </w:rPr>
        <w:fldChar w:fldCharType="separate"/>
      </w:r>
      <w:r w:rsidR="000025FF" w:rsidRPr="000025FF">
        <w:rPr>
          <w:rFonts w:ascii="Arial" w:hAnsi="Arial" w:cs="Arial"/>
          <w:noProof/>
          <w:sz w:val="20"/>
        </w:rPr>
        <w:t>[2]</w:t>
      </w:r>
      <w:r w:rsidR="003410DC" w:rsidRPr="008702B1">
        <w:rPr>
          <w:rFonts w:ascii="Arial" w:hAnsi="Arial" w:cs="Arial"/>
        </w:rPr>
        <w:fldChar w:fldCharType="end"/>
      </w:r>
      <w:r w:rsidR="003410DC" w:rsidRPr="008702B1">
        <w:rPr>
          <w:rFonts w:ascii="Arial" w:hAnsi="Arial" w:cs="Arial"/>
        </w:rPr>
        <w:t xml:space="preserve">. The Uniprot ID amino acid sequence stored within this database was then used during the BLASTp function. All Gene Products, Gene Name, Other Gene Names, Localisation, Molecular Weight (kDa) and No of TMH's are derived from Baers </w:t>
      </w:r>
      <w:r w:rsidR="003410DC" w:rsidRPr="008702B1">
        <w:rPr>
          <w:rFonts w:ascii="Arial" w:hAnsi="Arial" w:cs="Arial"/>
          <w:i/>
        </w:rPr>
        <w:t>et al</w:t>
      </w:r>
      <w:r w:rsidR="00ED0B5D">
        <w:rPr>
          <w:rFonts w:ascii="Arial" w:hAnsi="Arial" w:cs="Arial"/>
          <w:i/>
        </w:rPr>
        <w:t>.</w:t>
      </w:r>
      <w:r w:rsidR="003410DC" w:rsidRPr="008702B1">
        <w:rPr>
          <w:rFonts w:ascii="Arial" w:hAnsi="Arial" w:cs="Arial"/>
        </w:rPr>
        <w:t xml:space="preserve"> (2019) </w:t>
      </w:r>
      <w:r w:rsidR="003410DC" w:rsidRPr="008702B1">
        <w:rPr>
          <w:rFonts w:ascii="Arial" w:hAnsi="Arial" w:cs="Arial"/>
        </w:rPr>
        <w:fldChar w:fldCharType="begin"/>
      </w:r>
      <w:r w:rsidR="000025FF">
        <w:rPr>
          <w:rFonts w:ascii="Arial" w:hAnsi="Arial" w:cs="Arial"/>
        </w:rPr>
        <w:instrText xml:space="preserve"> ADDIN EN.CITE &lt;EndNote&gt;&lt;Cite&gt;&lt;Author&gt;Baers&lt;/Author&gt;&lt;Year&gt;2019&lt;/Year&gt;&lt;RecNum&gt;2810&lt;/RecNum&gt;&lt;DisplayText&gt;&lt;style size="10"&gt;[3]&lt;/style&gt;&lt;/DisplayText&gt;&lt;record&gt;&lt;rec-number&gt;2810&lt;/rec-number&gt;&lt;foreign-keys&gt;&lt;key app="EN" db-id="0rzzaa9ajp2vz4ee20ppa0tc5dwrvt0sde5x" timestamp="1571233587"&gt;2810&lt;/key&gt;&lt;/foreign-keys&gt;&lt;ref-type name="Journal Article"&gt;17&lt;/ref-type&gt;&lt;contributors&gt;&lt;authors&gt;&lt;author&gt;Baers, L. L.&lt;/author&gt;&lt;author&gt;Breckels, L. M.&lt;/author&gt;&lt;author&gt;Mills, L. A.&lt;/author&gt;&lt;author&gt;Gatto, L.&lt;/author&gt;&lt;author&gt;Deery, M.&lt;/author&gt;&lt;author&gt;Stevens, T. J.&lt;/author&gt;&lt;author&gt;Howe, C. J.&lt;/author&gt;&lt;author&gt;Lilley, K. S.&lt;/author&gt;&lt;author&gt;Lea-Smith, D. J.&lt;/author&gt;&lt;/authors&gt;&lt;/contributors&gt;&lt;auth-address&gt;University of Cambridge CITY: Cambridge United Kingdom [GB].&amp;#xD;University of East Anglia CITY: Norwich STATE: Norfolk United Kingdom [GB].&amp;#xD;MRC Laboratory of Molecular Biology CITY: Cambridge United Kingdom [GB].&amp;#xD;University of Cambridge CITY: Cambridge POSTAL_CODE: CB2 1QR United Kingdom [GB].&amp;#xD;University of East Anglia CITY: Norwich POSTAL_CODE: NR4 7TJ United Kingdom [GB] D.Lea-Smith@uea.ac.uk.&lt;/auth-address&gt;&lt;titles&gt;&lt;title&gt;Proteome mapping of a cyanobacterium reveals distinct compartment organisation and cell-dispersed metabolism&lt;/title&gt;&lt;secondary-title&gt;Plant Physiol&lt;/secondary-title&gt;&lt;/titles&gt;&lt;periodical&gt;&lt;full-title&gt;Plant Physiol&lt;/full-title&gt;&lt;/periodical&gt;&lt;pages&gt;1721-1738&lt;/pages&gt;&lt;volume&gt;181&lt;/volume&gt;&lt;number&gt;4&lt;/number&gt;&lt;dates&gt;&lt;year&gt;2019&lt;/year&gt;&lt;pub-dates&gt;&lt;date&gt;Oct 2&lt;/date&gt;&lt;/pub-dates&gt;&lt;/dates&gt;&lt;isbn&gt;1532-2548 (Electronic)&amp;#xD;0032-0889 (Linking)&lt;/isbn&gt;&lt;accession-num&gt;31578229&lt;/accession-num&gt;&lt;urls&gt;&lt;related-urls&gt;&lt;url&gt;https://www.ncbi.nlm.nih.gov/pubmed/31578229&lt;/url&gt;&lt;/related-urls&gt;&lt;/urls&gt;&lt;electronic-resource-num&gt;10.1104/pp.19.00897&lt;/electronic-resource-num&gt;&lt;/record&gt;&lt;/Cite&gt;&lt;/EndNote&gt;</w:instrText>
      </w:r>
      <w:r w:rsidR="003410DC" w:rsidRPr="008702B1">
        <w:rPr>
          <w:rFonts w:ascii="Arial" w:hAnsi="Arial" w:cs="Arial"/>
        </w:rPr>
        <w:fldChar w:fldCharType="separate"/>
      </w:r>
      <w:r w:rsidR="000025FF" w:rsidRPr="000025FF">
        <w:rPr>
          <w:rFonts w:ascii="Arial" w:hAnsi="Arial" w:cs="Arial"/>
          <w:noProof/>
          <w:sz w:val="20"/>
        </w:rPr>
        <w:t>[3]</w:t>
      </w:r>
      <w:r w:rsidR="003410DC" w:rsidRPr="008702B1">
        <w:rPr>
          <w:rFonts w:ascii="Arial" w:hAnsi="Arial" w:cs="Arial"/>
        </w:rPr>
        <w:fldChar w:fldCharType="end"/>
      </w:r>
      <w:r w:rsidR="003410DC" w:rsidRPr="008702B1">
        <w:rPr>
          <w:rFonts w:ascii="Arial" w:hAnsi="Arial" w:cs="Arial"/>
        </w:rPr>
        <w:t>. Each blast hit shows the NCBI Accession, in addition to the Percentage Identity Score, the length of the alignment number of mismatches</w:t>
      </w:r>
      <w:r w:rsidR="00E85159">
        <w:rPr>
          <w:rFonts w:ascii="Arial" w:hAnsi="Arial" w:cs="Arial"/>
        </w:rPr>
        <w:t xml:space="preserve"> </w:t>
      </w:r>
      <w:r w:rsidR="003410DC" w:rsidRPr="008702B1">
        <w:rPr>
          <w:rFonts w:ascii="Arial" w:hAnsi="Arial" w:cs="Arial"/>
        </w:rPr>
        <w:t>as well as the number of gaps within the alignment. The species start and end refers to the start and end of the alignment within each species. The E-value refers to the number of expected hits of a similar quality that could be found by chance, the lower the E-value, the less likely the match is down to chance. For this analysis, we have only included proteins with an E-value of 1 or less. The bit-score is a log2-scaled and normalised raw-score.</w:t>
      </w:r>
    </w:p>
    <w:p w14:paraId="632EE28E" w14:textId="77777777" w:rsidR="00973F6F" w:rsidRDefault="00973F6F" w:rsidP="00973F6F">
      <w:pPr>
        <w:spacing w:after="0" w:line="360" w:lineRule="auto"/>
        <w:jc w:val="both"/>
        <w:rPr>
          <w:rFonts w:ascii="Arial" w:hAnsi="Arial" w:cs="Arial"/>
          <w:b/>
        </w:rPr>
      </w:pPr>
    </w:p>
    <w:p w14:paraId="7C579BA2" w14:textId="636AF258" w:rsidR="00973F6F" w:rsidRPr="008702B1" w:rsidRDefault="00ED0B5D" w:rsidP="00973F6F">
      <w:pPr>
        <w:spacing w:after="0" w:line="360" w:lineRule="auto"/>
        <w:jc w:val="both"/>
        <w:rPr>
          <w:rFonts w:ascii="Arial" w:hAnsi="Arial" w:cs="Arial"/>
          <w:b/>
        </w:rPr>
      </w:pPr>
      <w:r w:rsidRPr="00ED0B5D">
        <w:rPr>
          <w:rFonts w:ascii="Arial" w:hAnsi="Arial" w:cs="Arial"/>
          <w:b/>
        </w:rPr>
        <w:t xml:space="preserve">Table S4: </w:t>
      </w:r>
      <w:r w:rsidR="00E85159">
        <w:rPr>
          <w:rFonts w:ascii="Arial" w:hAnsi="Arial" w:cs="Arial"/>
          <w:b/>
        </w:rPr>
        <w:t xml:space="preserve">Potential </w:t>
      </w:r>
      <w:r w:rsidRPr="00ED0B5D">
        <w:rPr>
          <w:rFonts w:ascii="Arial" w:hAnsi="Arial" w:cs="Arial"/>
          <w:b/>
        </w:rPr>
        <w:t>PCC 11910 homologues of PCC 6803 proteins involved in processes other than central metabolism, light harvesting and photosynthesis, and proteins of unknown function.</w:t>
      </w:r>
      <w:r>
        <w:rPr>
          <w:rFonts w:ascii="Arial" w:hAnsi="Arial" w:cs="Arial"/>
          <w:b/>
        </w:rPr>
        <w:t xml:space="preserve"> </w:t>
      </w:r>
      <w:r w:rsidR="00E85159" w:rsidRPr="008702B1">
        <w:rPr>
          <w:rFonts w:ascii="Arial" w:hAnsi="Arial" w:cs="Arial"/>
        </w:rPr>
        <w:t xml:space="preserve">Proteins were identified </w:t>
      </w:r>
      <w:r w:rsidR="00E85159">
        <w:rPr>
          <w:rFonts w:ascii="Arial" w:hAnsi="Arial" w:cs="Arial"/>
        </w:rPr>
        <w:t xml:space="preserve">in Mills </w:t>
      </w:r>
      <w:r w:rsidR="00E85159">
        <w:rPr>
          <w:rFonts w:ascii="Arial" w:hAnsi="Arial" w:cs="Arial"/>
          <w:i/>
          <w:iCs/>
        </w:rPr>
        <w:t xml:space="preserve">et al. </w:t>
      </w:r>
      <w:r w:rsidR="00E85159" w:rsidRPr="000025FF">
        <w:rPr>
          <w:rFonts w:ascii="Arial" w:hAnsi="Arial" w:cs="Arial"/>
        </w:rPr>
        <w:fldChar w:fldCharType="begin"/>
      </w:r>
      <w:r w:rsidR="00E85159" w:rsidRPr="000025FF">
        <w:rPr>
          <w:rFonts w:ascii="Arial" w:hAnsi="Arial" w:cs="Arial"/>
        </w:rPr>
        <w:instrText xml:space="preserve"> ADDIN EN.CITE &lt;EndNote&gt;&lt;Cite&gt;&lt;Author&gt;Mills&lt;/Author&gt;&lt;Year&gt;2020&lt;/Year&gt;&lt;RecNum&gt;2924&lt;/RecNum&gt;&lt;DisplayText&gt;&lt;style size="10"&gt;[1]&lt;/style&gt;&lt;/DisplayText&gt;&lt;record&gt;&lt;rec-number&gt;2924&lt;/rec-number&gt;&lt;foreign-keys&gt;&lt;key app="EN" db-id="0rzzaa9ajp2vz4ee20ppa0tc5dwrvt0sde5x" timestamp="1584381165"&gt;2924&lt;/key&gt;&lt;/foreign-keys&gt;&lt;ref-type name="Journal Article"&gt;17&lt;/ref-type&gt;&lt;contributors&gt;&lt;authors&gt;&lt;author&gt;Mills, L. A.&lt;/author&gt;&lt;author&gt;McCormick, A. J.&lt;/author&gt;&lt;author&gt;Lea-Smith, D. J.&lt;/author&gt;&lt;/authors&gt;&lt;/contributors&gt;&lt;auth-address&gt;University of East Anglia, Norwich, United Kingdom.&amp;#xD;University of Edinburgh, Edinburgh, Scotland.&lt;/auth-address&gt;&lt;titles&gt;&lt;title&gt;Current knowledge and recent advances in understanding metabolism of the model cyanobacterium Synechocystis sp. PCC 6803&lt;/title&gt;&lt;secondary-title&gt;Biosci Rep&lt;/secondary-title&gt;&lt;/titles&gt;&lt;periodical&gt;&lt;full-title&gt;Biosci Rep&lt;/full-title&gt;&lt;/periodical&gt;&lt;pages&gt;BSR20193325&lt;/pages&gt;&lt;volume&gt;40&lt;/volume&gt;&lt;number&gt;4&lt;/number&gt;&lt;keywords&gt;&lt;keyword&gt;Synechocystis&lt;/keyword&gt;&lt;keyword&gt;comparative genomics&lt;/keyword&gt;&lt;keyword&gt;cyanobacteria&lt;/keyword&gt;&lt;keyword&gt;degradation&lt;/keyword&gt;&lt;keyword&gt;metabolism&lt;/keyword&gt;&lt;/keywords&gt;&lt;dates&gt;&lt;year&gt;2020&lt;/year&gt;&lt;pub-dates&gt;&lt;date&gt;Mar 9&lt;/date&gt;&lt;/pub-dates&gt;&lt;/dates&gt;&lt;isbn&gt;1573-4935 (Electronic)&amp;#xD;0144-8463 (Linking)&lt;/isbn&gt;&lt;accession-num&gt;32149336&lt;/accession-num&gt;&lt;urls&gt;&lt;related-urls&gt;&lt;url&gt;https://www.ncbi.nlm.nih.gov/pubmed/32149336&lt;/url&gt;&lt;/related-urls&gt;&lt;/urls&gt;&lt;electronic-resource-num&gt;10.1042/BSR20193325&lt;/electronic-resource-num&gt;&lt;/record&gt;&lt;/Cite&gt;&lt;/EndNote&gt;</w:instrText>
      </w:r>
      <w:r w:rsidR="00E85159" w:rsidRPr="000025FF">
        <w:rPr>
          <w:rFonts w:ascii="Arial" w:hAnsi="Arial" w:cs="Arial"/>
        </w:rPr>
        <w:fldChar w:fldCharType="separate"/>
      </w:r>
      <w:r w:rsidR="00E85159" w:rsidRPr="000025FF">
        <w:rPr>
          <w:rFonts w:ascii="Arial" w:hAnsi="Arial" w:cs="Arial"/>
          <w:noProof/>
          <w:sz w:val="20"/>
        </w:rPr>
        <w:t>[1]</w:t>
      </w:r>
      <w:r w:rsidR="00E85159" w:rsidRPr="000025FF">
        <w:rPr>
          <w:rFonts w:ascii="Arial" w:hAnsi="Arial" w:cs="Arial"/>
        </w:rPr>
        <w:fldChar w:fldCharType="end"/>
      </w:r>
      <w:r w:rsidR="00E85159" w:rsidRPr="008702B1">
        <w:rPr>
          <w:rFonts w:ascii="Arial" w:hAnsi="Arial" w:cs="Arial"/>
        </w:rPr>
        <w:t xml:space="preserve">. The Uniprot ID relates to the identification system used on the Uniprot database </w:t>
      </w:r>
      <w:r w:rsidR="00E85159" w:rsidRPr="008702B1">
        <w:rPr>
          <w:rFonts w:ascii="Arial" w:hAnsi="Arial" w:cs="Arial"/>
        </w:rPr>
        <w:fldChar w:fldCharType="begin"/>
      </w:r>
      <w:r w:rsidR="00E85159">
        <w:rPr>
          <w:rFonts w:ascii="Arial" w:hAnsi="Arial" w:cs="Arial"/>
        </w:rPr>
        <w:instrText xml:space="preserve"> ADDIN EN.CITE &lt;EndNote&gt;&lt;Cite&gt;&lt;Author&gt;UniProt&lt;/Author&gt;&lt;Year&gt;2010&lt;/Year&gt;&lt;RecNum&gt;2851&lt;/RecNum&gt;&lt;DisplayText&gt;&lt;style size="10"&gt;[2]&lt;/style&gt;&lt;/DisplayText&gt;&lt;record&gt;&lt;rec-number&gt;2851&lt;/rec-number&gt;&lt;foreign-keys&gt;&lt;key app="EN" db-id="0rzzaa9ajp2vz4ee20ppa0tc5dwrvt0sde5x" timestamp="1579706276"&gt;2851&lt;/key&gt;&lt;/foreign-keys&gt;&lt;ref-type name="Journal Article"&gt;17&lt;/ref-type&gt;&lt;contributors&gt;&lt;authors&gt;&lt;author&gt;UniProt, Consortium&lt;/author&gt;&lt;/authors&gt;&lt;/contributors&gt;&lt;auth-address&gt;The EMBL Outstation, The European Bioinformatics Institute, Wellcome Trust Genome Campus, Hinxton, Cambridge CB10 1SD, UK.&lt;/auth-address&gt;&lt;titles&gt;&lt;title&gt;The Universal Protein Resource (UniProt) in 2010&lt;/title&gt;&lt;secondary-title&gt;Nucleic Acids Res&lt;/secondary-title&gt;&lt;/titles&gt;&lt;periodical&gt;&lt;full-title&gt;Nucleic Acids Res&lt;/full-title&gt;&lt;/periodical&gt;&lt;pages&gt;D142-8&lt;/pages&gt;&lt;volume&gt;38&lt;/volume&gt;&lt;number&gt;Database issue&lt;/number&gt;&lt;keywords&gt;&lt;keyword&gt;Algorithms&lt;/keyword&gt;&lt;keyword&gt;Animals&lt;/keyword&gt;&lt;keyword&gt;Computational Biology/*methods/trends&lt;/keyword&gt;&lt;keyword&gt;*Databases, Nucleic Acid&lt;/keyword&gt;&lt;keyword&gt;Databases, Protein&lt;/keyword&gt;&lt;keyword&gt;Europe&lt;/keyword&gt;&lt;keyword&gt;Genome, Fungal&lt;/keyword&gt;&lt;keyword&gt;Genome, Viral&lt;/keyword&gt;&lt;keyword&gt;Humans&lt;/keyword&gt;&lt;keyword&gt;Information Storage and Retrieval/methods&lt;/keyword&gt;&lt;keyword&gt;Internet&lt;/keyword&gt;&lt;keyword&gt;Protein Isoforms&lt;/keyword&gt;&lt;keyword&gt;Proteome&lt;/keyword&gt;&lt;keyword&gt;Proteomics&lt;/keyword&gt;&lt;keyword&gt;Software&lt;/keyword&gt;&lt;/keywords&gt;&lt;dates&gt;&lt;year&gt;2010&lt;/year&gt;&lt;pub-dates&gt;&lt;date&gt;Jan&lt;/date&gt;&lt;/pub-dates&gt;&lt;/dates&gt;&lt;isbn&gt;1362-4962 (Electronic)&amp;#xD;0305-1048 (Linking)&lt;/isbn&gt;&lt;accession-num&gt;19843607&lt;/accession-num&gt;&lt;urls&gt;&lt;related-urls&gt;&lt;url&gt;https://www.ncbi.nlm.nih.gov/pubmed/19843607&lt;/url&gt;&lt;/related-urls&gt;&lt;/urls&gt;&lt;custom2&gt;PMC2808944&lt;/custom2&gt;&lt;electronic-resource-num&gt;10.1093/nar/gkp846&lt;/electronic-resource-num&gt;&lt;/record&gt;&lt;/Cite&gt;&lt;/EndNote&gt;</w:instrText>
      </w:r>
      <w:r w:rsidR="00E85159" w:rsidRPr="008702B1">
        <w:rPr>
          <w:rFonts w:ascii="Arial" w:hAnsi="Arial" w:cs="Arial"/>
        </w:rPr>
        <w:fldChar w:fldCharType="separate"/>
      </w:r>
      <w:r w:rsidR="00E85159" w:rsidRPr="000025FF">
        <w:rPr>
          <w:rFonts w:ascii="Arial" w:hAnsi="Arial" w:cs="Arial"/>
          <w:noProof/>
          <w:sz w:val="20"/>
        </w:rPr>
        <w:t>[2]</w:t>
      </w:r>
      <w:r w:rsidR="00E85159" w:rsidRPr="008702B1">
        <w:rPr>
          <w:rFonts w:ascii="Arial" w:hAnsi="Arial" w:cs="Arial"/>
        </w:rPr>
        <w:fldChar w:fldCharType="end"/>
      </w:r>
      <w:r w:rsidR="00E85159" w:rsidRPr="008702B1">
        <w:rPr>
          <w:rFonts w:ascii="Arial" w:hAnsi="Arial" w:cs="Arial"/>
        </w:rPr>
        <w:t xml:space="preserve">. The Uniprot ID amino acid sequence stored within this database was then used during the BLASTp function. All Gene Products, Gene Name, Other Gene Names, Localisation, Molecular Weight (kDa) and No of TMH's are derived from Baers </w:t>
      </w:r>
      <w:r w:rsidR="00E85159" w:rsidRPr="008702B1">
        <w:rPr>
          <w:rFonts w:ascii="Arial" w:hAnsi="Arial" w:cs="Arial"/>
          <w:i/>
        </w:rPr>
        <w:t>et al</w:t>
      </w:r>
      <w:r w:rsidR="00E85159">
        <w:rPr>
          <w:rFonts w:ascii="Arial" w:hAnsi="Arial" w:cs="Arial"/>
          <w:i/>
        </w:rPr>
        <w:t>.</w:t>
      </w:r>
      <w:r w:rsidR="00E85159" w:rsidRPr="008702B1">
        <w:rPr>
          <w:rFonts w:ascii="Arial" w:hAnsi="Arial" w:cs="Arial"/>
        </w:rPr>
        <w:t xml:space="preserve"> (2019) </w:t>
      </w:r>
      <w:r w:rsidR="00E85159" w:rsidRPr="008702B1">
        <w:rPr>
          <w:rFonts w:ascii="Arial" w:hAnsi="Arial" w:cs="Arial"/>
        </w:rPr>
        <w:fldChar w:fldCharType="begin"/>
      </w:r>
      <w:r w:rsidR="00E85159">
        <w:rPr>
          <w:rFonts w:ascii="Arial" w:hAnsi="Arial" w:cs="Arial"/>
        </w:rPr>
        <w:instrText xml:space="preserve"> ADDIN EN.CITE &lt;EndNote&gt;&lt;Cite&gt;&lt;Author&gt;Baers&lt;/Author&gt;&lt;Year&gt;2019&lt;/Year&gt;&lt;RecNum&gt;2810&lt;/RecNum&gt;&lt;DisplayText&gt;&lt;style size="10"&gt;[3]&lt;/style&gt;&lt;/DisplayText&gt;&lt;record&gt;&lt;rec-number&gt;2810&lt;/rec-number&gt;&lt;foreign-keys&gt;&lt;key app="EN" db-id="0rzzaa9ajp2vz4ee20ppa0tc5dwrvt0sde5x" timestamp="1571233587"&gt;2810&lt;/key&gt;&lt;/foreign-keys&gt;&lt;ref-type name="Journal Article"&gt;17&lt;/ref-type&gt;&lt;contributors&gt;&lt;authors&gt;&lt;author&gt;Baers, L. L.&lt;/author&gt;&lt;author&gt;Breckels, L. M.&lt;/author&gt;&lt;author&gt;Mills, L. A.&lt;/author&gt;&lt;author&gt;Gatto, L.&lt;/author&gt;&lt;author&gt;Deery, M.&lt;/author&gt;&lt;author&gt;Stevens, T. J.&lt;/author&gt;&lt;author&gt;Howe, C. J.&lt;/author&gt;&lt;author&gt;Lilley, K. S.&lt;/author&gt;&lt;author&gt;Lea-Smith, D. J.&lt;/author&gt;&lt;/authors&gt;&lt;/contributors&gt;&lt;auth-address&gt;University of Cambridge CITY: Cambridge United Kingdom [GB].&amp;#xD;University of East Anglia CITY: Norwich STATE: Norfolk United Kingdom [GB].&amp;#xD;MRC Laboratory of Molecular Biology CITY: Cambridge United Kingdom [GB].&amp;#xD;University of Cambridge CITY: Cambridge POSTAL_CODE: CB2 1QR United Kingdom [GB].&amp;#xD;University of East Anglia CITY: Norwich POSTAL_CODE: NR4 7TJ United Kingdom [GB] D.Lea-Smith@uea.ac.uk.&lt;/auth-address&gt;&lt;titles&gt;&lt;title&gt;Proteome mapping of a cyanobacterium reveals distinct compartment organisation and cell-dispersed metabolism&lt;/title&gt;&lt;secondary-title&gt;Plant Physiol&lt;/secondary-title&gt;&lt;/titles&gt;&lt;periodical&gt;&lt;full-title&gt;Plant Physiol&lt;/full-title&gt;&lt;/periodical&gt;&lt;pages&gt;1721-1738&lt;/pages&gt;&lt;volume&gt;181&lt;/volume&gt;&lt;number&gt;4&lt;/number&gt;&lt;dates&gt;&lt;year&gt;2019&lt;/year&gt;&lt;pub-dates&gt;&lt;date&gt;Oct 2&lt;/date&gt;&lt;/pub-dates&gt;&lt;/dates&gt;&lt;isbn&gt;1532-2548 (Electronic)&amp;#xD;0032-0889 (Linking)&lt;/isbn&gt;&lt;accession-num&gt;31578229&lt;/accession-num&gt;&lt;urls&gt;&lt;related-urls&gt;&lt;url&gt;https://www.ncbi.nlm.nih.gov/pubmed/31578229&lt;/url&gt;&lt;/related-urls&gt;&lt;/urls&gt;&lt;electronic-resource-num&gt;10.1104/pp.19.00897&lt;/electronic-resource-num&gt;&lt;/record&gt;&lt;/Cite&gt;&lt;/EndNote&gt;</w:instrText>
      </w:r>
      <w:r w:rsidR="00E85159" w:rsidRPr="008702B1">
        <w:rPr>
          <w:rFonts w:ascii="Arial" w:hAnsi="Arial" w:cs="Arial"/>
        </w:rPr>
        <w:fldChar w:fldCharType="separate"/>
      </w:r>
      <w:r w:rsidR="00E85159" w:rsidRPr="000025FF">
        <w:rPr>
          <w:rFonts w:ascii="Arial" w:hAnsi="Arial" w:cs="Arial"/>
          <w:noProof/>
          <w:sz w:val="20"/>
        </w:rPr>
        <w:t>[3]</w:t>
      </w:r>
      <w:r w:rsidR="00E85159" w:rsidRPr="008702B1">
        <w:rPr>
          <w:rFonts w:ascii="Arial" w:hAnsi="Arial" w:cs="Arial"/>
        </w:rPr>
        <w:fldChar w:fldCharType="end"/>
      </w:r>
      <w:r w:rsidR="00E85159" w:rsidRPr="008702B1">
        <w:rPr>
          <w:rFonts w:ascii="Arial" w:hAnsi="Arial" w:cs="Arial"/>
        </w:rPr>
        <w:t>. Each blast hit shows the NCBI Accession, in addition to the Percentage Identity Score, the length of the alignment number of mismatches</w:t>
      </w:r>
      <w:r w:rsidR="00E85159">
        <w:rPr>
          <w:rFonts w:ascii="Arial" w:hAnsi="Arial" w:cs="Arial"/>
        </w:rPr>
        <w:t xml:space="preserve"> </w:t>
      </w:r>
      <w:r w:rsidR="00E85159" w:rsidRPr="008702B1">
        <w:rPr>
          <w:rFonts w:ascii="Arial" w:hAnsi="Arial" w:cs="Arial"/>
        </w:rPr>
        <w:t>as well as the number of gaps within the alignment. The species start and end refers to the start and end of the alignment within each species. The E-value refers to the number of expected hits of a similar quality that could be found by chance, the lower the E-value, the less likely the match is down to chance. For this analysis, we have only included proteins with an E-value of 1 or less. The bit-score is a log2-scaled and normalised raw-score.</w:t>
      </w:r>
    </w:p>
    <w:p w14:paraId="642B30DF" w14:textId="47FA8FE9" w:rsidR="00034E45" w:rsidRPr="008702B1" w:rsidRDefault="00034E45" w:rsidP="008702B1">
      <w:pPr>
        <w:spacing w:after="0" w:line="360" w:lineRule="auto"/>
        <w:jc w:val="both"/>
        <w:rPr>
          <w:rFonts w:ascii="Arial" w:hAnsi="Arial" w:cs="Arial"/>
        </w:rPr>
      </w:pPr>
    </w:p>
    <w:p w14:paraId="0E5F5D1B" w14:textId="0E1D91AA" w:rsidR="00034E45" w:rsidRPr="00E85159" w:rsidRDefault="00034E45" w:rsidP="008702B1">
      <w:pPr>
        <w:spacing w:after="0" w:line="360" w:lineRule="auto"/>
        <w:jc w:val="both"/>
        <w:rPr>
          <w:rFonts w:ascii="Arial" w:hAnsi="Arial" w:cs="Arial"/>
          <w:bCs/>
        </w:rPr>
      </w:pPr>
      <w:r w:rsidRPr="008702B1">
        <w:rPr>
          <w:rFonts w:ascii="Arial" w:hAnsi="Arial" w:cs="Arial"/>
          <w:b/>
        </w:rPr>
        <w:t>Table S5:</w:t>
      </w:r>
      <w:r w:rsidR="00973F6F">
        <w:rPr>
          <w:rFonts w:ascii="Arial" w:hAnsi="Arial" w:cs="Arial"/>
          <w:b/>
        </w:rPr>
        <w:t xml:space="preserve"> </w:t>
      </w:r>
      <w:r w:rsidR="00973F6F" w:rsidRPr="00ED0B5D">
        <w:rPr>
          <w:rFonts w:ascii="Arial" w:hAnsi="Arial" w:cs="Arial"/>
          <w:b/>
        </w:rPr>
        <w:t>PCC 11910</w:t>
      </w:r>
      <w:r w:rsidR="00973F6F">
        <w:rPr>
          <w:rFonts w:ascii="Arial" w:hAnsi="Arial" w:cs="Arial"/>
          <w:b/>
        </w:rPr>
        <w:t xml:space="preserve"> proteins with no homologues in PCC 6803.</w:t>
      </w:r>
      <w:r w:rsidR="000043B4">
        <w:rPr>
          <w:rFonts w:ascii="Arial" w:hAnsi="Arial" w:cs="Arial"/>
          <w:b/>
        </w:rPr>
        <w:t xml:space="preserve"> </w:t>
      </w:r>
      <w:r w:rsidR="000043B4">
        <w:rPr>
          <w:rFonts w:ascii="Arial" w:hAnsi="Arial" w:cs="Arial"/>
          <w:bCs/>
        </w:rPr>
        <w:t>Proteins identified as having no homology to PCC 6803’s proteins</w:t>
      </w:r>
      <w:r w:rsidR="00917FF3">
        <w:rPr>
          <w:rFonts w:ascii="Arial" w:hAnsi="Arial" w:cs="Arial"/>
          <w:bCs/>
        </w:rPr>
        <w:t xml:space="preserve"> </w:t>
      </w:r>
      <w:r w:rsidR="00E85159">
        <w:rPr>
          <w:rFonts w:ascii="Arial" w:hAnsi="Arial" w:cs="Arial"/>
          <w:bCs/>
        </w:rPr>
        <w:t>where</w:t>
      </w:r>
      <w:r w:rsidR="00917FF3">
        <w:rPr>
          <w:rFonts w:ascii="Arial" w:hAnsi="Arial" w:cs="Arial"/>
          <w:bCs/>
        </w:rPr>
        <w:t xml:space="preserve"> a BLAST E-value of 1 was used</w:t>
      </w:r>
      <w:r w:rsidR="000043B4">
        <w:rPr>
          <w:rFonts w:ascii="Arial" w:hAnsi="Arial" w:cs="Arial"/>
          <w:bCs/>
        </w:rPr>
        <w:t xml:space="preserve">, and are therefore described as truly unique from the PCC 6803’s proteome. The NCBI ID was taken from the PCC 11901’s proteome release </w:t>
      </w:r>
      <w:r w:rsidR="000043B4">
        <w:rPr>
          <w:rFonts w:ascii="Arial" w:hAnsi="Arial" w:cs="Arial"/>
        </w:rPr>
        <w:t>CP040360.1</w:t>
      </w:r>
      <w:r w:rsidR="000043B4">
        <w:rPr>
          <w:rFonts w:ascii="Arial" w:hAnsi="Arial" w:cs="Arial"/>
          <w:bCs/>
        </w:rPr>
        <w:t xml:space="preserve">. </w:t>
      </w:r>
      <w:r w:rsidR="000043B4" w:rsidRPr="008702B1">
        <w:rPr>
          <w:rFonts w:ascii="Arial" w:hAnsi="Arial" w:cs="Arial"/>
        </w:rPr>
        <w:t xml:space="preserve">The Uniprot ID relates to the identification system used on the Uniprot database </w:t>
      </w:r>
      <w:r w:rsidR="000043B4" w:rsidRPr="008702B1">
        <w:rPr>
          <w:rFonts w:ascii="Arial" w:hAnsi="Arial" w:cs="Arial"/>
        </w:rPr>
        <w:fldChar w:fldCharType="begin"/>
      </w:r>
      <w:r w:rsidR="000043B4">
        <w:rPr>
          <w:rFonts w:ascii="Arial" w:hAnsi="Arial" w:cs="Arial"/>
        </w:rPr>
        <w:instrText xml:space="preserve"> ADDIN EN.CITE &lt;EndNote&gt;&lt;Cite&gt;&lt;Author&gt;UniProt&lt;/Author&gt;&lt;Year&gt;2010&lt;/Year&gt;&lt;RecNum&gt;2851&lt;/RecNum&gt;&lt;DisplayText&gt;&lt;style size="10"&gt;[2]&lt;/style&gt;&lt;/DisplayText&gt;&lt;record&gt;&lt;rec-number&gt;2851&lt;/rec-number&gt;&lt;foreign-keys&gt;&lt;key app="EN" db-id="0rzzaa9ajp2vz4ee20ppa0tc5dwrvt0sde5x" timestamp="1579706276"&gt;2851&lt;/key&gt;&lt;/foreign-keys&gt;&lt;ref-type name="Journal Article"&gt;17&lt;/ref-type&gt;&lt;contributors&gt;&lt;authors&gt;&lt;author&gt;UniProt, Consortium&lt;/author&gt;&lt;/authors&gt;&lt;/contributors&gt;&lt;auth-address&gt;The EMBL Outstation, The European Bioinformatics Institute, Wellcome Trust Genome Campus, Hinxton, Cambridge CB10 1SD, UK.&lt;/auth-address&gt;&lt;titles&gt;&lt;title&gt;The Universal Protein Resource (UniProt) in 2010&lt;/title&gt;&lt;secondary-title&gt;Nucleic Acids Res&lt;/secondary-title&gt;&lt;/titles&gt;&lt;periodical&gt;&lt;full-title&gt;Nucleic Acids Res&lt;/full-title&gt;&lt;/periodical&gt;&lt;pages&gt;D142-8&lt;/pages&gt;&lt;volume&gt;38&lt;/volume&gt;&lt;number&gt;Database issue&lt;/number&gt;&lt;keywords&gt;&lt;keyword&gt;Algorithms&lt;/keyword&gt;&lt;keyword&gt;Animals&lt;/keyword&gt;&lt;keyword&gt;Computational Biology/*methods/trends&lt;/keyword&gt;&lt;keyword&gt;*Databases, Nucleic Acid&lt;/keyword&gt;&lt;keyword&gt;Databases, Protein&lt;/keyword&gt;&lt;keyword&gt;Europe&lt;/keyword&gt;&lt;keyword&gt;Genome, Fungal&lt;/keyword&gt;&lt;keyword&gt;Genome, Viral&lt;/keyword&gt;&lt;keyword&gt;Humans&lt;/keyword&gt;&lt;keyword&gt;Information Storage and Retrieval/methods&lt;/keyword&gt;&lt;keyword&gt;Internet&lt;/keyword&gt;&lt;keyword&gt;Protein Isoforms&lt;/keyword&gt;&lt;keyword&gt;Proteome&lt;/keyword&gt;&lt;keyword&gt;Proteomics&lt;/keyword&gt;&lt;keyword&gt;Software&lt;/keyword&gt;&lt;/keywords&gt;&lt;dates&gt;&lt;year&gt;2010&lt;/year&gt;&lt;pub-dates&gt;&lt;date&gt;Jan&lt;/date&gt;&lt;/pub-dates&gt;&lt;/dates&gt;&lt;isbn&gt;1362-4962 (Electronic)&amp;#xD;0305-1048 (Linking)&lt;/isbn&gt;&lt;accession-num&gt;19843607&lt;/accession-num&gt;&lt;urls&gt;&lt;related-urls&gt;&lt;url&gt;https://www.ncbi.nlm.nih.gov/pubmed/19843607&lt;/url&gt;&lt;/related-urls&gt;&lt;/urls&gt;&lt;custom2&gt;PMC2808944&lt;/custom2&gt;&lt;electronic-resource-num&gt;10.1093/nar/gkp846&lt;/electronic-resource-num&gt;&lt;/record&gt;&lt;/Cite&gt;&lt;/EndNote&gt;</w:instrText>
      </w:r>
      <w:r w:rsidR="000043B4" w:rsidRPr="008702B1">
        <w:rPr>
          <w:rFonts w:ascii="Arial" w:hAnsi="Arial" w:cs="Arial"/>
        </w:rPr>
        <w:fldChar w:fldCharType="separate"/>
      </w:r>
      <w:r w:rsidR="000043B4" w:rsidRPr="000025FF">
        <w:rPr>
          <w:rFonts w:ascii="Arial" w:hAnsi="Arial" w:cs="Arial"/>
          <w:noProof/>
          <w:sz w:val="20"/>
        </w:rPr>
        <w:t>[2]</w:t>
      </w:r>
      <w:r w:rsidR="000043B4" w:rsidRPr="008702B1">
        <w:rPr>
          <w:rFonts w:ascii="Arial" w:hAnsi="Arial" w:cs="Arial"/>
        </w:rPr>
        <w:fldChar w:fldCharType="end"/>
      </w:r>
      <w:r w:rsidR="000043B4" w:rsidRPr="008702B1">
        <w:rPr>
          <w:rFonts w:ascii="Arial" w:hAnsi="Arial" w:cs="Arial"/>
        </w:rPr>
        <w:t>.</w:t>
      </w:r>
      <w:r w:rsidR="000043B4">
        <w:rPr>
          <w:rFonts w:ascii="Arial" w:hAnsi="Arial" w:cs="Arial"/>
        </w:rPr>
        <w:t xml:space="preserve"> The name, amino acid length and </w:t>
      </w:r>
      <w:r w:rsidR="005C1218">
        <w:rPr>
          <w:rFonts w:ascii="Arial" w:hAnsi="Arial" w:cs="Arial"/>
        </w:rPr>
        <w:t xml:space="preserve">calculated </w:t>
      </w:r>
      <w:r w:rsidR="000043B4">
        <w:rPr>
          <w:rFonts w:ascii="Arial" w:hAnsi="Arial" w:cs="Arial"/>
        </w:rPr>
        <w:t>molecular weight</w:t>
      </w:r>
      <w:r w:rsidR="005C1218">
        <w:rPr>
          <w:rFonts w:ascii="Arial" w:hAnsi="Arial" w:cs="Arial"/>
        </w:rPr>
        <w:t xml:space="preserve"> was taken from the NCBI Protein Database, as well as the date that the information was added. </w:t>
      </w:r>
    </w:p>
    <w:p w14:paraId="1DEFB5BD" w14:textId="77777777" w:rsidR="000043B4" w:rsidRPr="008702B1" w:rsidRDefault="000043B4" w:rsidP="008702B1">
      <w:pPr>
        <w:spacing w:after="0" w:line="360" w:lineRule="auto"/>
        <w:jc w:val="both"/>
        <w:rPr>
          <w:rFonts w:ascii="Arial" w:hAnsi="Arial" w:cs="Arial"/>
          <w:b/>
        </w:rPr>
      </w:pPr>
    </w:p>
    <w:p w14:paraId="0F46E39F" w14:textId="6A0B163C" w:rsidR="000025FF" w:rsidRDefault="00034E45" w:rsidP="008702B1">
      <w:pPr>
        <w:spacing w:after="0" w:line="360" w:lineRule="auto"/>
        <w:jc w:val="both"/>
        <w:rPr>
          <w:rFonts w:ascii="Arial" w:hAnsi="Arial" w:cs="Arial"/>
          <w:b/>
        </w:rPr>
      </w:pPr>
      <w:r w:rsidRPr="008702B1">
        <w:rPr>
          <w:rFonts w:ascii="Arial" w:hAnsi="Arial" w:cs="Arial"/>
          <w:b/>
        </w:rPr>
        <w:t>Table S6:</w:t>
      </w:r>
      <w:r w:rsidR="00973F6F" w:rsidRPr="00973F6F">
        <w:rPr>
          <w:rFonts w:ascii="Arial" w:hAnsi="Arial" w:cs="Arial"/>
          <w:b/>
        </w:rPr>
        <w:t xml:space="preserve"> </w:t>
      </w:r>
      <w:r w:rsidR="00E85159">
        <w:rPr>
          <w:rFonts w:ascii="Arial" w:hAnsi="Arial" w:cs="Arial"/>
          <w:b/>
        </w:rPr>
        <w:t xml:space="preserve">Potential </w:t>
      </w:r>
      <w:r w:rsidR="00973F6F">
        <w:rPr>
          <w:rFonts w:ascii="Arial" w:hAnsi="Arial" w:cs="Arial"/>
          <w:b/>
        </w:rPr>
        <w:t>PCC 11910 homologues of PCC 6803 proteins involved in electron transport and light harvesting</w:t>
      </w:r>
      <w:r w:rsidR="00973F6F" w:rsidRPr="008702B1">
        <w:rPr>
          <w:rFonts w:ascii="Arial" w:hAnsi="Arial" w:cs="Arial"/>
          <w:b/>
        </w:rPr>
        <w:t>.</w:t>
      </w:r>
      <w:r w:rsidR="00973F6F" w:rsidRPr="008702B1">
        <w:rPr>
          <w:rFonts w:ascii="Arial" w:hAnsi="Arial" w:cs="Arial"/>
        </w:rPr>
        <w:t xml:space="preserve"> </w:t>
      </w:r>
      <w:r w:rsidR="00E85159" w:rsidRPr="008702B1">
        <w:rPr>
          <w:rFonts w:ascii="Arial" w:hAnsi="Arial" w:cs="Arial"/>
        </w:rPr>
        <w:t xml:space="preserve">Proteins were identified </w:t>
      </w:r>
      <w:r w:rsidR="00E85159">
        <w:rPr>
          <w:rFonts w:ascii="Arial" w:hAnsi="Arial" w:cs="Arial"/>
        </w:rPr>
        <w:t xml:space="preserve">in Mills </w:t>
      </w:r>
      <w:r w:rsidR="00E85159">
        <w:rPr>
          <w:rFonts w:ascii="Arial" w:hAnsi="Arial" w:cs="Arial"/>
          <w:i/>
          <w:iCs/>
        </w:rPr>
        <w:t xml:space="preserve">et al. </w:t>
      </w:r>
      <w:r w:rsidR="00E85159" w:rsidRPr="000025FF">
        <w:rPr>
          <w:rFonts w:ascii="Arial" w:hAnsi="Arial" w:cs="Arial"/>
        </w:rPr>
        <w:fldChar w:fldCharType="begin"/>
      </w:r>
      <w:r w:rsidR="00E85159" w:rsidRPr="000025FF">
        <w:rPr>
          <w:rFonts w:ascii="Arial" w:hAnsi="Arial" w:cs="Arial"/>
        </w:rPr>
        <w:instrText xml:space="preserve"> ADDIN EN.CITE &lt;EndNote&gt;&lt;Cite&gt;&lt;Author&gt;Mills&lt;/Author&gt;&lt;Year&gt;2020&lt;/Year&gt;&lt;RecNum&gt;2924&lt;/RecNum&gt;&lt;DisplayText&gt;&lt;style size="10"&gt;[1]&lt;/style&gt;&lt;/DisplayText&gt;&lt;record&gt;&lt;rec-number&gt;2924&lt;/rec-number&gt;&lt;foreign-keys&gt;&lt;key app="EN" db-id="0rzzaa9ajp2vz4ee20ppa0tc5dwrvt0sde5x" timestamp="1584381165"&gt;2924&lt;/key&gt;&lt;/foreign-keys&gt;&lt;ref-type name="Journal Article"&gt;17&lt;/ref-type&gt;&lt;contributors&gt;&lt;authors&gt;&lt;author&gt;Mills, L. A.&lt;/author&gt;&lt;author&gt;McCormick, A. J.&lt;/author&gt;&lt;author&gt;Lea-Smith, D. J.&lt;/author&gt;&lt;/authors&gt;&lt;/contributors&gt;&lt;auth-address&gt;University of East Anglia, Norwich, United Kingdom.&amp;#xD;University of Edinburgh, Edinburgh, Scotland.&lt;/auth-address&gt;&lt;titles&gt;&lt;title&gt;Current knowledge and recent advances in understanding metabolism of the model cyanobacterium Synechocystis sp. PCC 6803&lt;/title&gt;&lt;secondary-title&gt;Biosci Rep&lt;/secondary-title&gt;&lt;/titles&gt;&lt;periodical&gt;&lt;full-title&gt;Biosci Rep&lt;/full-title&gt;&lt;/periodical&gt;&lt;pages&gt;BSR20193325&lt;/pages&gt;&lt;volume&gt;40&lt;/volume&gt;&lt;number&gt;4&lt;/number&gt;&lt;keywords&gt;&lt;keyword&gt;Synechocystis&lt;/keyword&gt;&lt;keyword&gt;comparative genomics&lt;/keyword&gt;&lt;keyword&gt;cyanobacteria&lt;/keyword&gt;&lt;keyword&gt;degradation&lt;/keyword&gt;&lt;keyword&gt;metabolism&lt;/keyword&gt;&lt;/keywords&gt;&lt;dates&gt;&lt;year&gt;2020&lt;/year&gt;&lt;pub-dates&gt;&lt;date&gt;Mar 9&lt;/date&gt;&lt;/pub-dates&gt;&lt;/dates&gt;&lt;isbn&gt;1573-4935 (Electronic)&amp;#xD;0144-8463 (Linking)&lt;/isbn&gt;&lt;accession-num&gt;32149336&lt;/accession-num&gt;&lt;urls&gt;&lt;related-urls&gt;&lt;url&gt;https://www.ncbi.nlm.nih.gov/pubmed/32149336&lt;/url&gt;&lt;/related-urls&gt;&lt;/urls&gt;&lt;electronic-resource-num&gt;10.1042/BSR20193325&lt;/electronic-resource-num&gt;&lt;/record&gt;&lt;/Cite&gt;&lt;/EndNote&gt;</w:instrText>
      </w:r>
      <w:r w:rsidR="00E85159" w:rsidRPr="000025FF">
        <w:rPr>
          <w:rFonts w:ascii="Arial" w:hAnsi="Arial" w:cs="Arial"/>
        </w:rPr>
        <w:fldChar w:fldCharType="separate"/>
      </w:r>
      <w:r w:rsidR="00E85159" w:rsidRPr="000025FF">
        <w:rPr>
          <w:rFonts w:ascii="Arial" w:hAnsi="Arial" w:cs="Arial"/>
          <w:noProof/>
          <w:sz w:val="20"/>
        </w:rPr>
        <w:t>[1]</w:t>
      </w:r>
      <w:r w:rsidR="00E85159" w:rsidRPr="000025FF">
        <w:rPr>
          <w:rFonts w:ascii="Arial" w:hAnsi="Arial" w:cs="Arial"/>
        </w:rPr>
        <w:fldChar w:fldCharType="end"/>
      </w:r>
      <w:r w:rsidR="00E85159" w:rsidRPr="008702B1">
        <w:rPr>
          <w:rFonts w:ascii="Arial" w:hAnsi="Arial" w:cs="Arial"/>
        </w:rPr>
        <w:t xml:space="preserve">. The Uniprot ID relates to the identification system used on the Uniprot database </w:t>
      </w:r>
      <w:r w:rsidR="00E85159" w:rsidRPr="008702B1">
        <w:rPr>
          <w:rFonts w:ascii="Arial" w:hAnsi="Arial" w:cs="Arial"/>
        </w:rPr>
        <w:fldChar w:fldCharType="begin"/>
      </w:r>
      <w:r w:rsidR="00E85159">
        <w:rPr>
          <w:rFonts w:ascii="Arial" w:hAnsi="Arial" w:cs="Arial"/>
        </w:rPr>
        <w:instrText xml:space="preserve"> ADDIN EN.CITE &lt;EndNote&gt;&lt;Cite&gt;&lt;Author&gt;UniProt&lt;/Author&gt;&lt;Year&gt;2010&lt;/Year&gt;&lt;RecNum&gt;2851&lt;/RecNum&gt;&lt;DisplayText&gt;&lt;style size="10"&gt;[2]&lt;/style&gt;&lt;/DisplayText&gt;&lt;record&gt;&lt;rec-number&gt;2851&lt;/rec-number&gt;&lt;foreign-keys&gt;&lt;key app="EN" db-id="0rzzaa9ajp2vz4ee20ppa0tc5dwrvt0sde5x" timestamp="1579706276"&gt;2851&lt;/key&gt;&lt;/foreign-keys&gt;&lt;ref-type name="Journal Article"&gt;17&lt;/ref-type&gt;&lt;contributors&gt;&lt;authors&gt;&lt;author&gt;UniProt, Consortium&lt;/author&gt;&lt;/authors&gt;&lt;/contributors&gt;&lt;auth-address&gt;The EMBL Outstation, The European Bioinformatics Institute, Wellcome Trust Genome Campus, Hinxton, Cambridge CB10 1SD, UK.&lt;/auth-address&gt;&lt;titles&gt;&lt;title&gt;The Universal Protein Resource (UniProt) in 2010&lt;/title&gt;&lt;secondary-title&gt;Nucleic Acids Res&lt;/secondary-title&gt;&lt;/titles&gt;&lt;periodical&gt;&lt;full-title&gt;Nucleic Acids Res&lt;/full-title&gt;&lt;/periodical&gt;&lt;pages&gt;D142-8&lt;/pages&gt;&lt;volume&gt;38&lt;/volume&gt;&lt;number&gt;Database issue&lt;/number&gt;&lt;keywords&gt;&lt;keyword&gt;Algorithms&lt;/keyword&gt;&lt;keyword&gt;Animals&lt;/keyword&gt;&lt;keyword&gt;Computational Biology/*methods/trends&lt;/keyword&gt;&lt;keyword&gt;*Databases, Nucleic Acid&lt;/keyword&gt;&lt;keyword&gt;Databases, Protein&lt;/keyword&gt;&lt;keyword&gt;Europe&lt;/keyword&gt;&lt;keyword&gt;Genome, Fungal&lt;/keyword&gt;&lt;keyword&gt;Genome, Viral&lt;/keyword&gt;&lt;keyword&gt;Humans&lt;/keyword&gt;&lt;keyword&gt;Information Storage and Retrieval/methods&lt;/keyword&gt;&lt;keyword&gt;Internet&lt;/keyword&gt;&lt;keyword&gt;Protein Isoforms&lt;/keyword&gt;&lt;keyword&gt;Proteome&lt;/keyword&gt;&lt;keyword&gt;Proteomics&lt;/keyword&gt;&lt;keyword&gt;Software&lt;/keyword&gt;&lt;/keywords&gt;&lt;dates&gt;&lt;year&gt;2010&lt;/year&gt;&lt;pub-dates&gt;&lt;date&gt;Jan&lt;/date&gt;&lt;/pub-dates&gt;&lt;/dates&gt;&lt;isbn&gt;1362-4962 (Electronic)&amp;#xD;0305-1048 (Linking)&lt;/isbn&gt;&lt;accession-num&gt;19843607&lt;/accession-num&gt;&lt;urls&gt;&lt;related-urls&gt;&lt;url&gt;https://www.ncbi.nlm.nih.gov/pubmed/19843607&lt;/url&gt;&lt;/related-urls&gt;&lt;/urls&gt;&lt;custom2&gt;PMC2808944&lt;/custom2&gt;&lt;electronic-resource-num&gt;10.1093/nar/gkp846&lt;/electronic-resource-num&gt;&lt;/record&gt;&lt;/Cite&gt;&lt;/EndNote&gt;</w:instrText>
      </w:r>
      <w:r w:rsidR="00E85159" w:rsidRPr="008702B1">
        <w:rPr>
          <w:rFonts w:ascii="Arial" w:hAnsi="Arial" w:cs="Arial"/>
        </w:rPr>
        <w:fldChar w:fldCharType="separate"/>
      </w:r>
      <w:r w:rsidR="00E85159" w:rsidRPr="000025FF">
        <w:rPr>
          <w:rFonts w:ascii="Arial" w:hAnsi="Arial" w:cs="Arial"/>
          <w:noProof/>
          <w:sz w:val="20"/>
        </w:rPr>
        <w:t>[2]</w:t>
      </w:r>
      <w:r w:rsidR="00E85159" w:rsidRPr="008702B1">
        <w:rPr>
          <w:rFonts w:ascii="Arial" w:hAnsi="Arial" w:cs="Arial"/>
        </w:rPr>
        <w:fldChar w:fldCharType="end"/>
      </w:r>
      <w:r w:rsidR="00E85159" w:rsidRPr="008702B1">
        <w:rPr>
          <w:rFonts w:ascii="Arial" w:hAnsi="Arial" w:cs="Arial"/>
        </w:rPr>
        <w:t xml:space="preserve">. The Uniprot ID amino acid sequence stored within this database was then used during the BLASTp function. All Gene Products, Gene Name, Other Gene Names, Localisation, Molecular Weight (kDa) and No of TMH's are derived from Baers </w:t>
      </w:r>
      <w:r w:rsidR="00E85159" w:rsidRPr="008702B1">
        <w:rPr>
          <w:rFonts w:ascii="Arial" w:hAnsi="Arial" w:cs="Arial"/>
          <w:i/>
        </w:rPr>
        <w:t>et al</w:t>
      </w:r>
      <w:r w:rsidR="00E85159">
        <w:rPr>
          <w:rFonts w:ascii="Arial" w:hAnsi="Arial" w:cs="Arial"/>
          <w:i/>
        </w:rPr>
        <w:t>.</w:t>
      </w:r>
      <w:r w:rsidR="00E85159" w:rsidRPr="008702B1">
        <w:rPr>
          <w:rFonts w:ascii="Arial" w:hAnsi="Arial" w:cs="Arial"/>
        </w:rPr>
        <w:t xml:space="preserve"> (2019) </w:t>
      </w:r>
      <w:r w:rsidR="00E85159" w:rsidRPr="008702B1">
        <w:rPr>
          <w:rFonts w:ascii="Arial" w:hAnsi="Arial" w:cs="Arial"/>
        </w:rPr>
        <w:fldChar w:fldCharType="begin"/>
      </w:r>
      <w:r w:rsidR="00E85159">
        <w:rPr>
          <w:rFonts w:ascii="Arial" w:hAnsi="Arial" w:cs="Arial"/>
        </w:rPr>
        <w:instrText xml:space="preserve"> ADDIN EN.CITE &lt;EndNote&gt;&lt;Cite&gt;&lt;Author&gt;Baers&lt;/Author&gt;&lt;Year&gt;2019&lt;/Year&gt;&lt;RecNum&gt;2810&lt;/RecNum&gt;&lt;DisplayText&gt;&lt;style size="10"&gt;[3]&lt;/style&gt;&lt;/DisplayText&gt;&lt;record&gt;&lt;rec-number&gt;2810&lt;/rec-number&gt;&lt;foreign-keys&gt;&lt;key app="EN" db-id="0rzzaa9ajp2vz4ee20ppa0tc5dwrvt0sde5x" timestamp="1571233587"&gt;2810&lt;/key&gt;&lt;/foreign-keys&gt;&lt;ref-type name="Journal Article"&gt;17&lt;/ref-type&gt;&lt;contributors&gt;&lt;authors&gt;&lt;author&gt;Baers, L. L.&lt;/author&gt;&lt;author&gt;Breckels, L. M.&lt;/author&gt;&lt;author&gt;Mills, L. A.&lt;/author&gt;&lt;author&gt;Gatto, L.&lt;/author&gt;&lt;author&gt;Deery, M.&lt;/author&gt;&lt;author&gt;Stevens, T. J.&lt;/author&gt;&lt;author&gt;Howe, C. J.&lt;/author&gt;&lt;author&gt;Lilley, K. S.&lt;/author&gt;&lt;author&gt;Lea-Smith, D. J.&lt;/author&gt;&lt;/authors&gt;&lt;/contributors&gt;&lt;auth-address&gt;University of Cambridge CITY: Cambridge United Kingdom [GB].&amp;#xD;University of East Anglia CITY: Norwich STATE: Norfolk United Kingdom [GB].&amp;#xD;MRC Laboratory of Molecular Biology CITY: Cambridge United Kingdom [GB].&amp;#xD;University of Cambridge CITY: Cambridge POSTAL_CODE: CB2 1QR United Kingdom [GB].&amp;#xD;University of East Anglia CITY: Norwich POSTAL_CODE: NR4 7TJ United Kingdom [GB] D.Lea-Smith@uea.ac.uk.&lt;/auth-address&gt;&lt;titles&gt;&lt;title&gt;Proteome mapping of a cyanobacterium reveals distinct compartment organisation and cell-dispersed metabolism&lt;/title&gt;&lt;secondary-title&gt;Plant Physiol&lt;/secondary-title&gt;&lt;/titles&gt;&lt;periodical&gt;&lt;full-title&gt;Plant Physiol&lt;/full-title&gt;&lt;/periodical&gt;&lt;pages&gt;1721-1738&lt;/pages&gt;&lt;volume&gt;181&lt;/volume&gt;&lt;number&gt;4&lt;/number&gt;&lt;dates&gt;&lt;year&gt;2019&lt;/year&gt;&lt;pub-dates&gt;&lt;date&gt;Oct 2&lt;/date&gt;&lt;/pub-dates&gt;&lt;/dates&gt;&lt;isbn&gt;1532-2548 (Electronic)&amp;#xD;0032-0889 (Linking)&lt;/isbn&gt;&lt;accession-num&gt;31578229&lt;/accession-num&gt;&lt;urls&gt;&lt;related-urls&gt;&lt;url&gt;https://www.ncbi.nlm.nih.gov/pubmed/31578229&lt;/url&gt;&lt;/related-urls&gt;&lt;/urls&gt;&lt;electronic-resource-num&gt;10.1104/pp.19.00897&lt;/electronic-resource-num&gt;&lt;/record&gt;&lt;/Cite&gt;&lt;/EndNote&gt;</w:instrText>
      </w:r>
      <w:r w:rsidR="00E85159" w:rsidRPr="008702B1">
        <w:rPr>
          <w:rFonts w:ascii="Arial" w:hAnsi="Arial" w:cs="Arial"/>
        </w:rPr>
        <w:fldChar w:fldCharType="separate"/>
      </w:r>
      <w:r w:rsidR="00E85159" w:rsidRPr="000025FF">
        <w:rPr>
          <w:rFonts w:ascii="Arial" w:hAnsi="Arial" w:cs="Arial"/>
          <w:noProof/>
          <w:sz w:val="20"/>
        </w:rPr>
        <w:t>[3]</w:t>
      </w:r>
      <w:r w:rsidR="00E85159" w:rsidRPr="008702B1">
        <w:rPr>
          <w:rFonts w:ascii="Arial" w:hAnsi="Arial" w:cs="Arial"/>
        </w:rPr>
        <w:fldChar w:fldCharType="end"/>
      </w:r>
      <w:r w:rsidR="00E85159" w:rsidRPr="008702B1">
        <w:rPr>
          <w:rFonts w:ascii="Arial" w:hAnsi="Arial" w:cs="Arial"/>
        </w:rPr>
        <w:t>. Each blast hit shows the NCBI Accession, in addition to the Percentage Identity Score, the length of the alignment number of mismatches</w:t>
      </w:r>
      <w:r w:rsidR="00E85159">
        <w:rPr>
          <w:rFonts w:ascii="Arial" w:hAnsi="Arial" w:cs="Arial"/>
        </w:rPr>
        <w:t xml:space="preserve"> </w:t>
      </w:r>
      <w:r w:rsidR="00E85159" w:rsidRPr="008702B1">
        <w:rPr>
          <w:rFonts w:ascii="Arial" w:hAnsi="Arial" w:cs="Arial"/>
        </w:rPr>
        <w:t>as well as the number of gaps within the alignment. The species start and end refers to the start and end of the alignment within each species. The E-value refers to the number of expected hits of a similar quality that could be found by chance, the lower the E-value, the less likely the match is down to chance. For this analysis, we have only included proteins with an E-value of 1 or less. The bit-score is a log2-scaled and normalised raw-score.</w:t>
      </w:r>
    </w:p>
    <w:p w14:paraId="074254AC" w14:textId="77777777" w:rsidR="00AA6812" w:rsidRDefault="00AA6812" w:rsidP="008702B1">
      <w:pPr>
        <w:spacing w:after="0" w:line="360" w:lineRule="auto"/>
        <w:jc w:val="both"/>
        <w:rPr>
          <w:rFonts w:ascii="Arial" w:hAnsi="Arial" w:cs="Arial"/>
          <w:b/>
        </w:rPr>
      </w:pPr>
    </w:p>
    <w:p w14:paraId="154AF456" w14:textId="7B78BE2E" w:rsidR="000025FF" w:rsidRDefault="00AA6812" w:rsidP="008702B1">
      <w:pPr>
        <w:spacing w:after="0" w:line="360" w:lineRule="auto"/>
        <w:jc w:val="both"/>
        <w:rPr>
          <w:rFonts w:ascii="Arial" w:hAnsi="Arial" w:cs="Arial"/>
          <w:b/>
        </w:rPr>
      </w:pPr>
      <w:r>
        <w:rPr>
          <w:rFonts w:ascii="Arial" w:hAnsi="Arial" w:cs="Arial"/>
          <w:b/>
        </w:rPr>
        <w:t>Supplementary References</w:t>
      </w:r>
    </w:p>
    <w:p w14:paraId="3A40872F" w14:textId="77777777" w:rsidR="00973F6F" w:rsidRPr="00973F6F" w:rsidRDefault="000025FF" w:rsidP="00973F6F">
      <w:pPr>
        <w:pStyle w:val="EndNoteBibliography"/>
        <w:spacing w:after="0"/>
        <w:ind w:left="720" w:hanging="720"/>
      </w:pPr>
      <w:r>
        <w:rPr>
          <w:rFonts w:ascii="Arial" w:hAnsi="Arial" w:cs="Arial"/>
          <w:b/>
        </w:rPr>
        <w:lastRenderedPageBreak/>
        <w:fldChar w:fldCharType="begin"/>
      </w:r>
      <w:r>
        <w:rPr>
          <w:rFonts w:ascii="Arial" w:hAnsi="Arial" w:cs="Arial"/>
          <w:b/>
        </w:rPr>
        <w:instrText xml:space="preserve"> ADDIN EN.REFLIST </w:instrText>
      </w:r>
      <w:r>
        <w:rPr>
          <w:rFonts w:ascii="Arial" w:hAnsi="Arial" w:cs="Arial"/>
          <w:b/>
        </w:rPr>
        <w:fldChar w:fldCharType="separate"/>
      </w:r>
      <w:r w:rsidR="00973F6F" w:rsidRPr="00973F6F">
        <w:t>1.</w:t>
      </w:r>
      <w:r w:rsidR="00973F6F" w:rsidRPr="00973F6F">
        <w:tab/>
        <w:t xml:space="preserve">Mills, L.A.; McCormick, A.J.; Lea-Smith, D.J. Current knowledge and recent advances in understanding metabolism of the model cyanobacterium Synechocystis sp. PCC 6803. </w:t>
      </w:r>
      <w:r w:rsidR="00973F6F" w:rsidRPr="00973F6F">
        <w:rPr>
          <w:i/>
        </w:rPr>
        <w:t xml:space="preserve">Biosci Rep </w:t>
      </w:r>
      <w:r w:rsidR="00973F6F" w:rsidRPr="00973F6F">
        <w:rPr>
          <w:b/>
        </w:rPr>
        <w:t>2020</w:t>
      </w:r>
      <w:r w:rsidR="00973F6F" w:rsidRPr="00973F6F">
        <w:t xml:space="preserve">, </w:t>
      </w:r>
      <w:r w:rsidR="00973F6F" w:rsidRPr="00973F6F">
        <w:rPr>
          <w:i/>
        </w:rPr>
        <w:t>40</w:t>
      </w:r>
      <w:r w:rsidR="00973F6F" w:rsidRPr="00973F6F">
        <w:t>, BSR20193325.</w:t>
      </w:r>
    </w:p>
    <w:p w14:paraId="76C4AD99" w14:textId="77777777" w:rsidR="00973F6F" w:rsidRPr="00973F6F" w:rsidRDefault="00973F6F" w:rsidP="00973F6F">
      <w:pPr>
        <w:pStyle w:val="EndNoteBibliography"/>
        <w:spacing w:after="0"/>
        <w:ind w:left="720" w:hanging="720"/>
      </w:pPr>
      <w:r w:rsidRPr="00973F6F">
        <w:t>2.</w:t>
      </w:r>
      <w:r w:rsidRPr="00973F6F">
        <w:tab/>
        <w:t xml:space="preserve">UniProt, C. The Universal Protein Resource (UniProt) in 2010. </w:t>
      </w:r>
      <w:r w:rsidRPr="00973F6F">
        <w:rPr>
          <w:i/>
        </w:rPr>
        <w:t xml:space="preserve">Nucleic Acids Res </w:t>
      </w:r>
      <w:r w:rsidRPr="00973F6F">
        <w:rPr>
          <w:b/>
        </w:rPr>
        <w:t>2010</w:t>
      </w:r>
      <w:r w:rsidRPr="00973F6F">
        <w:t xml:space="preserve">, </w:t>
      </w:r>
      <w:r w:rsidRPr="00973F6F">
        <w:rPr>
          <w:i/>
        </w:rPr>
        <w:t>38</w:t>
      </w:r>
      <w:r w:rsidRPr="00973F6F">
        <w:t>, D142-148.</w:t>
      </w:r>
    </w:p>
    <w:p w14:paraId="3B353279" w14:textId="77777777" w:rsidR="00973F6F" w:rsidRPr="00973F6F" w:rsidRDefault="00973F6F" w:rsidP="00973F6F">
      <w:pPr>
        <w:pStyle w:val="EndNoteBibliography"/>
        <w:ind w:left="720" w:hanging="720"/>
      </w:pPr>
      <w:r w:rsidRPr="00973F6F">
        <w:t>3.</w:t>
      </w:r>
      <w:r w:rsidRPr="00973F6F">
        <w:tab/>
        <w:t xml:space="preserve">Baers, L.L.; Breckels, L.M.; Mills, L.A.; Gatto, L.; Deery, M.; Stevens, T.J.; Howe, C.J.; Lilley, K.S.; Lea-Smith, D.J. Proteome mapping of a cyanobacterium reveals distinct compartment organisation and cell-dispersed metabolism. </w:t>
      </w:r>
      <w:r w:rsidRPr="00973F6F">
        <w:rPr>
          <w:i/>
        </w:rPr>
        <w:t xml:space="preserve">Plant Physiol </w:t>
      </w:r>
      <w:r w:rsidRPr="00973F6F">
        <w:rPr>
          <w:b/>
        </w:rPr>
        <w:t>2019</w:t>
      </w:r>
      <w:r w:rsidRPr="00973F6F">
        <w:t xml:space="preserve">, </w:t>
      </w:r>
      <w:r w:rsidRPr="00973F6F">
        <w:rPr>
          <w:i/>
        </w:rPr>
        <w:t>181</w:t>
      </w:r>
      <w:r w:rsidRPr="00973F6F">
        <w:t>, 1721-1738.</w:t>
      </w:r>
    </w:p>
    <w:p w14:paraId="45B72668" w14:textId="5D776C0E" w:rsidR="00034E45" w:rsidRPr="008702B1" w:rsidRDefault="000025FF" w:rsidP="008702B1">
      <w:pPr>
        <w:spacing w:after="0" w:line="360" w:lineRule="auto"/>
        <w:jc w:val="both"/>
        <w:rPr>
          <w:rFonts w:ascii="Arial" w:hAnsi="Arial" w:cs="Arial"/>
          <w:b/>
        </w:rPr>
      </w:pPr>
      <w:r>
        <w:rPr>
          <w:rFonts w:ascii="Arial" w:hAnsi="Arial" w:cs="Arial"/>
          <w:b/>
        </w:rPr>
        <w:fldChar w:fldCharType="end"/>
      </w:r>
    </w:p>
    <w:sectPr w:rsidR="00034E45" w:rsidRPr="008702B1" w:rsidSect="00EA4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zzaa9ajp2vz4ee20ppa0tc5dwrvt0sde5x&quot;&gt;My EndNote Library-Saved&lt;record-ids&gt;&lt;item&gt;2810&lt;/item&gt;&lt;item&gt;2851&lt;/item&gt;&lt;item&gt;2924&lt;/item&gt;&lt;/record-ids&gt;&lt;/item&gt;&lt;/Libraries&gt;"/>
  </w:docVars>
  <w:rsids>
    <w:rsidRoot w:val="0061067B"/>
    <w:rsid w:val="000025FF"/>
    <w:rsid w:val="000043B4"/>
    <w:rsid w:val="00034E45"/>
    <w:rsid w:val="00092348"/>
    <w:rsid w:val="000B78EA"/>
    <w:rsid w:val="000C39FE"/>
    <w:rsid w:val="001145C8"/>
    <w:rsid w:val="00152815"/>
    <w:rsid w:val="0015731B"/>
    <w:rsid w:val="00160C18"/>
    <w:rsid w:val="0022048E"/>
    <w:rsid w:val="00233688"/>
    <w:rsid w:val="00236D2D"/>
    <w:rsid w:val="002E030F"/>
    <w:rsid w:val="002F7130"/>
    <w:rsid w:val="003410DC"/>
    <w:rsid w:val="00353180"/>
    <w:rsid w:val="003660C3"/>
    <w:rsid w:val="003E686B"/>
    <w:rsid w:val="00456C3A"/>
    <w:rsid w:val="0051048A"/>
    <w:rsid w:val="00586C66"/>
    <w:rsid w:val="005C1218"/>
    <w:rsid w:val="0061067B"/>
    <w:rsid w:val="00654FEF"/>
    <w:rsid w:val="00696650"/>
    <w:rsid w:val="006A7EDA"/>
    <w:rsid w:val="006C5E5E"/>
    <w:rsid w:val="006F7160"/>
    <w:rsid w:val="00702665"/>
    <w:rsid w:val="00727DC7"/>
    <w:rsid w:val="00743837"/>
    <w:rsid w:val="00743991"/>
    <w:rsid w:val="008379F9"/>
    <w:rsid w:val="008564D2"/>
    <w:rsid w:val="008702B1"/>
    <w:rsid w:val="00896445"/>
    <w:rsid w:val="008A5E51"/>
    <w:rsid w:val="008B6368"/>
    <w:rsid w:val="00911C07"/>
    <w:rsid w:val="00917FF3"/>
    <w:rsid w:val="00951C11"/>
    <w:rsid w:val="00970E68"/>
    <w:rsid w:val="00973F6F"/>
    <w:rsid w:val="009A69C2"/>
    <w:rsid w:val="00AA5C93"/>
    <w:rsid w:val="00AA6812"/>
    <w:rsid w:val="00AD169E"/>
    <w:rsid w:val="00AD5EB7"/>
    <w:rsid w:val="00AD70BF"/>
    <w:rsid w:val="00B763C7"/>
    <w:rsid w:val="00B85969"/>
    <w:rsid w:val="00BE6BE8"/>
    <w:rsid w:val="00BE7E89"/>
    <w:rsid w:val="00BF2B43"/>
    <w:rsid w:val="00C30A22"/>
    <w:rsid w:val="00C674AF"/>
    <w:rsid w:val="00C7773E"/>
    <w:rsid w:val="00C9111C"/>
    <w:rsid w:val="00CB7897"/>
    <w:rsid w:val="00CD1C67"/>
    <w:rsid w:val="00D24A0E"/>
    <w:rsid w:val="00D85BAF"/>
    <w:rsid w:val="00DB30E9"/>
    <w:rsid w:val="00DB4DC0"/>
    <w:rsid w:val="00DB6D4A"/>
    <w:rsid w:val="00E2418E"/>
    <w:rsid w:val="00E61D11"/>
    <w:rsid w:val="00E85159"/>
    <w:rsid w:val="00EA43F7"/>
    <w:rsid w:val="00ED0B5D"/>
    <w:rsid w:val="00F22EF9"/>
    <w:rsid w:val="00F415DF"/>
    <w:rsid w:val="00F50B45"/>
    <w:rsid w:val="00F55193"/>
    <w:rsid w:val="00FB4016"/>
    <w:rsid w:val="00FD2707"/>
    <w:rsid w:val="00FF4C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9B5B"/>
  <w15:docId w15:val="{37BAC829-5E6E-4E24-B00E-62A27590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43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0F"/>
    <w:rPr>
      <w:rFonts w:ascii="Tahoma" w:hAnsi="Tahoma" w:cs="Tahoma"/>
      <w:sz w:val="16"/>
      <w:szCs w:val="16"/>
    </w:rPr>
  </w:style>
  <w:style w:type="character" w:styleId="CommentReference">
    <w:name w:val="annotation reference"/>
    <w:basedOn w:val="DefaultParagraphFont"/>
    <w:uiPriority w:val="99"/>
    <w:semiHidden/>
    <w:unhideWhenUsed/>
    <w:rsid w:val="0015731B"/>
    <w:rPr>
      <w:sz w:val="16"/>
      <w:szCs w:val="16"/>
    </w:rPr>
  </w:style>
  <w:style w:type="paragraph" w:styleId="CommentText">
    <w:name w:val="annotation text"/>
    <w:basedOn w:val="Normal"/>
    <w:link w:val="CommentTextChar"/>
    <w:uiPriority w:val="99"/>
    <w:unhideWhenUsed/>
    <w:rsid w:val="0015731B"/>
    <w:pPr>
      <w:spacing w:line="240" w:lineRule="auto"/>
    </w:pPr>
    <w:rPr>
      <w:sz w:val="20"/>
      <w:szCs w:val="20"/>
    </w:rPr>
  </w:style>
  <w:style w:type="character" w:customStyle="1" w:styleId="CommentTextChar">
    <w:name w:val="Comment Text Char"/>
    <w:basedOn w:val="DefaultParagraphFont"/>
    <w:link w:val="CommentText"/>
    <w:uiPriority w:val="99"/>
    <w:rsid w:val="0015731B"/>
    <w:rPr>
      <w:sz w:val="20"/>
      <w:szCs w:val="20"/>
    </w:rPr>
  </w:style>
  <w:style w:type="paragraph" w:styleId="CommentSubject">
    <w:name w:val="annotation subject"/>
    <w:basedOn w:val="CommentText"/>
    <w:next w:val="CommentText"/>
    <w:link w:val="CommentSubjectChar"/>
    <w:uiPriority w:val="99"/>
    <w:semiHidden/>
    <w:unhideWhenUsed/>
    <w:rsid w:val="0015731B"/>
    <w:rPr>
      <w:b/>
      <w:bCs/>
    </w:rPr>
  </w:style>
  <w:style w:type="character" w:customStyle="1" w:styleId="CommentSubjectChar">
    <w:name w:val="Comment Subject Char"/>
    <w:basedOn w:val="CommentTextChar"/>
    <w:link w:val="CommentSubject"/>
    <w:uiPriority w:val="99"/>
    <w:semiHidden/>
    <w:rsid w:val="0015731B"/>
    <w:rPr>
      <w:b/>
      <w:bCs/>
      <w:sz w:val="20"/>
      <w:szCs w:val="20"/>
    </w:rPr>
  </w:style>
  <w:style w:type="paragraph" w:customStyle="1" w:styleId="EndNoteBibliographyTitle">
    <w:name w:val="EndNote Bibliography Title"/>
    <w:basedOn w:val="Normal"/>
    <w:link w:val="EndNoteBibliographyTitleChar"/>
    <w:rsid w:val="000025F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25FF"/>
    <w:rPr>
      <w:rFonts w:ascii="Calibri" w:hAnsi="Calibri" w:cs="Calibri"/>
      <w:noProof/>
      <w:lang w:val="en-US"/>
    </w:rPr>
  </w:style>
  <w:style w:type="paragraph" w:customStyle="1" w:styleId="EndNoteBibliography">
    <w:name w:val="EndNote Bibliography"/>
    <w:basedOn w:val="Normal"/>
    <w:link w:val="EndNoteBibliographyChar"/>
    <w:rsid w:val="000025FF"/>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025FF"/>
    <w:rPr>
      <w:rFonts w:ascii="Calibri" w:hAnsi="Calibri" w:cs="Calibri"/>
      <w:noProof/>
      <w:lang w:val="en-US"/>
    </w:rPr>
  </w:style>
  <w:style w:type="character" w:styleId="Hyperlink">
    <w:name w:val="Hyperlink"/>
    <w:basedOn w:val="DefaultParagraphFont"/>
    <w:uiPriority w:val="99"/>
    <w:semiHidden/>
    <w:unhideWhenUsed/>
    <w:rsid w:val="00AD16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72508">
      <w:bodyDiv w:val="1"/>
      <w:marLeft w:val="0"/>
      <w:marRight w:val="0"/>
      <w:marTop w:val="0"/>
      <w:marBottom w:val="0"/>
      <w:divBdr>
        <w:top w:val="none" w:sz="0" w:space="0" w:color="auto"/>
        <w:left w:val="none" w:sz="0" w:space="0" w:color="auto"/>
        <w:bottom w:val="none" w:sz="0" w:space="0" w:color="auto"/>
        <w:right w:val="none" w:sz="0" w:space="0" w:color="auto"/>
      </w:divBdr>
    </w:div>
    <w:div w:id="353118616">
      <w:bodyDiv w:val="1"/>
      <w:marLeft w:val="0"/>
      <w:marRight w:val="0"/>
      <w:marTop w:val="0"/>
      <w:marBottom w:val="0"/>
      <w:divBdr>
        <w:top w:val="none" w:sz="0" w:space="0" w:color="auto"/>
        <w:left w:val="none" w:sz="0" w:space="0" w:color="auto"/>
        <w:bottom w:val="none" w:sz="0" w:space="0" w:color="auto"/>
        <w:right w:val="none" w:sz="0" w:space="0" w:color="auto"/>
      </w:divBdr>
    </w:div>
    <w:div w:id="696003495">
      <w:bodyDiv w:val="1"/>
      <w:marLeft w:val="0"/>
      <w:marRight w:val="0"/>
      <w:marTop w:val="0"/>
      <w:marBottom w:val="0"/>
      <w:divBdr>
        <w:top w:val="none" w:sz="0" w:space="0" w:color="auto"/>
        <w:left w:val="none" w:sz="0" w:space="0" w:color="auto"/>
        <w:bottom w:val="none" w:sz="0" w:space="0" w:color="auto"/>
        <w:right w:val="none" w:sz="0" w:space="0" w:color="auto"/>
      </w:divBdr>
    </w:div>
    <w:div w:id="2038238225">
      <w:bodyDiv w:val="1"/>
      <w:marLeft w:val="0"/>
      <w:marRight w:val="0"/>
      <w:marTop w:val="0"/>
      <w:marBottom w:val="0"/>
      <w:divBdr>
        <w:top w:val="none" w:sz="0" w:space="0" w:color="auto"/>
        <w:left w:val="none" w:sz="0" w:space="0" w:color="auto"/>
        <w:bottom w:val="none" w:sz="0" w:space="0" w:color="auto"/>
        <w:right w:val="none" w:sz="0" w:space="0" w:color="auto"/>
      </w:divBdr>
      <w:divsChild>
        <w:div w:id="1606184203">
          <w:marLeft w:val="0"/>
          <w:marRight w:val="0"/>
          <w:marTop w:val="0"/>
          <w:marBottom w:val="0"/>
          <w:divBdr>
            <w:top w:val="none" w:sz="0" w:space="0" w:color="auto"/>
            <w:left w:val="none" w:sz="0" w:space="0" w:color="auto"/>
            <w:bottom w:val="none" w:sz="0" w:space="0" w:color="auto"/>
            <w:right w:val="none" w:sz="0" w:space="0" w:color="auto"/>
          </w:divBdr>
        </w:div>
        <w:div w:id="1648052496">
          <w:marLeft w:val="0"/>
          <w:marRight w:val="0"/>
          <w:marTop w:val="0"/>
          <w:marBottom w:val="0"/>
          <w:divBdr>
            <w:top w:val="none" w:sz="0" w:space="0" w:color="auto"/>
            <w:left w:val="none" w:sz="0" w:space="0" w:color="auto"/>
            <w:bottom w:val="none" w:sz="0" w:space="0" w:color="auto"/>
            <w:right w:val="none" w:sz="0" w:space="0" w:color="auto"/>
          </w:divBdr>
        </w:div>
      </w:divsChild>
    </w:div>
    <w:div w:id="212483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benchling.com%2Fs%2Fseq-t6xsILttV82C2VMouGmb%3Fm%3Dslm-pIdDqYWKUrCx2dqMOCLo&amp;data=05%7C01%7CD.Lea-Smith%40uea.ac.uk%7C6b346c732e814252318708da342ec97a%7Cc65f8795ba3d43518a070865e5d8f090%7C0%7C0%7C637879672805504882%7CUnknown%7CTWFpbGZsb3d8eyJWIjoiMC4wLjAwMDAiLCJQIjoiV2luMzIiLCJBTiI6Ik1haWwiLCJXVCI6Mn0%3D%7C3000%7C%7C%7C&amp;sdata=fsC5w5tMUjD5EOi3gpe5xKWXBb%2Fh4mVp%2F6uWNSCj45Q%3D&amp;reserved=0" TargetMode="External"/><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em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eur01.safelinks.protection.outlook.com/?url=https%3A%2F%2Fbenchling.com%2Fs%2Fseq-hnUCIuMPolpxaGYDBPQs%3Fm%3Dslm-e9O29Gmllg5hovbBXnhF&amp;data=05%7C01%7CD.Lea-Smith%40uea.ac.uk%7C6b346c732e814252318708da342ec97a%7Cc65f8795ba3d43518a070865e5d8f090%7C0%7C0%7C637879672805504882%7CUnknown%7CTWFpbGZsb3d8eyJWIjoiMC4wLjAwMDAiLCJQIjoiV2luMzIiLCJBTiI6Ik1haWwiLCJXVCI6Mn0%3D%7C3000%7C%7C%7C&amp;sdata=D68BnZmdHaE7g3p3ejBGYWql7EVsiP4Q9pLSBuQh1Qo%3D&amp;reserved=0" TargetMode="External"/><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103651-4AC8-4D64-A938-4C8EC3B8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4345</Words>
  <Characters>24074</Characters>
  <Application>Microsoft Office Word</Application>
  <DocSecurity>0</DocSecurity>
  <Lines>512</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MDPI</cp:lastModifiedBy>
  <cp:revision>6</cp:revision>
  <dcterms:created xsi:type="dcterms:W3CDTF">2022-05-12T10:40:00Z</dcterms:created>
  <dcterms:modified xsi:type="dcterms:W3CDTF">2022-05-14T09:15:00Z</dcterms:modified>
</cp:coreProperties>
</file>