
<file path=[Content_Types].xml><?xml version="1.0" encoding="utf-8"?>
<Types xmlns="http://schemas.openxmlformats.org/package/2006/content-types">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87F03E" w14:textId="77777777" w:rsidR="00866130" w:rsidRPr="00FA6DA6" w:rsidRDefault="00866130" w:rsidP="002D5A4D">
      <w:pPr>
        <w:pStyle w:val="MDPI21heading1"/>
        <w:spacing w:before="0" w:after="0"/>
        <w:ind w:left="0"/>
      </w:pPr>
      <w:r w:rsidRPr="00FA6DA6">
        <w:t>Supplementary files</w:t>
      </w:r>
    </w:p>
    <w:p w14:paraId="6618643F" w14:textId="77777777" w:rsidR="00A566AE" w:rsidRDefault="004E6A7E" w:rsidP="00E805E2">
      <w:pPr>
        <w:pStyle w:val="MDPI52figure"/>
        <w:spacing w:before="0" w:after="0"/>
      </w:pPr>
      <w:r>
        <w:rPr>
          <w:noProof/>
          <w:snapToGrid/>
          <w:lang w:eastAsia="en-US" w:bidi="ar-SA"/>
        </w:rPr>
        <w:drawing>
          <wp:inline distT="0" distB="0" distL="0" distR="0" wp14:anchorId="19B9DC0B" wp14:editId="0A3B44E0">
            <wp:extent cx="5059680" cy="6906768"/>
            <wp:effectExtent l="0" t="0" r="7620" b="889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 S1.tif"/>
                    <pic:cNvPicPr/>
                  </pic:nvPicPr>
                  <pic:blipFill>
                    <a:blip r:embed="rId8">
                      <a:extLst>
                        <a:ext uri="{28A0092B-C50C-407E-A947-70E740481C1C}">
                          <a14:useLocalDpi xmlns:a14="http://schemas.microsoft.com/office/drawing/2010/main" val="0"/>
                        </a:ext>
                      </a:extLst>
                    </a:blip>
                    <a:stretch>
                      <a:fillRect/>
                    </a:stretch>
                  </pic:blipFill>
                  <pic:spPr>
                    <a:xfrm>
                      <a:off x="0" y="0"/>
                      <a:ext cx="5059680" cy="6906768"/>
                    </a:xfrm>
                    <a:prstGeom prst="rect">
                      <a:avLst/>
                    </a:prstGeom>
                  </pic:spPr>
                </pic:pic>
              </a:graphicData>
            </a:graphic>
          </wp:inline>
        </w:drawing>
      </w:r>
    </w:p>
    <w:p w14:paraId="50CAAA0A" w14:textId="77777777" w:rsidR="00F66765" w:rsidRDefault="00A4152E" w:rsidP="00F66765">
      <w:pPr>
        <w:pStyle w:val="MDPI51figurecaption"/>
      </w:pPr>
      <w:r w:rsidRPr="00A4152E">
        <w:rPr>
          <w:b/>
        </w:rPr>
        <w:t xml:space="preserve">Figure </w:t>
      </w:r>
      <w:r w:rsidR="00866130">
        <w:rPr>
          <w:b/>
        </w:rPr>
        <w:t>S</w:t>
      </w:r>
      <w:r w:rsidRPr="00A4152E">
        <w:rPr>
          <w:b/>
        </w:rPr>
        <w:t>1.</w:t>
      </w:r>
      <w:r w:rsidRPr="00724D1D">
        <w:rPr>
          <w:b/>
        </w:rPr>
        <w:t xml:space="preserve"> </w:t>
      </w:r>
      <w:r w:rsidR="0050588F" w:rsidRPr="00724D1D">
        <w:rPr>
          <w:b/>
        </w:rPr>
        <w:t xml:space="preserve">Phenotypic </w:t>
      </w:r>
      <w:r w:rsidR="0050588F">
        <w:rPr>
          <w:b/>
        </w:rPr>
        <w:t xml:space="preserve">and functional </w:t>
      </w:r>
      <w:r w:rsidR="0050588F" w:rsidRPr="00724D1D">
        <w:rPr>
          <w:b/>
        </w:rPr>
        <w:t xml:space="preserve">characterization of </w:t>
      </w:r>
      <w:r w:rsidR="00167798">
        <w:rPr>
          <w:b/>
        </w:rPr>
        <w:t>s</w:t>
      </w:r>
      <w:r w:rsidR="00167798" w:rsidRPr="00167798">
        <w:rPr>
          <w:b/>
        </w:rPr>
        <w:t>edimentation field-flow fractionation</w:t>
      </w:r>
      <w:r w:rsidR="00167798">
        <w:rPr>
          <w:b/>
        </w:rPr>
        <w:t xml:space="preserve"> (</w:t>
      </w:r>
      <w:proofErr w:type="spellStart"/>
      <w:r w:rsidR="0050588F" w:rsidRPr="00724D1D">
        <w:rPr>
          <w:b/>
        </w:rPr>
        <w:t>SdFFF</w:t>
      </w:r>
      <w:proofErr w:type="spellEnd"/>
      <w:r w:rsidR="00167798">
        <w:rPr>
          <w:b/>
        </w:rPr>
        <w:t>)</w:t>
      </w:r>
      <w:r w:rsidR="0050588F" w:rsidRPr="00724D1D">
        <w:rPr>
          <w:b/>
        </w:rPr>
        <w:t xml:space="preserve">-sorted cell subpopulations from </w:t>
      </w:r>
      <w:r w:rsidR="00167798">
        <w:rPr>
          <w:b/>
        </w:rPr>
        <w:t>c</w:t>
      </w:r>
      <w:r w:rsidR="00167798" w:rsidRPr="00167798">
        <w:rPr>
          <w:b/>
        </w:rPr>
        <w:t>olorectal cancer</w:t>
      </w:r>
      <w:r w:rsidR="00167798">
        <w:rPr>
          <w:b/>
        </w:rPr>
        <w:t xml:space="preserve"> (</w:t>
      </w:r>
      <w:r w:rsidR="0050588F">
        <w:rPr>
          <w:b/>
        </w:rPr>
        <w:t>CRC</w:t>
      </w:r>
      <w:r w:rsidR="00167798">
        <w:rPr>
          <w:b/>
        </w:rPr>
        <w:t>)</w:t>
      </w:r>
      <w:r w:rsidR="0050588F" w:rsidRPr="00724D1D">
        <w:rPr>
          <w:b/>
        </w:rPr>
        <w:t xml:space="preserve"> cell lines</w:t>
      </w:r>
      <w:r w:rsidR="002D46B7" w:rsidRPr="00724D1D">
        <w:rPr>
          <w:b/>
        </w:rPr>
        <w:t xml:space="preserve">. </w:t>
      </w:r>
      <w:r w:rsidR="00866130" w:rsidRPr="0065205D">
        <w:t>(</w:t>
      </w:r>
      <w:r w:rsidR="0065205D">
        <w:t>A</w:t>
      </w:r>
      <w:r w:rsidR="002D46B7" w:rsidRPr="002D46B7">
        <w:t xml:space="preserve">) </w:t>
      </w:r>
      <w:r w:rsidR="00F612FE" w:rsidRPr="00F612FE">
        <w:t>Specificity of fluorescence emitted by flow cytometry</w:t>
      </w:r>
      <w:r w:rsidR="008B6A57">
        <w:t xml:space="preserve"> </w:t>
      </w:r>
      <w:r w:rsidR="00F612FE" w:rsidRPr="00F612FE">
        <w:t>was checked using isotype controls.</w:t>
      </w:r>
      <w:r w:rsidR="00051728">
        <w:t xml:space="preserve"> </w:t>
      </w:r>
      <w:r w:rsidR="00A36177" w:rsidRPr="00A36177">
        <w:t xml:space="preserve">The histograms obtained were used </w:t>
      </w:r>
      <w:r w:rsidR="00051728" w:rsidRPr="00051728">
        <w:t>to position the positivity thresholds of our markers of interest.</w:t>
      </w:r>
      <w:r w:rsidR="00724D1D">
        <w:t xml:space="preserve"> (</w:t>
      </w:r>
      <w:r w:rsidR="00051728">
        <w:t>B-C)</w:t>
      </w:r>
      <w:r w:rsidR="00876E2A">
        <w:t xml:space="preserve"> </w:t>
      </w:r>
      <w:r w:rsidR="00876E2A" w:rsidRPr="00876E2A">
        <w:t>The proportion of S-phase and G2/M cells in the cell cycle was analyzed by flow cytometry for each sorted cell subpopulation and presented in the bar plot from at least three biological replicates.</w:t>
      </w:r>
      <w:r w:rsidR="00D92938">
        <w:t xml:space="preserve"> </w:t>
      </w:r>
      <w:r w:rsidR="004A1981" w:rsidRPr="004A1981">
        <w:t xml:space="preserve">F3 subpopulation has significantly fewer cells in S phase for </w:t>
      </w:r>
      <w:proofErr w:type="spellStart"/>
      <w:r w:rsidR="004A1981" w:rsidRPr="004A1981">
        <w:t>WiDr</w:t>
      </w:r>
      <w:proofErr w:type="spellEnd"/>
      <w:r w:rsidR="004A1981" w:rsidRPr="004A1981">
        <w:t xml:space="preserve"> and SW620 cell lines</w:t>
      </w:r>
      <w:r w:rsidR="004A1981">
        <w:t xml:space="preserve"> (B)</w:t>
      </w:r>
      <w:r w:rsidR="004A1981" w:rsidRPr="004A1981">
        <w:t>, and in G2/M phase for all cell lines</w:t>
      </w:r>
      <w:r w:rsidR="004A1981">
        <w:t xml:space="preserve"> (C)</w:t>
      </w:r>
      <w:r w:rsidR="00A36177">
        <w:t xml:space="preserve"> </w:t>
      </w:r>
      <w:r w:rsidR="00A36177" w:rsidRPr="00A36177">
        <w:t>compared to the other subpopulations.</w:t>
      </w:r>
      <w:r w:rsidR="004A1981">
        <w:t xml:space="preserve"> </w:t>
      </w:r>
      <w:r w:rsidR="004E21C9">
        <w:t>(D-E</w:t>
      </w:r>
      <w:r w:rsidR="00FA6DA6">
        <w:t xml:space="preserve">) </w:t>
      </w:r>
      <w:r w:rsidR="00FA6DA6" w:rsidRPr="00FA6DA6">
        <w:t>Tumor volume was measured throughout the in vivo tumor initiation assay using a caliper.</w:t>
      </w:r>
      <w:r w:rsidR="00FA6DA6">
        <w:t xml:space="preserve"> (D) </w:t>
      </w:r>
      <w:r w:rsidR="004E6A7E" w:rsidRPr="004E6A7E">
        <w:t>Fifty days after injection, the average tumor volume obtained in the five mice in each cell concentration group is summarized in the bar plot and reveals that it is highest in the F3 condition at 1000 cells.</w:t>
      </w:r>
      <w:r w:rsidR="004E6A7E">
        <w:t xml:space="preserve"> </w:t>
      </w:r>
      <w:r w:rsidR="00FA6DA6">
        <w:t xml:space="preserve">(E) </w:t>
      </w:r>
      <w:r w:rsidR="004E6A7E" w:rsidRPr="004E6A7E">
        <w:t>The appearance of a tumor with a volume higher than 100</w:t>
      </w:r>
      <w:r w:rsidR="004E6A7E">
        <w:t xml:space="preserve"> </w:t>
      </w:r>
      <w:r w:rsidR="004E6A7E" w:rsidRPr="004E6A7E">
        <w:t>mm</w:t>
      </w:r>
      <w:r w:rsidR="004E6A7E" w:rsidRPr="004E6A7E">
        <w:rPr>
          <w:vertAlign w:val="superscript"/>
        </w:rPr>
        <w:t>3</w:t>
      </w:r>
      <w:r w:rsidR="004E6A7E" w:rsidRPr="004E6A7E">
        <w:t xml:space="preserve"> was obtained between 36 and 39 days for F3 and TP, whereas it was reached only after 46 days for F1, as shown in the tumor growth curves.</w:t>
      </w:r>
      <w:r w:rsidR="00B76421">
        <w:t xml:space="preserve"> </w:t>
      </w:r>
      <w:r w:rsidR="002D5A4D">
        <w:t xml:space="preserve">(F) </w:t>
      </w:r>
      <w:r w:rsidR="004E6A7E" w:rsidRPr="004E6A7E">
        <w:t>Collected tumors larger than 100 mm</w:t>
      </w:r>
      <w:r w:rsidR="004E6A7E" w:rsidRPr="00EA7668">
        <w:rPr>
          <w:vertAlign w:val="superscript"/>
        </w:rPr>
        <w:t>3</w:t>
      </w:r>
      <w:r w:rsidR="004E6A7E" w:rsidRPr="004E6A7E">
        <w:t xml:space="preserve"> were photographed 50 days after injection. Scale in centimeters.</w:t>
      </w:r>
      <w:r w:rsidR="00F66765" w:rsidRPr="00F66765">
        <w:t xml:space="preserve"> </w:t>
      </w:r>
      <w:r w:rsidR="00F66765" w:rsidRPr="00DC7011">
        <w:t xml:space="preserve">All these results are represented as means </w:t>
      </w:r>
      <w:r w:rsidR="00F66765" w:rsidRPr="00436272">
        <w:t xml:space="preserve">± </w:t>
      </w:r>
      <w:r w:rsidR="00F66765" w:rsidRPr="00DC7011">
        <w:t>SEM and statistical differences with *p-value &lt; 0.05, **p-value &lt; 0.01</w:t>
      </w:r>
      <w:r w:rsidR="00F66765">
        <w:t xml:space="preserve">, </w:t>
      </w:r>
      <w:r w:rsidR="00F66765" w:rsidRPr="00FE7FBC">
        <w:t xml:space="preserve">***p-value </w:t>
      </w:r>
      <w:r w:rsidR="00F66765">
        <w:t>&lt; 0.001</w:t>
      </w:r>
      <w:r w:rsidR="00F66765" w:rsidRPr="00DC7011">
        <w:t xml:space="preserve"> and *alone for significant results compared to TP</w:t>
      </w:r>
      <w:r w:rsidR="00B5271F">
        <w:t xml:space="preserve"> using</w:t>
      </w:r>
      <w:r w:rsidR="00F66765" w:rsidRPr="00DC7011">
        <w:t xml:space="preserve"> </w:t>
      </w:r>
      <w:r w:rsidR="00F66765">
        <w:t>One-way ANOVA test.</w:t>
      </w:r>
    </w:p>
    <w:p w14:paraId="09EA23B8" w14:textId="77777777" w:rsidR="00FA6DA6" w:rsidRDefault="00FA6DA6" w:rsidP="00266BC6">
      <w:pPr>
        <w:pStyle w:val="MDPI51figurecaption"/>
      </w:pPr>
    </w:p>
    <w:p w14:paraId="7668F466" w14:textId="77777777" w:rsidR="00A566AE" w:rsidRDefault="00252942" w:rsidP="00A566AE">
      <w:pPr>
        <w:pStyle w:val="MDPI52figure"/>
        <w:rPr>
          <w:noProof/>
        </w:rPr>
      </w:pPr>
      <w:r>
        <w:rPr>
          <w:noProof/>
          <w:snapToGrid/>
          <w:lang w:eastAsia="en-US" w:bidi="ar-SA"/>
        </w:rPr>
        <w:lastRenderedPageBreak/>
        <w:drawing>
          <wp:inline distT="0" distB="0" distL="0" distR="0" wp14:anchorId="1ECE05AA" wp14:editId="60BC1EC0">
            <wp:extent cx="6645910" cy="5252085"/>
            <wp:effectExtent l="0" t="0" r="2540" b="571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ure S2.tif"/>
                    <pic:cNvPicPr/>
                  </pic:nvPicPr>
                  <pic:blipFill>
                    <a:blip r:embed="rId9">
                      <a:extLst>
                        <a:ext uri="{28A0092B-C50C-407E-A947-70E740481C1C}">
                          <a14:useLocalDpi xmlns:a14="http://schemas.microsoft.com/office/drawing/2010/main" val="0"/>
                        </a:ext>
                      </a:extLst>
                    </a:blip>
                    <a:stretch>
                      <a:fillRect/>
                    </a:stretch>
                  </pic:blipFill>
                  <pic:spPr>
                    <a:xfrm>
                      <a:off x="0" y="0"/>
                      <a:ext cx="6645910" cy="5252085"/>
                    </a:xfrm>
                    <a:prstGeom prst="rect">
                      <a:avLst/>
                    </a:prstGeom>
                  </pic:spPr>
                </pic:pic>
              </a:graphicData>
            </a:graphic>
          </wp:inline>
        </w:drawing>
      </w:r>
    </w:p>
    <w:p w14:paraId="3374F3DA" w14:textId="77777777" w:rsidR="007C0020" w:rsidRDefault="00C30B2A" w:rsidP="00664F05">
      <w:pPr>
        <w:pStyle w:val="MDPI51figurecaption"/>
      </w:pPr>
      <w:r w:rsidRPr="00640F36">
        <w:rPr>
          <w:b/>
        </w:rPr>
        <w:t xml:space="preserve">Figure </w:t>
      </w:r>
      <w:r w:rsidR="00866130">
        <w:rPr>
          <w:b/>
        </w:rPr>
        <w:t>S</w:t>
      </w:r>
      <w:r w:rsidRPr="00640F36">
        <w:rPr>
          <w:b/>
        </w:rPr>
        <w:t xml:space="preserve">2. </w:t>
      </w:r>
      <w:r w:rsidR="007C0020" w:rsidRPr="007C0020">
        <w:rPr>
          <w:b/>
        </w:rPr>
        <w:t xml:space="preserve">Response of </w:t>
      </w:r>
      <w:proofErr w:type="spellStart"/>
      <w:r w:rsidR="007C0020" w:rsidRPr="007C0020">
        <w:rPr>
          <w:b/>
        </w:rPr>
        <w:t>SdFFF</w:t>
      </w:r>
      <w:proofErr w:type="spellEnd"/>
      <w:r w:rsidR="007C0020" w:rsidRPr="007C0020">
        <w:rPr>
          <w:b/>
        </w:rPr>
        <w:t xml:space="preserve">-sorted cell subpopulations to oxaliplatin and irinotecan </w:t>
      </w:r>
      <w:r w:rsidR="00167798" w:rsidRPr="00724D1D">
        <w:rPr>
          <w:b/>
        </w:rPr>
        <w:t xml:space="preserve">from </w:t>
      </w:r>
      <w:r w:rsidR="00167798">
        <w:rPr>
          <w:b/>
        </w:rPr>
        <w:t>CRC</w:t>
      </w:r>
      <w:r w:rsidR="00167798" w:rsidRPr="00724D1D">
        <w:rPr>
          <w:b/>
        </w:rPr>
        <w:t xml:space="preserve"> cell lines.</w:t>
      </w:r>
      <w:r w:rsidR="00252942">
        <w:rPr>
          <w:b/>
        </w:rPr>
        <w:t xml:space="preserve"> </w:t>
      </w:r>
      <w:r w:rsidR="00020A2F">
        <w:t>(A-F</w:t>
      </w:r>
      <w:r w:rsidR="009B1842">
        <w:t xml:space="preserve">) </w:t>
      </w:r>
      <w:r w:rsidR="00EA7668" w:rsidRPr="00EA7668">
        <w:t>Response to oxaliplatin and irinotecan was assessed in 2D culture.</w:t>
      </w:r>
      <w:r w:rsidR="002B7F0A" w:rsidRPr="002B7F0A">
        <w:t xml:space="preserve"> </w:t>
      </w:r>
      <w:r w:rsidR="00EA7668">
        <w:t xml:space="preserve">(A) </w:t>
      </w:r>
      <w:r w:rsidR="00EA7668" w:rsidRPr="00EA7668">
        <w:t>After three days of oxaliplatin treatment, IC50 values were obtained by MTT assay from at least three biological replicates.</w:t>
      </w:r>
      <w:r w:rsidR="00EA7668">
        <w:t xml:space="preserve"> </w:t>
      </w:r>
      <w:r w:rsidR="00EA7668" w:rsidRPr="00EA7668">
        <w:t xml:space="preserve">F3 subpopulation has a significantly higher IC50 than F1 for the </w:t>
      </w:r>
      <w:proofErr w:type="spellStart"/>
      <w:r w:rsidR="00EA7668" w:rsidRPr="00EA7668">
        <w:t>WiDr</w:t>
      </w:r>
      <w:proofErr w:type="spellEnd"/>
      <w:r w:rsidR="00EA7668" w:rsidRPr="00EA7668">
        <w:t xml:space="preserve"> cell line and this trend is also observed for the SW480 and SW620 cell lines.</w:t>
      </w:r>
      <w:r w:rsidR="00EA7668">
        <w:t xml:space="preserve"> </w:t>
      </w:r>
      <w:r w:rsidR="00020A2F">
        <w:t>(B</w:t>
      </w:r>
      <w:r w:rsidR="007C0020">
        <w:t xml:space="preserve">) </w:t>
      </w:r>
      <w:r w:rsidR="00020A2F" w:rsidRPr="00020A2F">
        <w:t xml:space="preserve">Cell proliferation rate after oxaliplatin treatment was measured by </w:t>
      </w:r>
      <w:proofErr w:type="spellStart"/>
      <w:r w:rsidR="00020A2F" w:rsidRPr="00020A2F">
        <w:t>BrdU</w:t>
      </w:r>
      <w:proofErr w:type="spellEnd"/>
      <w:r w:rsidR="00020A2F" w:rsidRPr="00020A2F">
        <w:t xml:space="preserve"> assay and presented in the bar plot as a ratio between treated and untreated conditions.</w:t>
      </w:r>
      <w:r w:rsidR="00020A2F">
        <w:t xml:space="preserve"> </w:t>
      </w:r>
      <w:r w:rsidR="00020A2F" w:rsidRPr="00020A2F">
        <w:t>After treatment, proliferation decreases in all cell subpopulations compared to the untreated condition (dashed line), but the rate appears to be higher in the F3 subpopulation for all cell lines.</w:t>
      </w:r>
      <w:r w:rsidR="00020A2F">
        <w:t xml:space="preserve"> </w:t>
      </w:r>
      <w:r w:rsidR="008B5343">
        <w:t>(</w:t>
      </w:r>
      <w:r w:rsidR="00020A2F">
        <w:t>C</w:t>
      </w:r>
      <w:r w:rsidR="008B5343">
        <w:t xml:space="preserve">) </w:t>
      </w:r>
      <w:r w:rsidR="00B64B65" w:rsidRPr="00B64B65">
        <w:t>Using the ELISA cell death assay, apoptosis rate after treatment was measured and compared to the untreated condition (dashed line). Apoptosis significantly increased in F3 compared to F1 for the T84 cell line.</w:t>
      </w:r>
      <w:r w:rsidR="00B64B65">
        <w:t xml:space="preserve"> (D</w:t>
      </w:r>
      <w:r w:rsidR="008B5343">
        <w:t xml:space="preserve">) </w:t>
      </w:r>
      <w:r w:rsidR="00B64B65" w:rsidRPr="00B64B65">
        <w:t xml:space="preserve">The IC50 values obtained after three days of irinotecan treatment appear to </w:t>
      </w:r>
      <w:r w:rsidR="00B64B65">
        <w:t>be slightly higher in F3 for</w:t>
      </w:r>
      <w:r w:rsidR="00B64B65" w:rsidRPr="00B64B65">
        <w:t xml:space="preserve"> SW480, SW620, and T84 cell lines, with a significant difference between F3 and TP for T84, which is the most resistant of the four cell lines.</w:t>
      </w:r>
      <w:r w:rsidR="00B407FC">
        <w:t xml:space="preserve"> </w:t>
      </w:r>
      <w:r w:rsidR="00B64B65">
        <w:t>(E</w:t>
      </w:r>
      <w:r w:rsidR="00B407FC">
        <w:t>)</w:t>
      </w:r>
      <w:r w:rsidR="00B64B65" w:rsidRPr="00B64B65">
        <w:t xml:space="preserve"> As with oxaliplatin, cell proliferation was assessed after irinotecan treatment and decreased in all cell lines compared with the untreated condition, but the rate remained higher in F3 versus F1 for </w:t>
      </w:r>
      <w:proofErr w:type="spellStart"/>
      <w:r w:rsidR="00B64B65" w:rsidRPr="00B64B65">
        <w:t>WiDr</w:t>
      </w:r>
      <w:proofErr w:type="spellEnd"/>
      <w:r w:rsidR="00B64B65" w:rsidRPr="00B64B65">
        <w:t>, SW480 and T84.</w:t>
      </w:r>
      <w:r w:rsidR="00DC7011">
        <w:t xml:space="preserve"> (F)</w:t>
      </w:r>
      <w:r w:rsidR="00DC7011" w:rsidRPr="00DC7011">
        <w:t xml:space="preserve"> Apoptosis was also assessed after irinotecan treatment and the rate is significantly decreased in F1 and F3 versus TP for T84, with a similar trend for SW480 and SW620.</w:t>
      </w:r>
      <w:r w:rsidR="00B71AE1">
        <w:t xml:space="preserve"> </w:t>
      </w:r>
      <w:r w:rsidR="00F66765">
        <w:t>(G-H)</w:t>
      </w:r>
      <w:r w:rsidR="00B34817">
        <w:t xml:space="preserve"> </w:t>
      </w:r>
      <w:r w:rsidR="00B34817" w:rsidRPr="00B34817">
        <w:t xml:space="preserve">Response to oxaliplatin and irinotecan was also investigated in 3D culture </w:t>
      </w:r>
      <w:r w:rsidR="00F66765">
        <w:t xml:space="preserve">from </w:t>
      </w:r>
      <w:proofErr w:type="spellStart"/>
      <w:r w:rsidR="00B34817" w:rsidRPr="00B34817">
        <w:t>colonospheres</w:t>
      </w:r>
      <w:proofErr w:type="spellEnd"/>
      <w:r w:rsidR="00B34817" w:rsidRPr="00B34817">
        <w:t>.</w:t>
      </w:r>
      <w:r w:rsidR="00B34817">
        <w:t xml:space="preserve"> </w:t>
      </w:r>
      <w:r w:rsidR="00F66765">
        <w:t xml:space="preserve">(G) </w:t>
      </w:r>
      <w:r w:rsidR="00F66765" w:rsidRPr="00F66765">
        <w:t xml:space="preserve">After oxaliplatin treatment, the number of </w:t>
      </w:r>
      <w:proofErr w:type="spellStart"/>
      <w:r w:rsidR="00F66765" w:rsidRPr="00F66765">
        <w:t>colonospheres</w:t>
      </w:r>
      <w:proofErr w:type="spellEnd"/>
      <w:r w:rsidR="00F66765" w:rsidRPr="00F66765">
        <w:t xml:space="preserve"> formed was significantly </w:t>
      </w:r>
      <w:r w:rsidR="00293469" w:rsidRPr="00F66765">
        <w:t xml:space="preserve">enhanced </w:t>
      </w:r>
      <w:r w:rsidR="00F66765" w:rsidRPr="00F66765">
        <w:t xml:space="preserve">in F3 compared to TP for </w:t>
      </w:r>
      <w:proofErr w:type="spellStart"/>
      <w:r w:rsidR="00F66765" w:rsidRPr="00F66765">
        <w:t>WiDr</w:t>
      </w:r>
      <w:proofErr w:type="spellEnd"/>
      <w:r w:rsidR="00F66765" w:rsidRPr="00F66765">
        <w:t>, with a similar trend for SW480 and SW620.</w:t>
      </w:r>
      <w:r w:rsidR="00F66765">
        <w:t xml:space="preserve"> (H) </w:t>
      </w:r>
      <w:proofErr w:type="spellStart"/>
      <w:r w:rsidR="00293469">
        <w:t>C</w:t>
      </w:r>
      <w:r w:rsidR="00F66765" w:rsidRPr="00F66765">
        <w:t>olo</w:t>
      </w:r>
      <w:r w:rsidR="00F66765">
        <w:t>nospheres</w:t>
      </w:r>
      <w:proofErr w:type="spellEnd"/>
      <w:r w:rsidR="00F66765">
        <w:t xml:space="preserve"> was significantly </w:t>
      </w:r>
      <w:r w:rsidR="00293469" w:rsidRPr="00F66765">
        <w:t>increased</w:t>
      </w:r>
      <w:r w:rsidR="00F66765" w:rsidRPr="00F66765">
        <w:t xml:space="preserve"> after irinotecan treatment in F3 compared to F1 for the SW480 cell line, with the same trend observed for SW620 and T84.</w:t>
      </w:r>
      <w:r w:rsidR="0016406E">
        <w:t xml:space="preserve"> </w:t>
      </w:r>
      <w:r w:rsidR="00DC7011" w:rsidRPr="00DC7011">
        <w:t xml:space="preserve">All these results are represented as means </w:t>
      </w:r>
      <w:r w:rsidR="00DC7011" w:rsidRPr="00436272">
        <w:t xml:space="preserve">± </w:t>
      </w:r>
      <w:r w:rsidR="00DC7011" w:rsidRPr="00DC7011">
        <w:t>SEM and statistical differences with ns for not significant, *p-value &lt; 0.05, **p-value &lt; 0.01 and *alone for sig</w:t>
      </w:r>
      <w:r w:rsidR="00B5271F">
        <w:t xml:space="preserve">nificant results compared to TP using </w:t>
      </w:r>
      <w:r w:rsidR="00167798">
        <w:t>One-way ANOVA test.</w:t>
      </w:r>
    </w:p>
    <w:p w14:paraId="28BBC358" w14:textId="77777777" w:rsidR="00DC7011" w:rsidRDefault="00DC7011" w:rsidP="00664F05">
      <w:pPr>
        <w:pStyle w:val="MDPI51figurecaption"/>
      </w:pPr>
    </w:p>
    <w:p w14:paraId="4641D5F1" w14:textId="77777777" w:rsidR="00252942" w:rsidRDefault="00252942" w:rsidP="00664F05">
      <w:pPr>
        <w:pStyle w:val="MDPI51figurecaption"/>
      </w:pPr>
    </w:p>
    <w:p w14:paraId="66B9699F" w14:textId="77777777" w:rsidR="00252942" w:rsidRDefault="00D160D6" w:rsidP="00252942">
      <w:pPr>
        <w:pStyle w:val="MDPI52figure"/>
      </w:pPr>
      <w:r>
        <w:rPr>
          <w:noProof/>
          <w:snapToGrid/>
          <w:lang w:eastAsia="en-US" w:bidi="ar-SA"/>
        </w:rPr>
        <w:lastRenderedPageBreak/>
        <w:drawing>
          <wp:inline distT="0" distB="0" distL="0" distR="0" wp14:anchorId="2BF49D58" wp14:editId="6244FA87">
            <wp:extent cx="4157472" cy="5291328"/>
            <wp:effectExtent l="0" t="0" r="0" b="508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ure S3.tif"/>
                    <pic:cNvPicPr/>
                  </pic:nvPicPr>
                  <pic:blipFill>
                    <a:blip r:embed="rId10">
                      <a:extLst>
                        <a:ext uri="{28A0092B-C50C-407E-A947-70E740481C1C}">
                          <a14:useLocalDpi xmlns:a14="http://schemas.microsoft.com/office/drawing/2010/main" val="0"/>
                        </a:ext>
                      </a:extLst>
                    </a:blip>
                    <a:stretch>
                      <a:fillRect/>
                    </a:stretch>
                  </pic:blipFill>
                  <pic:spPr>
                    <a:xfrm>
                      <a:off x="0" y="0"/>
                      <a:ext cx="4157472" cy="5291328"/>
                    </a:xfrm>
                    <a:prstGeom prst="rect">
                      <a:avLst/>
                    </a:prstGeom>
                  </pic:spPr>
                </pic:pic>
              </a:graphicData>
            </a:graphic>
          </wp:inline>
        </w:drawing>
      </w:r>
    </w:p>
    <w:p w14:paraId="7215E841" w14:textId="77777777" w:rsidR="00252942" w:rsidRPr="007C0020" w:rsidRDefault="00252942" w:rsidP="00664F05">
      <w:pPr>
        <w:pStyle w:val="MDPI51figurecaption"/>
      </w:pPr>
      <w:r w:rsidRPr="0016406E">
        <w:rPr>
          <w:b/>
        </w:rPr>
        <w:t xml:space="preserve">Figure </w:t>
      </w:r>
      <w:r w:rsidR="0016406E" w:rsidRPr="0016406E">
        <w:rPr>
          <w:b/>
        </w:rPr>
        <w:t>S3</w:t>
      </w:r>
      <w:r w:rsidRPr="0016406E">
        <w:rPr>
          <w:b/>
        </w:rPr>
        <w:t xml:space="preserve">. </w:t>
      </w:r>
      <w:r w:rsidR="0016406E" w:rsidRPr="00724D1D">
        <w:rPr>
          <w:b/>
        </w:rPr>
        <w:t xml:space="preserve">Phenotypic </w:t>
      </w:r>
      <w:r w:rsidR="0016406E">
        <w:rPr>
          <w:b/>
        </w:rPr>
        <w:t xml:space="preserve">and functional </w:t>
      </w:r>
      <w:r w:rsidR="0016406E" w:rsidRPr="00724D1D">
        <w:rPr>
          <w:b/>
        </w:rPr>
        <w:t xml:space="preserve">characterization of </w:t>
      </w:r>
      <w:proofErr w:type="spellStart"/>
      <w:r w:rsidR="0016406E" w:rsidRPr="00724D1D">
        <w:rPr>
          <w:b/>
        </w:rPr>
        <w:t>SdFFF</w:t>
      </w:r>
      <w:proofErr w:type="spellEnd"/>
      <w:r w:rsidR="0016406E" w:rsidRPr="00724D1D">
        <w:rPr>
          <w:b/>
        </w:rPr>
        <w:t xml:space="preserve">-sorted cell subpopulations from </w:t>
      </w:r>
      <w:r w:rsidR="0016406E">
        <w:rPr>
          <w:b/>
        </w:rPr>
        <w:t>CRC</w:t>
      </w:r>
      <w:r w:rsidR="0016406E" w:rsidRPr="00724D1D">
        <w:rPr>
          <w:b/>
        </w:rPr>
        <w:t xml:space="preserve"> </w:t>
      </w:r>
      <w:r w:rsidR="0016406E">
        <w:rPr>
          <w:b/>
        </w:rPr>
        <w:t>primary cultures</w:t>
      </w:r>
      <w:r w:rsidR="0016406E" w:rsidRPr="00724D1D">
        <w:rPr>
          <w:b/>
        </w:rPr>
        <w:t>.</w:t>
      </w:r>
      <w:r w:rsidRPr="0016406E">
        <w:rPr>
          <w:b/>
        </w:rPr>
        <w:t xml:space="preserve"> </w:t>
      </w:r>
      <w:r w:rsidRPr="0016406E">
        <w:t xml:space="preserve">(A) </w:t>
      </w:r>
      <w:r w:rsidR="00CF3EDF" w:rsidRPr="00CF3EDF">
        <w:t xml:space="preserve">The expression level of CSC markers, CD44, LGR5, BMI1, and CD133, was assessed by flow cytometry and plotted as a bar plot from three biological replicates. The percentage of positive cells varied very slightly between the sorted cell subpopulations, with an expression level that appeared to be higher in F1 compared with F3, except for LGR5 in the </w:t>
      </w:r>
      <w:r w:rsidR="00CF3EDF">
        <w:t xml:space="preserve">tumor-invaded peritoneum primary culture. (B) </w:t>
      </w:r>
      <w:r w:rsidR="00784ABB">
        <w:t>G0/G1-</w:t>
      </w:r>
      <w:r w:rsidR="00784ABB" w:rsidRPr="00784ABB">
        <w:t xml:space="preserve">phase cells, quantified by flow cytometry, are significantly higher in F3 compared to other subpopulations for </w:t>
      </w:r>
      <w:r w:rsidR="00784ABB">
        <w:t xml:space="preserve">the </w:t>
      </w:r>
      <w:r w:rsidR="00784ABB" w:rsidRPr="00784ABB">
        <w:t xml:space="preserve">tumor-invaded peritoneum primary culture, with a similar trend for the </w:t>
      </w:r>
      <w:proofErr w:type="gramStart"/>
      <w:r w:rsidR="00784ABB" w:rsidRPr="00784ABB">
        <w:t>early stage</w:t>
      </w:r>
      <w:proofErr w:type="gramEnd"/>
      <w:r w:rsidR="00784ABB" w:rsidRPr="00784ABB">
        <w:t xml:space="preserve"> primary culture.</w:t>
      </w:r>
      <w:r w:rsidR="00784ABB">
        <w:t xml:space="preserve"> (C) </w:t>
      </w:r>
      <w:r w:rsidR="00A336F5" w:rsidRPr="00A336F5">
        <w:t>For both primary cultures, the percentage of cells in G2/M phase decreases significantly in F3 compared to F1 and F2.</w:t>
      </w:r>
      <w:r w:rsidR="0049173A">
        <w:t xml:space="preserve"> </w:t>
      </w:r>
      <w:r w:rsidRPr="0016406E">
        <w:t>(D</w:t>
      </w:r>
      <w:r w:rsidR="0049173A">
        <w:t>-E</w:t>
      </w:r>
      <w:r w:rsidRPr="0016406E">
        <w:t>)</w:t>
      </w:r>
      <w:r w:rsidR="00D160D6" w:rsidRPr="00D160D6">
        <w:t xml:space="preserve"> Cell clonogenicity was assessed by a soft agar assay. Images of the colonies formed </w:t>
      </w:r>
      <w:r w:rsidR="0049173A">
        <w:t xml:space="preserve">(D) </w:t>
      </w:r>
      <w:r w:rsidR="00D160D6" w:rsidRPr="00D160D6">
        <w:t xml:space="preserve">as well as the bar plot </w:t>
      </w:r>
      <w:r w:rsidR="0049173A">
        <w:t xml:space="preserve">(E) </w:t>
      </w:r>
      <w:r w:rsidR="00D160D6" w:rsidRPr="00D160D6">
        <w:t>show that F3 forms more and larger colonies compared to the other subpopulations for both primary cultures.</w:t>
      </w:r>
      <w:r w:rsidR="0049173A">
        <w:t xml:space="preserve"> Scale bar 1 mm. </w:t>
      </w:r>
      <w:r w:rsidR="0016406E" w:rsidRPr="00DC7011">
        <w:t xml:space="preserve">All these results are represented as means </w:t>
      </w:r>
      <w:r w:rsidR="0016406E" w:rsidRPr="00436272">
        <w:t xml:space="preserve">± </w:t>
      </w:r>
      <w:r w:rsidR="0016406E" w:rsidRPr="00DC7011">
        <w:t>SEM and statistical differences with ns for not significant, *p-value &lt; 0.05, **p-value &lt; 0.01</w:t>
      </w:r>
      <w:r w:rsidR="0049173A">
        <w:t xml:space="preserve">, </w:t>
      </w:r>
      <w:r w:rsidR="0049173A" w:rsidRPr="00FE7FBC">
        <w:t xml:space="preserve">***p-value </w:t>
      </w:r>
      <w:r w:rsidR="0049173A">
        <w:t>&lt; 0.001</w:t>
      </w:r>
      <w:r w:rsidR="0049173A" w:rsidRPr="00DC7011">
        <w:t xml:space="preserve"> </w:t>
      </w:r>
      <w:r w:rsidR="0016406E" w:rsidRPr="00DC7011">
        <w:t>and *alone for sig</w:t>
      </w:r>
      <w:r w:rsidR="00B5271F">
        <w:t>nificant results compared to TP using</w:t>
      </w:r>
      <w:r w:rsidR="0016406E" w:rsidRPr="00DC7011">
        <w:t xml:space="preserve"> </w:t>
      </w:r>
      <w:r w:rsidR="0016406E">
        <w:t xml:space="preserve">One-way ANOVA test for </w:t>
      </w:r>
      <w:r w:rsidR="0016406E" w:rsidRPr="0016406E">
        <w:t xml:space="preserve">analysis of CSC marker expression and cell cycle distribution, and </w:t>
      </w:r>
      <w:r w:rsidR="00CF3EDF" w:rsidRPr="0016406E">
        <w:t>Kruskal-</w:t>
      </w:r>
      <w:proofErr w:type="gramStart"/>
      <w:r w:rsidR="00CF3EDF" w:rsidRPr="0016406E">
        <w:t>Wallis</w:t>
      </w:r>
      <w:proofErr w:type="gramEnd"/>
      <w:r w:rsidR="00CF3EDF" w:rsidRPr="0016406E">
        <w:t xml:space="preserve"> </w:t>
      </w:r>
      <w:r w:rsidR="0016406E" w:rsidRPr="0016406E">
        <w:t>test for clonogenicity.</w:t>
      </w:r>
    </w:p>
    <w:p w14:paraId="4D7BEA3E" w14:textId="77777777" w:rsidR="004768DA" w:rsidRDefault="00C86614" w:rsidP="00FA500C">
      <w:pPr>
        <w:pStyle w:val="MDPI52figure"/>
      </w:pPr>
      <w:r>
        <w:rPr>
          <w:noProof/>
          <w:snapToGrid/>
          <w:lang w:eastAsia="en-US" w:bidi="ar-SA"/>
        </w:rPr>
        <w:lastRenderedPageBreak/>
        <w:drawing>
          <wp:inline distT="0" distB="0" distL="0" distR="0" wp14:anchorId="0B4C0AC7" wp14:editId="7F461FD3">
            <wp:extent cx="5705856" cy="5827776"/>
            <wp:effectExtent l="0" t="0" r="9525" b="190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 S4.tif"/>
                    <pic:cNvPicPr/>
                  </pic:nvPicPr>
                  <pic:blipFill>
                    <a:blip r:embed="rId11">
                      <a:extLst>
                        <a:ext uri="{28A0092B-C50C-407E-A947-70E740481C1C}">
                          <a14:useLocalDpi xmlns:a14="http://schemas.microsoft.com/office/drawing/2010/main" val="0"/>
                        </a:ext>
                      </a:extLst>
                    </a:blip>
                    <a:stretch>
                      <a:fillRect/>
                    </a:stretch>
                  </pic:blipFill>
                  <pic:spPr>
                    <a:xfrm>
                      <a:off x="0" y="0"/>
                      <a:ext cx="5705856" cy="5827776"/>
                    </a:xfrm>
                    <a:prstGeom prst="rect">
                      <a:avLst/>
                    </a:prstGeom>
                  </pic:spPr>
                </pic:pic>
              </a:graphicData>
            </a:graphic>
          </wp:inline>
        </w:drawing>
      </w:r>
    </w:p>
    <w:p w14:paraId="25D62444" w14:textId="77777777" w:rsidR="00AF1750" w:rsidRDefault="008666ED" w:rsidP="003603FE">
      <w:pPr>
        <w:pStyle w:val="MDPI51figurecaption"/>
      </w:pPr>
      <w:r w:rsidRPr="00C86614">
        <w:rPr>
          <w:b/>
        </w:rPr>
        <w:t xml:space="preserve">Figure </w:t>
      </w:r>
      <w:r w:rsidR="00C30CC4" w:rsidRPr="00C86614">
        <w:rPr>
          <w:b/>
        </w:rPr>
        <w:t>S</w:t>
      </w:r>
      <w:r w:rsidR="00C86614" w:rsidRPr="00C86614">
        <w:rPr>
          <w:b/>
        </w:rPr>
        <w:t>4</w:t>
      </w:r>
      <w:r w:rsidRPr="00C86614">
        <w:rPr>
          <w:b/>
        </w:rPr>
        <w:t xml:space="preserve">. </w:t>
      </w:r>
      <w:r w:rsidR="00167798" w:rsidRPr="00C86614">
        <w:rPr>
          <w:b/>
        </w:rPr>
        <w:t xml:space="preserve">Response of </w:t>
      </w:r>
      <w:proofErr w:type="spellStart"/>
      <w:r w:rsidR="00167798" w:rsidRPr="00C86614">
        <w:rPr>
          <w:b/>
        </w:rPr>
        <w:t>SdFFF</w:t>
      </w:r>
      <w:proofErr w:type="spellEnd"/>
      <w:r w:rsidR="00167798" w:rsidRPr="00C86614">
        <w:rPr>
          <w:b/>
        </w:rPr>
        <w:t xml:space="preserve">-sorted cell subpopulations to oxaliplatin and irinotecan from </w:t>
      </w:r>
      <w:r w:rsidR="00B043E2" w:rsidRPr="00C86614">
        <w:rPr>
          <w:b/>
        </w:rPr>
        <w:t xml:space="preserve">CRC </w:t>
      </w:r>
      <w:r w:rsidR="00167798" w:rsidRPr="00C86614">
        <w:rPr>
          <w:b/>
        </w:rPr>
        <w:t xml:space="preserve">primary cultures. </w:t>
      </w:r>
      <w:r w:rsidR="00C86614" w:rsidRPr="00C86614">
        <w:t>(A-F</w:t>
      </w:r>
      <w:r w:rsidR="002B7F0A" w:rsidRPr="00C86614">
        <w:t xml:space="preserve">) Response to oxaliplatin and irinotecan was assessed in 2D culture. </w:t>
      </w:r>
      <w:r w:rsidR="00AF1750">
        <w:t xml:space="preserve">(A) </w:t>
      </w:r>
      <w:r w:rsidR="00AF1750" w:rsidRPr="00AF1750">
        <w:t>After treatment, the IC50 values obtained for oxaliplatin were comparable between the sorted cell subpo</w:t>
      </w:r>
      <w:r w:rsidR="00655965">
        <w:t>pulations, but CPP35 was the more</w:t>
      </w:r>
      <w:r w:rsidR="00AF1750" w:rsidRPr="00AF1750">
        <w:t xml:space="preserve"> resistant of the two primary cultures.</w:t>
      </w:r>
      <w:r w:rsidR="00AF1750">
        <w:t xml:space="preserve"> (B-C) </w:t>
      </w:r>
      <w:r w:rsidR="00D43A18" w:rsidRPr="00D43A18">
        <w:t>Cell proliferation and apoptosis induced after oxaliplatin treatment were measured and presented as a ratio between treated and untreated conditions.</w:t>
      </w:r>
      <w:r w:rsidR="00D43A18">
        <w:t xml:space="preserve"> </w:t>
      </w:r>
      <w:r w:rsidR="00D43A18" w:rsidRPr="00D43A18">
        <w:t xml:space="preserve">Proliferation rate was significantly increased in F3 compared to TP for CPP35 primary culture </w:t>
      </w:r>
      <w:r w:rsidR="00D43A18">
        <w:t xml:space="preserve">(B) </w:t>
      </w:r>
      <w:r w:rsidR="00D43A18" w:rsidRPr="00D43A18">
        <w:t>and apoptosis rate appeared slightly decreased in F3 compared to TP and F1</w:t>
      </w:r>
      <w:r w:rsidR="00D43A18">
        <w:t xml:space="preserve"> (C)</w:t>
      </w:r>
      <w:r w:rsidR="00D43A18" w:rsidRPr="00D43A18">
        <w:t>.</w:t>
      </w:r>
      <w:r w:rsidR="00D43A18">
        <w:t xml:space="preserve"> </w:t>
      </w:r>
      <w:r w:rsidR="00655965" w:rsidRPr="00655965">
        <w:t>For CPP14, proliferation and apoptosis rates were comparable between cell subpopulations.</w:t>
      </w:r>
      <w:r w:rsidR="00D43A18">
        <w:t xml:space="preserve"> (D-F) </w:t>
      </w:r>
      <w:r w:rsidR="00D43A18" w:rsidRPr="00D43A18">
        <w:t>Cell viability with IC50 values, proliferation and apoptosis were also evaluated after irinotecan treatment.</w:t>
      </w:r>
      <w:r w:rsidR="00552B6D">
        <w:t xml:space="preserve"> (D) </w:t>
      </w:r>
      <w:r w:rsidR="00552B6D" w:rsidRPr="00552B6D">
        <w:t>IC50 values are comparable between the sorted cell subpopulations for both primary cultures, with an IC50 that appears slightly higher in F3.</w:t>
      </w:r>
      <w:r w:rsidR="00552B6D">
        <w:t xml:space="preserve"> </w:t>
      </w:r>
      <w:r w:rsidR="00552B6D" w:rsidRPr="00552B6D">
        <w:t xml:space="preserve">No significant differences are observed for proliferation and apoptosis after irinotecan </w:t>
      </w:r>
      <w:r w:rsidR="003E1599" w:rsidRPr="00552B6D">
        <w:t>treatment;</w:t>
      </w:r>
      <w:r w:rsidR="00552B6D" w:rsidRPr="00552B6D">
        <w:t xml:space="preserve"> </w:t>
      </w:r>
      <w:proofErr w:type="gramStart"/>
      <w:r w:rsidR="00552B6D" w:rsidRPr="00552B6D">
        <w:t>however</w:t>
      </w:r>
      <w:proofErr w:type="gramEnd"/>
      <w:r w:rsidR="00552B6D" w:rsidRPr="00552B6D">
        <w:t xml:space="preserve"> it appears that the proliferation rate is slightly higher in F3 compared to F1 for CPP35 </w:t>
      </w:r>
      <w:r w:rsidR="00DF004E">
        <w:t xml:space="preserve">(E) </w:t>
      </w:r>
      <w:r w:rsidR="00552B6D" w:rsidRPr="00552B6D">
        <w:t>and the apoptosis rate is slightly lower in F3 versus F1 for both primary cultures</w:t>
      </w:r>
      <w:r w:rsidR="00DF004E">
        <w:t xml:space="preserve"> (F)</w:t>
      </w:r>
      <w:r w:rsidR="00552B6D" w:rsidRPr="00552B6D">
        <w:t>.</w:t>
      </w:r>
      <w:r w:rsidR="00304EBE" w:rsidRPr="00C86614">
        <w:t xml:space="preserve"> </w:t>
      </w:r>
      <w:r w:rsidR="00DF004E">
        <w:t>(G-H</w:t>
      </w:r>
      <w:r w:rsidR="006D762E" w:rsidRPr="00C86614">
        <w:t>)</w:t>
      </w:r>
      <w:r w:rsidR="00DF004E" w:rsidRPr="00DF004E">
        <w:t xml:space="preserve"> Response to oxaliplatin and irinotecan was also explored in 3D culture from </w:t>
      </w:r>
      <w:proofErr w:type="spellStart"/>
      <w:r w:rsidR="00DF004E" w:rsidRPr="00DF004E">
        <w:t>colonospheres</w:t>
      </w:r>
      <w:proofErr w:type="spellEnd"/>
      <w:r w:rsidR="00DF004E" w:rsidRPr="00DF004E">
        <w:t>.</w:t>
      </w:r>
      <w:r w:rsidR="003E1599">
        <w:t xml:space="preserve"> </w:t>
      </w:r>
      <w:proofErr w:type="spellStart"/>
      <w:r w:rsidR="003E1599" w:rsidRPr="003E1599">
        <w:t>Colonospheres</w:t>
      </w:r>
      <w:proofErr w:type="spellEnd"/>
      <w:r w:rsidR="003E1599" w:rsidRPr="003E1599">
        <w:t xml:space="preserve"> are equivalent in number in CPP14 cell subpopulations after oxaliplatin </w:t>
      </w:r>
      <w:r w:rsidR="003E1599">
        <w:t xml:space="preserve">(G) </w:t>
      </w:r>
      <w:r w:rsidR="003E1599" w:rsidRPr="003E1599">
        <w:t>and i</w:t>
      </w:r>
      <w:r w:rsidR="003E1599">
        <w:t>r</w:t>
      </w:r>
      <w:r w:rsidR="003E1599" w:rsidRPr="003E1599">
        <w:t xml:space="preserve">inotecan </w:t>
      </w:r>
      <w:r w:rsidR="003E1599">
        <w:t xml:space="preserve">(H) </w:t>
      </w:r>
      <w:r w:rsidR="003E1599" w:rsidRPr="003E1599">
        <w:t>treatment.</w:t>
      </w:r>
      <w:r w:rsidR="003E1599">
        <w:t xml:space="preserve"> </w:t>
      </w:r>
      <w:r w:rsidR="003E1599" w:rsidRPr="003E1599">
        <w:t xml:space="preserve">For CPP35, the number of </w:t>
      </w:r>
      <w:proofErr w:type="spellStart"/>
      <w:r w:rsidR="003E1599" w:rsidRPr="003E1599">
        <w:t>colo</w:t>
      </w:r>
      <w:r w:rsidR="003E1599">
        <w:t>no</w:t>
      </w:r>
      <w:r w:rsidR="003E1599" w:rsidRPr="003E1599">
        <w:t>spheres</w:t>
      </w:r>
      <w:proofErr w:type="spellEnd"/>
      <w:r w:rsidR="003E1599" w:rsidRPr="003E1599">
        <w:t xml:space="preserve"> seemed to be slightly higher in F3 compared to F1 for both chemotherapies.</w:t>
      </w:r>
      <w:r w:rsidR="003E1599">
        <w:t xml:space="preserve"> </w:t>
      </w:r>
      <w:r w:rsidR="00AF1750" w:rsidRPr="00AF1750">
        <w:t>All these results are represented as means ± SEM and statistical differences with ns for not significant, *p-value &lt; 0.05</w:t>
      </w:r>
      <w:r w:rsidR="003162F2">
        <w:t xml:space="preserve"> </w:t>
      </w:r>
      <w:r w:rsidR="00AF1750" w:rsidRPr="00AF1750">
        <w:t>and *alone for significant results compared to TP using One-way ANOVA test</w:t>
      </w:r>
      <w:r w:rsidR="003162F2">
        <w:t xml:space="preserve">. </w:t>
      </w:r>
    </w:p>
    <w:p w14:paraId="233A1315" w14:textId="77777777" w:rsidR="00FC295C" w:rsidRDefault="00FC295C" w:rsidP="003603FE">
      <w:pPr>
        <w:pStyle w:val="MDPI51figurecaption"/>
      </w:pPr>
    </w:p>
    <w:p w14:paraId="05FABFF5" w14:textId="77777777" w:rsidR="00FC295C" w:rsidRDefault="00FC295C" w:rsidP="003603FE">
      <w:pPr>
        <w:pStyle w:val="MDPI51figurecaption"/>
      </w:pPr>
    </w:p>
    <w:p w14:paraId="7FA2DDBC" w14:textId="77777777" w:rsidR="00FC295C" w:rsidRDefault="00FC295C" w:rsidP="003603FE">
      <w:pPr>
        <w:pStyle w:val="MDPI51figurecaption"/>
      </w:pPr>
    </w:p>
    <w:p w14:paraId="26217D4B" w14:textId="77777777" w:rsidR="00FC295C" w:rsidRDefault="00FC295C" w:rsidP="003603FE">
      <w:pPr>
        <w:pStyle w:val="MDPI51figurecaption"/>
      </w:pPr>
    </w:p>
    <w:p w14:paraId="6DD073CB" w14:textId="77777777" w:rsidR="00FC295C" w:rsidRPr="00FC295C" w:rsidRDefault="00FC295C" w:rsidP="00FC295C">
      <w:pPr>
        <w:pStyle w:val="MDPI41tablecaption"/>
        <w:ind w:left="0"/>
        <w:rPr>
          <w:b/>
          <w:i/>
        </w:rPr>
      </w:pPr>
      <w:r w:rsidRPr="00FC295C">
        <w:rPr>
          <w:b/>
        </w:rPr>
        <w:lastRenderedPageBreak/>
        <w:t xml:space="preserve">Table </w:t>
      </w:r>
      <w:r>
        <w:rPr>
          <w:b/>
        </w:rPr>
        <w:t>S1</w:t>
      </w:r>
      <w:r w:rsidRPr="00FC295C">
        <w:rPr>
          <w:b/>
          <w:i/>
        </w:rPr>
        <w:t>.</w:t>
      </w:r>
      <w:r>
        <w:rPr>
          <w:b/>
          <w:i/>
        </w:rPr>
        <w:t xml:space="preserve"> </w:t>
      </w:r>
      <w:r w:rsidRPr="00FC295C">
        <w:t>Lists of antibodies used for the ana</w:t>
      </w:r>
      <w:r>
        <w:t>lysis of CSC marker expression by</w:t>
      </w:r>
      <w:r w:rsidRPr="00FC295C">
        <w:t xml:space="preserve"> flow cytometry.</w:t>
      </w:r>
    </w:p>
    <w:tbl>
      <w:tblPr>
        <w:tblW w:w="10373" w:type="dxa"/>
        <w:tblBorders>
          <w:top w:val="single" w:sz="8" w:space="0" w:color="auto"/>
          <w:bottom w:val="single" w:sz="8" w:space="0" w:color="auto"/>
        </w:tblBorders>
        <w:tblLayout w:type="fixed"/>
        <w:tblCellMar>
          <w:left w:w="0" w:type="dxa"/>
          <w:right w:w="0" w:type="dxa"/>
        </w:tblCellMar>
        <w:tblLook w:val="04A0" w:firstRow="1" w:lastRow="0" w:firstColumn="1" w:lastColumn="0" w:noHBand="0" w:noVBand="1"/>
      </w:tblPr>
      <w:tblGrid>
        <w:gridCol w:w="2593"/>
        <w:gridCol w:w="2593"/>
        <w:gridCol w:w="2593"/>
        <w:gridCol w:w="2594"/>
      </w:tblGrid>
      <w:tr w:rsidR="00FC295C" w:rsidRPr="00FC295C" w14:paraId="5DC2DF03" w14:textId="77777777" w:rsidTr="00FC295C">
        <w:trPr>
          <w:trHeight w:val="548"/>
        </w:trPr>
        <w:tc>
          <w:tcPr>
            <w:tcW w:w="2593" w:type="dxa"/>
            <w:tcBorders>
              <w:bottom w:val="single" w:sz="4" w:space="0" w:color="auto"/>
            </w:tcBorders>
            <w:shd w:val="clear" w:color="auto" w:fill="auto"/>
            <w:vAlign w:val="center"/>
          </w:tcPr>
          <w:p w14:paraId="70F732DF" w14:textId="77777777" w:rsidR="00FC295C" w:rsidRPr="00FC295C" w:rsidRDefault="00FC295C" w:rsidP="00FC295C">
            <w:pPr>
              <w:adjustRightInd w:val="0"/>
              <w:snapToGrid w:val="0"/>
              <w:spacing w:line="240" w:lineRule="auto"/>
              <w:jc w:val="center"/>
              <w:rPr>
                <w:rFonts w:eastAsia="Times New Roman"/>
                <w:b/>
                <w:noProof w:val="0"/>
                <w:lang w:eastAsia="de-DE" w:bidi="en-US"/>
              </w:rPr>
            </w:pPr>
            <w:r w:rsidRPr="00FC295C">
              <w:rPr>
                <w:rFonts w:eastAsia="Times New Roman"/>
                <w:b/>
                <w:noProof w:val="0"/>
                <w:lang w:eastAsia="de-DE" w:bidi="en-US"/>
              </w:rPr>
              <w:t>Antibodies</w:t>
            </w:r>
          </w:p>
        </w:tc>
        <w:tc>
          <w:tcPr>
            <w:tcW w:w="2593" w:type="dxa"/>
            <w:tcBorders>
              <w:bottom w:val="single" w:sz="4" w:space="0" w:color="auto"/>
            </w:tcBorders>
            <w:shd w:val="clear" w:color="auto" w:fill="auto"/>
            <w:vAlign w:val="center"/>
          </w:tcPr>
          <w:p w14:paraId="5667863A" w14:textId="77777777" w:rsidR="00FC295C" w:rsidRPr="00FC295C" w:rsidRDefault="00FC295C" w:rsidP="00FC295C">
            <w:pPr>
              <w:adjustRightInd w:val="0"/>
              <w:snapToGrid w:val="0"/>
              <w:spacing w:line="240" w:lineRule="auto"/>
              <w:jc w:val="center"/>
              <w:rPr>
                <w:rFonts w:eastAsia="Times New Roman"/>
                <w:b/>
                <w:noProof w:val="0"/>
                <w:lang w:eastAsia="de-DE" w:bidi="en-US"/>
              </w:rPr>
            </w:pPr>
            <w:r w:rsidRPr="00FC295C">
              <w:rPr>
                <w:rFonts w:eastAsia="Times New Roman"/>
                <w:b/>
                <w:noProof w:val="0"/>
                <w:lang w:eastAsia="de-DE" w:bidi="en-US"/>
              </w:rPr>
              <w:t>Fluorescent dyes</w:t>
            </w:r>
          </w:p>
        </w:tc>
        <w:tc>
          <w:tcPr>
            <w:tcW w:w="2593" w:type="dxa"/>
            <w:tcBorders>
              <w:bottom w:val="single" w:sz="4" w:space="0" w:color="auto"/>
            </w:tcBorders>
            <w:vAlign w:val="center"/>
          </w:tcPr>
          <w:p w14:paraId="5C954A97" w14:textId="77777777" w:rsidR="00FC295C" w:rsidRPr="00FC295C" w:rsidRDefault="00FC295C" w:rsidP="00FC295C">
            <w:pPr>
              <w:adjustRightInd w:val="0"/>
              <w:snapToGrid w:val="0"/>
              <w:spacing w:line="240" w:lineRule="auto"/>
              <w:jc w:val="center"/>
              <w:rPr>
                <w:rFonts w:eastAsia="Times New Roman"/>
                <w:b/>
                <w:noProof w:val="0"/>
                <w:lang w:eastAsia="de-DE" w:bidi="en-US"/>
              </w:rPr>
            </w:pPr>
            <w:r w:rsidRPr="00FC295C">
              <w:rPr>
                <w:rFonts w:eastAsia="Times New Roman"/>
                <w:b/>
                <w:noProof w:val="0"/>
                <w:lang w:eastAsia="de-DE" w:bidi="en-US"/>
              </w:rPr>
              <w:t>References</w:t>
            </w:r>
          </w:p>
        </w:tc>
        <w:tc>
          <w:tcPr>
            <w:tcW w:w="2594" w:type="dxa"/>
            <w:tcBorders>
              <w:bottom w:val="single" w:sz="4" w:space="0" w:color="auto"/>
            </w:tcBorders>
            <w:vAlign w:val="center"/>
          </w:tcPr>
          <w:p w14:paraId="665B75CB" w14:textId="77777777" w:rsidR="00FC295C" w:rsidRPr="00FC295C" w:rsidRDefault="00FC295C" w:rsidP="00FC295C">
            <w:pPr>
              <w:adjustRightInd w:val="0"/>
              <w:snapToGrid w:val="0"/>
              <w:spacing w:line="240" w:lineRule="auto"/>
              <w:jc w:val="center"/>
              <w:rPr>
                <w:rFonts w:eastAsia="Times New Roman"/>
                <w:b/>
                <w:noProof w:val="0"/>
                <w:lang w:eastAsia="de-DE" w:bidi="en-US"/>
              </w:rPr>
            </w:pPr>
            <w:r w:rsidRPr="00FC295C">
              <w:rPr>
                <w:rFonts w:eastAsia="Times New Roman"/>
                <w:b/>
                <w:noProof w:val="0"/>
                <w:lang w:eastAsia="de-DE" w:bidi="en-US"/>
              </w:rPr>
              <w:t>Manufacturers</w:t>
            </w:r>
          </w:p>
        </w:tc>
      </w:tr>
      <w:tr w:rsidR="00FC295C" w:rsidRPr="00FC295C" w14:paraId="76B1295E" w14:textId="77777777" w:rsidTr="00FC295C">
        <w:trPr>
          <w:trHeight w:val="210"/>
        </w:trPr>
        <w:tc>
          <w:tcPr>
            <w:tcW w:w="2593" w:type="dxa"/>
            <w:shd w:val="clear" w:color="auto" w:fill="auto"/>
            <w:vAlign w:val="center"/>
          </w:tcPr>
          <w:p w14:paraId="17F25002" w14:textId="77777777" w:rsidR="00FC295C" w:rsidRPr="00FC295C" w:rsidRDefault="00FC295C" w:rsidP="00FC295C">
            <w:pPr>
              <w:adjustRightInd w:val="0"/>
              <w:snapToGrid w:val="0"/>
              <w:spacing w:line="240" w:lineRule="auto"/>
              <w:jc w:val="center"/>
              <w:rPr>
                <w:rFonts w:eastAsia="Times New Roman"/>
                <w:noProof w:val="0"/>
                <w:snapToGrid w:val="0"/>
                <w:lang w:eastAsia="de-DE" w:bidi="en-US"/>
              </w:rPr>
            </w:pPr>
            <w:r w:rsidRPr="00FC295C">
              <w:rPr>
                <w:rFonts w:eastAsia="Times New Roman"/>
                <w:noProof w:val="0"/>
                <w:snapToGrid w:val="0"/>
                <w:lang w:eastAsia="de-DE" w:bidi="en-US"/>
              </w:rPr>
              <w:t>Anti-CD44 (G44-26)</w:t>
            </w:r>
          </w:p>
        </w:tc>
        <w:tc>
          <w:tcPr>
            <w:tcW w:w="2593" w:type="dxa"/>
            <w:shd w:val="clear" w:color="auto" w:fill="auto"/>
            <w:vAlign w:val="center"/>
          </w:tcPr>
          <w:p w14:paraId="45F40F01" w14:textId="77777777" w:rsidR="00FC295C" w:rsidRPr="00FC295C" w:rsidRDefault="00FC295C" w:rsidP="00FC295C">
            <w:pPr>
              <w:adjustRightInd w:val="0"/>
              <w:snapToGrid w:val="0"/>
              <w:spacing w:line="240" w:lineRule="auto"/>
              <w:jc w:val="center"/>
              <w:rPr>
                <w:rFonts w:eastAsia="Times New Roman"/>
                <w:noProof w:val="0"/>
                <w:snapToGrid w:val="0"/>
                <w:lang w:eastAsia="de-DE" w:bidi="en-US"/>
              </w:rPr>
            </w:pPr>
            <w:r w:rsidRPr="00FC295C">
              <w:rPr>
                <w:rFonts w:eastAsia="Times New Roman"/>
                <w:noProof w:val="0"/>
                <w:snapToGrid w:val="0"/>
                <w:lang w:eastAsia="de-DE" w:bidi="en-US"/>
              </w:rPr>
              <w:t>FITC</w:t>
            </w:r>
          </w:p>
        </w:tc>
        <w:tc>
          <w:tcPr>
            <w:tcW w:w="2593" w:type="dxa"/>
            <w:vAlign w:val="center"/>
          </w:tcPr>
          <w:p w14:paraId="3EF06EA2" w14:textId="77777777" w:rsidR="00FC295C" w:rsidRPr="00FC295C" w:rsidRDefault="00FC295C" w:rsidP="00FC295C">
            <w:pPr>
              <w:adjustRightInd w:val="0"/>
              <w:snapToGrid w:val="0"/>
              <w:spacing w:line="240" w:lineRule="auto"/>
              <w:jc w:val="center"/>
              <w:rPr>
                <w:rFonts w:eastAsia="Times New Roman"/>
                <w:noProof w:val="0"/>
                <w:snapToGrid w:val="0"/>
                <w:lang w:eastAsia="de-DE" w:bidi="en-US"/>
              </w:rPr>
            </w:pPr>
            <w:r w:rsidRPr="00FC295C">
              <w:rPr>
                <w:rFonts w:eastAsia="Times New Roman"/>
                <w:noProof w:val="0"/>
                <w:snapToGrid w:val="0"/>
                <w:lang w:eastAsia="de-DE" w:bidi="en-US"/>
              </w:rPr>
              <w:t>555478</w:t>
            </w:r>
          </w:p>
        </w:tc>
        <w:tc>
          <w:tcPr>
            <w:tcW w:w="2594" w:type="dxa"/>
            <w:vAlign w:val="center"/>
          </w:tcPr>
          <w:p w14:paraId="28D10B74" w14:textId="77777777" w:rsidR="00FC295C" w:rsidRPr="00FC295C" w:rsidRDefault="00FC295C" w:rsidP="00FC295C">
            <w:pPr>
              <w:adjustRightInd w:val="0"/>
              <w:snapToGrid w:val="0"/>
              <w:spacing w:line="240" w:lineRule="auto"/>
              <w:jc w:val="center"/>
              <w:rPr>
                <w:rFonts w:eastAsia="Times New Roman"/>
                <w:noProof w:val="0"/>
                <w:snapToGrid w:val="0"/>
                <w:lang w:eastAsia="de-DE" w:bidi="en-US"/>
              </w:rPr>
            </w:pPr>
            <w:r w:rsidRPr="00FC295C">
              <w:rPr>
                <w:rFonts w:eastAsia="Times New Roman"/>
                <w:noProof w:val="0"/>
                <w:snapToGrid w:val="0"/>
                <w:lang w:eastAsia="de-DE" w:bidi="en-US"/>
              </w:rPr>
              <w:t>BD Pharmingen™</w:t>
            </w:r>
          </w:p>
        </w:tc>
      </w:tr>
      <w:tr w:rsidR="00FC295C" w:rsidRPr="00FC295C" w14:paraId="45C6C8A4" w14:textId="77777777" w:rsidTr="00FC295C">
        <w:trPr>
          <w:trHeight w:val="210"/>
        </w:trPr>
        <w:tc>
          <w:tcPr>
            <w:tcW w:w="2593" w:type="dxa"/>
            <w:shd w:val="clear" w:color="auto" w:fill="auto"/>
            <w:vAlign w:val="center"/>
          </w:tcPr>
          <w:p w14:paraId="058CFF40" w14:textId="77777777" w:rsidR="00FC295C" w:rsidRPr="00FC295C" w:rsidRDefault="00FC295C" w:rsidP="00FC295C">
            <w:pPr>
              <w:adjustRightInd w:val="0"/>
              <w:snapToGrid w:val="0"/>
              <w:spacing w:line="240" w:lineRule="auto"/>
              <w:jc w:val="center"/>
              <w:rPr>
                <w:rFonts w:eastAsia="Times New Roman"/>
                <w:noProof w:val="0"/>
                <w:snapToGrid w:val="0"/>
                <w:lang w:eastAsia="de-DE" w:bidi="en-US"/>
              </w:rPr>
            </w:pPr>
            <w:r w:rsidRPr="00FC295C">
              <w:rPr>
                <w:rFonts w:eastAsia="Times New Roman"/>
                <w:noProof w:val="0"/>
                <w:snapToGrid w:val="0"/>
                <w:lang w:eastAsia="de-DE" w:bidi="en-US"/>
              </w:rPr>
              <w:t>Anti-LGR5 (DA03-22H2.8)</w:t>
            </w:r>
          </w:p>
        </w:tc>
        <w:tc>
          <w:tcPr>
            <w:tcW w:w="2593" w:type="dxa"/>
            <w:shd w:val="clear" w:color="auto" w:fill="auto"/>
            <w:vAlign w:val="center"/>
          </w:tcPr>
          <w:p w14:paraId="0D28F6B8" w14:textId="77777777" w:rsidR="00FC295C" w:rsidRPr="00FC295C" w:rsidRDefault="00FC295C" w:rsidP="00FC295C">
            <w:pPr>
              <w:adjustRightInd w:val="0"/>
              <w:snapToGrid w:val="0"/>
              <w:spacing w:line="240" w:lineRule="auto"/>
              <w:jc w:val="center"/>
              <w:rPr>
                <w:rFonts w:eastAsia="Times New Roman"/>
                <w:noProof w:val="0"/>
                <w:snapToGrid w:val="0"/>
                <w:lang w:eastAsia="de-DE" w:bidi="en-US"/>
              </w:rPr>
            </w:pPr>
            <w:r w:rsidRPr="00FC295C">
              <w:rPr>
                <w:rFonts w:eastAsia="Times New Roman"/>
                <w:noProof w:val="0"/>
                <w:snapToGrid w:val="0"/>
                <w:lang w:eastAsia="de-DE" w:bidi="en-US"/>
              </w:rPr>
              <w:t>PE-</w:t>
            </w:r>
            <w:proofErr w:type="spellStart"/>
            <w:r w:rsidRPr="00FC295C">
              <w:rPr>
                <w:rFonts w:eastAsia="Times New Roman"/>
                <w:noProof w:val="0"/>
                <w:snapToGrid w:val="0"/>
                <w:lang w:eastAsia="de-DE" w:bidi="en-US"/>
              </w:rPr>
              <w:t>Vio</w:t>
            </w:r>
            <w:proofErr w:type="spellEnd"/>
            <w:r w:rsidRPr="00FC295C">
              <w:rPr>
                <w:rFonts w:eastAsia="Times New Roman"/>
                <w:noProof w:val="0"/>
                <w:snapToGrid w:val="0"/>
                <w:lang w:eastAsia="de-DE" w:bidi="en-US"/>
              </w:rPr>
              <w:t xml:space="preserve"> 770</w:t>
            </w:r>
          </w:p>
        </w:tc>
        <w:tc>
          <w:tcPr>
            <w:tcW w:w="2593" w:type="dxa"/>
            <w:vAlign w:val="center"/>
          </w:tcPr>
          <w:p w14:paraId="778DBAB8" w14:textId="77777777" w:rsidR="00FC295C" w:rsidRPr="00FC295C" w:rsidRDefault="00FC295C" w:rsidP="00FC295C">
            <w:pPr>
              <w:adjustRightInd w:val="0"/>
              <w:snapToGrid w:val="0"/>
              <w:spacing w:line="240" w:lineRule="auto"/>
              <w:jc w:val="center"/>
              <w:rPr>
                <w:rFonts w:eastAsia="Times New Roman"/>
                <w:noProof w:val="0"/>
                <w:snapToGrid w:val="0"/>
                <w:lang w:eastAsia="de-DE" w:bidi="en-US"/>
              </w:rPr>
            </w:pPr>
            <w:r w:rsidRPr="00FC295C">
              <w:rPr>
                <w:rFonts w:eastAsia="Times New Roman"/>
                <w:noProof w:val="0"/>
                <w:snapToGrid w:val="0"/>
                <w:lang w:eastAsia="de-DE" w:bidi="en-US"/>
              </w:rPr>
              <w:t>130-100-847</w:t>
            </w:r>
          </w:p>
        </w:tc>
        <w:tc>
          <w:tcPr>
            <w:tcW w:w="2594" w:type="dxa"/>
            <w:vAlign w:val="center"/>
          </w:tcPr>
          <w:p w14:paraId="134128CC" w14:textId="77777777" w:rsidR="00FC295C" w:rsidRPr="00FC295C" w:rsidRDefault="00FC295C" w:rsidP="00FC295C">
            <w:pPr>
              <w:adjustRightInd w:val="0"/>
              <w:snapToGrid w:val="0"/>
              <w:spacing w:line="240" w:lineRule="auto"/>
              <w:jc w:val="center"/>
              <w:rPr>
                <w:rFonts w:eastAsia="Times New Roman"/>
                <w:noProof w:val="0"/>
                <w:snapToGrid w:val="0"/>
                <w:lang w:eastAsia="de-DE" w:bidi="en-US"/>
              </w:rPr>
            </w:pPr>
            <w:proofErr w:type="spellStart"/>
            <w:r w:rsidRPr="00FC295C">
              <w:rPr>
                <w:rFonts w:eastAsia="Times New Roman"/>
                <w:noProof w:val="0"/>
                <w:snapToGrid w:val="0"/>
                <w:lang w:eastAsia="de-DE" w:bidi="en-US"/>
              </w:rPr>
              <w:t>Miltenyi</w:t>
            </w:r>
            <w:proofErr w:type="spellEnd"/>
            <w:r w:rsidRPr="00FC295C">
              <w:rPr>
                <w:rFonts w:eastAsia="Times New Roman"/>
                <w:noProof w:val="0"/>
                <w:snapToGrid w:val="0"/>
                <w:lang w:eastAsia="de-DE" w:bidi="en-US"/>
              </w:rPr>
              <w:t xml:space="preserve"> </w:t>
            </w:r>
            <w:proofErr w:type="spellStart"/>
            <w:r w:rsidRPr="00FC295C">
              <w:rPr>
                <w:rFonts w:eastAsia="Times New Roman"/>
                <w:noProof w:val="0"/>
                <w:snapToGrid w:val="0"/>
                <w:lang w:eastAsia="de-DE" w:bidi="en-US"/>
              </w:rPr>
              <w:t>Biotec</w:t>
            </w:r>
            <w:proofErr w:type="spellEnd"/>
          </w:p>
        </w:tc>
      </w:tr>
      <w:tr w:rsidR="00FC295C" w:rsidRPr="00FC295C" w14:paraId="0B3F9AF1" w14:textId="77777777" w:rsidTr="00FC295C">
        <w:trPr>
          <w:trHeight w:val="279"/>
        </w:trPr>
        <w:tc>
          <w:tcPr>
            <w:tcW w:w="2593" w:type="dxa"/>
            <w:shd w:val="clear" w:color="auto" w:fill="auto"/>
            <w:vAlign w:val="center"/>
          </w:tcPr>
          <w:p w14:paraId="760C0DB2" w14:textId="77777777" w:rsidR="00FC295C" w:rsidRPr="00FC295C" w:rsidRDefault="00FC295C" w:rsidP="00FC295C">
            <w:pPr>
              <w:adjustRightInd w:val="0"/>
              <w:snapToGrid w:val="0"/>
              <w:spacing w:line="240" w:lineRule="auto"/>
              <w:jc w:val="center"/>
              <w:rPr>
                <w:rFonts w:eastAsia="Times New Roman"/>
                <w:noProof w:val="0"/>
                <w:snapToGrid w:val="0"/>
                <w:lang w:eastAsia="de-DE" w:bidi="en-US"/>
              </w:rPr>
            </w:pPr>
            <w:r w:rsidRPr="00FC295C">
              <w:rPr>
                <w:rFonts w:eastAsia="Times New Roman"/>
                <w:noProof w:val="0"/>
                <w:snapToGrid w:val="0"/>
                <w:lang w:eastAsia="de-DE" w:bidi="en-US"/>
              </w:rPr>
              <w:t>Anti-CD133/1 (AC133)</w:t>
            </w:r>
          </w:p>
        </w:tc>
        <w:tc>
          <w:tcPr>
            <w:tcW w:w="2593" w:type="dxa"/>
            <w:shd w:val="clear" w:color="auto" w:fill="auto"/>
            <w:vAlign w:val="center"/>
          </w:tcPr>
          <w:p w14:paraId="477668DD" w14:textId="77777777" w:rsidR="00FC295C" w:rsidRPr="00FC295C" w:rsidRDefault="00FC295C" w:rsidP="00FC295C">
            <w:pPr>
              <w:adjustRightInd w:val="0"/>
              <w:snapToGrid w:val="0"/>
              <w:spacing w:line="240" w:lineRule="auto"/>
              <w:jc w:val="center"/>
              <w:rPr>
                <w:rFonts w:eastAsia="Times New Roman"/>
                <w:noProof w:val="0"/>
                <w:snapToGrid w:val="0"/>
                <w:lang w:eastAsia="de-DE" w:bidi="en-US"/>
              </w:rPr>
            </w:pPr>
            <w:r w:rsidRPr="00FC295C">
              <w:rPr>
                <w:rFonts w:eastAsia="Times New Roman"/>
                <w:noProof w:val="0"/>
                <w:snapToGrid w:val="0"/>
                <w:lang w:eastAsia="de-DE" w:bidi="en-US"/>
              </w:rPr>
              <w:t>PE-</w:t>
            </w:r>
            <w:proofErr w:type="spellStart"/>
            <w:r w:rsidRPr="00FC295C">
              <w:rPr>
                <w:rFonts w:eastAsia="Times New Roman"/>
                <w:noProof w:val="0"/>
                <w:snapToGrid w:val="0"/>
                <w:lang w:eastAsia="de-DE" w:bidi="en-US"/>
              </w:rPr>
              <w:t>Vio</w:t>
            </w:r>
            <w:proofErr w:type="spellEnd"/>
            <w:r w:rsidRPr="00FC295C">
              <w:rPr>
                <w:rFonts w:eastAsia="Times New Roman"/>
                <w:noProof w:val="0"/>
                <w:snapToGrid w:val="0"/>
                <w:lang w:eastAsia="de-DE" w:bidi="en-US"/>
              </w:rPr>
              <w:t xml:space="preserve"> 615</w:t>
            </w:r>
          </w:p>
        </w:tc>
        <w:tc>
          <w:tcPr>
            <w:tcW w:w="2593" w:type="dxa"/>
            <w:vAlign w:val="center"/>
          </w:tcPr>
          <w:p w14:paraId="24A1C239" w14:textId="77777777" w:rsidR="00FC295C" w:rsidRPr="00FC295C" w:rsidRDefault="00FC295C" w:rsidP="00FC295C">
            <w:pPr>
              <w:adjustRightInd w:val="0"/>
              <w:snapToGrid w:val="0"/>
              <w:spacing w:line="240" w:lineRule="auto"/>
              <w:jc w:val="center"/>
              <w:rPr>
                <w:rFonts w:eastAsia="Times New Roman"/>
                <w:noProof w:val="0"/>
                <w:snapToGrid w:val="0"/>
                <w:lang w:eastAsia="de-DE" w:bidi="en-US"/>
              </w:rPr>
            </w:pPr>
            <w:r w:rsidRPr="00FC295C">
              <w:rPr>
                <w:rFonts w:eastAsia="Times New Roman"/>
                <w:noProof w:val="0"/>
                <w:snapToGrid w:val="0"/>
                <w:lang w:eastAsia="de-DE" w:bidi="en-US"/>
              </w:rPr>
              <w:t>130-113-671</w:t>
            </w:r>
          </w:p>
        </w:tc>
        <w:tc>
          <w:tcPr>
            <w:tcW w:w="2594" w:type="dxa"/>
            <w:vAlign w:val="center"/>
          </w:tcPr>
          <w:p w14:paraId="6CA4D9AC" w14:textId="77777777" w:rsidR="00FC295C" w:rsidRPr="00FC295C" w:rsidRDefault="00FC295C" w:rsidP="00FC295C">
            <w:pPr>
              <w:adjustRightInd w:val="0"/>
              <w:snapToGrid w:val="0"/>
              <w:spacing w:line="240" w:lineRule="auto"/>
              <w:jc w:val="center"/>
              <w:rPr>
                <w:rFonts w:eastAsia="Times New Roman"/>
                <w:noProof w:val="0"/>
                <w:snapToGrid w:val="0"/>
                <w:lang w:eastAsia="de-DE" w:bidi="en-US"/>
              </w:rPr>
            </w:pPr>
            <w:proofErr w:type="spellStart"/>
            <w:r w:rsidRPr="00FC295C">
              <w:rPr>
                <w:rFonts w:eastAsia="Times New Roman"/>
                <w:noProof w:val="0"/>
                <w:snapToGrid w:val="0"/>
                <w:lang w:eastAsia="de-DE" w:bidi="en-US"/>
              </w:rPr>
              <w:t>Miltenyi</w:t>
            </w:r>
            <w:proofErr w:type="spellEnd"/>
            <w:r w:rsidRPr="00FC295C">
              <w:rPr>
                <w:rFonts w:eastAsia="Times New Roman"/>
                <w:noProof w:val="0"/>
                <w:snapToGrid w:val="0"/>
                <w:lang w:eastAsia="de-DE" w:bidi="en-US"/>
              </w:rPr>
              <w:t xml:space="preserve"> </w:t>
            </w:r>
            <w:proofErr w:type="spellStart"/>
            <w:r w:rsidRPr="00FC295C">
              <w:rPr>
                <w:rFonts w:eastAsia="Times New Roman"/>
                <w:noProof w:val="0"/>
                <w:snapToGrid w:val="0"/>
                <w:lang w:eastAsia="de-DE" w:bidi="en-US"/>
              </w:rPr>
              <w:t>Biotec</w:t>
            </w:r>
            <w:proofErr w:type="spellEnd"/>
          </w:p>
        </w:tc>
      </w:tr>
      <w:tr w:rsidR="00FC295C" w:rsidRPr="00FC295C" w14:paraId="31D6913F" w14:textId="77777777" w:rsidTr="00FC295C">
        <w:trPr>
          <w:trHeight w:val="268"/>
        </w:trPr>
        <w:tc>
          <w:tcPr>
            <w:tcW w:w="2593" w:type="dxa"/>
            <w:shd w:val="clear" w:color="auto" w:fill="auto"/>
            <w:vAlign w:val="center"/>
          </w:tcPr>
          <w:p w14:paraId="2227C1FB" w14:textId="77777777" w:rsidR="00FC295C" w:rsidRPr="00FC295C" w:rsidRDefault="00FC295C" w:rsidP="00FC295C">
            <w:pPr>
              <w:adjustRightInd w:val="0"/>
              <w:snapToGrid w:val="0"/>
              <w:spacing w:line="240" w:lineRule="auto"/>
              <w:jc w:val="center"/>
              <w:rPr>
                <w:rFonts w:eastAsia="Times New Roman"/>
                <w:noProof w:val="0"/>
                <w:snapToGrid w:val="0"/>
                <w:lang w:eastAsia="de-DE" w:bidi="en-US"/>
              </w:rPr>
            </w:pPr>
            <w:r w:rsidRPr="00FC295C">
              <w:rPr>
                <w:rFonts w:eastAsia="Times New Roman"/>
                <w:noProof w:val="0"/>
                <w:snapToGrid w:val="0"/>
                <w:lang w:eastAsia="de-DE" w:bidi="en-US"/>
              </w:rPr>
              <w:t>Anti-BMI-1 (F-9)</w:t>
            </w:r>
          </w:p>
        </w:tc>
        <w:tc>
          <w:tcPr>
            <w:tcW w:w="2593" w:type="dxa"/>
            <w:shd w:val="clear" w:color="auto" w:fill="auto"/>
            <w:vAlign w:val="center"/>
          </w:tcPr>
          <w:p w14:paraId="6A497706" w14:textId="77777777" w:rsidR="00FC295C" w:rsidRPr="00FC295C" w:rsidRDefault="00FC295C" w:rsidP="00FC295C">
            <w:pPr>
              <w:adjustRightInd w:val="0"/>
              <w:snapToGrid w:val="0"/>
              <w:spacing w:line="240" w:lineRule="auto"/>
              <w:jc w:val="center"/>
              <w:rPr>
                <w:rFonts w:eastAsia="Times New Roman"/>
                <w:noProof w:val="0"/>
                <w:snapToGrid w:val="0"/>
                <w:lang w:eastAsia="de-DE" w:bidi="en-US"/>
              </w:rPr>
            </w:pPr>
            <w:r w:rsidRPr="00FC295C">
              <w:rPr>
                <w:rFonts w:eastAsia="Times New Roman"/>
                <w:noProof w:val="0"/>
                <w:snapToGrid w:val="0"/>
                <w:lang w:eastAsia="de-DE" w:bidi="en-US"/>
              </w:rPr>
              <w:t>PE</w:t>
            </w:r>
          </w:p>
        </w:tc>
        <w:tc>
          <w:tcPr>
            <w:tcW w:w="2593" w:type="dxa"/>
            <w:vAlign w:val="center"/>
          </w:tcPr>
          <w:p w14:paraId="1F680DE7" w14:textId="77777777" w:rsidR="00FC295C" w:rsidRPr="00FC295C" w:rsidRDefault="00FC295C" w:rsidP="00FC295C">
            <w:pPr>
              <w:adjustRightInd w:val="0"/>
              <w:snapToGrid w:val="0"/>
              <w:spacing w:line="240" w:lineRule="auto"/>
              <w:jc w:val="center"/>
              <w:rPr>
                <w:rFonts w:eastAsia="Times New Roman"/>
                <w:noProof w:val="0"/>
                <w:snapToGrid w:val="0"/>
                <w:lang w:eastAsia="de-DE" w:bidi="en-US"/>
              </w:rPr>
            </w:pPr>
            <w:r w:rsidRPr="00FC295C">
              <w:rPr>
                <w:rFonts w:eastAsia="Times New Roman"/>
                <w:noProof w:val="0"/>
                <w:snapToGrid w:val="0"/>
                <w:lang w:eastAsia="de-DE" w:bidi="en-US"/>
              </w:rPr>
              <w:t>sc-390443</w:t>
            </w:r>
          </w:p>
        </w:tc>
        <w:tc>
          <w:tcPr>
            <w:tcW w:w="2594" w:type="dxa"/>
            <w:vAlign w:val="center"/>
          </w:tcPr>
          <w:p w14:paraId="75EA1FE5" w14:textId="77777777" w:rsidR="00FC295C" w:rsidRPr="00FC295C" w:rsidRDefault="00FC295C" w:rsidP="00FC295C">
            <w:pPr>
              <w:adjustRightInd w:val="0"/>
              <w:snapToGrid w:val="0"/>
              <w:spacing w:line="240" w:lineRule="auto"/>
              <w:jc w:val="center"/>
              <w:rPr>
                <w:rFonts w:eastAsia="Times New Roman"/>
                <w:noProof w:val="0"/>
                <w:snapToGrid w:val="0"/>
                <w:lang w:eastAsia="de-DE" w:bidi="en-US"/>
              </w:rPr>
            </w:pPr>
            <w:r w:rsidRPr="00FC295C">
              <w:rPr>
                <w:rFonts w:eastAsia="Times New Roman"/>
                <w:noProof w:val="0"/>
                <w:snapToGrid w:val="0"/>
                <w:lang w:eastAsia="de-DE" w:bidi="en-US"/>
              </w:rPr>
              <w:t>Santa Cruz</w:t>
            </w:r>
          </w:p>
        </w:tc>
      </w:tr>
      <w:tr w:rsidR="00FC295C" w:rsidRPr="00FC295C" w14:paraId="3D803FAE" w14:textId="77777777" w:rsidTr="00FC295C">
        <w:trPr>
          <w:trHeight w:val="279"/>
        </w:trPr>
        <w:tc>
          <w:tcPr>
            <w:tcW w:w="2593" w:type="dxa"/>
            <w:shd w:val="clear" w:color="auto" w:fill="auto"/>
            <w:vAlign w:val="center"/>
          </w:tcPr>
          <w:p w14:paraId="0F8EFDE0" w14:textId="77777777" w:rsidR="00FC295C" w:rsidRPr="00FC295C" w:rsidRDefault="00FC295C" w:rsidP="00FC295C">
            <w:pPr>
              <w:adjustRightInd w:val="0"/>
              <w:snapToGrid w:val="0"/>
              <w:spacing w:line="240" w:lineRule="auto"/>
              <w:jc w:val="center"/>
              <w:rPr>
                <w:rFonts w:eastAsia="Times New Roman"/>
                <w:noProof w:val="0"/>
                <w:snapToGrid w:val="0"/>
                <w:lang w:eastAsia="de-DE" w:bidi="en-US"/>
              </w:rPr>
            </w:pPr>
            <w:proofErr w:type="spellStart"/>
            <w:r w:rsidRPr="00FC295C">
              <w:rPr>
                <w:rFonts w:eastAsia="Times New Roman"/>
                <w:noProof w:val="0"/>
                <w:snapToGrid w:val="0"/>
                <w:lang w:eastAsia="de-DE" w:bidi="en-US"/>
              </w:rPr>
              <w:t>Viobility</w:t>
            </w:r>
            <w:proofErr w:type="spellEnd"/>
            <w:r w:rsidRPr="00FC295C">
              <w:rPr>
                <w:rFonts w:eastAsia="Times New Roman"/>
                <w:noProof w:val="0"/>
                <w:snapToGrid w:val="0"/>
                <w:lang w:eastAsia="de-DE" w:bidi="en-US"/>
              </w:rPr>
              <w:t>™ 405/452</w:t>
            </w:r>
          </w:p>
        </w:tc>
        <w:tc>
          <w:tcPr>
            <w:tcW w:w="2593" w:type="dxa"/>
            <w:shd w:val="clear" w:color="auto" w:fill="auto"/>
            <w:vAlign w:val="center"/>
          </w:tcPr>
          <w:p w14:paraId="7BAE21A2" w14:textId="77777777" w:rsidR="00FC295C" w:rsidRPr="00FC295C" w:rsidRDefault="00FC295C" w:rsidP="00FC295C">
            <w:pPr>
              <w:adjustRightInd w:val="0"/>
              <w:snapToGrid w:val="0"/>
              <w:spacing w:line="240" w:lineRule="auto"/>
              <w:jc w:val="center"/>
              <w:rPr>
                <w:rFonts w:eastAsia="Times New Roman"/>
                <w:noProof w:val="0"/>
                <w:snapToGrid w:val="0"/>
                <w:lang w:eastAsia="de-DE" w:bidi="en-US"/>
              </w:rPr>
            </w:pPr>
          </w:p>
        </w:tc>
        <w:tc>
          <w:tcPr>
            <w:tcW w:w="2593" w:type="dxa"/>
            <w:vAlign w:val="center"/>
          </w:tcPr>
          <w:p w14:paraId="624D4AF2" w14:textId="77777777" w:rsidR="00FC295C" w:rsidRPr="00FC295C" w:rsidRDefault="00FC295C" w:rsidP="00FC295C">
            <w:pPr>
              <w:adjustRightInd w:val="0"/>
              <w:snapToGrid w:val="0"/>
              <w:spacing w:line="240" w:lineRule="auto"/>
              <w:jc w:val="center"/>
              <w:rPr>
                <w:rFonts w:eastAsia="Times New Roman"/>
                <w:noProof w:val="0"/>
                <w:snapToGrid w:val="0"/>
                <w:lang w:eastAsia="de-DE" w:bidi="en-US"/>
              </w:rPr>
            </w:pPr>
            <w:r w:rsidRPr="00FC295C">
              <w:rPr>
                <w:rFonts w:eastAsia="Times New Roman"/>
                <w:noProof w:val="0"/>
                <w:snapToGrid w:val="0"/>
                <w:lang w:eastAsia="de-DE" w:bidi="en-US"/>
              </w:rPr>
              <w:t>130-109-816</w:t>
            </w:r>
          </w:p>
        </w:tc>
        <w:tc>
          <w:tcPr>
            <w:tcW w:w="2594" w:type="dxa"/>
            <w:vAlign w:val="center"/>
          </w:tcPr>
          <w:p w14:paraId="4A4112EF" w14:textId="77777777" w:rsidR="00FC295C" w:rsidRPr="00FC295C" w:rsidRDefault="00FC295C" w:rsidP="00FC295C">
            <w:pPr>
              <w:adjustRightInd w:val="0"/>
              <w:snapToGrid w:val="0"/>
              <w:spacing w:line="240" w:lineRule="auto"/>
              <w:jc w:val="center"/>
              <w:rPr>
                <w:rFonts w:eastAsia="Times New Roman"/>
                <w:noProof w:val="0"/>
                <w:snapToGrid w:val="0"/>
                <w:lang w:eastAsia="de-DE" w:bidi="en-US"/>
              </w:rPr>
            </w:pPr>
            <w:proofErr w:type="spellStart"/>
            <w:r w:rsidRPr="00FC295C">
              <w:rPr>
                <w:rFonts w:eastAsia="Times New Roman"/>
                <w:noProof w:val="0"/>
                <w:snapToGrid w:val="0"/>
                <w:lang w:eastAsia="de-DE" w:bidi="en-US"/>
              </w:rPr>
              <w:t>Miltenyi</w:t>
            </w:r>
            <w:proofErr w:type="spellEnd"/>
            <w:r w:rsidRPr="00FC295C">
              <w:rPr>
                <w:rFonts w:eastAsia="Times New Roman"/>
                <w:noProof w:val="0"/>
                <w:snapToGrid w:val="0"/>
                <w:lang w:eastAsia="de-DE" w:bidi="en-US"/>
              </w:rPr>
              <w:t xml:space="preserve"> </w:t>
            </w:r>
            <w:proofErr w:type="spellStart"/>
            <w:r w:rsidRPr="00FC295C">
              <w:rPr>
                <w:rFonts w:eastAsia="Times New Roman"/>
                <w:noProof w:val="0"/>
                <w:snapToGrid w:val="0"/>
                <w:lang w:eastAsia="de-DE" w:bidi="en-US"/>
              </w:rPr>
              <w:t>Biotec</w:t>
            </w:r>
            <w:proofErr w:type="spellEnd"/>
          </w:p>
        </w:tc>
      </w:tr>
      <w:tr w:rsidR="00FC295C" w:rsidRPr="00FC295C" w14:paraId="7BFDF9C8" w14:textId="77777777" w:rsidTr="00FC295C">
        <w:trPr>
          <w:trHeight w:val="279"/>
        </w:trPr>
        <w:tc>
          <w:tcPr>
            <w:tcW w:w="2593" w:type="dxa"/>
            <w:shd w:val="clear" w:color="auto" w:fill="auto"/>
            <w:vAlign w:val="center"/>
          </w:tcPr>
          <w:p w14:paraId="7C17BC6A" w14:textId="77777777" w:rsidR="00FC295C" w:rsidRPr="00FC295C" w:rsidRDefault="00FC295C" w:rsidP="00FC295C">
            <w:pPr>
              <w:adjustRightInd w:val="0"/>
              <w:snapToGrid w:val="0"/>
              <w:spacing w:line="240" w:lineRule="auto"/>
              <w:jc w:val="center"/>
              <w:rPr>
                <w:rFonts w:eastAsia="Times New Roman"/>
                <w:noProof w:val="0"/>
                <w:snapToGrid w:val="0"/>
                <w:lang w:eastAsia="de-DE" w:bidi="en-US"/>
              </w:rPr>
            </w:pPr>
            <w:r w:rsidRPr="00FC295C">
              <w:rPr>
                <w:rFonts w:eastAsia="Times New Roman"/>
                <w:noProof w:val="0"/>
                <w:snapToGrid w:val="0"/>
                <w:lang w:eastAsia="de-DE" w:bidi="en-US"/>
              </w:rPr>
              <w:t>Anti-IgG2bκ (27-35)</w:t>
            </w:r>
          </w:p>
        </w:tc>
        <w:tc>
          <w:tcPr>
            <w:tcW w:w="2593" w:type="dxa"/>
            <w:shd w:val="clear" w:color="auto" w:fill="auto"/>
            <w:vAlign w:val="center"/>
          </w:tcPr>
          <w:p w14:paraId="35A43647" w14:textId="77777777" w:rsidR="00FC295C" w:rsidRPr="00FC295C" w:rsidRDefault="00FC295C" w:rsidP="00FC295C">
            <w:pPr>
              <w:adjustRightInd w:val="0"/>
              <w:snapToGrid w:val="0"/>
              <w:spacing w:line="240" w:lineRule="auto"/>
              <w:jc w:val="center"/>
              <w:rPr>
                <w:rFonts w:eastAsia="Times New Roman"/>
                <w:noProof w:val="0"/>
                <w:snapToGrid w:val="0"/>
                <w:lang w:eastAsia="de-DE" w:bidi="en-US"/>
              </w:rPr>
            </w:pPr>
            <w:r w:rsidRPr="00FC295C">
              <w:rPr>
                <w:rFonts w:eastAsia="Times New Roman"/>
                <w:noProof w:val="0"/>
                <w:snapToGrid w:val="0"/>
                <w:lang w:eastAsia="de-DE" w:bidi="en-US"/>
              </w:rPr>
              <w:t>FITC</w:t>
            </w:r>
          </w:p>
        </w:tc>
        <w:tc>
          <w:tcPr>
            <w:tcW w:w="2593" w:type="dxa"/>
            <w:vAlign w:val="center"/>
          </w:tcPr>
          <w:p w14:paraId="77C320B9" w14:textId="77777777" w:rsidR="00FC295C" w:rsidRPr="00FC295C" w:rsidRDefault="00FC295C" w:rsidP="00FC295C">
            <w:pPr>
              <w:adjustRightInd w:val="0"/>
              <w:snapToGrid w:val="0"/>
              <w:spacing w:line="240" w:lineRule="auto"/>
              <w:jc w:val="center"/>
              <w:rPr>
                <w:rFonts w:eastAsia="Times New Roman"/>
                <w:noProof w:val="0"/>
                <w:snapToGrid w:val="0"/>
                <w:lang w:eastAsia="de-DE" w:bidi="en-US"/>
              </w:rPr>
            </w:pPr>
            <w:r w:rsidRPr="00FC295C">
              <w:rPr>
                <w:rFonts w:eastAsia="Times New Roman"/>
                <w:noProof w:val="0"/>
                <w:snapToGrid w:val="0"/>
                <w:lang w:eastAsia="de-DE" w:bidi="en-US"/>
              </w:rPr>
              <w:t>555742</w:t>
            </w:r>
          </w:p>
        </w:tc>
        <w:tc>
          <w:tcPr>
            <w:tcW w:w="2594" w:type="dxa"/>
            <w:vAlign w:val="center"/>
          </w:tcPr>
          <w:p w14:paraId="13CB5EBB" w14:textId="77777777" w:rsidR="00FC295C" w:rsidRPr="00FC295C" w:rsidRDefault="00FC295C" w:rsidP="00FC295C">
            <w:pPr>
              <w:adjustRightInd w:val="0"/>
              <w:snapToGrid w:val="0"/>
              <w:spacing w:line="240" w:lineRule="auto"/>
              <w:jc w:val="center"/>
              <w:rPr>
                <w:rFonts w:eastAsia="Times New Roman"/>
                <w:noProof w:val="0"/>
                <w:snapToGrid w:val="0"/>
                <w:lang w:eastAsia="de-DE" w:bidi="en-US"/>
              </w:rPr>
            </w:pPr>
            <w:r w:rsidRPr="00FC295C">
              <w:rPr>
                <w:rFonts w:eastAsia="Times New Roman"/>
                <w:noProof w:val="0"/>
                <w:snapToGrid w:val="0"/>
                <w:lang w:eastAsia="de-DE" w:bidi="en-US"/>
              </w:rPr>
              <w:t>BD Pharmingen™</w:t>
            </w:r>
          </w:p>
        </w:tc>
      </w:tr>
      <w:tr w:rsidR="00FC295C" w:rsidRPr="00FC295C" w14:paraId="2D0D446D" w14:textId="77777777" w:rsidTr="00FC295C">
        <w:trPr>
          <w:trHeight w:val="268"/>
        </w:trPr>
        <w:tc>
          <w:tcPr>
            <w:tcW w:w="2593" w:type="dxa"/>
            <w:shd w:val="clear" w:color="auto" w:fill="auto"/>
            <w:vAlign w:val="center"/>
          </w:tcPr>
          <w:p w14:paraId="5964634B" w14:textId="77777777" w:rsidR="00FC295C" w:rsidRPr="00FC295C" w:rsidRDefault="00FC295C" w:rsidP="00FC295C">
            <w:pPr>
              <w:adjustRightInd w:val="0"/>
              <w:snapToGrid w:val="0"/>
              <w:spacing w:line="240" w:lineRule="auto"/>
              <w:jc w:val="center"/>
              <w:rPr>
                <w:rFonts w:eastAsia="Times New Roman"/>
                <w:noProof w:val="0"/>
                <w:snapToGrid w:val="0"/>
                <w:lang w:eastAsia="de-DE" w:bidi="en-US"/>
              </w:rPr>
            </w:pPr>
            <w:r w:rsidRPr="00FC295C">
              <w:rPr>
                <w:rFonts w:eastAsia="Times New Roman"/>
                <w:noProof w:val="0"/>
                <w:snapToGrid w:val="0"/>
                <w:lang w:eastAsia="de-DE" w:bidi="en-US"/>
              </w:rPr>
              <w:t>Anti-IgG2bκ (ES26-5E12.4)</w:t>
            </w:r>
          </w:p>
        </w:tc>
        <w:tc>
          <w:tcPr>
            <w:tcW w:w="2593" w:type="dxa"/>
            <w:shd w:val="clear" w:color="auto" w:fill="auto"/>
            <w:vAlign w:val="center"/>
          </w:tcPr>
          <w:p w14:paraId="7B4214FA" w14:textId="77777777" w:rsidR="00FC295C" w:rsidRPr="00FC295C" w:rsidRDefault="00FC295C" w:rsidP="00FC295C">
            <w:pPr>
              <w:adjustRightInd w:val="0"/>
              <w:snapToGrid w:val="0"/>
              <w:spacing w:line="240" w:lineRule="auto"/>
              <w:jc w:val="center"/>
              <w:rPr>
                <w:rFonts w:eastAsia="Times New Roman"/>
                <w:noProof w:val="0"/>
                <w:snapToGrid w:val="0"/>
                <w:lang w:eastAsia="de-DE" w:bidi="en-US"/>
              </w:rPr>
            </w:pPr>
            <w:r w:rsidRPr="00FC295C">
              <w:rPr>
                <w:rFonts w:eastAsia="Times New Roman"/>
                <w:noProof w:val="0"/>
                <w:snapToGrid w:val="0"/>
                <w:lang w:eastAsia="de-DE" w:bidi="en-US"/>
              </w:rPr>
              <w:t>PE-</w:t>
            </w:r>
            <w:proofErr w:type="spellStart"/>
            <w:r w:rsidRPr="00FC295C">
              <w:rPr>
                <w:rFonts w:eastAsia="Times New Roman"/>
                <w:noProof w:val="0"/>
                <w:snapToGrid w:val="0"/>
                <w:lang w:eastAsia="de-DE" w:bidi="en-US"/>
              </w:rPr>
              <w:t>Vio</w:t>
            </w:r>
            <w:proofErr w:type="spellEnd"/>
            <w:r w:rsidRPr="00FC295C">
              <w:rPr>
                <w:rFonts w:eastAsia="Times New Roman"/>
                <w:noProof w:val="0"/>
                <w:snapToGrid w:val="0"/>
                <w:lang w:eastAsia="de-DE" w:bidi="en-US"/>
              </w:rPr>
              <w:t xml:space="preserve"> 770</w:t>
            </w:r>
          </w:p>
        </w:tc>
        <w:tc>
          <w:tcPr>
            <w:tcW w:w="2593" w:type="dxa"/>
            <w:vAlign w:val="center"/>
          </w:tcPr>
          <w:p w14:paraId="312BA7C4" w14:textId="77777777" w:rsidR="00FC295C" w:rsidRPr="00FC295C" w:rsidRDefault="00FC295C" w:rsidP="00FC295C">
            <w:pPr>
              <w:adjustRightInd w:val="0"/>
              <w:snapToGrid w:val="0"/>
              <w:spacing w:line="240" w:lineRule="auto"/>
              <w:jc w:val="center"/>
              <w:rPr>
                <w:rFonts w:eastAsia="Times New Roman"/>
                <w:noProof w:val="0"/>
                <w:snapToGrid w:val="0"/>
                <w:lang w:eastAsia="de-DE" w:bidi="en-US"/>
              </w:rPr>
            </w:pPr>
            <w:r w:rsidRPr="00FC295C">
              <w:rPr>
                <w:rFonts w:eastAsia="Times New Roman"/>
                <w:noProof w:val="0"/>
                <w:snapToGrid w:val="0"/>
                <w:lang w:eastAsia="de-DE" w:bidi="en-US"/>
              </w:rPr>
              <w:t>130-102-656</w:t>
            </w:r>
          </w:p>
        </w:tc>
        <w:tc>
          <w:tcPr>
            <w:tcW w:w="2594" w:type="dxa"/>
            <w:vAlign w:val="center"/>
          </w:tcPr>
          <w:p w14:paraId="72CFE83C" w14:textId="77777777" w:rsidR="00FC295C" w:rsidRPr="00FC295C" w:rsidRDefault="00FC295C" w:rsidP="00FC295C">
            <w:pPr>
              <w:adjustRightInd w:val="0"/>
              <w:snapToGrid w:val="0"/>
              <w:spacing w:line="240" w:lineRule="auto"/>
              <w:jc w:val="center"/>
              <w:rPr>
                <w:rFonts w:eastAsia="Times New Roman"/>
                <w:noProof w:val="0"/>
                <w:snapToGrid w:val="0"/>
                <w:lang w:eastAsia="de-DE" w:bidi="en-US"/>
              </w:rPr>
            </w:pPr>
            <w:proofErr w:type="spellStart"/>
            <w:r w:rsidRPr="00FC295C">
              <w:rPr>
                <w:rFonts w:eastAsia="Times New Roman"/>
                <w:noProof w:val="0"/>
                <w:snapToGrid w:val="0"/>
                <w:lang w:eastAsia="de-DE" w:bidi="en-US"/>
              </w:rPr>
              <w:t>Miltenyi</w:t>
            </w:r>
            <w:proofErr w:type="spellEnd"/>
            <w:r w:rsidRPr="00FC295C">
              <w:rPr>
                <w:rFonts w:eastAsia="Times New Roman"/>
                <w:noProof w:val="0"/>
                <w:snapToGrid w:val="0"/>
                <w:lang w:eastAsia="de-DE" w:bidi="en-US"/>
              </w:rPr>
              <w:t xml:space="preserve"> </w:t>
            </w:r>
            <w:proofErr w:type="spellStart"/>
            <w:r w:rsidRPr="00FC295C">
              <w:rPr>
                <w:rFonts w:eastAsia="Times New Roman"/>
                <w:noProof w:val="0"/>
                <w:snapToGrid w:val="0"/>
                <w:lang w:eastAsia="de-DE" w:bidi="en-US"/>
              </w:rPr>
              <w:t>Biotec</w:t>
            </w:r>
            <w:proofErr w:type="spellEnd"/>
          </w:p>
        </w:tc>
      </w:tr>
      <w:tr w:rsidR="00FC295C" w:rsidRPr="00FC295C" w14:paraId="5F78C87D" w14:textId="77777777" w:rsidTr="00FC295C">
        <w:trPr>
          <w:trHeight w:val="268"/>
        </w:trPr>
        <w:tc>
          <w:tcPr>
            <w:tcW w:w="2593" w:type="dxa"/>
            <w:shd w:val="clear" w:color="auto" w:fill="auto"/>
            <w:vAlign w:val="center"/>
          </w:tcPr>
          <w:p w14:paraId="7106E289" w14:textId="77777777" w:rsidR="00FC295C" w:rsidRPr="00FC295C" w:rsidRDefault="00FC295C" w:rsidP="00FC295C">
            <w:pPr>
              <w:adjustRightInd w:val="0"/>
              <w:snapToGrid w:val="0"/>
              <w:spacing w:line="240" w:lineRule="auto"/>
              <w:jc w:val="center"/>
              <w:rPr>
                <w:rFonts w:eastAsia="Times New Roman"/>
                <w:noProof w:val="0"/>
                <w:snapToGrid w:val="0"/>
                <w:lang w:eastAsia="de-DE" w:bidi="en-US"/>
              </w:rPr>
            </w:pPr>
            <w:r w:rsidRPr="00FC295C">
              <w:rPr>
                <w:rFonts w:eastAsia="Times New Roman"/>
                <w:noProof w:val="0"/>
                <w:snapToGrid w:val="0"/>
                <w:lang w:eastAsia="de-DE" w:bidi="en-US"/>
              </w:rPr>
              <w:t>Anti-IgG1 (IS5-21F5)</w:t>
            </w:r>
          </w:p>
        </w:tc>
        <w:tc>
          <w:tcPr>
            <w:tcW w:w="2593" w:type="dxa"/>
            <w:shd w:val="clear" w:color="auto" w:fill="auto"/>
            <w:vAlign w:val="center"/>
          </w:tcPr>
          <w:p w14:paraId="302D92EA" w14:textId="77777777" w:rsidR="00FC295C" w:rsidRPr="00FC295C" w:rsidRDefault="00FC295C" w:rsidP="00FC295C">
            <w:pPr>
              <w:adjustRightInd w:val="0"/>
              <w:snapToGrid w:val="0"/>
              <w:spacing w:line="240" w:lineRule="auto"/>
              <w:jc w:val="center"/>
              <w:rPr>
                <w:rFonts w:eastAsia="Times New Roman"/>
                <w:noProof w:val="0"/>
                <w:snapToGrid w:val="0"/>
                <w:lang w:eastAsia="de-DE" w:bidi="en-US"/>
              </w:rPr>
            </w:pPr>
            <w:r w:rsidRPr="00FC295C">
              <w:rPr>
                <w:rFonts w:eastAsia="Times New Roman"/>
                <w:noProof w:val="0"/>
                <w:snapToGrid w:val="0"/>
                <w:lang w:eastAsia="de-DE" w:bidi="en-US"/>
              </w:rPr>
              <w:t>PE-</w:t>
            </w:r>
            <w:proofErr w:type="spellStart"/>
            <w:r w:rsidRPr="00FC295C">
              <w:rPr>
                <w:rFonts w:eastAsia="Times New Roman"/>
                <w:noProof w:val="0"/>
                <w:snapToGrid w:val="0"/>
                <w:lang w:eastAsia="de-DE" w:bidi="en-US"/>
              </w:rPr>
              <w:t>Vio</w:t>
            </w:r>
            <w:proofErr w:type="spellEnd"/>
            <w:r w:rsidRPr="00FC295C">
              <w:rPr>
                <w:rFonts w:eastAsia="Times New Roman"/>
                <w:noProof w:val="0"/>
                <w:snapToGrid w:val="0"/>
                <w:lang w:eastAsia="de-DE" w:bidi="en-US"/>
              </w:rPr>
              <w:t xml:space="preserve"> 615</w:t>
            </w:r>
          </w:p>
        </w:tc>
        <w:tc>
          <w:tcPr>
            <w:tcW w:w="2593" w:type="dxa"/>
            <w:vAlign w:val="center"/>
          </w:tcPr>
          <w:p w14:paraId="5F69D946" w14:textId="77777777" w:rsidR="00FC295C" w:rsidRPr="00FC295C" w:rsidRDefault="00FC295C" w:rsidP="00FC295C">
            <w:pPr>
              <w:adjustRightInd w:val="0"/>
              <w:snapToGrid w:val="0"/>
              <w:spacing w:line="240" w:lineRule="auto"/>
              <w:jc w:val="center"/>
              <w:rPr>
                <w:rFonts w:eastAsia="Times New Roman"/>
                <w:noProof w:val="0"/>
                <w:snapToGrid w:val="0"/>
                <w:lang w:eastAsia="de-DE" w:bidi="en-US"/>
              </w:rPr>
            </w:pPr>
            <w:r w:rsidRPr="00FC295C">
              <w:rPr>
                <w:rFonts w:eastAsia="Times New Roman"/>
                <w:noProof w:val="0"/>
                <w:snapToGrid w:val="0"/>
                <w:lang w:eastAsia="de-DE" w:bidi="en-US"/>
              </w:rPr>
              <w:t>130-113-201</w:t>
            </w:r>
          </w:p>
        </w:tc>
        <w:tc>
          <w:tcPr>
            <w:tcW w:w="2594" w:type="dxa"/>
            <w:vAlign w:val="center"/>
          </w:tcPr>
          <w:p w14:paraId="7AC12A18" w14:textId="77777777" w:rsidR="00FC295C" w:rsidRPr="00FC295C" w:rsidRDefault="00FC295C" w:rsidP="00FC295C">
            <w:pPr>
              <w:adjustRightInd w:val="0"/>
              <w:snapToGrid w:val="0"/>
              <w:spacing w:line="240" w:lineRule="auto"/>
              <w:jc w:val="center"/>
              <w:rPr>
                <w:rFonts w:eastAsia="Times New Roman"/>
                <w:noProof w:val="0"/>
                <w:snapToGrid w:val="0"/>
                <w:lang w:eastAsia="de-DE" w:bidi="en-US"/>
              </w:rPr>
            </w:pPr>
            <w:proofErr w:type="spellStart"/>
            <w:r w:rsidRPr="00FC295C">
              <w:rPr>
                <w:rFonts w:eastAsia="Times New Roman"/>
                <w:noProof w:val="0"/>
                <w:snapToGrid w:val="0"/>
                <w:lang w:eastAsia="de-DE" w:bidi="en-US"/>
              </w:rPr>
              <w:t>Miltenyi</w:t>
            </w:r>
            <w:proofErr w:type="spellEnd"/>
            <w:r w:rsidRPr="00FC295C">
              <w:rPr>
                <w:rFonts w:eastAsia="Times New Roman"/>
                <w:noProof w:val="0"/>
                <w:snapToGrid w:val="0"/>
                <w:lang w:eastAsia="de-DE" w:bidi="en-US"/>
              </w:rPr>
              <w:t xml:space="preserve"> </w:t>
            </w:r>
            <w:proofErr w:type="spellStart"/>
            <w:r w:rsidRPr="00FC295C">
              <w:rPr>
                <w:rFonts w:eastAsia="Times New Roman"/>
                <w:noProof w:val="0"/>
                <w:snapToGrid w:val="0"/>
                <w:lang w:eastAsia="de-DE" w:bidi="en-US"/>
              </w:rPr>
              <w:t>Biotec</w:t>
            </w:r>
            <w:proofErr w:type="spellEnd"/>
          </w:p>
        </w:tc>
      </w:tr>
      <w:tr w:rsidR="00FC295C" w:rsidRPr="00FC295C" w14:paraId="2DCB5DBF" w14:textId="77777777" w:rsidTr="00FC295C">
        <w:trPr>
          <w:trHeight w:val="268"/>
        </w:trPr>
        <w:tc>
          <w:tcPr>
            <w:tcW w:w="2593" w:type="dxa"/>
            <w:shd w:val="clear" w:color="auto" w:fill="auto"/>
            <w:vAlign w:val="center"/>
          </w:tcPr>
          <w:p w14:paraId="37B0414C" w14:textId="77777777" w:rsidR="00FC295C" w:rsidRPr="00FC295C" w:rsidRDefault="00FC295C" w:rsidP="00FC295C">
            <w:pPr>
              <w:adjustRightInd w:val="0"/>
              <w:snapToGrid w:val="0"/>
              <w:spacing w:line="240" w:lineRule="auto"/>
              <w:jc w:val="center"/>
              <w:rPr>
                <w:rFonts w:eastAsia="Times New Roman"/>
                <w:noProof w:val="0"/>
                <w:snapToGrid w:val="0"/>
                <w:lang w:eastAsia="de-DE" w:bidi="en-US"/>
              </w:rPr>
            </w:pPr>
            <w:r>
              <w:rPr>
                <w:rFonts w:eastAsia="Times New Roman"/>
                <w:noProof w:val="0"/>
                <w:snapToGrid w:val="0"/>
                <w:lang w:eastAsia="de-DE" w:bidi="en-US"/>
              </w:rPr>
              <w:t>A</w:t>
            </w:r>
            <w:r w:rsidRPr="00FC295C">
              <w:rPr>
                <w:rFonts w:eastAsia="Times New Roman"/>
                <w:noProof w:val="0"/>
                <w:snapToGrid w:val="0"/>
                <w:lang w:eastAsia="de-DE" w:bidi="en-US"/>
              </w:rPr>
              <w:t>nti-IgG1κ (MOPC-21)</w:t>
            </w:r>
          </w:p>
        </w:tc>
        <w:tc>
          <w:tcPr>
            <w:tcW w:w="2593" w:type="dxa"/>
            <w:shd w:val="clear" w:color="auto" w:fill="auto"/>
            <w:vAlign w:val="center"/>
          </w:tcPr>
          <w:p w14:paraId="7FC5CAEF" w14:textId="77777777" w:rsidR="00FC295C" w:rsidRPr="00FC295C" w:rsidRDefault="00FC295C" w:rsidP="00FC295C">
            <w:pPr>
              <w:adjustRightInd w:val="0"/>
              <w:snapToGrid w:val="0"/>
              <w:spacing w:line="240" w:lineRule="auto"/>
              <w:jc w:val="center"/>
              <w:rPr>
                <w:rFonts w:eastAsia="Times New Roman"/>
                <w:noProof w:val="0"/>
                <w:snapToGrid w:val="0"/>
                <w:lang w:eastAsia="de-DE" w:bidi="en-US"/>
              </w:rPr>
            </w:pPr>
            <w:r w:rsidRPr="00FC295C">
              <w:rPr>
                <w:rFonts w:eastAsia="Times New Roman"/>
                <w:noProof w:val="0"/>
                <w:snapToGrid w:val="0"/>
                <w:lang w:eastAsia="de-DE" w:bidi="en-US"/>
              </w:rPr>
              <w:t>PE</w:t>
            </w:r>
          </w:p>
        </w:tc>
        <w:tc>
          <w:tcPr>
            <w:tcW w:w="2593" w:type="dxa"/>
            <w:vAlign w:val="center"/>
          </w:tcPr>
          <w:p w14:paraId="62073A38" w14:textId="77777777" w:rsidR="00FC295C" w:rsidRPr="00FC295C" w:rsidRDefault="00FC295C" w:rsidP="00FC295C">
            <w:pPr>
              <w:adjustRightInd w:val="0"/>
              <w:snapToGrid w:val="0"/>
              <w:spacing w:line="240" w:lineRule="auto"/>
              <w:jc w:val="center"/>
              <w:rPr>
                <w:rFonts w:eastAsia="Times New Roman"/>
                <w:noProof w:val="0"/>
                <w:snapToGrid w:val="0"/>
                <w:lang w:eastAsia="de-DE" w:bidi="en-US"/>
              </w:rPr>
            </w:pPr>
            <w:r w:rsidRPr="00FC295C">
              <w:rPr>
                <w:rFonts w:eastAsia="Times New Roman"/>
                <w:noProof w:val="0"/>
                <w:snapToGrid w:val="0"/>
                <w:lang w:eastAsia="de-DE" w:bidi="en-US"/>
              </w:rPr>
              <w:t>400111</w:t>
            </w:r>
          </w:p>
        </w:tc>
        <w:tc>
          <w:tcPr>
            <w:tcW w:w="2594" w:type="dxa"/>
            <w:vAlign w:val="center"/>
          </w:tcPr>
          <w:p w14:paraId="4A5158E0" w14:textId="77777777" w:rsidR="00FC295C" w:rsidRPr="00FC295C" w:rsidRDefault="00FC295C" w:rsidP="00FC295C">
            <w:pPr>
              <w:adjustRightInd w:val="0"/>
              <w:snapToGrid w:val="0"/>
              <w:spacing w:line="240" w:lineRule="auto"/>
              <w:jc w:val="center"/>
              <w:rPr>
                <w:rFonts w:eastAsia="Times New Roman"/>
                <w:noProof w:val="0"/>
                <w:snapToGrid w:val="0"/>
                <w:lang w:eastAsia="de-DE" w:bidi="en-US"/>
              </w:rPr>
            </w:pPr>
            <w:proofErr w:type="spellStart"/>
            <w:r w:rsidRPr="00FC295C">
              <w:rPr>
                <w:rFonts w:eastAsia="Times New Roman"/>
                <w:noProof w:val="0"/>
                <w:snapToGrid w:val="0"/>
                <w:lang w:eastAsia="de-DE" w:bidi="en-US"/>
              </w:rPr>
              <w:t>Biolegend</w:t>
            </w:r>
            <w:proofErr w:type="spellEnd"/>
          </w:p>
        </w:tc>
      </w:tr>
    </w:tbl>
    <w:p w14:paraId="6DD83017" w14:textId="77777777" w:rsidR="00FC295C" w:rsidRDefault="00FC295C" w:rsidP="003603FE">
      <w:pPr>
        <w:pStyle w:val="MDPI51figurecaption"/>
      </w:pPr>
    </w:p>
    <w:sectPr w:rsidR="00FC295C" w:rsidSect="00D04811">
      <w:headerReference w:type="even" r:id="rId12"/>
      <w:headerReference w:type="first" r:id="rId13"/>
      <w:footerReference w:type="first" r:id="rId14"/>
      <w:type w:val="continuous"/>
      <w:pgSz w:w="11906" w:h="16838" w:code="9"/>
      <w:pgMar w:top="1077" w:right="720" w:bottom="1077" w:left="720" w:header="1021" w:footer="340" w:gutter="0"/>
      <w:pgNumType w:start="1"/>
      <w:cols w:space="425"/>
      <w:bidi/>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3596AC" w14:textId="77777777" w:rsidR="00B16A6B" w:rsidRDefault="00B16A6B">
      <w:pPr>
        <w:spacing w:line="240" w:lineRule="auto"/>
      </w:pPr>
      <w:r>
        <w:separator/>
      </w:r>
    </w:p>
  </w:endnote>
  <w:endnote w:type="continuationSeparator" w:id="0">
    <w:p w14:paraId="74880ED2" w14:textId="77777777" w:rsidR="00B16A6B" w:rsidRDefault="00B16A6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Cordia New">
    <w:altName w:val="Cordia New"/>
    <w:panose1 w:val="020B0304020202020204"/>
    <w:charset w:val="DE"/>
    <w:family w:val="swiss"/>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DC2768" w14:textId="77777777" w:rsidR="00BA1073" w:rsidRDefault="00BA1073" w:rsidP="00C248F9">
    <w:pPr>
      <w:pBdr>
        <w:top w:val="single" w:sz="4" w:space="0" w:color="000000"/>
      </w:pBdr>
      <w:tabs>
        <w:tab w:val="right" w:pos="8844"/>
      </w:tabs>
      <w:adjustRightInd w:val="0"/>
      <w:snapToGrid w:val="0"/>
      <w:spacing w:before="480" w:line="100" w:lineRule="exact"/>
      <w:jc w:val="left"/>
      <w:rPr>
        <w:i/>
        <w:sz w:val="16"/>
        <w:szCs w:val="16"/>
      </w:rPr>
    </w:pPr>
  </w:p>
  <w:p w14:paraId="5AE08FC1" w14:textId="77777777" w:rsidR="00971111" w:rsidRPr="008605C0" w:rsidRDefault="00971111" w:rsidP="00154913">
    <w:pPr>
      <w:tabs>
        <w:tab w:val="right" w:pos="10466"/>
      </w:tabs>
      <w:adjustRightInd w:val="0"/>
      <w:snapToGrid w:val="0"/>
      <w:spacing w:line="240" w:lineRule="auto"/>
      <w:rPr>
        <w:sz w:val="16"/>
        <w:szCs w:val="16"/>
      </w:rPr>
    </w:pPr>
    <w:r w:rsidRPr="00547466">
      <w:rPr>
        <w:i/>
        <w:sz w:val="16"/>
        <w:szCs w:val="16"/>
      </w:rPr>
      <w:t>Cells</w:t>
    </w:r>
    <w:r>
      <w:rPr>
        <w:i/>
        <w:sz w:val="16"/>
        <w:szCs w:val="16"/>
      </w:rPr>
      <w:t xml:space="preserve"> </w:t>
    </w:r>
    <w:r w:rsidR="000F3D7C">
      <w:rPr>
        <w:b/>
        <w:bCs/>
        <w:iCs/>
        <w:sz w:val="16"/>
        <w:szCs w:val="16"/>
      </w:rPr>
      <w:t>2022</w:t>
    </w:r>
    <w:r w:rsidR="005C3BB4" w:rsidRPr="005C3BB4">
      <w:rPr>
        <w:bCs/>
        <w:iCs/>
        <w:sz w:val="16"/>
        <w:szCs w:val="16"/>
      </w:rPr>
      <w:t>,</w:t>
    </w:r>
    <w:r w:rsidR="000F3D7C">
      <w:rPr>
        <w:bCs/>
        <w:i/>
        <w:iCs/>
        <w:sz w:val="16"/>
        <w:szCs w:val="16"/>
      </w:rPr>
      <w:t xml:space="preserve"> 11</w:t>
    </w:r>
    <w:r w:rsidR="005C3BB4" w:rsidRPr="005C3BB4">
      <w:rPr>
        <w:bCs/>
        <w:iCs/>
        <w:sz w:val="16"/>
        <w:szCs w:val="16"/>
      </w:rPr>
      <w:t xml:space="preserve">, </w:t>
    </w:r>
    <w:r w:rsidR="003F6859">
      <w:rPr>
        <w:bCs/>
        <w:iCs/>
        <w:sz w:val="16"/>
        <w:szCs w:val="16"/>
      </w:rPr>
      <w:t>x</w:t>
    </w:r>
    <w:r w:rsidR="00BA1073">
      <w:rPr>
        <w:bCs/>
        <w:iCs/>
        <w:sz w:val="16"/>
        <w:szCs w:val="16"/>
      </w:rPr>
      <w:t>. https://doi.org/10.3390/xxxxx</w:t>
    </w:r>
    <w:r w:rsidR="00154913" w:rsidRPr="008605C0">
      <w:rPr>
        <w:sz w:val="16"/>
        <w:szCs w:val="16"/>
      </w:rPr>
      <w:tab/>
    </w:r>
    <w:r w:rsidRPr="008605C0">
      <w:rPr>
        <w:sz w:val="16"/>
        <w:szCs w:val="16"/>
      </w:rPr>
      <w:t>www.mdpi.com/journal/</w:t>
    </w:r>
    <w:r w:rsidRPr="00547466">
      <w:rPr>
        <w:sz w:val="16"/>
        <w:szCs w:val="16"/>
      </w:rPr>
      <w:t>cells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1733F0" w14:textId="77777777" w:rsidR="00B16A6B" w:rsidRDefault="00B16A6B">
      <w:pPr>
        <w:spacing w:line="240" w:lineRule="auto"/>
      </w:pPr>
      <w:r>
        <w:separator/>
      </w:r>
    </w:p>
  </w:footnote>
  <w:footnote w:type="continuationSeparator" w:id="0">
    <w:p w14:paraId="3965F973" w14:textId="77777777" w:rsidR="00B16A6B" w:rsidRDefault="00B16A6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FD934A" w14:textId="77777777" w:rsidR="00971111" w:rsidRDefault="00971111" w:rsidP="00971111">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487" w:type="dxa"/>
      <w:tblCellMar>
        <w:left w:w="0" w:type="dxa"/>
        <w:right w:w="0" w:type="dxa"/>
      </w:tblCellMar>
      <w:tblLook w:val="04A0" w:firstRow="1" w:lastRow="0" w:firstColumn="1" w:lastColumn="0" w:noHBand="0" w:noVBand="1"/>
    </w:tblPr>
    <w:tblGrid>
      <w:gridCol w:w="3679"/>
      <w:gridCol w:w="4535"/>
      <w:gridCol w:w="2273"/>
    </w:tblGrid>
    <w:tr w:rsidR="00BA1073" w:rsidRPr="00154913" w14:paraId="003FF951" w14:textId="77777777" w:rsidTr="001B30D0">
      <w:trPr>
        <w:trHeight w:val="686"/>
      </w:trPr>
      <w:tc>
        <w:tcPr>
          <w:tcW w:w="3679" w:type="dxa"/>
          <w:shd w:val="clear" w:color="auto" w:fill="auto"/>
          <w:vAlign w:val="center"/>
        </w:tcPr>
        <w:p w14:paraId="7E711009" w14:textId="77777777" w:rsidR="00BA1073" w:rsidRPr="00910C8D" w:rsidRDefault="00BA1073" w:rsidP="00154913">
          <w:pPr>
            <w:pStyle w:val="Header"/>
            <w:pBdr>
              <w:bottom w:val="none" w:sz="0" w:space="0" w:color="auto"/>
            </w:pBdr>
            <w:jc w:val="left"/>
            <w:rPr>
              <w:rFonts w:eastAsia="DengXian"/>
              <w:b/>
              <w:bCs/>
            </w:rPr>
          </w:pPr>
        </w:p>
      </w:tc>
      <w:tc>
        <w:tcPr>
          <w:tcW w:w="4535" w:type="dxa"/>
          <w:shd w:val="clear" w:color="auto" w:fill="auto"/>
          <w:vAlign w:val="center"/>
        </w:tcPr>
        <w:p w14:paraId="528129C5" w14:textId="77777777" w:rsidR="00BA1073" w:rsidRPr="00910C8D" w:rsidRDefault="00BA1073" w:rsidP="00154913">
          <w:pPr>
            <w:pStyle w:val="Header"/>
            <w:pBdr>
              <w:bottom w:val="none" w:sz="0" w:space="0" w:color="auto"/>
            </w:pBdr>
            <w:rPr>
              <w:rFonts w:eastAsia="DengXian"/>
              <w:b/>
              <w:bCs/>
            </w:rPr>
          </w:pPr>
        </w:p>
      </w:tc>
      <w:tc>
        <w:tcPr>
          <w:tcW w:w="2273" w:type="dxa"/>
          <w:shd w:val="clear" w:color="auto" w:fill="auto"/>
          <w:vAlign w:val="center"/>
        </w:tcPr>
        <w:p w14:paraId="402C5830" w14:textId="77777777" w:rsidR="00BA1073" w:rsidRPr="00910C8D" w:rsidRDefault="00BA1073" w:rsidP="001B30D0">
          <w:pPr>
            <w:pStyle w:val="Header"/>
            <w:pBdr>
              <w:bottom w:val="none" w:sz="0" w:space="0" w:color="auto"/>
            </w:pBdr>
            <w:jc w:val="right"/>
            <w:rPr>
              <w:rFonts w:eastAsia="DengXian"/>
              <w:b/>
              <w:bCs/>
            </w:rPr>
          </w:pPr>
        </w:p>
      </w:tc>
    </w:tr>
  </w:tbl>
  <w:p w14:paraId="314C3DAB" w14:textId="77777777" w:rsidR="00971111" w:rsidRPr="00BA1073" w:rsidRDefault="00971111" w:rsidP="00C248F9">
    <w:pPr>
      <w:pBdr>
        <w:bottom w:val="single" w:sz="4" w:space="1" w:color="000000"/>
      </w:pBdr>
      <w:adjustRightInd w:val="0"/>
      <w:snapToGrid w:val="0"/>
      <w:spacing w:line="100" w:lineRule="exact"/>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B468F5"/>
    <w:multiLevelType w:val="hybridMultilevel"/>
    <w:tmpl w:val="64C2F71A"/>
    <w:lvl w:ilvl="0" w:tplc="A0DED51E">
      <w:start w:val="1"/>
      <w:numFmt w:val="decimal"/>
      <w:lvlRestart w:val="0"/>
      <w:pStyle w:val="MDPI37itemize"/>
      <w:lvlText w:val="%1."/>
      <w:lvlJc w:val="left"/>
      <w:pPr>
        <w:ind w:left="3033" w:hanging="425"/>
      </w:pPr>
      <w:rPr>
        <w:b w:val="0"/>
        <w:i w:val="0"/>
        <w:sz w:val="2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9D008A1"/>
    <w:multiLevelType w:val="hybridMultilevel"/>
    <w:tmpl w:val="22C8A2B4"/>
    <w:lvl w:ilvl="0" w:tplc="EE668386">
      <w:start w:val="1"/>
      <w:numFmt w:val="decimal"/>
      <w:lvlRestart w:val="0"/>
      <w:pStyle w:val="MDPI71References"/>
      <w:lvlText w:val="%1."/>
      <w:lvlJc w:val="left"/>
      <w:pPr>
        <w:ind w:left="425" w:hanging="425"/>
      </w:pPr>
      <w:rPr>
        <w:b w:val="0"/>
        <w:i w:val="0"/>
        <w:sz w:val="2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E0C6F5D"/>
    <w:multiLevelType w:val="hybridMultilevel"/>
    <w:tmpl w:val="EA1001D6"/>
    <w:lvl w:ilvl="0" w:tplc="39087B84">
      <w:start w:val="1"/>
      <w:numFmt w:val="decimal"/>
      <w:lvlRestart w:val="0"/>
      <w:pStyle w:val="MDPI71FootNotes"/>
      <w:lvlText w:val="%1."/>
      <w:lvlJc w:val="left"/>
      <w:pPr>
        <w:ind w:left="425" w:hanging="425"/>
      </w:pPr>
      <w:rPr>
        <w:rFonts w:hint="default"/>
        <w:vertAlign w:val="superscript"/>
      </w:rPr>
    </w:lvl>
    <w:lvl w:ilvl="1" w:tplc="04090003" w:tentative="1">
      <w:start w:val="1"/>
      <w:numFmt w:val="bullet"/>
      <w:lvlText w:val="o"/>
      <w:lvlJc w:val="left"/>
      <w:pPr>
        <w:ind w:left="4048" w:hanging="360"/>
      </w:pPr>
      <w:rPr>
        <w:rFonts w:ascii="Courier New" w:hAnsi="Courier New" w:cs="Courier New" w:hint="default"/>
      </w:rPr>
    </w:lvl>
    <w:lvl w:ilvl="2" w:tplc="04090005" w:tentative="1">
      <w:start w:val="1"/>
      <w:numFmt w:val="bullet"/>
      <w:lvlText w:val=""/>
      <w:lvlJc w:val="left"/>
      <w:pPr>
        <w:ind w:left="4768" w:hanging="360"/>
      </w:pPr>
      <w:rPr>
        <w:rFonts w:ascii="Wingdings" w:hAnsi="Wingdings" w:hint="default"/>
      </w:rPr>
    </w:lvl>
    <w:lvl w:ilvl="3" w:tplc="04090001" w:tentative="1">
      <w:start w:val="1"/>
      <w:numFmt w:val="bullet"/>
      <w:lvlText w:val=""/>
      <w:lvlJc w:val="left"/>
      <w:pPr>
        <w:ind w:left="5488" w:hanging="360"/>
      </w:pPr>
      <w:rPr>
        <w:rFonts w:ascii="Symbol" w:hAnsi="Symbol" w:hint="default"/>
      </w:rPr>
    </w:lvl>
    <w:lvl w:ilvl="4" w:tplc="04090003" w:tentative="1">
      <w:start w:val="1"/>
      <w:numFmt w:val="bullet"/>
      <w:lvlText w:val="o"/>
      <w:lvlJc w:val="left"/>
      <w:pPr>
        <w:ind w:left="6208" w:hanging="360"/>
      </w:pPr>
      <w:rPr>
        <w:rFonts w:ascii="Courier New" w:hAnsi="Courier New" w:cs="Courier New" w:hint="default"/>
      </w:rPr>
    </w:lvl>
    <w:lvl w:ilvl="5" w:tplc="04090005" w:tentative="1">
      <w:start w:val="1"/>
      <w:numFmt w:val="bullet"/>
      <w:lvlText w:val=""/>
      <w:lvlJc w:val="left"/>
      <w:pPr>
        <w:ind w:left="6928" w:hanging="360"/>
      </w:pPr>
      <w:rPr>
        <w:rFonts w:ascii="Wingdings" w:hAnsi="Wingdings" w:hint="default"/>
      </w:rPr>
    </w:lvl>
    <w:lvl w:ilvl="6" w:tplc="04090001" w:tentative="1">
      <w:start w:val="1"/>
      <w:numFmt w:val="bullet"/>
      <w:lvlText w:val=""/>
      <w:lvlJc w:val="left"/>
      <w:pPr>
        <w:ind w:left="7648" w:hanging="360"/>
      </w:pPr>
      <w:rPr>
        <w:rFonts w:ascii="Symbol" w:hAnsi="Symbol" w:hint="default"/>
      </w:rPr>
    </w:lvl>
    <w:lvl w:ilvl="7" w:tplc="04090003" w:tentative="1">
      <w:start w:val="1"/>
      <w:numFmt w:val="bullet"/>
      <w:lvlText w:val="o"/>
      <w:lvlJc w:val="left"/>
      <w:pPr>
        <w:ind w:left="8368" w:hanging="360"/>
      </w:pPr>
      <w:rPr>
        <w:rFonts w:ascii="Courier New" w:hAnsi="Courier New" w:cs="Courier New" w:hint="default"/>
      </w:rPr>
    </w:lvl>
    <w:lvl w:ilvl="8" w:tplc="04090005" w:tentative="1">
      <w:start w:val="1"/>
      <w:numFmt w:val="bullet"/>
      <w:lvlText w:val=""/>
      <w:lvlJc w:val="left"/>
      <w:pPr>
        <w:ind w:left="9088" w:hanging="360"/>
      </w:pPr>
      <w:rPr>
        <w:rFonts w:ascii="Wingdings" w:hAnsi="Wingdings" w:hint="default"/>
      </w:rPr>
    </w:lvl>
  </w:abstractNum>
  <w:abstractNum w:abstractNumId="3" w15:restartNumberingAfterBreak="0">
    <w:nsid w:val="250A245F"/>
    <w:multiLevelType w:val="hybridMultilevel"/>
    <w:tmpl w:val="29E20A30"/>
    <w:lvl w:ilvl="0" w:tplc="1AF444CE">
      <w:start w:val="1"/>
      <w:numFmt w:val="decimal"/>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805051C"/>
    <w:multiLevelType w:val="hybridMultilevel"/>
    <w:tmpl w:val="D6480D34"/>
    <w:lvl w:ilvl="0" w:tplc="CDCEE7DA">
      <w:start w:val="1"/>
      <w:numFmt w:val="decimal"/>
      <w:lvlText w:val="%1."/>
      <w:lvlJc w:val="left"/>
      <w:pPr>
        <w:ind w:left="1429" w:hanging="360"/>
      </w:pPr>
    </w:lvl>
    <w:lvl w:ilvl="1" w:tplc="08070019" w:tentative="1">
      <w:start w:val="1"/>
      <w:numFmt w:val="lowerLetter"/>
      <w:lvlText w:val="%2."/>
      <w:lvlJc w:val="left"/>
      <w:pPr>
        <w:ind w:left="2149" w:hanging="360"/>
      </w:pPr>
    </w:lvl>
    <w:lvl w:ilvl="2" w:tplc="0807001B" w:tentative="1">
      <w:start w:val="1"/>
      <w:numFmt w:val="lowerRoman"/>
      <w:lvlText w:val="%3."/>
      <w:lvlJc w:val="right"/>
      <w:pPr>
        <w:ind w:left="2869" w:hanging="180"/>
      </w:pPr>
    </w:lvl>
    <w:lvl w:ilvl="3" w:tplc="0807000F" w:tentative="1">
      <w:start w:val="1"/>
      <w:numFmt w:val="decimal"/>
      <w:lvlText w:val="%4."/>
      <w:lvlJc w:val="left"/>
      <w:pPr>
        <w:ind w:left="3589" w:hanging="360"/>
      </w:pPr>
    </w:lvl>
    <w:lvl w:ilvl="4" w:tplc="08070019" w:tentative="1">
      <w:start w:val="1"/>
      <w:numFmt w:val="lowerLetter"/>
      <w:lvlText w:val="%5."/>
      <w:lvlJc w:val="left"/>
      <w:pPr>
        <w:ind w:left="4309" w:hanging="360"/>
      </w:pPr>
    </w:lvl>
    <w:lvl w:ilvl="5" w:tplc="0807001B" w:tentative="1">
      <w:start w:val="1"/>
      <w:numFmt w:val="lowerRoman"/>
      <w:lvlText w:val="%6."/>
      <w:lvlJc w:val="right"/>
      <w:pPr>
        <w:ind w:left="5029" w:hanging="180"/>
      </w:pPr>
    </w:lvl>
    <w:lvl w:ilvl="6" w:tplc="0807000F" w:tentative="1">
      <w:start w:val="1"/>
      <w:numFmt w:val="decimal"/>
      <w:lvlText w:val="%7."/>
      <w:lvlJc w:val="left"/>
      <w:pPr>
        <w:ind w:left="5749" w:hanging="360"/>
      </w:pPr>
    </w:lvl>
    <w:lvl w:ilvl="7" w:tplc="08070019" w:tentative="1">
      <w:start w:val="1"/>
      <w:numFmt w:val="lowerLetter"/>
      <w:lvlText w:val="%8."/>
      <w:lvlJc w:val="left"/>
      <w:pPr>
        <w:ind w:left="6469" w:hanging="360"/>
      </w:pPr>
    </w:lvl>
    <w:lvl w:ilvl="8" w:tplc="0807001B" w:tentative="1">
      <w:start w:val="1"/>
      <w:numFmt w:val="lowerRoman"/>
      <w:lvlText w:val="%9."/>
      <w:lvlJc w:val="right"/>
      <w:pPr>
        <w:ind w:left="7189" w:hanging="180"/>
      </w:pPr>
    </w:lvl>
  </w:abstractNum>
  <w:abstractNum w:abstractNumId="5" w15:restartNumberingAfterBreak="0">
    <w:nsid w:val="282E1BA0"/>
    <w:multiLevelType w:val="hybridMultilevel"/>
    <w:tmpl w:val="EF3C6A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69A6535"/>
    <w:multiLevelType w:val="hybridMultilevel"/>
    <w:tmpl w:val="3CB68362"/>
    <w:lvl w:ilvl="0" w:tplc="B2367048">
      <w:start w:val="1"/>
      <w:numFmt w:val="bullet"/>
      <w:lvlText w:val=""/>
      <w:lvlJc w:val="left"/>
      <w:pPr>
        <w:ind w:left="1429" w:hanging="360"/>
      </w:pPr>
      <w:rPr>
        <w:rFonts w:ascii="Symbol" w:hAnsi="Symbol" w:hint="default"/>
      </w:rPr>
    </w:lvl>
    <w:lvl w:ilvl="1" w:tplc="08070003" w:tentative="1">
      <w:start w:val="1"/>
      <w:numFmt w:val="bullet"/>
      <w:lvlText w:val="o"/>
      <w:lvlJc w:val="left"/>
      <w:pPr>
        <w:ind w:left="2149" w:hanging="360"/>
      </w:pPr>
      <w:rPr>
        <w:rFonts w:ascii="Courier New" w:hAnsi="Courier New" w:cs="Courier New" w:hint="default"/>
      </w:rPr>
    </w:lvl>
    <w:lvl w:ilvl="2" w:tplc="08070005" w:tentative="1">
      <w:start w:val="1"/>
      <w:numFmt w:val="bullet"/>
      <w:lvlText w:val=""/>
      <w:lvlJc w:val="left"/>
      <w:pPr>
        <w:ind w:left="2869" w:hanging="360"/>
      </w:pPr>
      <w:rPr>
        <w:rFonts w:ascii="Wingdings" w:hAnsi="Wingdings" w:hint="default"/>
      </w:rPr>
    </w:lvl>
    <w:lvl w:ilvl="3" w:tplc="08070001" w:tentative="1">
      <w:start w:val="1"/>
      <w:numFmt w:val="bullet"/>
      <w:lvlText w:val=""/>
      <w:lvlJc w:val="left"/>
      <w:pPr>
        <w:ind w:left="3589" w:hanging="360"/>
      </w:pPr>
      <w:rPr>
        <w:rFonts w:ascii="Symbol" w:hAnsi="Symbol" w:hint="default"/>
      </w:rPr>
    </w:lvl>
    <w:lvl w:ilvl="4" w:tplc="08070003" w:tentative="1">
      <w:start w:val="1"/>
      <w:numFmt w:val="bullet"/>
      <w:lvlText w:val="o"/>
      <w:lvlJc w:val="left"/>
      <w:pPr>
        <w:ind w:left="4309" w:hanging="360"/>
      </w:pPr>
      <w:rPr>
        <w:rFonts w:ascii="Courier New" w:hAnsi="Courier New" w:cs="Courier New" w:hint="default"/>
      </w:rPr>
    </w:lvl>
    <w:lvl w:ilvl="5" w:tplc="08070005" w:tentative="1">
      <w:start w:val="1"/>
      <w:numFmt w:val="bullet"/>
      <w:lvlText w:val=""/>
      <w:lvlJc w:val="left"/>
      <w:pPr>
        <w:ind w:left="5029" w:hanging="360"/>
      </w:pPr>
      <w:rPr>
        <w:rFonts w:ascii="Wingdings" w:hAnsi="Wingdings" w:hint="default"/>
      </w:rPr>
    </w:lvl>
    <w:lvl w:ilvl="6" w:tplc="08070001" w:tentative="1">
      <w:start w:val="1"/>
      <w:numFmt w:val="bullet"/>
      <w:lvlText w:val=""/>
      <w:lvlJc w:val="left"/>
      <w:pPr>
        <w:ind w:left="5749" w:hanging="360"/>
      </w:pPr>
      <w:rPr>
        <w:rFonts w:ascii="Symbol" w:hAnsi="Symbol" w:hint="default"/>
      </w:rPr>
    </w:lvl>
    <w:lvl w:ilvl="7" w:tplc="08070003" w:tentative="1">
      <w:start w:val="1"/>
      <w:numFmt w:val="bullet"/>
      <w:lvlText w:val="o"/>
      <w:lvlJc w:val="left"/>
      <w:pPr>
        <w:ind w:left="6469" w:hanging="360"/>
      </w:pPr>
      <w:rPr>
        <w:rFonts w:ascii="Courier New" w:hAnsi="Courier New" w:cs="Courier New" w:hint="default"/>
      </w:rPr>
    </w:lvl>
    <w:lvl w:ilvl="8" w:tplc="08070005" w:tentative="1">
      <w:start w:val="1"/>
      <w:numFmt w:val="bullet"/>
      <w:lvlText w:val=""/>
      <w:lvlJc w:val="left"/>
      <w:pPr>
        <w:ind w:left="7189" w:hanging="360"/>
      </w:pPr>
      <w:rPr>
        <w:rFonts w:ascii="Wingdings" w:hAnsi="Wingdings" w:hint="default"/>
      </w:rPr>
    </w:lvl>
  </w:abstractNum>
  <w:abstractNum w:abstractNumId="7" w15:restartNumberingAfterBreak="0">
    <w:nsid w:val="47AB1E25"/>
    <w:multiLevelType w:val="hybridMultilevel"/>
    <w:tmpl w:val="5690455A"/>
    <w:lvl w:ilvl="0" w:tplc="040C000F">
      <w:start w:val="1"/>
      <w:numFmt w:val="decimal"/>
      <w:lvlText w:val="%1."/>
      <w:lvlJc w:val="left"/>
      <w:pPr>
        <w:ind w:left="3328" w:hanging="360"/>
      </w:pPr>
    </w:lvl>
    <w:lvl w:ilvl="1" w:tplc="040C0019" w:tentative="1">
      <w:start w:val="1"/>
      <w:numFmt w:val="lowerLetter"/>
      <w:lvlText w:val="%2."/>
      <w:lvlJc w:val="left"/>
      <w:pPr>
        <w:ind w:left="4048" w:hanging="360"/>
      </w:pPr>
    </w:lvl>
    <w:lvl w:ilvl="2" w:tplc="040C001B" w:tentative="1">
      <w:start w:val="1"/>
      <w:numFmt w:val="lowerRoman"/>
      <w:lvlText w:val="%3."/>
      <w:lvlJc w:val="right"/>
      <w:pPr>
        <w:ind w:left="4768" w:hanging="180"/>
      </w:pPr>
    </w:lvl>
    <w:lvl w:ilvl="3" w:tplc="040C000F" w:tentative="1">
      <w:start w:val="1"/>
      <w:numFmt w:val="decimal"/>
      <w:lvlText w:val="%4."/>
      <w:lvlJc w:val="left"/>
      <w:pPr>
        <w:ind w:left="5488" w:hanging="360"/>
      </w:pPr>
    </w:lvl>
    <w:lvl w:ilvl="4" w:tplc="040C0019" w:tentative="1">
      <w:start w:val="1"/>
      <w:numFmt w:val="lowerLetter"/>
      <w:lvlText w:val="%5."/>
      <w:lvlJc w:val="left"/>
      <w:pPr>
        <w:ind w:left="6208" w:hanging="360"/>
      </w:pPr>
    </w:lvl>
    <w:lvl w:ilvl="5" w:tplc="040C001B" w:tentative="1">
      <w:start w:val="1"/>
      <w:numFmt w:val="lowerRoman"/>
      <w:lvlText w:val="%6."/>
      <w:lvlJc w:val="right"/>
      <w:pPr>
        <w:ind w:left="6928" w:hanging="180"/>
      </w:pPr>
    </w:lvl>
    <w:lvl w:ilvl="6" w:tplc="040C000F" w:tentative="1">
      <w:start w:val="1"/>
      <w:numFmt w:val="decimal"/>
      <w:lvlText w:val="%7."/>
      <w:lvlJc w:val="left"/>
      <w:pPr>
        <w:ind w:left="7648" w:hanging="360"/>
      </w:pPr>
    </w:lvl>
    <w:lvl w:ilvl="7" w:tplc="040C0019" w:tentative="1">
      <w:start w:val="1"/>
      <w:numFmt w:val="lowerLetter"/>
      <w:lvlText w:val="%8."/>
      <w:lvlJc w:val="left"/>
      <w:pPr>
        <w:ind w:left="8368" w:hanging="360"/>
      </w:pPr>
    </w:lvl>
    <w:lvl w:ilvl="8" w:tplc="040C001B" w:tentative="1">
      <w:start w:val="1"/>
      <w:numFmt w:val="lowerRoman"/>
      <w:lvlText w:val="%9."/>
      <w:lvlJc w:val="right"/>
      <w:pPr>
        <w:ind w:left="9088" w:hanging="180"/>
      </w:pPr>
    </w:lvl>
  </w:abstractNum>
  <w:abstractNum w:abstractNumId="8" w15:restartNumberingAfterBreak="0">
    <w:nsid w:val="52E2771B"/>
    <w:multiLevelType w:val="hybridMultilevel"/>
    <w:tmpl w:val="A2A06AAC"/>
    <w:lvl w:ilvl="0" w:tplc="C788203A">
      <w:start w:val="1"/>
      <w:numFmt w:val="decimal"/>
      <w:lvlRestart w:val="0"/>
      <w:lvlText w:val="%1"/>
      <w:lvlJc w:val="left"/>
      <w:pPr>
        <w:ind w:left="425" w:hanging="425"/>
      </w:pPr>
      <w:rPr>
        <w:rFonts w:hint="eastAsia"/>
        <w:caps w:val="0"/>
        <w:strike w:val="0"/>
        <w:dstrike w:val="0"/>
        <w:vanish w:val="0"/>
        <w:sz w:val="18"/>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4075B53"/>
    <w:multiLevelType w:val="hybridMultilevel"/>
    <w:tmpl w:val="A0DCA02E"/>
    <w:lvl w:ilvl="0" w:tplc="5CB0595C">
      <w:start w:val="1"/>
      <w:numFmt w:val="decimal"/>
      <w:lvlRestart w:val="0"/>
      <w:lvlText w:val="%1."/>
      <w:lvlJc w:val="left"/>
      <w:pPr>
        <w:ind w:left="3033" w:hanging="425"/>
      </w:pPr>
    </w:lvl>
    <w:lvl w:ilvl="1" w:tplc="04090019" w:tentative="1">
      <w:start w:val="1"/>
      <w:numFmt w:val="lowerLetter"/>
      <w:lvlText w:val="%2."/>
      <w:lvlJc w:val="left"/>
      <w:pPr>
        <w:ind w:left="3691" w:hanging="360"/>
      </w:pPr>
    </w:lvl>
    <w:lvl w:ilvl="2" w:tplc="0409001B" w:tentative="1">
      <w:start w:val="1"/>
      <w:numFmt w:val="lowerRoman"/>
      <w:lvlText w:val="%3."/>
      <w:lvlJc w:val="right"/>
      <w:pPr>
        <w:ind w:left="4411" w:hanging="180"/>
      </w:pPr>
    </w:lvl>
    <w:lvl w:ilvl="3" w:tplc="0409000F" w:tentative="1">
      <w:start w:val="1"/>
      <w:numFmt w:val="decimal"/>
      <w:lvlText w:val="%4."/>
      <w:lvlJc w:val="left"/>
      <w:pPr>
        <w:ind w:left="5131" w:hanging="360"/>
      </w:pPr>
    </w:lvl>
    <w:lvl w:ilvl="4" w:tplc="04090019" w:tentative="1">
      <w:start w:val="1"/>
      <w:numFmt w:val="lowerLetter"/>
      <w:lvlText w:val="%5."/>
      <w:lvlJc w:val="left"/>
      <w:pPr>
        <w:ind w:left="5851" w:hanging="360"/>
      </w:pPr>
    </w:lvl>
    <w:lvl w:ilvl="5" w:tplc="0409001B" w:tentative="1">
      <w:start w:val="1"/>
      <w:numFmt w:val="lowerRoman"/>
      <w:lvlText w:val="%6."/>
      <w:lvlJc w:val="right"/>
      <w:pPr>
        <w:ind w:left="6571" w:hanging="180"/>
      </w:pPr>
    </w:lvl>
    <w:lvl w:ilvl="6" w:tplc="0409000F" w:tentative="1">
      <w:start w:val="1"/>
      <w:numFmt w:val="decimal"/>
      <w:lvlText w:val="%7."/>
      <w:lvlJc w:val="left"/>
      <w:pPr>
        <w:ind w:left="7291" w:hanging="360"/>
      </w:pPr>
    </w:lvl>
    <w:lvl w:ilvl="7" w:tplc="04090019" w:tentative="1">
      <w:start w:val="1"/>
      <w:numFmt w:val="lowerLetter"/>
      <w:lvlText w:val="%8."/>
      <w:lvlJc w:val="left"/>
      <w:pPr>
        <w:ind w:left="8011" w:hanging="360"/>
      </w:pPr>
    </w:lvl>
    <w:lvl w:ilvl="8" w:tplc="0409001B" w:tentative="1">
      <w:start w:val="1"/>
      <w:numFmt w:val="lowerRoman"/>
      <w:lvlText w:val="%9."/>
      <w:lvlJc w:val="right"/>
      <w:pPr>
        <w:ind w:left="8731" w:hanging="180"/>
      </w:pPr>
    </w:lvl>
  </w:abstractNum>
  <w:abstractNum w:abstractNumId="10" w15:restartNumberingAfterBreak="0">
    <w:nsid w:val="56CF7C60"/>
    <w:multiLevelType w:val="hybridMultilevel"/>
    <w:tmpl w:val="7E201858"/>
    <w:lvl w:ilvl="0" w:tplc="7736F520">
      <w:start w:val="1"/>
      <w:numFmt w:val="decimal"/>
      <w:lvlRestart w:val="0"/>
      <w:lvlText w:val="%1."/>
      <w:lvlJc w:val="left"/>
      <w:pPr>
        <w:ind w:left="425" w:hanging="425"/>
      </w:pPr>
      <w:rPr>
        <w:rFonts w:hint="default"/>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06D5736"/>
    <w:multiLevelType w:val="hybridMultilevel"/>
    <w:tmpl w:val="7E201858"/>
    <w:lvl w:ilvl="0" w:tplc="7736F520">
      <w:start w:val="1"/>
      <w:numFmt w:val="decimal"/>
      <w:lvlRestart w:val="0"/>
      <w:lvlText w:val="%1."/>
      <w:lvlJc w:val="left"/>
      <w:pPr>
        <w:ind w:left="425" w:hanging="425"/>
      </w:pPr>
      <w:rPr>
        <w:rFonts w:hint="default"/>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9934B56"/>
    <w:multiLevelType w:val="hybridMultilevel"/>
    <w:tmpl w:val="0A7A2820"/>
    <w:lvl w:ilvl="0" w:tplc="C6F2D5D6">
      <w:start w:val="1"/>
      <w:numFmt w:val="bullet"/>
      <w:lvlRestart w:val="0"/>
      <w:pStyle w:val="MDPI38bullet"/>
      <w:lvlText w:val=""/>
      <w:lvlJc w:val="left"/>
      <w:pPr>
        <w:ind w:left="3033" w:hanging="425"/>
      </w:pPr>
      <w:rPr>
        <w:rFonts w:ascii="Symbol" w:hAnsi="Symbol" w:hint="default"/>
        <w:b w:val="0"/>
        <w:i w:val="0"/>
        <w:sz w:val="20"/>
        <w:vertAlign w:val="baseline"/>
      </w:rPr>
    </w:lvl>
    <w:lvl w:ilvl="1" w:tplc="04090003" w:tentative="1">
      <w:start w:val="1"/>
      <w:numFmt w:val="bullet"/>
      <w:lvlText w:val="o"/>
      <w:lvlJc w:val="left"/>
      <w:pPr>
        <w:ind w:left="4048" w:hanging="360"/>
      </w:pPr>
      <w:rPr>
        <w:rFonts w:ascii="Courier New" w:hAnsi="Courier New" w:cs="Courier New" w:hint="default"/>
      </w:rPr>
    </w:lvl>
    <w:lvl w:ilvl="2" w:tplc="04090005" w:tentative="1">
      <w:start w:val="1"/>
      <w:numFmt w:val="bullet"/>
      <w:lvlText w:val=""/>
      <w:lvlJc w:val="left"/>
      <w:pPr>
        <w:ind w:left="4768" w:hanging="360"/>
      </w:pPr>
      <w:rPr>
        <w:rFonts w:ascii="Wingdings" w:hAnsi="Wingdings" w:hint="default"/>
      </w:rPr>
    </w:lvl>
    <w:lvl w:ilvl="3" w:tplc="04090001" w:tentative="1">
      <w:start w:val="1"/>
      <w:numFmt w:val="bullet"/>
      <w:lvlText w:val=""/>
      <w:lvlJc w:val="left"/>
      <w:pPr>
        <w:ind w:left="5488" w:hanging="360"/>
      </w:pPr>
      <w:rPr>
        <w:rFonts w:ascii="Symbol" w:hAnsi="Symbol" w:hint="default"/>
      </w:rPr>
    </w:lvl>
    <w:lvl w:ilvl="4" w:tplc="04090003" w:tentative="1">
      <w:start w:val="1"/>
      <w:numFmt w:val="bullet"/>
      <w:lvlText w:val="o"/>
      <w:lvlJc w:val="left"/>
      <w:pPr>
        <w:ind w:left="6208" w:hanging="360"/>
      </w:pPr>
      <w:rPr>
        <w:rFonts w:ascii="Courier New" w:hAnsi="Courier New" w:cs="Courier New" w:hint="default"/>
      </w:rPr>
    </w:lvl>
    <w:lvl w:ilvl="5" w:tplc="04090005" w:tentative="1">
      <w:start w:val="1"/>
      <w:numFmt w:val="bullet"/>
      <w:lvlText w:val=""/>
      <w:lvlJc w:val="left"/>
      <w:pPr>
        <w:ind w:left="6928" w:hanging="360"/>
      </w:pPr>
      <w:rPr>
        <w:rFonts w:ascii="Wingdings" w:hAnsi="Wingdings" w:hint="default"/>
      </w:rPr>
    </w:lvl>
    <w:lvl w:ilvl="6" w:tplc="04090001" w:tentative="1">
      <w:start w:val="1"/>
      <w:numFmt w:val="bullet"/>
      <w:lvlText w:val=""/>
      <w:lvlJc w:val="left"/>
      <w:pPr>
        <w:ind w:left="7648" w:hanging="360"/>
      </w:pPr>
      <w:rPr>
        <w:rFonts w:ascii="Symbol" w:hAnsi="Symbol" w:hint="default"/>
      </w:rPr>
    </w:lvl>
    <w:lvl w:ilvl="7" w:tplc="04090003" w:tentative="1">
      <w:start w:val="1"/>
      <w:numFmt w:val="bullet"/>
      <w:lvlText w:val="o"/>
      <w:lvlJc w:val="left"/>
      <w:pPr>
        <w:ind w:left="8368" w:hanging="360"/>
      </w:pPr>
      <w:rPr>
        <w:rFonts w:ascii="Courier New" w:hAnsi="Courier New" w:cs="Courier New" w:hint="default"/>
      </w:rPr>
    </w:lvl>
    <w:lvl w:ilvl="8" w:tplc="04090005" w:tentative="1">
      <w:start w:val="1"/>
      <w:numFmt w:val="bullet"/>
      <w:lvlText w:val=""/>
      <w:lvlJc w:val="left"/>
      <w:pPr>
        <w:ind w:left="9088" w:hanging="360"/>
      </w:pPr>
      <w:rPr>
        <w:rFonts w:ascii="Wingdings" w:hAnsi="Wingdings" w:hint="default"/>
      </w:rPr>
    </w:lvl>
  </w:abstractNum>
  <w:num w:numId="1" w16cid:durableId="974992883">
    <w:abstractNumId w:val="4"/>
  </w:num>
  <w:num w:numId="2" w16cid:durableId="555776481">
    <w:abstractNumId w:val="6"/>
  </w:num>
  <w:num w:numId="3" w16cid:durableId="601255940">
    <w:abstractNumId w:val="3"/>
  </w:num>
  <w:num w:numId="4" w16cid:durableId="824009284">
    <w:abstractNumId w:val="5"/>
  </w:num>
  <w:num w:numId="5" w16cid:durableId="1876191065">
    <w:abstractNumId w:val="9"/>
  </w:num>
  <w:num w:numId="6" w16cid:durableId="1081948278">
    <w:abstractNumId w:val="2"/>
  </w:num>
  <w:num w:numId="7" w16cid:durableId="1789355109">
    <w:abstractNumId w:val="9"/>
  </w:num>
  <w:num w:numId="8" w16cid:durableId="1980456538">
    <w:abstractNumId w:val="2"/>
  </w:num>
  <w:num w:numId="9" w16cid:durableId="2109035981">
    <w:abstractNumId w:val="9"/>
  </w:num>
  <w:num w:numId="10" w16cid:durableId="1054617439">
    <w:abstractNumId w:val="2"/>
  </w:num>
  <w:num w:numId="11" w16cid:durableId="66107910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801653429">
    <w:abstractNumId w:val="10"/>
  </w:num>
  <w:num w:numId="13" w16cid:durableId="1693723847">
    <w:abstractNumId w:val="11"/>
  </w:num>
  <w:num w:numId="14" w16cid:durableId="1418988030">
    <w:abstractNumId w:val="9"/>
  </w:num>
  <w:num w:numId="15" w16cid:durableId="125976518">
    <w:abstractNumId w:val="2"/>
  </w:num>
  <w:num w:numId="16" w16cid:durableId="341248016">
    <w:abstractNumId w:val="0"/>
  </w:num>
  <w:num w:numId="17" w16cid:durableId="1690527788">
    <w:abstractNumId w:val="8"/>
  </w:num>
  <w:num w:numId="18" w16cid:durableId="1347902899">
    <w:abstractNumId w:val="0"/>
  </w:num>
  <w:num w:numId="19" w16cid:durableId="2096046632">
    <w:abstractNumId w:val="9"/>
  </w:num>
  <w:num w:numId="20" w16cid:durableId="1973242990">
    <w:abstractNumId w:val="2"/>
  </w:num>
  <w:num w:numId="21" w16cid:durableId="1261721833">
    <w:abstractNumId w:val="0"/>
  </w:num>
  <w:num w:numId="22" w16cid:durableId="1075513821">
    <w:abstractNumId w:val="12"/>
  </w:num>
  <w:num w:numId="23" w16cid:durableId="1209994667">
    <w:abstractNumId w:val="1"/>
  </w:num>
  <w:num w:numId="24" w16cid:durableId="191812756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bordersDoNotSurroundHeader/>
  <w:bordersDoNotSurroundFooter/>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510"/>
  <w:autoHyphenation/>
  <w:hyphenationZone w:val="425"/>
  <w:drawingGridHorizontalSpacing w:val="100"/>
  <w:drawingGridVerticalSpacing w:val="163"/>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605C0"/>
    <w:rsid w:val="000077D0"/>
    <w:rsid w:val="00010214"/>
    <w:rsid w:val="00012CCE"/>
    <w:rsid w:val="00014B2D"/>
    <w:rsid w:val="00015EA3"/>
    <w:rsid w:val="000170BF"/>
    <w:rsid w:val="00020A2F"/>
    <w:rsid w:val="00036FA8"/>
    <w:rsid w:val="0004263D"/>
    <w:rsid w:val="00051728"/>
    <w:rsid w:val="00054C9A"/>
    <w:rsid w:val="00056CB1"/>
    <w:rsid w:val="000618C9"/>
    <w:rsid w:val="000708F2"/>
    <w:rsid w:val="00072DE9"/>
    <w:rsid w:val="0007350A"/>
    <w:rsid w:val="00075EFF"/>
    <w:rsid w:val="0008004C"/>
    <w:rsid w:val="00082E78"/>
    <w:rsid w:val="000857AD"/>
    <w:rsid w:val="000867C6"/>
    <w:rsid w:val="00093AD1"/>
    <w:rsid w:val="00093F89"/>
    <w:rsid w:val="000A0149"/>
    <w:rsid w:val="000A5BD9"/>
    <w:rsid w:val="000B307E"/>
    <w:rsid w:val="000B6527"/>
    <w:rsid w:val="000B67EC"/>
    <w:rsid w:val="000B7D91"/>
    <w:rsid w:val="000C0D7C"/>
    <w:rsid w:val="000C31B9"/>
    <w:rsid w:val="000C6320"/>
    <w:rsid w:val="000D4EE3"/>
    <w:rsid w:val="000D7BCA"/>
    <w:rsid w:val="000E4397"/>
    <w:rsid w:val="000E67AD"/>
    <w:rsid w:val="000F179B"/>
    <w:rsid w:val="000F1B08"/>
    <w:rsid w:val="000F2BF2"/>
    <w:rsid w:val="000F3D7C"/>
    <w:rsid w:val="000F7B79"/>
    <w:rsid w:val="000F7EDF"/>
    <w:rsid w:val="001004EB"/>
    <w:rsid w:val="0010080C"/>
    <w:rsid w:val="001059DD"/>
    <w:rsid w:val="00106C59"/>
    <w:rsid w:val="00107165"/>
    <w:rsid w:val="001116BF"/>
    <w:rsid w:val="00114F37"/>
    <w:rsid w:val="001330A9"/>
    <w:rsid w:val="00141264"/>
    <w:rsid w:val="00146297"/>
    <w:rsid w:val="00146897"/>
    <w:rsid w:val="00147795"/>
    <w:rsid w:val="00152F07"/>
    <w:rsid w:val="00154913"/>
    <w:rsid w:val="00156246"/>
    <w:rsid w:val="00157C16"/>
    <w:rsid w:val="0016406E"/>
    <w:rsid w:val="00167798"/>
    <w:rsid w:val="00170F5C"/>
    <w:rsid w:val="00173C7D"/>
    <w:rsid w:val="00174A05"/>
    <w:rsid w:val="0018153A"/>
    <w:rsid w:val="001A0270"/>
    <w:rsid w:val="001A0E55"/>
    <w:rsid w:val="001A27D0"/>
    <w:rsid w:val="001B30D0"/>
    <w:rsid w:val="001B57DD"/>
    <w:rsid w:val="001B59D4"/>
    <w:rsid w:val="001C0209"/>
    <w:rsid w:val="001C1D75"/>
    <w:rsid w:val="001D3276"/>
    <w:rsid w:val="001D6700"/>
    <w:rsid w:val="001E2AEB"/>
    <w:rsid w:val="001E2C02"/>
    <w:rsid w:val="001E6A07"/>
    <w:rsid w:val="001F17B0"/>
    <w:rsid w:val="001F2746"/>
    <w:rsid w:val="001F2D18"/>
    <w:rsid w:val="001F4A5C"/>
    <w:rsid w:val="002108BB"/>
    <w:rsid w:val="00217562"/>
    <w:rsid w:val="00222C4C"/>
    <w:rsid w:val="002230EE"/>
    <w:rsid w:val="002263E3"/>
    <w:rsid w:val="00233EDA"/>
    <w:rsid w:val="00236BEF"/>
    <w:rsid w:val="002427C8"/>
    <w:rsid w:val="002457B3"/>
    <w:rsid w:val="00245B13"/>
    <w:rsid w:val="00247317"/>
    <w:rsid w:val="00252942"/>
    <w:rsid w:val="00257672"/>
    <w:rsid w:val="00261025"/>
    <w:rsid w:val="00262987"/>
    <w:rsid w:val="0026306A"/>
    <w:rsid w:val="002635DE"/>
    <w:rsid w:val="00264A8B"/>
    <w:rsid w:val="00266BC6"/>
    <w:rsid w:val="002718E3"/>
    <w:rsid w:val="00271AC5"/>
    <w:rsid w:val="002740CB"/>
    <w:rsid w:val="00284330"/>
    <w:rsid w:val="00287EA1"/>
    <w:rsid w:val="002919A8"/>
    <w:rsid w:val="00292B87"/>
    <w:rsid w:val="00293469"/>
    <w:rsid w:val="00293B61"/>
    <w:rsid w:val="002953DC"/>
    <w:rsid w:val="002A13D0"/>
    <w:rsid w:val="002A3323"/>
    <w:rsid w:val="002A7CBF"/>
    <w:rsid w:val="002B7F0A"/>
    <w:rsid w:val="002C2161"/>
    <w:rsid w:val="002C3E1B"/>
    <w:rsid w:val="002C4CF1"/>
    <w:rsid w:val="002C7384"/>
    <w:rsid w:val="002D2D8F"/>
    <w:rsid w:val="002D46B7"/>
    <w:rsid w:val="002D5A4D"/>
    <w:rsid w:val="002E0674"/>
    <w:rsid w:val="002E44D6"/>
    <w:rsid w:val="002E57BB"/>
    <w:rsid w:val="002F1C92"/>
    <w:rsid w:val="002F5397"/>
    <w:rsid w:val="002F7328"/>
    <w:rsid w:val="00304E88"/>
    <w:rsid w:val="00304EBE"/>
    <w:rsid w:val="003162F2"/>
    <w:rsid w:val="00317210"/>
    <w:rsid w:val="0032364D"/>
    <w:rsid w:val="0032522E"/>
    <w:rsid w:val="00326141"/>
    <w:rsid w:val="0033254E"/>
    <w:rsid w:val="00332603"/>
    <w:rsid w:val="003531E5"/>
    <w:rsid w:val="00353AFC"/>
    <w:rsid w:val="00355EDC"/>
    <w:rsid w:val="003603FE"/>
    <w:rsid w:val="0036185D"/>
    <w:rsid w:val="00363CEF"/>
    <w:rsid w:val="003733F4"/>
    <w:rsid w:val="00383629"/>
    <w:rsid w:val="00385063"/>
    <w:rsid w:val="003872FD"/>
    <w:rsid w:val="0039076D"/>
    <w:rsid w:val="00392F12"/>
    <w:rsid w:val="00395263"/>
    <w:rsid w:val="003971EB"/>
    <w:rsid w:val="00397AB6"/>
    <w:rsid w:val="00397EDD"/>
    <w:rsid w:val="003A1102"/>
    <w:rsid w:val="003A1A6F"/>
    <w:rsid w:val="003A29E3"/>
    <w:rsid w:val="003A7FD6"/>
    <w:rsid w:val="003B0BD9"/>
    <w:rsid w:val="003B242A"/>
    <w:rsid w:val="003B25B0"/>
    <w:rsid w:val="003B27AA"/>
    <w:rsid w:val="003B2C5E"/>
    <w:rsid w:val="003B5BE8"/>
    <w:rsid w:val="003B6196"/>
    <w:rsid w:val="003B7C81"/>
    <w:rsid w:val="003C22F2"/>
    <w:rsid w:val="003C5E62"/>
    <w:rsid w:val="003D0897"/>
    <w:rsid w:val="003D1594"/>
    <w:rsid w:val="003D7032"/>
    <w:rsid w:val="003D7691"/>
    <w:rsid w:val="003E1599"/>
    <w:rsid w:val="003F021E"/>
    <w:rsid w:val="003F33F1"/>
    <w:rsid w:val="003F5D54"/>
    <w:rsid w:val="003F6859"/>
    <w:rsid w:val="00401D30"/>
    <w:rsid w:val="004036CE"/>
    <w:rsid w:val="00403EBB"/>
    <w:rsid w:val="00422FAA"/>
    <w:rsid w:val="004236EE"/>
    <w:rsid w:val="004305BD"/>
    <w:rsid w:val="004305D6"/>
    <w:rsid w:val="00436272"/>
    <w:rsid w:val="00436DC9"/>
    <w:rsid w:val="004377F7"/>
    <w:rsid w:val="00441FE3"/>
    <w:rsid w:val="00442299"/>
    <w:rsid w:val="00443146"/>
    <w:rsid w:val="004453F6"/>
    <w:rsid w:val="00445E9E"/>
    <w:rsid w:val="00447899"/>
    <w:rsid w:val="0045130B"/>
    <w:rsid w:val="00460005"/>
    <w:rsid w:val="0046105E"/>
    <w:rsid w:val="00462FCD"/>
    <w:rsid w:val="004768DA"/>
    <w:rsid w:val="00477478"/>
    <w:rsid w:val="00480258"/>
    <w:rsid w:val="00480683"/>
    <w:rsid w:val="00480CA1"/>
    <w:rsid w:val="004836C3"/>
    <w:rsid w:val="00484695"/>
    <w:rsid w:val="0049173A"/>
    <w:rsid w:val="00491756"/>
    <w:rsid w:val="00496894"/>
    <w:rsid w:val="004A1981"/>
    <w:rsid w:val="004A3265"/>
    <w:rsid w:val="004A3674"/>
    <w:rsid w:val="004A734A"/>
    <w:rsid w:val="004A7521"/>
    <w:rsid w:val="004A7DDC"/>
    <w:rsid w:val="004B2B04"/>
    <w:rsid w:val="004C0A51"/>
    <w:rsid w:val="004C416F"/>
    <w:rsid w:val="004D34AB"/>
    <w:rsid w:val="004D5404"/>
    <w:rsid w:val="004E10F3"/>
    <w:rsid w:val="004E21C9"/>
    <w:rsid w:val="004E5F83"/>
    <w:rsid w:val="004E6A47"/>
    <w:rsid w:val="004E6A7E"/>
    <w:rsid w:val="004F1B7C"/>
    <w:rsid w:val="004F4CA8"/>
    <w:rsid w:val="004F5EE3"/>
    <w:rsid w:val="004F6BB2"/>
    <w:rsid w:val="004F72B0"/>
    <w:rsid w:val="005007AF"/>
    <w:rsid w:val="0050588F"/>
    <w:rsid w:val="005121F8"/>
    <w:rsid w:val="00513E06"/>
    <w:rsid w:val="0051504A"/>
    <w:rsid w:val="00524316"/>
    <w:rsid w:val="0053202B"/>
    <w:rsid w:val="00536C12"/>
    <w:rsid w:val="00547D99"/>
    <w:rsid w:val="00552B6D"/>
    <w:rsid w:val="005557D2"/>
    <w:rsid w:val="0056276D"/>
    <w:rsid w:val="00564C96"/>
    <w:rsid w:val="005665FF"/>
    <w:rsid w:val="00571B42"/>
    <w:rsid w:val="00571CA7"/>
    <w:rsid w:val="0057215B"/>
    <w:rsid w:val="00573EDA"/>
    <w:rsid w:val="00577C42"/>
    <w:rsid w:val="0058283F"/>
    <w:rsid w:val="00586574"/>
    <w:rsid w:val="00587373"/>
    <w:rsid w:val="00587A2B"/>
    <w:rsid w:val="0059007F"/>
    <w:rsid w:val="00591A15"/>
    <w:rsid w:val="00594844"/>
    <w:rsid w:val="005A13A0"/>
    <w:rsid w:val="005A24E4"/>
    <w:rsid w:val="005A40A1"/>
    <w:rsid w:val="005A69EF"/>
    <w:rsid w:val="005A7A7A"/>
    <w:rsid w:val="005B101F"/>
    <w:rsid w:val="005C26BB"/>
    <w:rsid w:val="005C3BB4"/>
    <w:rsid w:val="005C54A2"/>
    <w:rsid w:val="005C733D"/>
    <w:rsid w:val="005E0851"/>
    <w:rsid w:val="005E1CD5"/>
    <w:rsid w:val="005E2502"/>
    <w:rsid w:val="005E28D6"/>
    <w:rsid w:val="005E72E5"/>
    <w:rsid w:val="005F17C8"/>
    <w:rsid w:val="005F7379"/>
    <w:rsid w:val="005F769A"/>
    <w:rsid w:val="005F77B7"/>
    <w:rsid w:val="006058D0"/>
    <w:rsid w:val="006115E5"/>
    <w:rsid w:val="00614122"/>
    <w:rsid w:val="00632B00"/>
    <w:rsid w:val="00633987"/>
    <w:rsid w:val="00640F36"/>
    <w:rsid w:val="00644CFA"/>
    <w:rsid w:val="00646525"/>
    <w:rsid w:val="00650E1E"/>
    <w:rsid w:val="0065205D"/>
    <w:rsid w:val="00652542"/>
    <w:rsid w:val="00655965"/>
    <w:rsid w:val="006573CF"/>
    <w:rsid w:val="00657CE6"/>
    <w:rsid w:val="00660875"/>
    <w:rsid w:val="00661755"/>
    <w:rsid w:val="00664F05"/>
    <w:rsid w:val="00670A10"/>
    <w:rsid w:val="006715CD"/>
    <w:rsid w:val="00671B85"/>
    <w:rsid w:val="00674463"/>
    <w:rsid w:val="006834F1"/>
    <w:rsid w:val="00687DF5"/>
    <w:rsid w:val="00690C99"/>
    <w:rsid w:val="00692393"/>
    <w:rsid w:val="006937AF"/>
    <w:rsid w:val="00697BA5"/>
    <w:rsid w:val="006A68B2"/>
    <w:rsid w:val="006A6977"/>
    <w:rsid w:val="006B53DB"/>
    <w:rsid w:val="006B5759"/>
    <w:rsid w:val="006C0D56"/>
    <w:rsid w:val="006C3737"/>
    <w:rsid w:val="006D762E"/>
    <w:rsid w:val="006E1BB2"/>
    <w:rsid w:val="006E551F"/>
    <w:rsid w:val="006E702C"/>
    <w:rsid w:val="006F574A"/>
    <w:rsid w:val="006F7AA7"/>
    <w:rsid w:val="007009AD"/>
    <w:rsid w:val="00703131"/>
    <w:rsid w:val="00711354"/>
    <w:rsid w:val="00713151"/>
    <w:rsid w:val="0072010E"/>
    <w:rsid w:val="00721F87"/>
    <w:rsid w:val="00722225"/>
    <w:rsid w:val="0072289F"/>
    <w:rsid w:val="00723F43"/>
    <w:rsid w:val="00724D1D"/>
    <w:rsid w:val="00724E98"/>
    <w:rsid w:val="00725A0F"/>
    <w:rsid w:val="0073548A"/>
    <w:rsid w:val="00740FAD"/>
    <w:rsid w:val="00743E21"/>
    <w:rsid w:val="00746DA3"/>
    <w:rsid w:val="00752602"/>
    <w:rsid w:val="00755A6D"/>
    <w:rsid w:val="00760EE7"/>
    <w:rsid w:val="00761331"/>
    <w:rsid w:val="00764D22"/>
    <w:rsid w:val="00765CDA"/>
    <w:rsid w:val="00770B33"/>
    <w:rsid w:val="00770CEC"/>
    <w:rsid w:val="00774EC8"/>
    <w:rsid w:val="00781A56"/>
    <w:rsid w:val="007832EB"/>
    <w:rsid w:val="007838DB"/>
    <w:rsid w:val="00783D07"/>
    <w:rsid w:val="00784818"/>
    <w:rsid w:val="00784ABB"/>
    <w:rsid w:val="007A27D9"/>
    <w:rsid w:val="007A78F7"/>
    <w:rsid w:val="007B2104"/>
    <w:rsid w:val="007B3443"/>
    <w:rsid w:val="007B6103"/>
    <w:rsid w:val="007C0020"/>
    <w:rsid w:val="007D24DE"/>
    <w:rsid w:val="007E144A"/>
    <w:rsid w:val="007E4849"/>
    <w:rsid w:val="007E5152"/>
    <w:rsid w:val="007E55D1"/>
    <w:rsid w:val="007E6D36"/>
    <w:rsid w:val="007F2498"/>
    <w:rsid w:val="007F25EE"/>
    <w:rsid w:val="007F3CA9"/>
    <w:rsid w:val="007F7873"/>
    <w:rsid w:val="007F7D99"/>
    <w:rsid w:val="00801E3A"/>
    <w:rsid w:val="008062BD"/>
    <w:rsid w:val="00813CEC"/>
    <w:rsid w:val="0081618A"/>
    <w:rsid w:val="00816234"/>
    <w:rsid w:val="00816BF7"/>
    <w:rsid w:val="00817738"/>
    <w:rsid w:val="00817F79"/>
    <w:rsid w:val="008325A8"/>
    <w:rsid w:val="00836ADB"/>
    <w:rsid w:val="0084253D"/>
    <w:rsid w:val="0084424D"/>
    <w:rsid w:val="00844972"/>
    <w:rsid w:val="0084576A"/>
    <w:rsid w:val="00846311"/>
    <w:rsid w:val="008503DD"/>
    <w:rsid w:val="00851D14"/>
    <w:rsid w:val="00857F53"/>
    <w:rsid w:val="008605C0"/>
    <w:rsid w:val="00866130"/>
    <w:rsid w:val="008666ED"/>
    <w:rsid w:val="008727EF"/>
    <w:rsid w:val="0087571F"/>
    <w:rsid w:val="00876E2A"/>
    <w:rsid w:val="00877DED"/>
    <w:rsid w:val="00882E0E"/>
    <w:rsid w:val="00890D2D"/>
    <w:rsid w:val="00894240"/>
    <w:rsid w:val="00895006"/>
    <w:rsid w:val="00896273"/>
    <w:rsid w:val="008A0502"/>
    <w:rsid w:val="008A2924"/>
    <w:rsid w:val="008A2D08"/>
    <w:rsid w:val="008A7AA3"/>
    <w:rsid w:val="008A7C36"/>
    <w:rsid w:val="008B18F3"/>
    <w:rsid w:val="008B5343"/>
    <w:rsid w:val="008B6A57"/>
    <w:rsid w:val="008B795E"/>
    <w:rsid w:val="008C7F0C"/>
    <w:rsid w:val="008D2579"/>
    <w:rsid w:val="008D2EEA"/>
    <w:rsid w:val="008E3E38"/>
    <w:rsid w:val="008F3BB4"/>
    <w:rsid w:val="008F564A"/>
    <w:rsid w:val="008F5DDD"/>
    <w:rsid w:val="00900C00"/>
    <w:rsid w:val="00904204"/>
    <w:rsid w:val="00910C8D"/>
    <w:rsid w:val="00916A2B"/>
    <w:rsid w:val="0092565C"/>
    <w:rsid w:val="00930F36"/>
    <w:rsid w:val="00933314"/>
    <w:rsid w:val="00935E3B"/>
    <w:rsid w:val="0093604C"/>
    <w:rsid w:val="00937D64"/>
    <w:rsid w:val="00942F63"/>
    <w:rsid w:val="0095148D"/>
    <w:rsid w:val="0096110B"/>
    <w:rsid w:val="009634D9"/>
    <w:rsid w:val="00963B0A"/>
    <w:rsid w:val="00964F13"/>
    <w:rsid w:val="00967A38"/>
    <w:rsid w:val="00971111"/>
    <w:rsid w:val="0097368C"/>
    <w:rsid w:val="00973720"/>
    <w:rsid w:val="00974E97"/>
    <w:rsid w:val="00981229"/>
    <w:rsid w:val="0098793B"/>
    <w:rsid w:val="00990820"/>
    <w:rsid w:val="00990A37"/>
    <w:rsid w:val="00992D51"/>
    <w:rsid w:val="009933DC"/>
    <w:rsid w:val="00993CAF"/>
    <w:rsid w:val="009A2EEA"/>
    <w:rsid w:val="009A49D8"/>
    <w:rsid w:val="009B01FD"/>
    <w:rsid w:val="009B06D8"/>
    <w:rsid w:val="009B1842"/>
    <w:rsid w:val="009C04E6"/>
    <w:rsid w:val="009C0E29"/>
    <w:rsid w:val="009C29A6"/>
    <w:rsid w:val="009C43DA"/>
    <w:rsid w:val="009D00AD"/>
    <w:rsid w:val="009D4F13"/>
    <w:rsid w:val="009E2EFC"/>
    <w:rsid w:val="009E70E8"/>
    <w:rsid w:val="009F4F4A"/>
    <w:rsid w:val="009F5772"/>
    <w:rsid w:val="009F6D76"/>
    <w:rsid w:val="009F6ED9"/>
    <w:rsid w:val="009F70E6"/>
    <w:rsid w:val="00A01849"/>
    <w:rsid w:val="00A03246"/>
    <w:rsid w:val="00A059F1"/>
    <w:rsid w:val="00A05BC8"/>
    <w:rsid w:val="00A07EF9"/>
    <w:rsid w:val="00A2332D"/>
    <w:rsid w:val="00A24D94"/>
    <w:rsid w:val="00A257EA"/>
    <w:rsid w:val="00A259C2"/>
    <w:rsid w:val="00A336F5"/>
    <w:rsid w:val="00A34BA1"/>
    <w:rsid w:val="00A35B66"/>
    <w:rsid w:val="00A36177"/>
    <w:rsid w:val="00A3624E"/>
    <w:rsid w:val="00A4152E"/>
    <w:rsid w:val="00A41565"/>
    <w:rsid w:val="00A42885"/>
    <w:rsid w:val="00A434E1"/>
    <w:rsid w:val="00A566AE"/>
    <w:rsid w:val="00A571A5"/>
    <w:rsid w:val="00A61C5F"/>
    <w:rsid w:val="00A71EAA"/>
    <w:rsid w:val="00A727CB"/>
    <w:rsid w:val="00A74472"/>
    <w:rsid w:val="00A80672"/>
    <w:rsid w:val="00A86B56"/>
    <w:rsid w:val="00A95098"/>
    <w:rsid w:val="00AA17F8"/>
    <w:rsid w:val="00AA4376"/>
    <w:rsid w:val="00AB27AD"/>
    <w:rsid w:val="00AC3155"/>
    <w:rsid w:val="00AC391B"/>
    <w:rsid w:val="00AC3D32"/>
    <w:rsid w:val="00AC754B"/>
    <w:rsid w:val="00AD0033"/>
    <w:rsid w:val="00AD0A91"/>
    <w:rsid w:val="00AD505E"/>
    <w:rsid w:val="00AD7031"/>
    <w:rsid w:val="00AE11DD"/>
    <w:rsid w:val="00AE62E4"/>
    <w:rsid w:val="00AE6A30"/>
    <w:rsid w:val="00AE7E98"/>
    <w:rsid w:val="00AF1750"/>
    <w:rsid w:val="00AF3247"/>
    <w:rsid w:val="00AF3D2F"/>
    <w:rsid w:val="00B01681"/>
    <w:rsid w:val="00B02203"/>
    <w:rsid w:val="00B0433F"/>
    <w:rsid w:val="00B043E2"/>
    <w:rsid w:val="00B0622A"/>
    <w:rsid w:val="00B07152"/>
    <w:rsid w:val="00B12068"/>
    <w:rsid w:val="00B12FA5"/>
    <w:rsid w:val="00B16A6B"/>
    <w:rsid w:val="00B174B4"/>
    <w:rsid w:val="00B241D9"/>
    <w:rsid w:val="00B245D2"/>
    <w:rsid w:val="00B34817"/>
    <w:rsid w:val="00B407FC"/>
    <w:rsid w:val="00B419AE"/>
    <w:rsid w:val="00B5271F"/>
    <w:rsid w:val="00B561EF"/>
    <w:rsid w:val="00B613D5"/>
    <w:rsid w:val="00B64B65"/>
    <w:rsid w:val="00B71AE1"/>
    <w:rsid w:val="00B72B40"/>
    <w:rsid w:val="00B76421"/>
    <w:rsid w:val="00B879B7"/>
    <w:rsid w:val="00B911D3"/>
    <w:rsid w:val="00B91264"/>
    <w:rsid w:val="00B913E8"/>
    <w:rsid w:val="00B94E00"/>
    <w:rsid w:val="00B97A9E"/>
    <w:rsid w:val="00BA0705"/>
    <w:rsid w:val="00BA0DDA"/>
    <w:rsid w:val="00BA1073"/>
    <w:rsid w:val="00BA1653"/>
    <w:rsid w:val="00BB35E4"/>
    <w:rsid w:val="00BB3FD8"/>
    <w:rsid w:val="00BB7095"/>
    <w:rsid w:val="00BC2323"/>
    <w:rsid w:val="00BD26C9"/>
    <w:rsid w:val="00BD4C89"/>
    <w:rsid w:val="00BE0772"/>
    <w:rsid w:val="00BE3C93"/>
    <w:rsid w:val="00BE4865"/>
    <w:rsid w:val="00BE6AC3"/>
    <w:rsid w:val="00BF24DF"/>
    <w:rsid w:val="00C00F51"/>
    <w:rsid w:val="00C03BD4"/>
    <w:rsid w:val="00C044CC"/>
    <w:rsid w:val="00C05EA6"/>
    <w:rsid w:val="00C0606C"/>
    <w:rsid w:val="00C11106"/>
    <w:rsid w:val="00C1284E"/>
    <w:rsid w:val="00C15C91"/>
    <w:rsid w:val="00C22CE6"/>
    <w:rsid w:val="00C23C03"/>
    <w:rsid w:val="00C248F9"/>
    <w:rsid w:val="00C27444"/>
    <w:rsid w:val="00C30B2A"/>
    <w:rsid w:val="00C30CC4"/>
    <w:rsid w:val="00C349EF"/>
    <w:rsid w:val="00C3716D"/>
    <w:rsid w:val="00C42E95"/>
    <w:rsid w:val="00C465A4"/>
    <w:rsid w:val="00C47469"/>
    <w:rsid w:val="00C51E9C"/>
    <w:rsid w:val="00C52D62"/>
    <w:rsid w:val="00C724AF"/>
    <w:rsid w:val="00C7286F"/>
    <w:rsid w:val="00C75786"/>
    <w:rsid w:val="00C86614"/>
    <w:rsid w:val="00C96D42"/>
    <w:rsid w:val="00CA6A09"/>
    <w:rsid w:val="00CA73B0"/>
    <w:rsid w:val="00CB0337"/>
    <w:rsid w:val="00CB1256"/>
    <w:rsid w:val="00CB705D"/>
    <w:rsid w:val="00CB7F60"/>
    <w:rsid w:val="00CC5A41"/>
    <w:rsid w:val="00CC776F"/>
    <w:rsid w:val="00CC7C3B"/>
    <w:rsid w:val="00CD1F93"/>
    <w:rsid w:val="00CD2D69"/>
    <w:rsid w:val="00CD49DF"/>
    <w:rsid w:val="00CD6965"/>
    <w:rsid w:val="00CE3971"/>
    <w:rsid w:val="00CF2280"/>
    <w:rsid w:val="00CF3EDF"/>
    <w:rsid w:val="00D01B86"/>
    <w:rsid w:val="00D0374D"/>
    <w:rsid w:val="00D03AA6"/>
    <w:rsid w:val="00D04811"/>
    <w:rsid w:val="00D116A4"/>
    <w:rsid w:val="00D160D6"/>
    <w:rsid w:val="00D17413"/>
    <w:rsid w:val="00D21D23"/>
    <w:rsid w:val="00D227A4"/>
    <w:rsid w:val="00D34717"/>
    <w:rsid w:val="00D43A18"/>
    <w:rsid w:val="00D45773"/>
    <w:rsid w:val="00D460EB"/>
    <w:rsid w:val="00D465C1"/>
    <w:rsid w:val="00D47F41"/>
    <w:rsid w:val="00D50F18"/>
    <w:rsid w:val="00D516E3"/>
    <w:rsid w:val="00D5322D"/>
    <w:rsid w:val="00D54784"/>
    <w:rsid w:val="00D54F3F"/>
    <w:rsid w:val="00D54FEE"/>
    <w:rsid w:val="00D622F6"/>
    <w:rsid w:val="00D65AE8"/>
    <w:rsid w:val="00D665CD"/>
    <w:rsid w:val="00D7706A"/>
    <w:rsid w:val="00D772EE"/>
    <w:rsid w:val="00D8078B"/>
    <w:rsid w:val="00D8090C"/>
    <w:rsid w:val="00D87884"/>
    <w:rsid w:val="00D9011A"/>
    <w:rsid w:val="00D91170"/>
    <w:rsid w:val="00D92938"/>
    <w:rsid w:val="00DA2491"/>
    <w:rsid w:val="00DA4203"/>
    <w:rsid w:val="00DA59F1"/>
    <w:rsid w:val="00DB138D"/>
    <w:rsid w:val="00DB372E"/>
    <w:rsid w:val="00DC335E"/>
    <w:rsid w:val="00DC7011"/>
    <w:rsid w:val="00DC7E7A"/>
    <w:rsid w:val="00DD4557"/>
    <w:rsid w:val="00DD499E"/>
    <w:rsid w:val="00DD52E1"/>
    <w:rsid w:val="00DD5693"/>
    <w:rsid w:val="00DE7946"/>
    <w:rsid w:val="00DF004E"/>
    <w:rsid w:val="00DF3324"/>
    <w:rsid w:val="00E10E7D"/>
    <w:rsid w:val="00E12A43"/>
    <w:rsid w:val="00E22B57"/>
    <w:rsid w:val="00E23E98"/>
    <w:rsid w:val="00E240B0"/>
    <w:rsid w:val="00E253F3"/>
    <w:rsid w:val="00E311B4"/>
    <w:rsid w:val="00E41345"/>
    <w:rsid w:val="00E44973"/>
    <w:rsid w:val="00E45B3A"/>
    <w:rsid w:val="00E46F87"/>
    <w:rsid w:val="00E50BC4"/>
    <w:rsid w:val="00E5319C"/>
    <w:rsid w:val="00E57F00"/>
    <w:rsid w:val="00E63514"/>
    <w:rsid w:val="00E736C4"/>
    <w:rsid w:val="00E805E2"/>
    <w:rsid w:val="00E84068"/>
    <w:rsid w:val="00E84202"/>
    <w:rsid w:val="00E94669"/>
    <w:rsid w:val="00E949D7"/>
    <w:rsid w:val="00EA0342"/>
    <w:rsid w:val="00EA2009"/>
    <w:rsid w:val="00EA7668"/>
    <w:rsid w:val="00EB0C9C"/>
    <w:rsid w:val="00EB3AEB"/>
    <w:rsid w:val="00EC0B2D"/>
    <w:rsid w:val="00EC0DEB"/>
    <w:rsid w:val="00EC20D9"/>
    <w:rsid w:val="00EC2321"/>
    <w:rsid w:val="00EC6440"/>
    <w:rsid w:val="00ED2822"/>
    <w:rsid w:val="00ED6179"/>
    <w:rsid w:val="00ED68ED"/>
    <w:rsid w:val="00ED6CD1"/>
    <w:rsid w:val="00ED7502"/>
    <w:rsid w:val="00ED7A15"/>
    <w:rsid w:val="00EE1CE7"/>
    <w:rsid w:val="00EE43E5"/>
    <w:rsid w:val="00EF01C4"/>
    <w:rsid w:val="00EF19B3"/>
    <w:rsid w:val="00EF349D"/>
    <w:rsid w:val="00EF6F5F"/>
    <w:rsid w:val="00EF77AB"/>
    <w:rsid w:val="00F05472"/>
    <w:rsid w:val="00F057F0"/>
    <w:rsid w:val="00F05A7A"/>
    <w:rsid w:val="00F07C2D"/>
    <w:rsid w:val="00F15DDE"/>
    <w:rsid w:val="00F16156"/>
    <w:rsid w:val="00F17CF9"/>
    <w:rsid w:val="00F32FD5"/>
    <w:rsid w:val="00F375F6"/>
    <w:rsid w:val="00F41109"/>
    <w:rsid w:val="00F4407C"/>
    <w:rsid w:val="00F473CA"/>
    <w:rsid w:val="00F50F39"/>
    <w:rsid w:val="00F514F1"/>
    <w:rsid w:val="00F51D68"/>
    <w:rsid w:val="00F52C2C"/>
    <w:rsid w:val="00F53871"/>
    <w:rsid w:val="00F556EA"/>
    <w:rsid w:val="00F612FE"/>
    <w:rsid w:val="00F66765"/>
    <w:rsid w:val="00F7449D"/>
    <w:rsid w:val="00F77DE8"/>
    <w:rsid w:val="00F90060"/>
    <w:rsid w:val="00F92F6C"/>
    <w:rsid w:val="00FA27CB"/>
    <w:rsid w:val="00FA500C"/>
    <w:rsid w:val="00FA6DA6"/>
    <w:rsid w:val="00FB2E12"/>
    <w:rsid w:val="00FB369F"/>
    <w:rsid w:val="00FC295C"/>
    <w:rsid w:val="00FC520A"/>
    <w:rsid w:val="00FC6C4A"/>
    <w:rsid w:val="00FD130A"/>
    <w:rsid w:val="00FD2736"/>
    <w:rsid w:val="00FD2A9E"/>
    <w:rsid w:val="00FE7210"/>
    <w:rsid w:val="00FE7FBC"/>
    <w:rsid w:val="00FF087D"/>
    <w:rsid w:val="00FF49F2"/>
    <w:rsid w:val="00FF7E1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2E8700"/>
  <w15:chartTrackingRefBased/>
  <w15:docId w15:val="{4700A6AC-DBB5-4EB0-B74F-3C6BD3576E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SimSun"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0258"/>
    <w:pPr>
      <w:spacing w:line="260" w:lineRule="atLeast"/>
      <w:jc w:val="both"/>
    </w:pPr>
    <w:rPr>
      <w:rFonts w:ascii="Palatino Linotype" w:hAnsi="Palatino Linotype"/>
      <w:noProof/>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DPI11articletype">
    <w:name w:val="MDPI_1.1_article_type"/>
    <w:next w:val="Normal"/>
    <w:qFormat/>
    <w:rsid w:val="00480258"/>
    <w:pPr>
      <w:adjustRightInd w:val="0"/>
      <w:snapToGrid w:val="0"/>
      <w:spacing w:before="240"/>
    </w:pPr>
    <w:rPr>
      <w:rFonts w:ascii="Palatino Linotype" w:eastAsia="Times New Roman" w:hAnsi="Palatino Linotype"/>
      <w:i/>
      <w:snapToGrid w:val="0"/>
      <w:color w:val="000000"/>
      <w:szCs w:val="22"/>
      <w:lang w:eastAsia="de-DE" w:bidi="en-US"/>
    </w:rPr>
  </w:style>
  <w:style w:type="paragraph" w:customStyle="1" w:styleId="MDPI12title">
    <w:name w:val="MDPI_1.2_title"/>
    <w:next w:val="Normal"/>
    <w:qFormat/>
    <w:rsid w:val="00480258"/>
    <w:pPr>
      <w:adjustRightInd w:val="0"/>
      <w:snapToGrid w:val="0"/>
      <w:spacing w:after="240" w:line="240" w:lineRule="atLeast"/>
    </w:pPr>
    <w:rPr>
      <w:rFonts w:ascii="Palatino Linotype" w:eastAsia="Times New Roman" w:hAnsi="Palatino Linotype"/>
      <w:b/>
      <w:snapToGrid w:val="0"/>
      <w:color w:val="000000"/>
      <w:sz w:val="36"/>
      <w:lang w:eastAsia="de-DE" w:bidi="en-US"/>
    </w:rPr>
  </w:style>
  <w:style w:type="paragraph" w:customStyle="1" w:styleId="MDPI13authornames">
    <w:name w:val="MDPI_1.3_authornames"/>
    <w:next w:val="Normal"/>
    <w:qFormat/>
    <w:rsid w:val="00480258"/>
    <w:pPr>
      <w:adjustRightInd w:val="0"/>
      <w:snapToGrid w:val="0"/>
      <w:spacing w:after="360" w:line="260" w:lineRule="atLeast"/>
    </w:pPr>
    <w:rPr>
      <w:rFonts w:ascii="Palatino Linotype" w:eastAsia="Times New Roman" w:hAnsi="Palatino Linotype"/>
      <w:b/>
      <w:color w:val="000000"/>
      <w:szCs w:val="22"/>
      <w:lang w:eastAsia="de-DE" w:bidi="en-US"/>
    </w:rPr>
  </w:style>
  <w:style w:type="paragraph" w:customStyle="1" w:styleId="MDPI14history">
    <w:name w:val="MDPI_1.4_history"/>
    <w:basedOn w:val="Normal"/>
    <w:next w:val="Normal"/>
    <w:qFormat/>
    <w:rsid w:val="00480258"/>
    <w:pPr>
      <w:adjustRightInd w:val="0"/>
      <w:snapToGrid w:val="0"/>
      <w:spacing w:line="240" w:lineRule="atLeast"/>
      <w:ind w:right="113"/>
      <w:jc w:val="left"/>
    </w:pPr>
    <w:rPr>
      <w:rFonts w:eastAsia="Times New Roman"/>
      <w:noProof w:val="0"/>
      <w:sz w:val="14"/>
      <w:lang w:eastAsia="de-DE" w:bidi="en-US"/>
    </w:rPr>
  </w:style>
  <w:style w:type="paragraph" w:customStyle="1" w:styleId="MDPI16affiliation">
    <w:name w:val="MDPI_1.6_affiliation"/>
    <w:qFormat/>
    <w:rsid w:val="00480258"/>
    <w:pPr>
      <w:adjustRightInd w:val="0"/>
      <w:snapToGrid w:val="0"/>
      <w:spacing w:line="200" w:lineRule="atLeast"/>
      <w:ind w:left="2806" w:hanging="198"/>
    </w:pPr>
    <w:rPr>
      <w:rFonts w:ascii="Palatino Linotype" w:eastAsia="Times New Roman" w:hAnsi="Palatino Linotype"/>
      <w:color w:val="000000"/>
      <w:sz w:val="16"/>
      <w:szCs w:val="18"/>
      <w:lang w:eastAsia="de-DE" w:bidi="en-US"/>
    </w:rPr>
  </w:style>
  <w:style w:type="paragraph" w:customStyle="1" w:styleId="MDPI17abstract">
    <w:name w:val="MDPI_1.7_abstract"/>
    <w:next w:val="Normal"/>
    <w:qFormat/>
    <w:rsid w:val="00480258"/>
    <w:pPr>
      <w:adjustRightInd w:val="0"/>
      <w:snapToGrid w:val="0"/>
      <w:spacing w:before="240" w:line="260" w:lineRule="atLeast"/>
      <w:ind w:left="2608"/>
      <w:jc w:val="both"/>
    </w:pPr>
    <w:rPr>
      <w:rFonts w:ascii="Palatino Linotype" w:eastAsia="Times New Roman" w:hAnsi="Palatino Linotype"/>
      <w:color w:val="000000"/>
      <w:sz w:val="18"/>
      <w:szCs w:val="22"/>
      <w:lang w:eastAsia="de-DE" w:bidi="en-US"/>
    </w:rPr>
  </w:style>
  <w:style w:type="paragraph" w:customStyle="1" w:styleId="MDPI18keywords">
    <w:name w:val="MDPI_1.8_keywords"/>
    <w:next w:val="Normal"/>
    <w:qFormat/>
    <w:rsid w:val="00480258"/>
    <w:pPr>
      <w:adjustRightInd w:val="0"/>
      <w:snapToGrid w:val="0"/>
      <w:spacing w:before="240" w:line="260" w:lineRule="atLeast"/>
      <w:ind w:left="2608"/>
      <w:jc w:val="both"/>
    </w:pPr>
    <w:rPr>
      <w:rFonts w:ascii="Palatino Linotype" w:eastAsia="Times New Roman" w:hAnsi="Palatino Linotype"/>
      <w:snapToGrid w:val="0"/>
      <w:color w:val="000000"/>
      <w:sz w:val="18"/>
      <w:szCs w:val="22"/>
      <w:lang w:eastAsia="de-DE" w:bidi="en-US"/>
    </w:rPr>
  </w:style>
  <w:style w:type="paragraph" w:customStyle="1" w:styleId="MDPI19line">
    <w:name w:val="MDPI_1.9_line"/>
    <w:qFormat/>
    <w:rsid w:val="00480258"/>
    <w:pPr>
      <w:pBdr>
        <w:bottom w:val="single" w:sz="6" w:space="1" w:color="auto"/>
      </w:pBdr>
      <w:adjustRightInd w:val="0"/>
      <w:snapToGrid w:val="0"/>
      <w:spacing w:after="480" w:line="260" w:lineRule="atLeast"/>
      <w:ind w:left="2608"/>
      <w:jc w:val="both"/>
    </w:pPr>
    <w:rPr>
      <w:rFonts w:ascii="Palatino Linotype" w:eastAsia="Times New Roman" w:hAnsi="Palatino Linotype" w:cs="Cordia New"/>
      <w:color w:val="000000"/>
      <w:szCs w:val="24"/>
      <w:lang w:eastAsia="de-DE" w:bidi="en-US"/>
    </w:rPr>
  </w:style>
  <w:style w:type="table" w:customStyle="1" w:styleId="Mdeck5tablebodythreelines">
    <w:name w:val="M_deck_5_table_body_three_lines"/>
    <w:basedOn w:val="TableNormal"/>
    <w:uiPriority w:val="99"/>
    <w:rsid w:val="00657CE6"/>
    <w:pPr>
      <w:adjustRightInd w:val="0"/>
      <w:snapToGrid w:val="0"/>
      <w:spacing w:line="300" w:lineRule="exact"/>
      <w:jc w:val="center"/>
    </w:pPr>
    <w:rPr>
      <w:rFonts w:ascii="Times New Roman" w:hAnsi="Times New Roman"/>
      <w:lang w:val="de-DE" w:eastAsia="de-DE"/>
    </w:rPr>
    <w:tblPr>
      <w:jc w:val="center"/>
      <w:tblBorders>
        <w:bottom w:val="single" w:sz="8" w:space="0" w:color="auto"/>
      </w:tblBorders>
    </w:tblPr>
    <w:trPr>
      <w:jc w:val="center"/>
    </w:trPr>
    <w:tcPr>
      <w:vAlign w:val="center"/>
    </w:tcPr>
    <w:tblStylePr w:type="firstRow">
      <w:pPr>
        <w:wordWrap/>
        <w:adjustRightInd w:val="0"/>
        <w:snapToGrid w:val="0"/>
        <w:spacing w:beforeLines="0" w:beforeAutospacing="0" w:afterLines="0" w:afterAutospacing="0" w:line="300" w:lineRule="exact"/>
        <w:ind w:leftChars="0" w:left="0" w:rightChars="0" w:right="0" w:firstLineChars="0" w:firstLine="0"/>
        <w:contextualSpacing w:val="0"/>
        <w:mirrorIndents w:val="0"/>
        <w:jc w:val="center"/>
        <w:outlineLvl w:val="9"/>
      </w:pPr>
      <w:rPr>
        <w:rFonts w:ascii="Times New Roman" w:eastAsia="Times New Roman" w:hAnsi="Times New Roman"/>
        <w:b w:val="0"/>
        <w:i w:val="0"/>
        <w:snapToGrid w:val="0"/>
        <w:sz w:val="22"/>
      </w:rPr>
      <w:tblPr/>
      <w:tcPr>
        <w:tcBorders>
          <w:top w:val="single" w:sz="8" w:space="0" w:color="auto"/>
          <w:left w:val="nil"/>
          <w:bottom w:val="single" w:sz="4" w:space="0" w:color="auto"/>
          <w:right w:val="nil"/>
          <w:insideH w:val="nil"/>
          <w:insideV w:val="nil"/>
          <w:tl2br w:val="nil"/>
          <w:tr2bl w:val="nil"/>
        </w:tcBorders>
      </w:tcPr>
    </w:tblStylePr>
  </w:style>
  <w:style w:type="table" w:styleId="TableGrid">
    <w:name w:val="Table Grid"/>
    <w:basedOn w:val="TableNormal"/>
    <w:uiPriority w:val="59"/>
    <w:rsid w:val="00480258"/>
    <w:pPr>
      <w:spacing w:line="260" w:lineRule="atLeast"/>
      <w:jc w:val="both"/>
    </w:pPr>
    <w:rPr>
      <w:rFonts w:ascii="Palatino Linotype" w:hAnsi="Palatino Linotype"/>
      <w:color w:val="00000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480258"/>
    <w:pPr>
      <w:tabs>
        <w:tab w:val="center" w:pos="4153"/>
        <w:tab w:val="right" w:pos="8306"/>
      </w:tabs>
      <w:snapToGrid w:val="0"/>
      <w:spacing w:line="240" w:lineRule="atLeast"/>
    </w:pPr>
    <w:rPr>
      <w:szCs w:val="18"/>
    </w:rPr>
  </w:style>
  <w:style w:type="character" w:customStyle="1" w:styleId="FooterChar">
    <w:name w:val="Footer Char"/>
    <w:link w:val="Footer"/>
    <w:uiPriority w:val="99"/>
    <w:rsid w:val="00480258"/>
    <w:rPr>
      <w:rFonts w:ascii="Palatino Linotype" w:hAnsi="Palatino Linotype"/>
      <w:noProof/>
      <w:color w:val="000000"/>
      <w:szCs w:val="18"/>
    </w:rPr>
  </w:style>
  <w:style w:type="paragraph" w:styleId="Header">
    <w:name w:val="header"/>
    <w:basedOn w:val="Normal"/>
    <w:link w:val="HeaderChar"/>
    <w:uiPriority w:val="99"/>
    <w:rsid w:val="00480258"/>
    <w:pPr>
      <w:pBdr>
        <w:bottom w:val="single" w:sz="6" w:space="1" w:color="auto"/>
      </w:pBdr>
      <w:tabs>
        <w:tab w:val="center" w:pos="4153"/>
        <w:tab w:val="right" w:pos="8306"/>
      </w:tabs>
      <w:snapToGrid w:val="0"/>
      <w:spacing w:line="240" w:lineRule="atLeast"/>
      <w:jc w:val="center"/>
    </w:pPr>
    <w:rPr>
      <w:szCs w:val="18"/>
    </w:rPr>
  </w:style>
  <w:style w:type="character" w:customStyle="1" w:styleId="HeaderChar">
    <w:name w:val="Header Char"/>
    <w:link w:val="Header"/>
    <w:uiPriority w:val="99"/>
    <w:rsid w:val="00480258"/>
    <w:rPr>
      <w:rFonts w:ascii="Palatino Linotype" w:hAnsi="Palatino Linotype"/>
      <w:noProof/>
      <w:color w:val="000000"/>
      <w:szCs w:val="18"/>
    </w:rPr>
  </w:style>
  <w:style w:type="paragraph" w:customStyle="1" w:styleId="MDPIheaderjournallogo">
    <w:name w:val="MDPI_header_journal_logo"/>
    <w:qFormat/>
    <w:rsid w:val="00480258"/>
    <w:pPr>
      <w:adjustRightInd w:val="0"/>
      <w:snapToGrid w:val="0"/>
      <w:spacing w:line="260" w:lineRule="atLeast"/>
      <w:jc w:val="both"/>
    </w:pPr>
    <w:rPr>
      <w:rFonts w:ascii="Palatino Linotype" w:eastAsia="Times New Roman" w:hAnsi="Palatino Linotype"/>
      <w:i/>
      <w:color w:val="000000"/>
      <w:sz w:val="24"/>
      <w:szCs w:val="22"/>
      <w:lang w:eastAsia="de-CH"/>
    </w:rPr>
  </w:style>
  <w:style w:type="paragraph" w:customStyle="1" w:styleId="MDPI32textnoindent">
    <w:name w:val="MDPI_3.2_text_no_indent"/>
    <w:basedOn w:val="MDPI31text"/>
    <w:qFormat/>
    <w:rsid w:val="00480258"/>
    <w:pPr>
      <w:ind w:firstLine="0"/>
    </w:pPr>
  </w:style>
  <w:style w:type="paragraph" w:customStyle="1" w:styleId="MDPI31text">
    <w:name w:val="MDPI_3.1_text"/>
    <w:qFormat/>
    <w:rsid w:val="00D34717"/>
    <w:pPr>
      <w:adjustRightInd w:val="0"/>
      <w:snapToGrid w:val="0"/>
      <w:spacing w:line="228" w:lineRule="auto"/>
      <w:ind w:left="2608" w:firstLine="425"/>
      <w:jc w:val="both"/>
    </w:pPr>
    <w:rPr>
      <w:rFonts w:ascii="Palatino Linotype" w:eastAsia="Times New Roman" w:hAnsi="Palatino Linotype"/>
      <w:snapToGrid w:val="0"/>
      <w:color w:val="000000"/>
      <w:szCs w:val="22"/>
      <w:lang w:eastAsia="de-DE" w:bidi="en-US"/>
    </w:rPr>
  </w:style>
  <w:style w:type="paragraph" w:customStyle="1" w:styleId="MDPI33textspaceafter">
    <w:name w:val="MDPI_3.3_text_space_after"/>
    <w:qFormat/>
    <w:rsid w:val="00480258"/>
    <w:pPr>
      <w:adjustRightInd w:val="0"/>
      <w:snapToGrid w:val="0"/>
      <w:spacing w:after="240"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35textbeforelist">
    <w:name w:val="MDPI_3.5_text_before_list"/>
    <w:qFormat/>
    <w:rsid w:val="00480258"/>
    <w:pPr>
      <w:adjustRightInd w:val="0"/>
      <w:snapToGrid w:val="0"/>
      <w:spacing w:line="228" w:lineRule="auto"/>
      <w:ind w:left="2608" w:firstLine="425"/>
      <w:jc w:val="both"/>
    </w:pPr>
    <w:rPr>
      <w:rFonts w:ascii="Palatino Linotype" w:eastAsia="Times New Roman" w:hAnsi="Palatino Linotype"/>
      <w:snapToGrid w:val="0"/>
      <w:color w:val="000000"/>
      <w:szCs w:val="22"/>
      <w:lang w:eastAsia="de-DE" w:bidi="en-US"/>
    </w:rPr>
  </w:style>
  <w:style w:type="paragraph" w:customStyle="1" w:styleId="MDPI36textafterlist">
    <w:name w:val="MDPI_3.6_text_after_list"/>
    <w:qFormat/>
    <w:rsid w:val="00480258"/>
    <w:pPr>
      <w:adjustRightInd w:val="0"/>
      <w:snapToGrid w:val="0"/>
      <w:spacing w:before="120"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37itemize">
    <w:name w:val="MDPI_3.7_itemize"/>
    <w:qFormat/>
    <w:rsid w:val="001B30D0"/>
    <w:pPr>
      <w:numPr>
        <w:numId w:val="21"/>
      </w:numPr>
      <w:adjustRightInd w:val="0"/>
      <w:snapToGrid w:val="0"/>
      <w:spacing w:line="228" w:lineRule="auto"/>
      <w:jc w:val="both"/>
    </w:pPr>
    <w:rPr>
      <w:rFonts w:ascii="Palatino Linotype" w:eastAsia="Times New Roman" w:hAnsi="Palatino Linotype"/>
      <w:color w:val="000000"/>
      <w:szCs w:val="22"/>
      <w:lang w:eastAsia="de-DE" w:bidi="en-US"/>
    </w:rPr>
  </w:style>
  <w:style w:type="paragraph" w:customStyle="1" w:styleId="MDPI38bullet">
    <w:name w:val="MDPI_3.8_bullet"/>
    <w:qFormat/>
    <w:rsid w:val="001B30D0"/>
    <w:pPr>
      <w:numPr>
        <w:numId w:val="22"/>
      </w:numPr>
      <w:adjustRightInd w:val="0"/>
      <w:snapToGrid w:val="0"/>
      <w:spacing w:line="228" w:lineRule="auto"/>
      <w:jc w:val="both"/>
    </w:pPr>
    <w:rPr>
      <w:rFonts w:ascii="Palatino Linotype" w:eastAsia="Times New Roman" w:hAnsi="Palatino Linotype"/>
      <w:color w:val="000000"/>
      <w:szCs w:val="22"/>
      <w:lang w:eastAsia="de-DE" w:bidi="en-US"/>
    </w:rPr>
  </w:style>
  <w:style w:type="paragraph" w:customStyle="1" w:styleId="MDPI39equation">
    <w:name w:val="MDPI_3.9_equation"/>
    <w:qFormat/>
    <w:rsid w:val="00480258"/>
    <w:pPr>
      <w:adjustRightInd w:val="0"/>
      <w:snapToGrid w:val="0"/>
      <w:spacing w:before="120" w:after="120" w:line="260" w:lineRule="atLeast"/>
      <w:ind w:left="709"/>
      <w:jc w:val="center"/>
    </w:pPr>
    <w:rPr>
      <w:rFonts w:ascii="Palatino Linotype" w:eastAsia="Times New Roman" w:hAnsi="Palatino Linotype"/>
      <w:snapToGrid w:val="0"/>
      <w:color w:val="000000"/>
      <w:szCs w:val="22"/>
      <w:lang w:eastAsia="de-DE" w:bidi="en-US"/>
    </w:rPr>
  </w:style>
  <w:style w:type="paragraph" w:customStyle="1" w:styleId="MDPI3aequationnumber">
    <w:name w:val="MDPI_3.a_equation_number"/>
    <w:qFormat/>
    <w:rsid w:val="00480258"/>
    <w:pPr>
      <w:spacing w:before="120" w:after="120"/>
      <w:jc w:val="right"/>
    </w:pPr>
    <w:rPr>
      <w:rFonts w:ascii="Palatino Linotype" w:eastAsia="Times New Roman" w:hAnsi="Palatino Linotype"/>
      <w:snapToGrid w:val="0"/>
      <w:color w:val="000000"/>
      <w:szCs w:val="22"/>
      <w:lang w:eastAsia="de-DE" w:bidi="en-US"/>
    </w:rPr>
  </w:style>
  <w:style w:type="paragraph" w:customStyle="1" w:styleId="MDPI41tablecaption">
    <w:name w:val="MDPI_4.1_table_caption"/>
    <w:qFormat/>
    <w:rsid w:val="00480258"/>
    <w:pPr>
      <w:adjustRightInd w:val="0"/>
      <w:snapToGrid w:val="0"/>
      <w:spacing w:before="240" w:after="120" w:line="228" w:lineRule="auto"/>
      <w:ind w:left="2608"/>
      <w:jc w:val="both"/>
    </w:pPr>
    <w:rPr>
      <w:rFonts w:ascii="Palatino Linotype" w:eastAsia="Times New Roman" w:hAnsi="Palatino Linotype" w:cs="Cordia New"/>
      <w:color w:val="000000"/>
      <w:sz w:val="18"/>
      <w:szCs w:val="22"/>
      <w:lang w:eastAsia="de-DE" w:bidi="en-US"/>
    </w:rPr>
  </w:style>
  <w:style w:type="paragraph" w:customStyle="1" w:styleId="MDPI42tablebody">
    <w:name w:val="MDPI_4.2_table_body"/>
    <w:qFormat/>
    <w:rsid w:val="00442299"/>
    <w:pPr>
      <w:adjustRightInd w:val="0"/>
      <w:snapToGrid w:val="0"/>
      <w:spacing w:line="260" w:lineRule="atLeast"/>
      <w:jc w:val="center"/>
    </w:pPr>
    <w:rPr>
      <w:rFonts w:ascii="Palatino Linotype" w:eastAsia="Times New Roman" w:hAnsi="Palatino Linotype"/>
      <w:snapToGrid w:val="0"/>
      <w:color w:val="000000"/>
      <w:lang w:eastAsia="de-DE" w:bidi="en-US"/>
    </w:rPr>
  </w:style>
  <w:style w:type="paragraph" w:customStyle="1" w:styleId="MDPI43tablefooter">
    <w:name w:val="MDPI_4.3_table_footer"/>
    <w:next w:val="MDPI31text"/>
    <w:qFormat/>
    <w:rsid w:val="00480258"/>
    <w:pPr>
      <w:adjustRightInd w:val="0"/>
      <w:snapToGrid w:val="0"/>
      <w:spacing w:line="228" w:lineRule="auto"/>
      <w:ind w:left="2608"/>
      <w:jc w:val="both"/>
    </w:pPr>
    <w:rPr>
      <w:rFonts w:ascii="Palatino Linotype" w:eastAsia="Times New Roman" w:hAnsi="Palatino Linotype" w:cs="Cordia New"/>
      <w:color w:val="000000"/>
      <w:sz w:val="18"/>
      <w:szCs w:val="22"/>
      <w:lang w:eastAsia="de-DE" w:bidi="en-US"/>
    </w:rPr>
  </w:style>
  <w:style w:type="paragraph" w:customStyle="1" w:styleId="MDPI51figurecaption">
    <w:name w:val="MDPI_5.1_figure_caption"/>
    <w:qFormat/>
    <w:rsid w:val="00266BC6"/>
    <w:pPr>
      <w:adjustRightInd w:val="0"/>
      <w:snapToGrid w:val="0"/>
      <w:spacing w:before="120" w:after="240" w:line="228" w:lineRule="auto"/>
      <w:jc w:val="both"/>
    </w:pPr>
    <w:rPr>
      <w:rFonts w:ascii="Palatino Linotype" w:eastAsia="Times New Roman" w:hAnsi="Palatino Linotype"/>
      <w:color w:val="000000"/>
      <w:sz w:val="18"/>
      <w:lang w:eastAsia="de-DE" w:bidi="en-US"/>
    </w:rPr>
  </w:style>
  <w:style w:type="paragraph" w:customStyle="1" w:styleId="MDPI52figure">
    <w:name w:val="MDPI_5.2_figure"/>
    <w:qFormat/>
    <w:rsid w:val="00480258"/>
    <w:pPr>
      <w:adjustRightInd w:val="0"/>
      <w:snapToGrid w:val="0"/>
      <w:spacing w:before="240" w:after="120"/>
      <w:jc w:val="center"/>
    </w:pPr>
    <w:rPr>
      <w:rFonts w:ascii="Palatino Linotype" w:eastAsia="Times New Roman" w:hAnsi="Palatino Linotype"/>
      <w:snapToGrid w:val="0"/>
      <w:color w:val="000000"/>
      <w:lang w:eastAsia="de-DE" w:bidi="en-US"/>
    </w:rPr>
  </w:style>
  <w:style w:type="paragraph" w:customStyle="1" w:styleId="MDPI23heading3">
    <w:name w:val="MDPI_2.3_heading3"/>
    <w:qFormat/>
    <w:rsid w:val="00480258"/>
    <w:pPr>
      <w:adjustRightInd w:val="0"/>
      <w:snapToGrid w:val="0"/>
      <w:spacing w:before="60" w:after="60" w:line="228" w:lineRule="auto"/>
      <w:ind w:left="2608"/>
      <w:outlineLvl w:val="2"/>
    </w:pPr>
    <w:rPr>
      <w:rFonts w:ascii="Palatino Linotype" w:eastAsia="Times New Roman" w:hAnsi="Palatino Linotype"/>
      <w:snapToGrid w:val="0"/>
      <w:color w:val="000000"/>
      <w:szCs w:val="22"/>
      <w:lang w:eastAsia="de-DE" w:bidi="en-US"/>
    </w:rPr>
  </w:style>
  <w:style w:type="paragraph" w:customStyle="1" w:styleId="MDPI21heading1">
    <w:name w:val="MDPI_2.1_heading1"/>
    <w:qFormat/>
    <w:rsid w:val="00480258"/>
    <w:pPr>
      <w:adjustRightInd w:val="0"/>
      <w:snapToGrid w:val="0"/>
      <w:spacing w:before="240" w:after="60" w:line="228" w:lineRule="auto"/>
      <w:ind w:left="2608"/>
      <w:outlineLvl w:val="0"/>
    </w:pPr>
    <w:rPr>
      <w:rFonts w:ascii="Palatino Linotype" w:eastAsia="Times New Roman" w:hAnsi="Palatino Linotype"/>
      <w:b/>
      <w:snapToGrid w:val="0"/>
      <w:color w:val="000000"/>
      <w:szCs w:val="22"/>
      <w:lang w:eastAsia="de-DE" w:bidi="en-US"/>
    </w:rPr>
  </w:style>
  <w:style w:type="paragraph" w:customStyle="1" w:styleId="MDPI22heading2">
    <w:name w:val="MDPI_2.2_heading2"/>
    <w:qFormat/>
    <w:rsid w:val="00480258"/>
    <w:pPr>
      <w:adjustRightInd w:val="0"/>
      <w:snapToGrid w:val="0"/>
      <w:spacing w:before="60" w:after="60" w:line="228" w:lineRule="auto"/>
      <w:ind w:left="2608"/>
      <w:outlineLvl w:val="1"/>
    </w:pPr>
    <w:rPr>
      <w:rFonts w:ascii="Palatino Linotype" w:eastAsia="Times New Roman" w:hAnsi="Palatino Linotype"/>
      <w:i/>
      <w:noProof/>
      <w:snapToGrid w:val="0"/>
      <w:color w:val="000000"/>
      <w:szCs w:val="22"/>
      <w:lang w:eastAsia="de-DE" w:bidi="en-US"/>
    </w:rPr>
  </w:style>
  <w:style w:type="paragraph" w:customStyle="1" w:styleId="MDPI71References">
    <w:name w:val="MDPI_7.1_References"/>
    <w:qFormat/>
    <w:rsid w:val="009C04E6"/>
    <w:pPr>
      <w:numPr>
        <w:numId w:val="23"/>
      </w:numPr>
      <w:adjustRightInd w:val="0"/>
      <w:snapToGrid w:val="0"/>
      <w:spacing w:line="228" w:lineRule="auto"/>
      <w:jc w:val="both"/>
    </w:pPr>
    <w:rPr>
      <w:rFonts w:ascii="Palatino Linotype" w:eastAsia="Times New Roman" w:hAnsi="Palatino Linotype"/>
      <w:color w:val="000000"/>
      <w:sz w:val="18"/>
      <w:lang w:eastAsia="de-DE" w:bidi="en-US"/>
    </w:rPr>
  </w:style>
  <w:style w:type="paragraph" w:styleId="BalloonText">
    <w:name w:val="Balloon Text"/>
    <w:basedOn w:val="Normal"/>
    <w:link w:val="BalloonTextChar"/>
    <w:uiPriority w:val="99"/>
    <w:rsid w:val="00480258"/>
    <w:rPr>
      <w:rFonts w:cs="Tahoma"/>
      <w:szCs w:val="18"/>
    </w:rPr>
  </w:style>
  <w:style w:type="character" w:customStyle="1" w:styleId="BalloonTextChar">
    <w:name w:val="Balloon Text Char"/>
    <w:link w:val="BalloonText"/>
    <w:uiPriority w:val="99"/>
    <w:rsid w:val="00480258"/>
    <w:rPr>
      <w:rFonts w:ascii="Palatino Linotype" w:hAnsi="Palatino Linotype" w:cs="Tahoma"/>
      <w:noProof/>
      <w:color w:val="000000"/>
      <w:szCs w:val="18"/>
    </w:rPr>
  </w:style>
  <w:style w:type="character" w:styleId="LineNumber">
    <w:name w:val="line number"/>
    <w:uiPriority w:val="99"/>
    <w:rsid w:val="00D516E3"/>
    <w:rPr>
      <w:rFonts w:ascii="Palatino Linotype" w:hAnsi="Palatino Linotype"/>
      <w:sz w:val="16"/>
    </w:rPr>
  </w:style>
  <w:style w:type="table" w:customStyle="1" w:styleId="MDPI41threelinetable">
    <w:name w:val="MDPI_4.1_three_line_table"/>
    <w:basedOn w:val="TableNormal"/>
    <w:uiPriority w:val="99"/>
    <w:rsid w:val="00480258"/>
    <w:pPr>
      <w:adjustRightInd w:val="0"/>
      <w:snapToGrid w:val="0"/>
      <w:jc w:val="center"/>
    </w:pPr>
    <w:rPr>
      <w:rFonts w:ascii="Palatino Linotype" w:hAnsi="Palatino Linotype"/>
      <w:color w:val="000000"/>
    </w:rPr>
    <w:tblPr>
      <w:jc w:val="center"/>
      <w:tblBorders>
        <w:top w:val="single" w:sz="8" w:space="0" w:color="auto"/>
        <w:bottom w:val="single" w:sz="8" w:space="0" w:color="auto"/>
      </w:tblBorders>
    </w:tblPr>
    <w:trPr>
      <w:jc w:val="center"/>
    </w:trPr>
    <w:tcPr>
      <w:vAlign w:val="center"/>
    </w:tcPr>
    <w:tblStylePr w:type="firstRow">
      <w:rPr>
        <w:rFonts w:ascii="Palatino Linotype" w:hAnsi="Palatino Linotype"/>
        <w:b/>
        <w:i w:val="0"/>
        <w:sz w:val="20"/>
      </w:rPr>
      <w:tblPr/>
      <w:tcPr>
        <w:tcBorders>
          <w:bottom w:val="single" w:sz="4" w:space="0" w:color="auto"/>
        </w:tcBorders>
      </w:tcPr>
    </w:tblStylePr>
  </w:style>
  <w:style w:type="character" w:styleId="Hyperlink">
    <w:name w:val="Hyperlink"/>
    <w:uiPriority w:val="99"/>
    <w:rsid w:val="00480258"/>
    <w:rPr>
      <w:color w:val="0000FF"/>
      <w:u w:val="single"/>
    </w:rPr>
  </w:style>
  <w:style w:type="character" w:customStyle="1" w:styleId="UnresolvedMention1">
    <w:name w:val="Unresolved Mention1"/>
    <w:uiPriority w:val="99"/>
    <w:semiHidden/>
    <w:unhideWhenUsed/>
    <w:rsid w:val="00D465C1"/>
    <w:rPr>
      <w:color w:val="605E5C"/>
      <w:shd w:val="clear" w:color="auto" w:fill="E1DFDD"/>
    </w:rPr>
  </w:style>
  <w:style w:type="table" w:styleId="PlainTable4">
    <w:name w:val="Plain Table 4"/>
    <w:basedOn w:val="TableNormal"/>
    <w:uiPriority w:val="44"/>
    <w:rsid w:val="005C3BB4"/>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MDPI34textspacebefore">
    <w:name w:val="MDPI_3.4_text_space_before"/>
    <w:qFormat/>
    <w:rsid w:val="00480258"/>
    <w:pPr>
      <w:adjustRightInd w:val="0"/>
      <w:snapToGrid w:val="0"/>
      <w:spacing w:before="240"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81theorem">
    <w:name w:val="MDPI_8.1_theorem"/>
    <w:qFormat/>
    <w:rsid w:val="00480258"/>
    <w:pPr>
      <w:adjustRightInd w:val="0"/>
      <w:snapToGrid w:val="0"/>
      <w:spacing w:line="228" w:lineRule="auto"/>
      <w:ind w:left="2608"/>
      <w:jc w:val="both"/>
    </w:pPr>
    <w:rPr>
      <w:rFonts w:ascii="Palatino Linotype" w:eastAsia="Times New Roman" w:hAnsi="Palatino Linotype"/>
      <w:i/>
      <w:snapToGrid w:val="0"/>
      <w:color w:val="000000"/>
      <w:szCs w:val="22"/>
      <w:lang w:eastAsia="de-DE" w:bidi="en-US"/>
    </w:rPr>
  </w:style>
  <w:style w:type="paragraph" w:customStyle="1" w:styleId="MDPI82proof">
    <w:name w:val="MDPI_8.2_proof"/>
    <w:qFormat/>
    <w:rsid w:val="00480258"/>
    <w:pPr>
      <w:adjustRightInd w:val="0"/>
      <w:snapToGrid w:val="0"/>
      <w:spacing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61Citation">
    <w:name w:val="MDPI_6.1_Citation"/>
    <w:qFormat/>
    <w:rsid w:val="00480258"/>
    <w:pPr>
      <w:adjustRightInd w:val="0"/>
      <w:snapToGrid w:val="0"/>
      <w:spacing w:line="240" w:lineRule="atLeast"/>
      <w:ind w:right="113"/>
    </w:pPr>
    <w:rPr>
      <w:rFonts w:ascii="Palatino Linotype" w:hAnsi="Palatino Linotype" w:cs="Cordia New"/>
      <w:sz w:val="14"/>
      <w:szCs w:val="22"/>
    </w:rPr>
  </w:style>
  <w:style w:type="paragraph" w:customStyle="1" w:styleId="MDPI62BackMatter">
    <w:name w:val="MDPI_6.2_BackMatter"/>
    <w:qFormat/>
    <w:rsid w:val="00480258"/>
    <w:pPr>
      <w:adjustRightInd w:val="0"/>
      <w:snapToGrid w:val="0"/>
      <w:spacing w:after="120" w:line="228" w:lineRule="auto"/>
      <w:ind w:left="2608"/>
      <w:jc w:val="both"/>
    </w:pPr>
    <w:rPr>
      <w:rFonts w:ascii="Palatino Linotype" w:eastAsia="Times New Roman" w:hAnsi="Palatino Linotype"/>
      <w:snapToGrid w:val="0"/>
      <w:color w:val="000000"/>
      <w:sz w:val="18"/>
      <w:lang w:eastAsia="en-US" w:bidi="en-US"/>
    </w:rPr>
  </w:style>
  <w:style w:type="paragraph" w:customStyle="1" w:styleId="MDPI63Notes">
    <w:name w:val="MDPI_6.3_Notes"/>
    <w:qFormat/>
    <w:rsid w:val="00480258"/>
    <w:pPr>
      <w:adjustRightInd w:val="0"/>
      <w:snapToGrid w:val="0"/>
      <w:spacing w:after="120" w:line="240" w:lineRule="atLeast"/>
      <w:ind w:right="113"/>
    </w:pPr>
    <w:rPr>
      <w:rFonts w:ascii="Palatino Linotype" w:hAnsi="Palatino Linotype"/>
      <w:snapToGrid w:val="0"/>
      <w:color w:val="000000"/>
      <w:sz w:val="14"/>
      <w:lang w:eastAsia="en-US" w:bidi="en-US"/>
    </w:rPr>
  </w:style>
  <w:style w:type="paragraph" w:customStyle="1" w:styleId="MDPI15academiceditor">
    <w:name w:val="MDPI_1.5_academic_editor"/>
    <w:qFormat/>
    <w:rsid w:val="000F3D7C"/>
    <w:pPr>
      <w:adjustRightInd w:val="0"/>
      <w:snapToGrid w:val="0"/>
      <w:spacing w:before="120" w:line="240" w:lineRule="atLeast"/>
      <w:ind w:right="113"/>
    </w:pPr>
    <w:rPr>
      <w:rFonts w:ascii="Palatino Linotype" w:eastAsia="Times New Roman" w:hAnsi="Palatino Linotype"/>
      <w:color w:val="000000"/>
      <w:sz w:val="14"/>
      <w:szCs w:val="22"/>
      <w:lang w:eastAsia="de-DE" w:bidi="en-US"/>
    </w:rPr>
  </w:style>
  <w:style w:type="paragraph" w:customStyle="1" w:styleId="MDPI19classification">
    <w:name w:val="MDPI_1.9_classification"/>
    <w:qFormat/>
    <w:rsid w:val="00480258"/>
    <w:pPr>
      <w:spacing w:before="240" w:line="260" w:lineRule="atLeast"/>
      <w:ind w:left="113"/>
      <w:jc w:val="both"/>
    </w:pPr>
    <w:rPr>
      <w:rFonts w:ascii="Palatino Linotype" w:eastAsia="Times New Roman" w:hAnsi="Palatino Linotype"/>
      <w:b/>
      <w:color w:val="000000"/>
      <w:szCs w:val="22"/>
      <w:lang w:eastAsia="de-DE" w:bidi="en-US"/>
    </w:rPr>
  </w:style>
  <w:style w:type="paragraph" w:customStyle="1" w:styleId="MDPI411onetablecaption">
    <w:name w:val="MDPI_4.1.1_one_table_caption"/>
    <w:qFormat/>
    <w:rsid w:val="00480258"/>
    <w:pPr>
      <w:adjustRightInd w:val="0"/>
      <w:snapToGrid w:val="0"/>
      <w:spacing w:before="240" w:after="120" w:line="260" w:lineRule="atLeast"/>
      <w:jc w:val="center"/>
    </w:pPr>
    <w:rPr>
      <w:rFonts w:ascii="Palatino Linotype" w:hAnsi="Palatino Linotype" w:cs="Cordia New"/>
      <w:noProof/>
      <w:color w:val="000000"/>
      <w:sz w:val="18"/>
      <w:szCs w:val="22"/>
      <w:lang w:bidi="en-US"/>
    </w:rPr>
  </w:style>
  <w:style w:type="paragraph" w:customStyle="1" w:styleId="MDPI511onefigurecaption">
    <w:name w:val="MDPI_5.1.1_one_figure_caption"/>
    <w:qFormat/>
    <w:rsid w:val="00480258"/>
    <w:pPr>
      <w:adjustRightInd w:val="0"/>
      <w:snapToGrid w:val="0"/>
      <w:spacing w:before="240" w:after="120" w:line="260" w:lineRule="atLeast"/>
      <w:jc w:val="center"/>
    </w:pPr>
    <w:rPr>
      <w:rFonts w:ascii="Palatino Linotype" w:hAnsi="Palatino Linotype"/>
      <w:noProof/>
      <w:color w:val="000000"/>
      <w:sz w:val="18"/>
      <w:lang w:bidi="en-US"/>
    </w:rPr>
  </w:style>
  <w:style w:type="paragraph" w:customStyle="1" w:styleId="MDPI72Copyright">
    <w:name w:val="MDPI_7.2_Copyright"/>
    <w:qFormat/>
    <w:rsid w:val="00480258"/>
    <w:pPr>
      <w:adjustRightInd w:val="0"/>
      <w:snapToGrid w:val="0"/>
      <w:spacing w:before="240" w:line="240" w:lineRule="atLeast"/>
      <w:ind w:right="113"/>
    </w:pPr>
    <w:rPr>
      <w:rFonts w:ascii="Palatino Linotype" w:eastAsia="Times New Roman" w:hAnsi="Palatino Linotype"/>
      <w:noProof/>
      <w:snapToGrid w:val="0"/>
      <w:color w:val="000000"/>
      <w:spacing w:val="-2"/>
      <w:sz w:val="14"/>
      <w:lang w:val="en-GB" w:eastAsia="en-GB"/>
    </w:rPr>
  </w:style>
  <w:style w:type="paragraph" w:customStyle="1" w:styleId="MDPI73CopyrightImage">
    <w:name w:val="MDPI_7.3_CopyrightImage"/>
    <w:rsid w:val="00480258"/>
    <w:pPr>
      <w:adjustRightInd w:val="0"/>
      <w:snapToGrid w:val="0"/>
      <w:spacing w:after="100" w:line="260" w:lineRule="atLeast"/>
      <w:jc w:val="right"/>
    </w:pPr>
    <w:rPr>
      <w:rFonts w:ascii="Palatino Linotype" w:eastAsia="Times New Roman" w:hAnsi="Palatino Linotype"/>
      <w:color w:val="000000"/>
      <w:lang w:eastAsia="de-CH"/>
    </w:rPr>
  </w:style>
  <w:style w:type="paragraph" w:customStyle="1" w:styleId="MDPIequationFram">
    <w:name w:val="MDPI_equationFram"/>
    <w:qFormat/>
    <w:rsid w:val="00480258"/>
    <w:pPr>
      <w:adjustRightInd w:val="0"/>
      <w:snapToGrid w:val="0"/>
      <w:spacing w:before="120" w:after="120"/>
      <w:jc w:val="center"/>
    </w:pPr>
    <w:rPr>
      <w:rFonts w:ascii="Palatino Linotype" w:eastAsia="Times New Roman" w:hAnsi="Palatino Linotype"/>
      <w:snapToGrid w:val="0"/>
      <w:color w:val="000000"/>
      <w:szCs w:val="22"/>
      <w:lang w:eastAsia="de-DE" w:bidi="en-US"/>
    </w:rPr>
  </w:style>
  <w:style w:type="paragraph" w:customStyle="1" w:styleId="MDPIfooter">
    <w:name w:val="MDPI_footer"/>
    <w:qFormat/>
    <w:rsid w:val="00480258"/>
    <w:pPr>
      <w:adjustRightInd w:val="0"/>
      <w:snapToGrid w:val="0"/>
      <w:spacing w:before="120" w:line="260" w:lineRule="atLeast"/>
      <w:jc w:val="center"/>
    </w:pPr>
    <w:rPr>
      <w:rFonts w:ascii="Palatino Linotype" w:eastAsia="Times New Roman" w:hAnsi="Palatino Linotype"/>
      <w:color w:val="000000"/>
      <w:lang w:eastAsia="de-DE"/>
    </w:rPr>
  </w:style>
  <w:style w:type="paragraph" w:customStyle="1" w:styleId="MDPIfooterfirstpage">
    <w:name w:val="MDPI_footer_firstpage"/>
    <w:qFormat/>
    <w:rsid w:val="00480258"/>
    <w:pPr>
      <w:tabs>
        <w:tab w:val="right" w:pos="8845"/>
      </w:tabs>
      <w:spacing w:line="160" w:lineRule="exact"/>
    </w:pPr>
    <w:rPr>
      <w:rFonts w:ascii="Palatino Linotype" w:eastAsia="Times New Roman" w:hAnsi="Palatino Linotype"/>
      <w:color w:val="000000"/>
      <w:sz w:val="16"/>
      <w:lang w:eastAsia="de-DE"/>
    </w:rPr>
  </w:style>
  <w:style w:type="paragraph" w:customStyle="1" w:styleId="MDPIheader">
    <w:name w:val="MDPI_header"/>
    <w:qFormat/>
    <w:rsid w:val="00480258"/>
    <w:pPr>
      <w:adjustRightInd w:val="0"/>
      <w:snapToGrid w:val="0"/>
      <w:spacing w:after="240" w:line="260" w:lineRule="atLeast"/>
      <w:jc w:val="both"/>
    </w:pPr>
    <w:rPr>
      <w:rFonts w:ascii="Palatino Linotype" w:eastAsia="Times New Roman" w:hAnsi="Palatino Linotype"/>
      <w:iCs/>
      <w:color w:val="000000"/>
      <w:sz w:val="16"/>
      <w:lang w:eastAsia="de-DE"/>
    </w:rPr>
  </w:style>
  <w:style w:type="paragraph" w:customStyle="1" w:styleId="MDPIheadercitation">
    <w:name w:val="MDPI_header_citation"/>
    <w:rsid w:val="00480258"/>
    <w:pPr>
      <w:spacing w:after="240"/>
    </w:pPr>
    <w:rPr>
      <w:rFonts w:ascii="Palatino Linotype" w:eastAsia="Times New Roman" w:hAnsi="Palatino Linotype"/>
      <w:snapToGrid w:val="0"/>
      <w:color w:val="000000"/>
      <w:sz w:val="18"/>
      <w:lang w:eastAsia="de-DE" w:bidi="en-US"/>
    </w:rPr>
  </w:style>
  <w:style w:type="paragraph" w:customStyle="1" w:styleId="MDPIheadermdpilogo">
    <w:name w:val="MDPI_header_mdpi_logo"/>
    <w:qFormat/>
    <w:rsid w:val="00480258"/>
    <w:pPr>
      <w:adjustRightInd w:val="0"/>
      <w:snapToGrid w:val="0"/>
      <w:spacing w:line="260" w:lineRule="atLeast"/>
      <w:jc w:val="right"/>
    </w:pPr>
    <w:rPr>
      <w:rFonts w:ascii="Palatino Linotype" w:eastAsia="Times New Roman" w:hAnsi="Palatino Linotype"/>
      <w:color w:val="000000"/>
      <w:sz w:val="24"/>
      <w:szCs w:val="22"/>
      <w:lang w:eastAsia="de-CH"/>
    </w:rPr>
  </w:style>
  <w:style w:type="table" w:customStyle="1" w:styleId="MDPITable">
    <w:name w:val="MDPI_Table"/>
    <w:basedOn w:val="TableNormal"/>
    <w:uiPriority w:val="99"/>
    <w:rsid w:val="00480258"/>
    <w:rPr>
      <w:rFonts w:ascii="Palatino Linotype" w:hAnsi="Palatino Linotype"/>
      <w:color w:val="000000"/>
      <w:lang w:val="en-CA" w:eastAsia="en-US"/>
    </w:rPr>
    <w:tblPr>
      <w:tblCellMar>
        <w:left w:w="0" w:type="dxa"/>
        <w:right w:w="0" w:type="dxa"/>
      </w:tblCellMar>
    </w:tblPr>
  </w:style>
  <w:style w:type="paragraph" w:customStyle="1" w:styleId="MDPItext">
    <w:name w:val="MDPI_text"/>
    <w:qFormat/>
    <w:rsid w:val="00480258"/>
    <w:pPr>
      <w:spacing w:line="260" w:lineRule="atLeast"/>
      <w:ind w:left="425" w:right="425" w:firstLine="284"/>
      <w:jc w:val="both"/>
    </w:pPr>
    <w:rPr>
      <w:rFonts w:ascii="Times New Roman" w:eastAsia="Times New Roman" w:hAnsi="Times New Roman"/>
      <w:noProof/>
      <w:snapToGrid w:val="0"/>
      <w:color w:val="000000"/>
      <w:sz w:val="22"/>
      <w:szCs w:val="22"/>
      <w:lang w:eastAsia="de-DE" w:bidi="en-US"/>
    </w:rPr>
  </w:style>
  <w:style w:type="paragraph" w:customStyle="1" w:styleId="MDPItitle">
    <w:name w:val="MDPI_title"/>
    <w:qFormat/>
    <w:rsid w:val="00480258"/>
    <w:pPr>
      <w:adjustRightInd w:val="0"/>
      <w:snapToGrid w:val="0"/>
      <w:spacing w:after="240" w:line="260" w:lineRule="atLeast"/>
      <w:jc w:val="both"/>
    </w:pPr>
    <w:rPr>
      <w:rFonts w:ascii="Palatino Linotype" w:eastAsia="Times New Roman" w:hAnsi="Palatino Linotype"/>
      <w:b/>
      <w:snapToGrid w:val="0"/>
      <w:color w:val="000000"/>
      <w:sz w:val="36"/>
      <w:lang w:eastAsia="de-DE" w:bidi="en-US"/>
    </w:rPr>
  </w:style>
  <w:style w:type="character" w:customStyle="1" w:styleId="apple-converted-space">
    <w:name w:val="apple-converted-space"/>
    <w:rsid w:val="00480258"/>
  </w:style>
  <w:style w:type="paragraph" w:styleId="Bibliography">
    <w:name w:val="Bibliography"/>
    <w:basedOn w:val="Normal"/>
    <w:next w:val="Normal"/>
    <w:uiPriority w:val="37"/>
    <w:unhideWhenUsed/>
    <w:rsid w:val="00480258"/>
  </w:style>
  <w:style w:type="paragraph" w:styleId="BodyText">
    <w:name w:val="Body Text"/>
    <w:link w:val="BodyTextChar"/>
    <w:rsid w:val="00480258"/>
    <w:pPr>
      <w:spacing w:after="120" w:line="340" w:lineRule="atLeast"/>
      <w:jc w:val="both"/>
    </w:pPr>
    <w:rPr>
      <w:rFonts w:ascii="Palatino Linotype" w:hAnsi="Palatino Linotype"/>
      <w:color w:val="000000"/>
      <w:sz w:val="24"/>
      <w:lang w:eastAsia="de-DE"/>
    </w:rPr>
  </w:style>
  <w:style w:type="character" w:customStyle="1" w:styleId="BodyTextChar">
    <w:name w:val="Body Text Char"/>
    <w:link w:val="BodyText"/>
    <w:rsid w:val="00480258"/>
    <w:rPr>
      <w:rFonts w:ascii="Palatino Linotype" w:hAnsi="Palatino Linotype"/>
      <w:color w:val="000000"/>
      <w:sz w:val="24"/>
      <w:lang w:eastAsia="de-DE"/>
    </w:rPr>
  </w:style>
  <w:style w:type="character" w:styleId="CommentReference">
    <w:name w:val="annotation reference"/>
    <w:rsid w:val="00480258"/>
    <w:rPr>
      <w:sz w:val="21"/>
      <w:szCs w:val="21"/>
    </w:rPr>
  </w:style>
  <w:style w:type="paragraph" w:styleId="CommentText">
    <w:name w:val="annotation text"/>
    <w:basedOn w:val="Normal"/>
    <w:link w:val="CommentTextChar"/>
    <w:rsid w:val="00480258"/>
  </w:style>
  <w:style w:type="character" w:customStyle="1" w:styleId="CommentTextChar">
    <w:name w:val="Comment Text Char"/>
    <w:link w:val="CommentText"/>
    <w:rsid w:val="00480258"/>
    <w:rPr>
      <w:rFonts w:ascii="Palatino Linotype" w:hAnsi="Palatino Linotype"/>
      <w:noProof/>
      <w:color w:val="000000"/>
    </w:rPr>
  </w:style>
  <w:style w:type="paragraph" w:styleId="CommentSubject">
    <w:name w:val="annotation subject"/>
    <w:basedOn w:val="CommentText"/>
    <w:next w:val="CommentText"/>
    <w:link w:val="CommentSubjectChar"/>
    <w:rsid w:val="00480258"/>
    <w:rPr>
      <w:b/>
      <w:bCs/>
    </w:rPr>
  </w:style>
  <w:style w:type="character" w:customStyle="1" w:styleId="CommentSubjectChar">
    <w:name w:val="Comment Subject Char"/>
    <w:link w:val="CommentSubject"/>
    <w:rsid w:val="00480258"/>
    <w:rPr>
      <w:rFonts w:ascii="Palatino Linotype" w:hAnsi="Palatino Linotype"/>
      <w:b/>
      <w:bCs/>
      <w:noProof/>
      <w:color w:val="000000"/>
    </w:rPr>
  </w:style>
  <w:style w:type="character" w:styleId="EndnoteReference">
    <w:name w:val="endnote reference"/>
    <w:rsid w:val="00480258"/>
    <w:rPr>
      <w:vertAlign w:val="superscript"/>
    </w:rPr>
  </w:style>
  <w:style w:type="paragraph" w:styleId="EndnoteText">
    <w:name w:val="endnote text"/>
    <w:basedOn w:val="Normal"/>
    <w:link w:val="EndnoteTextChar"/>
    <w:semiHidden/>
    <w:unhideWhenUsed/>
    <w:rsid w:val="00480258"/>
    <w:pPr>
      <w:spacing w:line="240" w:lineRule="auto"/>
    </w:pPr>
  </w:style>
  <w:style w:type="character" w:customStyle="1" w:styleId="EndnoteTextChar">
    <w:name w:val="Endnote Text Char"/>
    <w:link w:val="EndnoteText"/>
    <w:semiHidden/>
    <w:rsid w:val="00480258"/>
    <w:rPr>
      <w:rFonts w:ascii="Palatino Linotype" w:hAnsi="Palatino Linotype"/>
      <w:noProof/>
      <w:color w:val="000000"/>
    </w:rPr>
  </w:style>
  <w:style w:type="character" w:styleId="FollowedHyperlink">
    <w:name w:val="FollowedHyperlink"/>
    <w:rsid w:val="00480258"/>
    <w:rPr>
      <w:color w:val="954F72"/>
      <w:u w:val="single"/>
    </w:rPr>
  </w:style>
  <w:style w:type="paragraph" w:styleId="FootnoteText">
    <w:name w:val="footnote text"/>
    <w:basedOn w:val="Normal"/>
    <w:link w:val="FootnoteTextChar"/>
    <w:semiHidden/>
    <w:unhideWhenUsed/>
    <w:rsid w:val="00480258"/>
    <w:pPr>
      <w:spacing w:line="240" w:lineRule="auto"/>
    </w:pPr>
  </w:style>
  <w:style w:type="character" w:customStyle="1" w:styleId="FootnoteTextChar">
    <w:name w:val="Footnote Text Char"/>
    <w:link w:val="FootnoteText"/>
    <w:semiHidden/>
    <w:rsid w:val="00480258"/>
    <w:rPr>
      <w:rFonts w:ascii="Palatino Linotype" w:hAnsi="Palatino Linotype"/>
      <w:noProof/>
      <w:color w:val="000000"/>
    </w:rPr>
  </w:style>
  <w:style w:type="paragraph" w:styleId="NormalWeb">
    <w:name w:val="Normal (Web)"/>
    <w:basedOn w:val="Normal"/>
    <w:uiPriority w:val="99"/>
    <w:rsid w:val="00480258"/>
    <w:rPr>
      <w:szCs w:val="24"/>
    </w:rPr>
  </w:style>
  <w:style w:type="paragraph" w:customStyle="1" w:styleId="MsoFootnoteText0">
    <w:name w:val="MsoFootnoteText"/>
    <w:basedOn w:val="NormalWeb"/>
    <w:qFormat/>
    <w:rsid w:val="00480258"/>
    <w:rPr>
      <w:rFonts w:ascii="Times New Roman" w:hAnsi="Times New Roman"/>
    </w:rPr>
  </w:style>
  <w:style w:type="character" w:styleId="PageNumber">
    <w:name w:val="page number"/>
    <w:rsid w:val="00480258"/>
  </w:style>
  <w:style w:type="character" w:styleId="PlaceholderText">
    <w:name w:val="Placeholder Text"/>
    <w:uiPriority w:val="99"/>
    <w:semiHidden/>
    <w:rsid w:val="00480258"/>
    <w:rPr>
      <w:color w:val="808080"/>
    </w:rPr>
  </w:style>
  <w:style w:type="paragraph" w:customStyle="1" w:styleId="MDPI71FootNotes">
    <w:name w:val="MDPI_7.1_FootNotes"/>
    <w:qFormat/>
    <w:rsid w:val="005A13A0"/>
    <w:pPr>
      <w:numPr>
        <w:numId w:val="20"/>
      </w:numPr>
      <w:adjustRightInd w:val="0"/>
      <w:snapToGrid w:val="0"/>
      <w:spacing w:line="228" w:lineRule="auto"/>
    </w:pPr>
    <w:rPr>
      <w:rFonts w:ascii="Palatino Linotype" w:eastAsiaTheme="minorEastAsia" w:hAnsi="Palatino Linotype"/>
      <w:noProof/>
      <w:color w:val="000000"/>
      <w:sz w:val="18"/>
    </w:rPr>
  </w:style>
  <w:style w:type="paragraph" w:styleId="Caption">
    <w:name w:val="caption"/>
    <w:basedOn w:val="Normal"/>
    <w:next w:val="Normal"/>
    <w:uiPriority w:val="35"/>
    <w:unhideWhenUsed/>
    <w:qFormat/>
    <w:rsid w:val="00A4152E"/>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8110159">
      <w:bodyDiv w:val="1"/>
      <w:marLeft w:val="0"/>
      <w:marRight w:val="0"/>
      <w:marTop w:val="0"/>
      <w:marBottom w:val="0"/>
      <w:divBdr>
        <w:top w:val="none" w:sz="0" w:space="0" w:color="auto"/>
        <w:left w:val="none" w:sz="0" w:space="0" w:color="auto"/>
        <w:bottom w:val="none" w:sz="0" w:space="0" w:color="auto"/>
        <w:right w:val="none" w:sz="0" w:space="0" w:color="auto"/>
      </w:divBdr>
    </w:div>
    <w:div w:id="650645391">
      <w:bodyDiv w:val="1"/>
      <w:marLeft w:val="0"/>
      <w:marRight w:val="0"/>
      <w:marTop w:val="0"/>
      <w:marBottom w:val="0"/>
      <w:divBdr>
        <w:top w:val="none" w:sz="0" w:space="0" w:color="auto"/>
        <w:left w:val="none" w:sz="0" w:space="0" w:color="auto"/>
        <w:bottom w:val="none" w:sz="0" w:space="0" w:color="auto"/>
        <w:right w:val="none" w:sz="0" w:space="0" w:color="auto"/>
      </w:divBdr>
    </w:div>
  </w:divs>
  <w:encoding w:val="iso-8859-6"/>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tif"/><Relationship Id="rId4" Type="http://schemas.openxmlformats.org/officeDocument/2006/relationships/settings" Target="settings.xml"/><Relationship Id="rId9" Type="http://schemas.openxmlformats.org/officeDocument/2006/relationships/image" Target="media/image2.tif"/><Relationship Id="rId14"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ervip01\Downloads\cells-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511679-BBA9-45AB-A78D-C0B1B9FC73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cells-template.dot</Template>
  <TotalTime>1</TotalTime>
  <Pages>5</Pages>
  <Words>1217</Words>
  <Characters>6648</Characters>
  <Application>Microsoft Office Word</Application>
  <DocSecurity>0</DocSecurity>
  <Lines>110</Lines>
  <Paragraphs>45</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Type of the Paper (Article</vt:lpstr>
      <vt:lpstr>Type of the Paper (Article</vt:lpstr>
    </vt:vector>
  </TitlesOfParts>
  <Company/>
  <LinksUpToDate>false</LinksUpToDate>
  <CharactersWithSpaces>7821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Type of the Paper (Article</dc:title>
  <dc:subject/>
  <dc:creator>Celine Hervieu</dc:creator>
  <cp:keywords/>
  <dc:description/>
  <cp:lastModifiedBy>MDPI-21</cp:lastModifiedBy>
  <cp:revision>3</cp:revision>
  <dcterms:created xsi:type="dcterms:W3CDTF">2022-05-13T08:58:00Z</dcterms:created>
  <dcterms:modified xsi:type="dcterms:W3CDTF">2022-05-16T07:10:00Z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zotero-version="5.0.96.3"&gt;&lt;session id="mEQykEjI"/&gt;&lt;style id="http://www.zotero.org/styles/cells" hasBibliography="1" bibliographyStyleHasBeenSet="1"/&gt;&lt;prefs&gt;&lt;pref name="fieldType" value="Field"/&gt;&lt;pref name="automaticJournalAbbreviat</vt:lpwstr>
  </property>
  <property fmtid="{D5CDD505-2E9C-101B-9397-08002B2CF9AE}" pid="3" name="ZOTERO_PREF_2">
    <vt:lpwstr>ions" value="true"/&gt;&lt;/prefs&gt;&lt;/data&gt;</vt:lpwstr>
  </property>
</Properties>
</file>