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C969422" w:rsidR="00654E8F" w:rsidRDefault="00654E8F" w:rsidP="0001436A">
      <w:pPr>
        <w:pStyle w:val="SupplementaryMaterial"/>
      </w:pPr>
      <w:r w:rsidRPr="001549D3">
        <w:t>Supplementary Material</w:t>
      </w:r>
    </w:p>
    <w:p w14:paraId="3C966273" w14:textId="77777777" w:rsidR="00B94344" w:rsidRDefault="00B94344" w:rsidP="00B94344">
      <w:pPr>
        <w:rPr>
          <w:rFonts w:cs="Times New Roman"/>
          <w:b/>
          <w:sz w:val="32"/>
          <w:szCs w:val="24"/>
        </w:rPr>
      </w:pPr>
    </w:p>
    <w:p w14:paraId="34BC6FD5" w14:textId="77777777" w:rsidR="00B94344" w:rsidRDefault="00B94344" w:rsidP="00B94344">
      <w:pPr>
        <w:rPr>
          <w:rFonts w:cs="Times New Roman"/>
          <w:b/>
          <w:szCs w:val="24"/>
        </w:rPr>
      </w:pPr>
      <w:r w:rsidRPr="00B94344">
        <w:rPr>
          <w:rFonts w:cs="Times New Roman"/>
          <w:b/>
          <w:sz w:val="28"/>
          <w:szCs w:val="24"/>
        </w:rPr>
        <w:t xml:space="preserve">Optimized protocols for in vitro T cell-dependent and T cell-independent activation for B cell differentiation studies using limited cells </w:t>
      </w:r>
      <w:r>
        <w:rPr>
          <w:rFonts w:cs="Times New Roman"/>
          <w:b/>
          <w:szCs w:val="24"/>
        </w:rPr>
        <w:br/>
      </w:r>
    </w:p>
    <w:p w14:paraId="6AB39473" w14:textId="42293F40" w:rsidR="00B94344" w:rsidRDefault="00B94344" w:rsidP="00B94344">
      <w:pPr>
        <w:rPr>
          <w:rFonts w:cs="Times New Roman"/>
          <w:szCs w:val="24"/>
        </w:rPr>
      </w:pPr>
      <w:r w:rsidRPr="00727616">
        <w:rPr>
          <w:rFonts w:cs="Times New Roman"/>
          <w:szCs w:val="24"/>
        </w:rPr>
        <w:t>Marsman</w:t>
      </w:r>
      <w:r>
        <w:rPr>
          <w:rFonts w:cs="Times New Roman"/>
          <w:szCs w:val="24"/>
        </w:rPr>
        <w:t xml:space="preserve">, </w:t>
      </w:r>
      <w:r w:rsidRPr="00727616">
        <w:rPr>
          <w:rFonts w:cs="Times New Roman"/>
          <w:szCs w:val="24"/>
        </w:rPr>
        <w:t>Verhoeven</w:t>
      </w:r>
      <w:r>
        <w:rPr>
          <w:rFonts w:cs="Times New Roman"/>
          <w:szCs w:val="24"/>
        </w:rPr>
        <w:t xml:space="preserve"> et al.</w:t>
      </w:r>
    </w:p>
    <w:p w14:paraId="436C5F54" w14:textId="77777777" w:rsidR="00B94344" w:rsidRPr="00B94344" w:rsidRDefault="00B94344" w:rsidP="00B94344">
      <w:pPr>
        <w:rPr>
          <w:rFonts w:cs="Times New Roman"/>
          <w:b/>
          <w:szCs w:val="24"/>
        </w:rPr>
      </w:pPr>
    </w:p>
    <w:p w14:paraId="7B65BC41" w14:textId="11F3AFCB" w:rsidR="00DE23E8" w:rsidRDefault="00DE23E8" w:rsidP="00654E8F">
      <w:pPr>
        <w:spacing w:before="240"/>
      </w:pPr>
    </w:p>
    <w:p w14:paraId="429A985F" w14:textId="73705EE9" w:rsidR="00440B70" w:rsidRPr="00727616" w:rsidRDefault="00B94344" w:rsidP="00440B70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NL" w:eastAsia="nl-NL"/>
        </w:rPr>
        <w:drawing>
          <wp:inline distT="0" distB="0" distL="0" distR="0" wp14:anchorId="38F60755" wp14:editId="60660B02">
            <wp:extent cx="6208395" cy="2181225"/>
            <wp:effectExtent l="0" t="0" r="190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. 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6" b="30226"/>
                    <a:stretch/>
                  </pic:blipFill>
                  <pic:spPr bwMode="auto">
                    <a:xfrm>
                      <a:off x="0" y="0"/>
                      <a:ext cx="620839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45D1D" w14:textId="77777777" w:rsidR="00440B70" w:rsidRPr="00727616" w:rsidRDefault="00440B70" w:rsidP="00440B70">
      <w:pPr>
        <w:rPr>
          <w:rFonts w:cs="Times New Roman"/>
          <w:b/>
          <w:szCs w:val="24"/>
        </w:rPr>
      </w:pPr>
      <w:r w:rsidRPr="00727616">
        <w:rPr>
          <w:rFonts w:cs="Times New Roman"/>
          <w:b/>
          <w:szCs w:val="24"/>
        </w:rPr>
        <w:t>Supplemental Figure 1. CD27 and CD38 expression of stimulated primary human B cells</w:t>
      </w:r>
    </w:p>
    <w:p w14:paraId="5104EAE4" w14:textId="77777777" w:rsidR="00440B70" w:rsidRPr="00727616" w:rsidRDefault="00440B70" w:rsidP="00440B70">
      <w:pPr>
        <w:rPr>
          <w:rFonts w:cs="Times New Roman"/>
          <w:szCs w:val="24"/>
        </w:rPr>
      </w:pPr>
      <w:r w:rsidRPr="00727616">
        <w:rPr>
          <w:rFonts w:cs="Times New Roman"/>
          <w:b/>
          <w:szCs w:val="24"/>
        </w:rPr>
        <w:t>(</w:t>
      </w:r>
      <w:r w:rsidRPr="00727616">
        <w:rPr>
          <w:rFonts w:cs="Times New Roman"/>
          <w:b/>
          <w:bCs/>
          <w:szCs w:val="24"/>
        </w:rPr>
        <w:t>A</w:t>
      </w:r>
      <w:r w:rsidRPr="00727616">
        <w:rPr>
          <w:rFonts w:cs="Times New Roman"/>
          <w:b/>
          <w:szCs w:val="24"/>
        </w:rPr>
        <w:t>)</w:t>
      </w:r>
      <w:r w:rsidRPr="00727616">
        <w:rPr>
          <w:rFonts w:cs="Times New Roman"/>
          <w:szCs w:val="24"/>
        </w:rPr>
        <w:t xml:space="preserve"> Representative FACS plot (left panel) show gating strategy of CD27/CD38 subpopulations and quantification of the relative percentages of CD27 and CD38 subpopulations in the total CD19</w:t>
      </w:r>
      <w:r w:rsidRPr="00727616">
        <w:rPr>
          <w:rFonts w:cs="Times New Roman"/>
          <w:szCs w:val="24"/>
          <w:vertAlign w:val="superscript"/>
        </w:rPr>
        <w:t>+</w:t>
      </w:r>
      <w:r w:rsidRPr="00727616">
        <w:rPr>
          <w:rFonts w:cs="Times New Roman"/>
          <w:szCs w:val="24"/>
        </w:rPr>
        <w:t xml:space="preserve"> B cell population between 6 and 9 days of culture (n = 4). </w:t>
      </w:r>
      <w:r w:rsidRPr="00727616">
        <w:rPr>
          <w:rFonts w:cs="Times New Roman"/>
          <w:b/>
          <w:szCs w:val="24"/>
        </w:rPr>
        <w:t>(B)</w:t>
      </w:r>
      <w:r w:rsidRPr="00727616">
        <w:rPr>
          <w:rFonts w:cs="Times New Roman"/>
          <w:szCs w:val="24"/>
        </w:rPr>
        <w:t xml:space="preserve"> The frequency of activated B cells (</w:t>
      </w:r>
      <w:r w:rsidRPr="00727616">
        <w:rPr>
          <w:rFonts w:eastAsia="Times New Roman" w:cs="Times New Roman"/>
          <w:szCs w:val="24"/>
          <w:lang w:eastAsia="nl-NL"/>
        </w:rPr>
        <w:t>CD27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-</w:t>
      </w:r>
      <w:r w:rsidRPr="00727616">
        <w:rPr>
          <w:rFonts w:eastAsia="Times New Roman" w:cs="Times New Roman"/>
          <w:szCs w:val="24"/>
          <w:lang w:eastAsia="nl-NL"/>
        </w:rPr>
        <w:t>CD38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 xml:space="preserve">). </w:t>
      </w:r>
      <w:r w:rsidRPr="00727616">
        <w:rPr>
          <w:rFonts w:cs="Times New Roman"/>
          <w:szCs w:val="24"/>
        </w:rPr>
        <w:t>Each data point represents the mean of an individual donor with duplicate culture measurements. Mean values are represented by bars and the error bars depict SEM. P values were calculated using two-way ANOVA with Tukey’s multiple comparison test. *** P ≤ 0.001, **** P ≤ 0.0001.</w:t>
      </w:r>
    </w:p>
    <w:p w14:paraId="44B40000" w14:textId="339D1686" w:rsidR="00440B70" w:rsidRDefault="00440B70" w:rsidP="00440B70">
      <w:pPr>
        <w:rPr>
          <w:rFonts w:cs="Times New Roman"/>
          <w:b/>
          <w:szCs w:val="24"/>
        </w:rPr>
      </w:pPr>
    </w:p>
    <w:p w14:paraId="2C75F18A" w14:textId="4D6FE4ED" w:rsidR="00B94344" w:rsidRDefault="00B94344" w:rsidP="00440B70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NL" w:eastAsia="nl-NL"/>
        </w:rPr>
        <w:lastRenderedPageBreak/>
        <w:drawing>
          <wp:inline distT="0" distB="0" distL="0" distR="0" wp14:anchorId="00D149D2" wp14:editId="068B36F0">
            <wp:extent cx="5962650" cy="75533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. 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5"/>
                    <a:stretch/>
                  </pic:blipFill>
                  <pic:spPr bwMode="auto">
                    <a:xfrm>
                      <a:off x="0" y="0"/>
                      <a:ext cx="5962650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E40B2" w14:textId="77777777" w:rsidR="00285609" w:rsidRPr="00727616" w:rsidRDefault="00285609" w:rsidP="00440B70">
      <w:pPr>
        <w:rPr>
          <w:rFonts w:cs="Times New Roman"/>
          <w:b/>
          <w:szCs w:val="24"/>
        </w:rPr>
      </w:pPr>
    </w:p>
    <w:p w14:paraId="4870CB4E" w14:textId="77777777" w:rsidR="00440B70" w:rsidRPr="00727616" w:rsidRDefault="00440B70" w:rsidP="00440B70">
      <w:pPr>
        <w:rPr>
          <w:rFonts w:cs="Times New Roman"/>
          <w:b/>
          <w:szCs w:val="24"/>
        </w:rPr>
      </w:pPr>
      <w:r w:rsidRPr="00727616">
        <w:rPr>
          <w:rFonts w:cs="Times New Roman"/>
          <w:b/>
          <w:szCs w:val="24"/>
        </w:rPr>
        <w:lastRenderedPageBreak/>
        <w:t>Supplemental Figure 2.  Proliferation, differentiation and antibody production of primary human CD19</w:t>
      </w:r>
      <w:r w:rsidRPr="00727616">
        <w:rPr>
          <w:rFonts w:cs="Times New Roman"/>
          <w:b/>
          <w:szCs w:val="24"/>
          <w:vertAlign w:val="superscript"/>
        </w:rPr>
        <w:t>+</w:t>
      </w:r>
      <w:r w:rsidRPr="00727616">
        <w:rPr>
          <w:rFonts w:cs="Times New Roman"/>
          <w:b/>
          <w:szCs w:val="24"/>
        </w:rPr>
        <w:t xml:space="preserve"> B cells after T cell dependent in vitro stimulation and culturing of PBMCs.</w:t>
      </w:r>
    </w:p>
    <w:p w14:paraId="2A3437DE" w14:textId="77777777" w:rsidR="00440B70" w:rsidRPr="00727616" w:rsidRDefault="00440B70" w:rsidP="00440B70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727616">
        <w:rPr>
          <w:rFonts w:cs="Times New Roman"/>
          <w:b/>
          <w:szCs w:val="24"/>
        </w:rPr>
        <w:t>(A)</w:t>
      </w:r>
      <w:r w:rsidRPr="00727616">
        <w:rPr>
          <w:rFonts w:cs="Times New Roman"/>
          <w:szCs w:val="24"/>
        </w:rPr>
        <w:t xml:space="preserve"> Schematic overview of the T cell dependent (TD) culture system to induce B cell differentiation. A total of 250, 2500 or 25000 CD19</w:t>
      </w:r>
      <w:r w:rsidRPr="00727616">
        <w:rPr>
          <w:rFonts w:cs="Times New Roman"/>
          <w:szCs w:val="24"/>
          <w:vertAlign w:val="superscript"/>
        </w:rPr>
        <w:t xml:space="preserve">+ </w:t>
      </w:r>
      <w:r w:rsidRPr="00727616">
        <w:rPr>
          <w:rFonts w:cs="Times New Roman"/>
          <w:szCs w:val="24"/>
        </w:rPr>
        <w:t xml:space="preserve">human B cells in PBMCs (n = 3) were stimulated with a human-CD40L-expressing 3T3 feeder layer and recombinant IL-21 (50 ng/mL) enabling condition I.2 (dark blue), II.2 (cobalt blue) and III.2 (light blue). Cells were analyzed at day 6 and day 9 by flow cytometry to evaluate plasmablast and plasma cell generation. The supernatant was collected at day 6 and day 9 to evaluate IgG, IgA and IgM production by ELISA. </w:t>
      </w:r>
      <w:r w:rsidRPr="00727616">
        <w:rPr>
          <w:rFonts w:cs="Times New Roman"/>
          <w:b/>
          <w:szCs w:val="24"/>
        </w:rPr>
        <w:t>(B)</w:t>
      </w:r>
      <w:r w:rsidRPr="00727616">
        <w:rPr>
          <w:rFonts w:cs="Times New Roman"/>
          <w:szCs w:val="24"/>
        </w:rPr>
        <w:t xml:space="preserve"> The number of live CD19</w:t>
      </w:r>
      <w:r w:rsidRPr="00727616">
        <w:rPr>
          <w:rFonts w:cs="Times New Roman"/>
          <w:szCs w:val="24"/>
          <w:vertAlign w:val="superscript"/>
        </w:rPr>
        <w:t>+</w:t>
      </w:r>
      <w:r w:rsidRPr="00727616">
        <w:rPr>
          <w:rFonts w:cs="Times New Roman"/>
          <w:szCs w:val="24"/>
        </w:rPr>
        <w:t xml:space="preserve"> events </w:t>
      </w:r>
      <w:proofErr w:type="gramStart"/>
      <w:r w:rsidRPr="00727616">
        <w:rPr>
          <w:rFonts w:cs="Times New Roman"/>
          <w:szCs w:val="24"/>
        </w:rPr>
        <w:t>was</w:t>
      </w:r>
      <w:proofErr w:type="gramEnd"/>
      <w:r w:rsidRPr="00727616">
        <w:rPr>
          <w:rFonts w:cs="Times New Roman"/>
          <w:szCs w:val="24"/>
        </w:rPr>
        <w:t xml:space="preserve"> analyzed using flow cytometry. A cut off of 1000 events was used to proceed with further analysis. </w:t>
      </w:r>
      <w:r w:rsidRPr="00727616">
        <w:rPr>
          <w:rFonts w:cs="Times New Roman"/>
          <w:b/>
          <w:szCs w:val="24"/>
        </w:rPr>
        <w:t xml:space="preserve">(C) </w:t>
      </w:r>
      <w:r w:rsidRPr="00727616">
        <w:rPr>
          <w:rFonts w:cs="Times New Roman"/>
          <w:szCs w:val="24"/>
        </w:rPr>
        <w:t>Representative histograms of CTY dilution (left panel) and quantification (right panel) on day 6 compared to their unstimulated condition.</w:t>
      </w:r>
      <w:r w:rsidRPr="00727616">
        <w:rPr>
          <w:rFonts w:cs="Times New Roman"/>
          <w:b/>
          <w:szCs w:val="24"/>
        </w:rPr>
        <w:t xml:space="preserve"> (D)</w:t>
      </w:r>
      <w:r w:rsidRPr="00727616">
        <w:rPr>
          <w:rFonts w:cs="Times New Roman"/>
          <w:szCs w:val="24"/>
        </w:rPr>
        <w:t xml:space="preserve"> The frequency of </w:t>
      </w:r>
      <w:r w:rsidRPr="00727616">
        <w:rPr>
          <w:rFonts w:eastAsia="Times New Roman" w:cs="Times New Roman"/>
          <w:szCs w:val="24"/>
          <w:lang w:eastAsia="nl-NL"/>
        </w:rPr>
        <w:t>CD27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>CD38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 xml:space="preserve"> B cells and </w:t>
      </w:r>
      <w:r w:rsidRPr="00727616">
        <w:rPr>
          <w:rFonts w:eastAsia="Times New Roman" w:cs="Times New Roman"/>
          <w:b/>
          <w:szCs w:val="24"/>
          <w:lang w:eastAsia="nl-NL"/>
        </w:rPr>
        <w:t>(E)</w:t>
      </w:r>
      <w:r w:rsidRPr="00727616">
        <w:rPr>
          <w:rFonts w:eastAsia="Times New Roman" w:cs="Times New Roman"/>
          <w:szCs w:val="24"/>
          <w:lang w:eastAsia="nl-NL"/>
        </w:rPr>
        <w:t xml:space="preserve"> CD27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>CD38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>CD138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 xml:space="preserve"> B cells </w:t>
      </w:r>
      <w:r w:rsidRPr="00727616">
        <w:rPr>
          <w:rFonts w:cs="Times New Roman"/>
          <w:szCs w:val="24"/>
        </w:rPr>
        <w:t xml:space="preserve">was analyzed by using flow cytometry. </w:t>
      </w:r>
      <w:r w:rsidRPr="00727616">
        <w:rPr>
          <w:rFonts w:cs="Times New Roman"/>
          <w:b/>
          <w:szCs w:val="24"/>
        </w:rPr>
        <w:t xml:space="preserve">(F) </w:t>
      </w:r>
      <w:r w:rsidRPr="00727616">
        <w:rPr>
          <w:rFonts w:cs="Times New Roman"/>
          <w:szCs w:val="24"/>
        </w:rPr>
        <w:t xml:space="preserve">IgG, IgA and IgM production in culture supernatants was evaluated by ELISA after 6 and 9 days (n = 3). Each data point represents the mean of an individual donor with duplicate culture measurements. Mean values are represented by bars and the error bars depict SEM. P values were calculated using two-way ANOVA with </w:t>
      </w:r>
      <w:proofErr w:type="spellStart"/>
      <w:r w:rsidRPr="00727616">
        <w:rPr>
          <w:rFonts w:cs="Times New Roman"/>
          <w:szCs w:val="24"/>
        </w:rPr>
        <w:t>Sidak’s</w:t>
      </w:r>
      <w:proofErr w:type="spellEnd"/>
      <w:r w:rsidRPr="00727616">
        <w:rPr>
          <w:rFonts w:cs="Times New Roman"/>
          <w:szCs w:val="24"/>
        </w:rPr>
        <w:t xml:space="preserve"> multiple comparison test. * P ≤ 0.05, ** P ≤ 0.01, *** P ≤ 0.001, **** P ≤ 0.0001.</w:t>
      </w:r>
    </w:p>
    <w:p w14:paraId="305012E5" w14:textId="6C3495EA" w:rsidR="00440B70" w:rsidRDefault="00440B70" w:rsidP="00440B70">
      <w:pPr>
        <w:rPr>
          <w:rFonts w:cs="Times New Roman"/>
          <w:b/>
          <w:szCs w:val="24"/>
        </w:rPr>
      </w:pPr>
    </w:p>
    <w:p w14:paraId="38682134" w14:textId="154B2114" w:rsidR="00B94344" w:rsidRPr="00727616" w:rsidRDefault="00B94344" w:rsidP="00440B70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NL" w:eastAsia="nl-NL"/>
        </w:rPr>
        <w:lastRenderedPageBreak/>
        <w:drawing>
          <wp:inline distT="0" distB="0" distL="0" distR="0" wp14:anchorId="7E40A9AB" wp14:editId="29348991">
            <wp:extent cx="6153150" cy="5791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. 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38"/>
                    <a:stretch/>
                  </pic:blipFill>
                  <pic:spPr bwMode="auto">
                    <a:xfrm>
                      <a:off x="0" y="0"/>
                      <a:ext cx="615315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1AD77" w14:textId="77777777" w:rsidR="00440B70" w:rsidRPr="00727616" w:rsidRDefault="00440B70" w:rsidP="00440B70">
      <w:pPr>
        <w:rPr>
          <w:rFonts w:cs="Times New Roman"/>
          <w:b/>
          <w:szCs w:val="24"/>
        </w:rPr>
      </w:pPr>
      <w:r w:rsidRPr="00727616">
        <w:rPr>
          <w:rFonts w:cs="Times New Roman"/>
          <w:b/>
          <w:szCs w:val="24"/>
        </w:rPr>
        <w:t>Supplemental Figure 3. Anti-IgA/G/M F(ab’)</w:t>
      </w:r>
      <w:r w:rsidRPr="00727616">
        <w:rPr>
          <w:rFonts w:cs="Times New Roman"/>
          <w:b/>
          <w:szCs w:val="24"/>
          <w:vertAlign w:val="subscript"/>
        </w:rPr>
        <w:t>2</w:t>
      </w:r>
      <w:r w:rsidRPr="00727616">
        <w:rPr>
          <w:rFonts w:cs="Times New Roman"/>
          <w:b/>
          <w:szCs w:val="24"/>
          <w:vertAlign w:val="superscript"/>
        </w:rPr>
        <w:t xml:space="preserve"> </w:t>
      </w:r>
      <w:r w:rsidRPr="00727616">
        <w:rPr>
          <w:rFonts w:cs="Times New Roman"/>
          <w:b/>
          <w:szCs w:val="24"/>
        </w:rPr>
        <w:t>fragments interfere with ELISA readouts</w:t>
      </w:r>
    </w:p>
    <w:p w14:paraId="749872A3" w14:textId="77777777" w:rsidR="00440B70" w:rsidRPr="00727616" w:rsidRDefault="00440B70" w:rsidP="00440B70">
      <w:pPr>
        <w:rPr>
          <w:rFonts w:cs="Times New Roman"/>
          <w:b/>
          <w:szCs w:val="24"/>
        </w:rPr>
      </w:pPr>
      <w:r w:rsidRPr="00727616">
        <w:rPr>
          <w:rFonts w:cs="Times New Roman"/>
          <w:szCs w:val="24"/>
        </w:rPr>
        <w:t xml:space="preserve">Interference of F(ab’)2 fragment Goat Anti-Human IgA/G/M in </w:t>
      </w:r>
      <w:r w:rsidRPr="00727616">
        <w:rPr>
          <w:rFonts w:cs="Times New Roman"/>
          <w:b/>
          <w:szCs w:val="24"/>
        </w:rPr>
        <w:t>(A)</w:t>
      </w:r>
      <w:r w:rsidRPr="00727616">
        <w:rPr>
          <w:rFonts w:cs="Times New Roman"/>
          <w:szCs w:val="24"/>
        </w:rPr>
        <w:t xml:space="preserve"> IgG, </w:t>
      </w:r>
      <w:r w:rsidRPr="00727616">
        <w:rPr>
          <w:rFonts w:cs="Times New Roman"/>
          <w:b/>
          <w:szCs w:val="24"/>
        </w:rPr>
        <w:t>(B)</w:t>
      </w:r>
      <w:r w:rsidRPr="00727616">
        <w:rPr>
          <w:rFonts w:cs="Times New Roman"/>
          <w:szCs w:val="24"/>
        </w:rPr>
        <w:t xml:space="preserve"> IgA and </w:t>
      </w:r>
      <w:r w:rsidRPr="00727616">
        <w:rPr>
          <w:rFonts w:cs="Times New Roman"/>
          <w:b/>
          <w:szCs w:val="24"/>
        </w:rPr>
        <w:t>(C)</w:t>
      </w:r>
      <w:r w:rsidRPr="00727616">
        <w:rPr>
          <w:rFonts w:cs="Times New Roman"/>
          <w:szCs w:val="24"/>
        </w:rPr>
        <w:t xml:space="preserve"> IgM ELISA. Serial dilutions of F(ab’)2 fragments (5, 2.5, 1.25 and 0.625 </w:t>
      </w:r>
      <w:proofErr w:type="spellStart"/>
      <w:r w:rsidRPr="00727616">
        <w:rPr>
          <w:rFonts w:cs="Times New Roman"/>
          <w:szCs w:val="24"/>
        </w:rPr>
        <w:t>μg</w:t>
      </w:r>
      <w:proofErr w:type="spellEnd"/>
      <w:r w:rsidRPr="00727616">
        <w:rPr>
          <w:rFonts w:cs="Times New Roman"/>
          <w:szCs w:val="24"/>
        </w:rPr>
        <w:t>/mL) were added to the standard curve dilutions as indicated. Black lines indicate no F(ab’)2 fragments added.</w:t>
      </w:r>
    </w:p>
    <w:p w14:paraId="1772D133" w14:textId="34968C70" w:rsidR="00440B70" w:rsidRDefault="00440B70" w:rsidP="00440B70">
      <w:pPr>
        <w:rPr>
          <w:rFonts w:cs="Times New Roman"/>
          <w:b/>
          <w:szCs w:val="24"/>
        </w:rPr>
      </w:pPr>
    </w:p>
    <w:p w14:paraId="0E966A4D" w14:textId="4EC45322" w:rsidR="00B94344" w:rsidRDefault="00B94344" w:rsidP="00440B70">
      <w:pPr>
        <w:rPr>
          <w:rFonts w:cs="Times New Roman"/>
          <w:b/>
          <w:szCs w:val="24"/>
        </w:rPr>
      </w:pPr>
    </w:p>
    <w:p w14:paraId="5CB62660" w14:textId="3E852172" w:rsidR="00B94344" w:rsidRDefault="00B94344" w:rsidP="00440B70">
      <w:pPr>
        <w:rPr>
          <w:rFonts w:cs="Times New Roman"/>
          <w:b/>
          <w:szCs w:val="24"/>
        </w:rPr>
      </w:pPr>
    </w:p>
    <w:p w14:paraId="1460FACB" w14:textId="686B6F58" w:rsidR="00B94344" w:rsidRDefault="00B94344" w:rsidP="00440B70">
      <w:pPr>
        <w:rPr>
          <w:rFonts w:cs="Times New Roman"/>
          <w:b/>
          <w:szCs w:val="24"/>
        </w:rPr>
      </w:pPr>
    </w:p>
    <w:p w14:paraId="7C9B741B" w14:textId="37B5213B" w:rsidR="00B94344" w:rsidRDefault="00B94344" w:rsidP="00440B70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NL" w:eastAsia="nl-NL"/>
        </w:rPr>
        <w:lastRenderedPageBreak/>
        <w:drawing>
          <wp:inline distT="0" distB="0" distL="0" distR="0" wp14:anchorId="619A61C0" wp14:editId="043949D0">
            <wp:extent cx="6153150" cy="77152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. 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90"/>
                    <a:stretch/>
                  </pic:blipFill>
                  <pic:spPr bwMode="auto">
                    <a:xfrm>
                      <a:off x="0" y="0"/>
                      <a:ext cx="6153150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8B7CA" w14:textId="52CD1CB8" w:rsidR="00285609" w:rsidRDefault="00285609" w:rsidP="00440B70">
      <w:pPr>
        <w:rPr>
          <w:rFonts w:cs="Times New Roman"/>
          <w:b/>
          <w:szCs w:val="24"/>
        </w:rPr>
      </w:pPr>
    </w:p>
    <w:p w14:paraId="21D397B6" w14:textId="77777777" w:rsidR="00285609" w:rsidRPr="00727616" w:rsidRDefault="00285609" w:rsidP="00440B70">
      <w:pPr>
        <w:rPr>
          <w:rFonts w:cs="Times New Roman"/>
          <w:b/>
          <w:szCs w:val="24"/>
        </w:rPr>
      </w:pPr>
    </w:p>
    <w:p w14:paraId="2AD06047" w14:textId="77777777" w:rsidR="00440B70" w:rsidRPr="00727616" w:rsidRDefault="00440B70" w:rsidP="00440B70">
      <w:pPr>
        <w:rPr>
          <w:rFonts w:cs="Times New Roman"/>
          <w:b/>
          <w:szCs w:val="24"/>
        </w:rPr>
      </w:pPr>
      <w:r w:rsidRPr="00727616">
        <w:rPr>
          <w:rFonts w:cs="Times New Roman"/>
          <w:b/>
          <w:szCs w:val="24"/>
        </w:rPr>
        <w:lastRenderedPageBreak/>
        <w:t>Supplemental Figure 4. Proliferation, differentiation and antibody production primary human CD19</w:t>
      </w:r>
      <w:r w:rsidRPr="00727616">
        <w:rPr>
          <w:rFonts w:cs="Times New Roman"/>
          <w:b/>
          <w:szCs w:val="24"/>
          <w:vertAlign w:val="superscript"/>
        </w:rPr>
        <w:t>+</w:t>
      </w:r>
      <w:r w:rsidRPr="00727616">
        <w:rPr>
          <w:rFonts w:cs="Times New Roman"/>
          <w:b/>
          <w:szCs w:val="24"/>
        </w:rPr>
        <w:t xml:space="preserve"> B cells after T cell independent in vitro stimulation and culturing of PBMCs</w:t>
      </w:r>
    </w:p>
    <w:p w14:paraId="170A59F7" w14:textId="77777777" w:rsidR="00440B70" w:rsidRPr="00727616" w:rsidRDefault="00440B70" w:rsidP="00440B70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727616">
        <w:rPr>
          <w:rFonts w:cs="Times New Roman"/>
          <w:b/>
          <w:szCs w:val="24"/>
        </w:rPr>
        <w:t>(A)</w:t>
      </w:r>
      <w:r w:rsidRPr="00727616">
        <w:rPr>
          <w:rFonts w:cs="Times New Roman"/>
          <w:szCs w:val="24"/>
        </w:rPr>
        <w:t xml:space="preserve"> Schematic overview of the T cell independent (TI) culture system to induce B cell differentiation.  A total of 250, 2500 or 25000 CD19</w:t>
      </w:r>
      <w:r w:rsidRPr="00727616">
        <w:rPr>
          <w:rFonts w:cs="Times New Roman"/>
          <w:szCs w:val="24"/>
          <w:vertAlign w:val="superscript"/>
        </w:rPr>
        <w:t xml:space="preserve">+ </w:t>
      </w:r>
      <w:r w:rsidRPr="00727616">
        <w:rPr>
          <w:rFonts w:cs="Times New Roman"/>
          <w:szCs w:val="24"/>
        </w:rPr>
        <w:t xml:space="preserve">human B cells and PBMCs (n = 3) were stimulated with CpG (1 µM) and IL-2 (50 ng/ml) enabling condition IV.2 (dark blue), V.2 (cobalt blue) and VI.2 (light blue). Cells were analyzed at day 6 and day 9 by flow cytometry to evaluate plasmablast and plasma cell generation. The supernatant was collected at day 6 and day 9 to evaluate IgG, IgA and IgM production by ELISA. </w:t>
      </w:r>
      <w:r w:rsidRPr="00727616">
        <w:rPr>
          <w:rFonts w:cs="Times New Roman"/>
          <w:b/>
          <w:szCs w:val="24"/>
        </w:rPr>
        <w:t>(B)</w:t>
      </w:r>
      <w:r w:rsidRPr="00727616">
        <w:rPr>
          <w:rFonts w:cs="Times New Roman"/>
          <w:szCs w:val="24"/>
        </w:rPr>
        <w:t xml:space="preserve"> The number of live CD19</w:t>
      </w:r>
      <w:r w:rsidRPr="00727616">
        <w:rPr>
          <w:rFonts w:cs="Times New Roman"/>
          <w:szCs w:val="24"/>
          <w:vertAlign w:val="superscript"/>
        </w:rPr>
        <w:t>+</w:t>
      </w:r>
      <w:r w:rsidRPr="00727616">
        <w:rPr>
          <w:rFonts w:cs="Times New Roman"/>
          <w:szCs w:val="24"/>
        </w:rPr>
        <w:t xml:space="preserve"> events </w:t>
      </w:r>
      <w:proofErr w:type="gramStart"/>
      <w:r w:rsidRPr="00727616">
        <w:rPr>
          <w:rFonts w:cs="Times New Roman"/>
          <w:szCs w:val="24"/>
        </w:rPr>
        <w:t>was</w:t>
      </w:r>
      <w:proofErr w:type="gramEnd"/>
      <w:r w:rsidRPr="00727616">
        <w:rPr>
          <w:rFonts w:cs="Times New Roman"/>
          <w:szCs w:val="24"/>
        </w:rPr>
        <w:t xml:space="preserve"> analyzed using flow cytometry. A cut off of 1000 events was used to proceed with further analysis. </w:t>
      </w:r>
      <w:r w:rsidRPr="00727616">
        <w:rPr>
          <w:rFonts w:cs="Times New Roman"/>
          <w:b/>
          <w:szCs w:val="24"/>
        </w:rPr>
        <w:t xml:space="preserve">(C) </w:t>
      </w:r>
      <w:r w:rsidRPr="00727616">
        <w:rPr>
          <w:rFonts w:cs="Times New Roman"/>
          <w:szCs w:val="24"/>
        </w:rPr>
        <w:t xml:space="preserve">Representative histogram of CTY dilution (left panel) and quantification (right panel) of condition IV.2 and V.2 on day 6 compared to their unstimulated condition. </w:t>
      </w:r>
      <w:r w:rsidRPr="00727616">
        <w:rPr>
          <w:rFonts w:cs="Times New Roman"/>
          <w:b/>
          <w:szCs w:val="24"/>
        </w:rPr>
        <w:t xml:space="preserve">(D) </w:t>
      </w:r>
      <w:r w:rsidRPr="00727616">
        <w:rPr>
          <w:rFonts w:cs="Times New Roman"/>
          <w:szCs w:val="24"/>
        </w:rPr>
        <w:t>Analysis of proliferation by CTY dilution of CD3</w:t>
      </w:r>
      <w:r w:rsidRPr="00727616">
        <w:rPr>
          <w:rFonts w:cs="Times New Roman"/>
          <w:szCs w:val="24"/>
          <w:vertAlign w:val="superscript"/>
        </w:rPr>
        <w:t>+</w:t>
      </w:r>
      <w:r w:rsidRPr="00727616">
        <w:rPr>
          <w:rFonts w:cs="Times New Roman"/>
          <w:szCs w:val="24"/>
        </w:rPr>
        <w:t xml:space="preserve"> T cells in condition IV.2 and V.2 on day 6. </w:t>
      </w:r>
      <w:r w:rsidRPr="00727616">
        <w:rPr>
          <w:rFonts w:cs="Times New Roman"/>
          <w:b/>
          <w:szCs w:val="24"/>
        </w:rPr>
        <w:t>(E)</w:t>
      </w:r>
      <w:r w:rsidRPr="00727616">
        <w:rPr>
          <w:rFonts w:cs="Times New Roman"/>
          <w:szCs w:val="24"/>
        </w:rPr>
        <w:t xml:space="preserve"> The frequency of </w:t>
      </w:r>
      <w:r w:rsidRPr="00727616">
        <w:rPr>
          <w:rFonts w:eastAsia="Times New Roman" w:cs="Times New Roman"/>
          <w:szCs w:val="24"/>
          <w:lang w:eastAsia="nl-NL"/>
        </w:rPr>
        <w:t>CD27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>CD38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 xml:space="preserve"> B cells and </w:t>
      </w:r>
      <w:r w:rsidRPr="00727616">
        <w:rPr>
          <w:rFonts w:eastAsia="Times New Roman" w:cs="Times New Roman"/>
          <w:b/>
          <w:szCs w:val="24"/>
          <w:lang w:eastAsia="nl-NL"/>
        </w:rPr>
        <w:t>(F)</w:t>
      </w:r>
      <w:r w:rsidRPr="00727616">
        <w:rPr>
          <w:rFonts w:eastAsia="Times New Roman" w:cs="Times New Roman"/>
          <w:szCs w:val="24"/>
          <w:lang w:eastAsia="nl-NL"/>
        </w:rPr>
        <w:t xml:space="preserve"> CD27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>CD38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>CD138</w:t>
      </w:r>
      <w:r w:rsidRPr="00727616">
        <w:rPr>
          <w:rFonts w:eastAsia="Times New Roman" w:cs="Times New Roman"/>
          <w:szCs w:val="24"/>
          <w:vertAlign w:val="superscript"/>
          <w:lang w:eastAsia="nl-NL"/>
        </w:rPr>
        <w:t>+</w:t>
      </w:r>
      <w:r w:rsidRPr="00727616">
        <w:rPr>
          <w:rFonts w:eastAsia="Times New Roman" w:cs="Times New Roman"/>
          <w:szCs w:val="24"/>
          <w:lang w:eastAsia="nl-NL"/>
        </w:rPr>
        <w:t xml:space="preserve"> B cells. </w:t>
      </w:r>
      <w:r w:rsidRPr="00727616">
        <w:rPr>
          <w:rFonts w:cs="Times New Roman"/>
          <w:b/>
          <w:szCs w:val="24"/>
        </w:rPr>
        <w:t xml:space="preserve">(G) </w:t>
      </w:r>
      <w:r w:rsidRPr="00727616">
        <w:rPr>
          <w:rFonts w:cs="Times New Roman"/>
          <w:szCs w:val="24"/>
        </w:rPr>
        <w:t xml:space="preserve">IgG, IgA and IgM production in culture supernatants was evaluated by ELISA after 6 and 9 days (n = 4). Each data point represents the mean of an individual donor with duplicate culture measurements. Mean values are represented by bars and the error bars depict SEM. P values were calculated using two-way ANOVA with </w:t>
      </w:r>
      <w:proofErr w:type="spellStart"/>
      <w:r w:rsidRPr="00727616">
        <w:rPr>
          <w:rFonts w:cs="Times New Roman"/>
          <w:szCs w:val="24"/>
        </w:rPr>
        <w:t>Sidak’s</w:t>
      </w:r>
      <w:proofErr w:type="spellEnd"/>
      <w:r w:rsidRPr="00727616">
        <w:rPr>
          <w:rFonts w:cs="Times New Roman"/>
          <w:szCs w:val="24"/>
        </w:rPr>
        <w:t xml:space="preserve"> multiple comparison test. * P ≤ 0.05, ** P ≤ 0.01, *** P ≤ 0.001, **** P ≤ 0.0001.</w:t>
      </w:r>
    </w:p>
    <w:p w14:paraId="032A07DD" w14:textId="62BF98A7" w:rsidR="00440B70" w:rsidRDefault="00440B70" w:rsidP="00440B70">
      <w:pPr>
        <w:rPr>
          <w:rFonts w:cs="Times New Roman"/>
          <w:b/>
          <w:szCs w:val="24"/>
        </w:rPr>
      </w:pPr>
    </w:p>
    <w:p w14:paraId="6B502E16" w14:textId="60DBCD65" w:rsidR="00B94344" w:rsidRDefault="00B94344" w:rsidP="00440B70">
      <w:pPr>
        <w:rPr>
          <w:rFonts w:cs="Times New Roman"/>
          <w:b/>
          <w:szCs w:val="24"/>
        </w:rPr>
      </w:pPr>
    </w:p>
    <w:p w14:paraId="6B637E98" w14:textId="6AE3A1E6" w:rsidR="00B94344" w:rsidRDefault="00B94344" w:rsidP="00440B70">
      <w:pPr>
        <w:rPr>
          <w:rFonts w:cs="Times New Roman"/>
          <w:b/>
          <w:szCs w:val="24"/>
        </w:rPr>
      </w:pPr>
    </w:p>
    <w:p w14:paraId="39C6D211" w14:textId="72E63749" w:rsidR="00B94344" w:rsidRDefault="00B94344" w:rsidP="00440B70">
      <w:pPr>
        <w:rPr>
          <w:rFonts w:cs="Times New Roman"/>
          <w:b/>
          <w:szCs w:val="24"/>
        </w:rPr>
      </w:pPr>
    </w:p>
    <w:p w14:paraId="04E3DA91" w14:textId="1F2D28BD" w:rsidR="00B94344" w:rsidRDefault="00B94344" w:rsidP="00440B70">
      <w:pPr>
        <w:rPr>
          <w:rFonts w:cs="Times New Roman"/>
          <w:b/>
          <w:szCs w:val="24"/>
        </w:rPr>
      </w:pPr>
    </w:p>
    <w:p w14:paraId="22808F56" w14:textId="206A029D" w:rsidR="00B94344" w:rsidRDefault="00B94344" w:rsidP="00440B70">
      <w:pPr>
        <w:rPr>
          <w:rFonts w:cs="Times New Roman"/>
          <w:b/>
          <w:szCs w:val="24"/>
        </w:rPr>
      </w:pPr>
    </w:p>
    <w:p w14:paraId="1DF30D17" w14:textId="16051CFC" w:rsidR="00B94344" w:rsidRDefault="00B94344" w:rsidP="00440B70">
      <w:pPr>
        <w:rPr>
          <w:rFonts w:cs="Times New Roman"/>
          <w:b/>
          <w:szCs w:val="24"/>
        </w:rPr>
      </w:pPr>
    </w:p>
    <w:p w14:paraId="5D35A651" w14:textId="005B847B" w:rsidR="00B94344" w:rsidRDefault="00B94344" w:rsidP="00440B70">
      <w:pPr>
        <w:rPr>
          <w:rFonts w:cs="Times New Roman"/>
          <w:b/>
          <w:szCs w:val="24"/>
        </w:rPr>
      </w:pPr>
    </w:p>
    <w:p w14:paraId="51F60AB2" w14:textId="4524642A" w:rsidR="00B94344" w:rsidRDefault="00B94344" w:rsidP="00440B70">
      <w:pPr>
        <w:rPr>
          <w:rFonts w:cs="Times New Roman"/>
          <w:b/>
          <w:szCs w:val="24"/>
        </w:rPr>
      </w:pPr>
    </w:p>
    <w:p w14:paraId="2023805E" w14:textId="1EA95B73" w:rsidR="00B94344" w:rsidRDefault="00B94344" w:rsidP="00440B70">
      <w:pPr>
        <w:rPr>
          <w:rFonts w:cs="Times New Roman"/>
          <w:b/>
          <w:szCs w:val="24"/>
        </w:rPr>
      </w:pPr>
    </w:p>
    <w:p w14:paraId="622617A7" w14:textId="58AFEC3E" w:rsidR="00B94344" w:rsidRDefault="00B94344" w:rsidP="00440B70">
      <w:pPr>
        <w:rPr>
          <w:rFonts w:cs="Times New Roman"/>
          <w:b/>
          <w:szCs w:val="24"/>
        </w:rPr>
      </w:pPr>
    </w:p>
    <w:p w14:paraId="7006DE56" w14:textId="5247677E" w:rsidR="00B94344" w:rsidRDefault="00B94344" w:rsidP="00440B70">
      <w:pPr>
        <w:rPr>
          <w:rFonts w:cs="Times New Roman"/>
          <w:b/>
          <w:szCs w:val="24"/>
        </w:rPr>
      </w:pPr>
    </w:p>
    <w:p w14:paraId="185A323B" w14:textId="0D2B58F8" w:rsidR="00B94344" w:rsidRDefault="00B94344" w:rsidP="00440B70">
      <w:pPr>
        <w:rPr>
          <w:rFonts w:cs="Times New Roman"/>
          <w:b/>
          <w:szCs w:val="24"/>
        </w:rPr>
      </w:pPr>
    </w:p>
    <w:p w14:paraId="5300C90E" w14:textId="75298028" w:rsidR="00B94344" w:rsidRDefault="00B94344" w:rsidP="00440B70">
      <w:pPr>
        <w:rPr>
          <w:rFonts w:cs="Times New Roman"/>
          <w:b/>
          <w:szCs w:val="24"/>
        </w:rPr>
      </w:pPr>
    </w:p>
    <w:p w14:paraId="54266F73" w14:textId="42C07990" w:rsidR="00B94344" w:rsidRDefault="00B94344" w:rsidP="00440B70">
      <w:pPr>
        <w:rPr>
          <w:rFonts w:cs="Times New Roman"/>
          <w:b/>
          <w:szCs w:val="24"/>
        </w:rPr>
      </w:pPr>
    </w:p>
    <w:p w14:paraId="6D045480" w14:textId="4142E9B8" w:rsidR="00B94344" w:rsidRDefault="00B94344" w:rsidP="00440B70">
      <w:pPr>
        <w:rPr>
          <w:rFonts w:cs="Times New Roman"/>
          <w:b/>
          <w:szCs w:val="24"/>
        </w:rPr>
      </w:pPr>
    </w:p>
    <w:p w14:paraId="3F0D0FA9" w14:textId="00A4AA31" w:rsidR="00B94344" w:rsidRDefault="00B94344" w:rsidP="00440B70">
      <w:pPr>
        <w:rPr>
          <w:rFonts w:cs="Times New Roman"/>
          <w:b/>
          <w:szCs w:val="24"/>
        </w:rPr>
      </w:pPr>
    </w:p>
    <w:p w14:paraId="4821C70F" w14:textId="2FF4DC62" w:rsidR="00B94344" w:rsidRDefault="00B94344" w:rsidP="00440B70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NL" w:eastAsia="nl-NL"/>
        </w:rPr>
        <w:drawing>
          <wp:inline distT="0" distB="0" distL="0" distR="0" wp14:anchorId="334C0F04" wp14:editId="68AE6BDB">
            <wp:extent cx="6153150" cy="74676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. 5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6"/>
                    <a:stretch/>
                  </pic:blipFill>
                  <pic:spPr bwMode="auto">
                    <a:xfrm>
                      <a:off x="0" y="0"/>
                      <a:ext cx="6153150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76EC5" w14:textId="77777777" w:rsidR="00285609" w:rsidRPr="00727616" w:rsidRDefault="00285609" w:rsidP="00440B70">
      <w:pPr>
        <w:rPr>
          <w:rFonts w:cs="Times New Roman"/>
          <w:b/>
          <w:szCs w:val="24"/>
        </w:rPr>
      </w:pPr>
    </w:p>
    <w:p w14:paraId="7E7C666C" w14:textId="77777777" w:rsidR="00440B70" w:rsidRPr="00727616" w:rsidRDefault="00440B70" w:rsidP="00440B70">
      <w:pPr>
        <w:rPr>
          <w:rFonts w:cs="Times New Roman"/>
          <w:b/>
          <w:szCs w:val="24"/>
        </w:rPr>
      </w:pPr>
      <w:r w:rsidRPr="00727616">
        <w:rPr>
          <w:rFonts w:cs="Times New Roman"/>
          <w:b/>
          <w:szCs w:val="24"/>
        </w:rPr>
        <w:lastRenderedPageBreak/>
        <w:t xml:space="preserve">Supplemental Figure 5. Cryopreserved and freshly isolated B cells produce similar amounts of antibodies in T cell dependent and independent assays  </w:t>
      </w:r>
    </w:p>
    <w:p w14:paraId="057245D6" w14:textId="77777777" w:rsidR="00440B70" w:rsidRPr="00727616" w:rsidRDefault="00440B70" w:rsidP="00440B70">
      <w:pPr>
        <w:rPr>
          <w:rFonts w:cs="Times New Roman"/>
          <w:szCs w:val="24"/>
        </w:rPr>
      </w:pPr>
      <w:r w:rsidRPr="00727616">
        <w:rPr>
          <w:rFonts w:cs="Times New Roman"/>
          <w:szCs w:val="24"/>
        </w:rPr>
        <w:t>Comparison of IgA and IgM production of B cells isolated freshly from</w:t>
      </w:r>
      <w:r w:rsidRPr="00727616">
        <w:rPr>
          <w:rFonts w:cs="Times New Roman"/>
          <w:b/>
          <w:szCs w:val="24"/>
        </w:rPr>
        <w:t xml:space="preserve"> </w:t>
      </w:r>
      <w:r w:rsidRPr="00727616">
        <w:rPr>
          <w:rFonts w:cs="Times New Roman"/>
          <w:szCs w:val="24"/>
        </w:rPr>
        <w:t>PBMCs or from cryopreserved PBMCs obtained from the same healthy donor (n=4). Total human B cells were isolated from</w:t>
      </w:r>
      <w:r w:rsidRPr="00727616">
        <w:rPr>
          <w:rFonts w:cs="Times New Roman"/>
          <w:b/>
          <w:szCs w:val="24"/>
        </w:rPr>
        <w:t xml:space="preserve"> </w:t>
      </w:r>
      <w:r w:rsidRPr="00727616">
        <w:rPr>
          <w:rFonts w:cs="Times New Roman"/>
          <w:szCs w:val="24"/>
        </w:rPr>
        <w:t xml:space="preserve">fresh PBMCs (indicated in white) or frozen PBMCs (indicated in gray) and cultured for 6 and 9 days.  </w:t>
      </w:r>
      <w:r w:rsidRPr="00727616">
        <w:rPr>
          <w:rFonts w:cs="Times New Roman"/>
          <w:b/>
          <w:szCs w:val="24"/>
        </w:rPr>
        <w:t>(A-B)</w:t>
      </w:r>
      <w:r w:rsidRPr="00727616">
        <w:rPr>
          <w:rFonts w:cs="Times New Roman"/>
          <w:szCs w:val="24"/>
        </w:rPr>
        <w:t xml:space="preserve"> Using T cell dependent (TD) stimuli (CD40L and IL-21 with/without IL-4) 2500 B cells (fresh and frozen) were cultured under conditions described previously </w:t>
      </w:r>
      <w:r w:rsidRPr="00727616">
        <w:rPr>
          <w:rFonts w:cs="Times New Roman"/>
          <w:b/>
          <w:szCs w:val="24"/>
        </w:rPr>
        <w:t>(A)</w:t>
      </w:r>
      <w:r w:rsidRPr="00727616">
        <w:rPr>
          <w:rFonts w:cs="Times New Roman"/>
          <w:szCs w:val="24"/>
        </w:rPr>
        <w:t xml:space="preserve"> without PBMCs (condition II) and </w:t>
      </w:r>
      <w:r w:rsidRPr="00727616">
        <w:rPr>
          <w:rFonts w:cs="Times New Roman"/>
          <w:b/>
          <w:szCs w:val="24"/>
        </w:rPr>
        <w:t>(B)</w:t>
      </w:r>
      <w:r w:rsidRPr="00727616">
        <w:rPr>
          <w:rFonts w:cs="Times New Roman"/>
          <w:szCs w:val="24"/>
        </w:rPr>
        <w:t xml:space="preserve"> with PBMCs (condition II.2). </w:t>
      </w:r>
      <w:r w:rsidRPr="00727616">
        <w:rPr>
          <w:rFonts w:eastAsia="Times New Roman" w:cs="Times New Roman"/>
          <w:szCs w:val="24"/>
          <w:lang w:eastAsia="nl-NL"/>
        </w:rPr>
        <w:t xml:space="preserve">IgA (left panel) and IgM production (right panel) on day 6 (upper graphs) and day 9 (lower graphs) are shown. </w:t>
      </w:r>
      <w:r w:rsidRPr="00727616">
        <w:rPr>
          <w:rFonts w:eastAsia="Times New Roman" w:cs="Times New Roman"/>
          <w:b/>
          <w:szCs w:val="24"/>
          <w:lang w:eastAsia="nl-NL"/>
        </w:rPr>
        <w:t xml:space="preserve">(C-D) </w:t>
      </w:r>
      <w:r w:rsidRPr="00727616">
        <w:rPr>
          <w:rFonts w:cs="Times New Roman"/>
          <w:szCs w:val="24"/>
        </w:rPr>
        <w:t xml:space="preserve">Using T cell independent (TI) stimuli (CpG and IL-2 with/without BAFF) 25000 B cells (fresh and frozen) were cultured under conditions described previously </w:t>
      </w:r>
      <w:r w:rsidRPr="00727616">
        <w:rPr>
          <w:rFonts w:cs="Times New Roman"/>
          <w:b/>
          <w:szCs w:val="24"/>
        </w:rPr>
        <w:t>(C)</w:t>
      </w:r>
      <w:r w:rsidRPr="00727616">
        <w:rPr>
          <w:rFonts w:cs="Times New Roman"/>
          <w:szCs w:val="24"/>
        </w:rPr>
        <w:t xml:space="preserve"> without PBMCs (condition IV) and </w:t>
      </w:r>
      <w:r w:rsidRPr="00727616">
        <w:rPr>
          <w:rFonts w:cs="Times New Roman"/>
          <w:b/>
          <w:szCs w:val="24"/>
        </w:rPr>
        <w:t>(D)</w:t>
      </w:r>
      <w:r w:rsidRPr="00727616">
        <w:rPr>
          <w:rFonts w:cs="Times New Roman"/>
          <w:szCs w:val="24"/>
        </w:rPr>
        <w:t xml:space="preserve"> with PBMCs (condition IV.2). </w:t>
      </w:r>
      <w:r w:rsidRPr="00727616">
        <w:rPr>
          <w:rFonts w:eastAsia="Times New Roman" w:cs="Times New Roman"/>
          <w:szCs w:val="24"/>
          <w:lang w:eastAsia="nl-NL"/>
        </w:rPr>
        <w:t>IgA (left panel) and IgM production (right panel) on day 6 (upper graphs) and day 9 (lower graphs) are shown.</w:t>
      </w:r>
      <w:r w:rsidRPr="00727616">
        <w:rPr>
          <w:rFonts w:cs="Times New Roman"/>
          <w:szCs w:val="24"/>
        </w:rPr>
        <w:t xml:space="preserve"> Each data point represents the mean of an individual donor with duplicate culture measurements. Mean values are represented by bars and the error bars depict SEM. P values were calculated using two-way ANOVA with </w:t>
      </w:r>
      <w:proofErr w:type="spellStart"/>
      <w:r w:rsidRPr="00727616">
        <w:rPr>
          <w:rFonts w:cs="Times New Roman"/>
          <w:szCs w:val="24"/>
        </w:rPr>
        <w:t>Sidak’s</w:t>
      </w:r>
      <w:proofErr w:type="spellEnd"/>
      <w:r w:rsidRPr="00727616">
        <w:rPr>
          <w:rFonts w:cs="Times New Roman"/>
          <w:szCs w:val="24"/>
        </w:rPr>
        <w:t xml:space="preserve"> multiple comparison test. * P ≤ 0.05, ** P ≤ 0.01.</w:t>
      </w:r>
    </w:p>
    <w:p w14:paraId="13356E0E" w14:textId="77777777" w:rsidR="00440B70" w:rsidRPr="001549D3" w:rsidRDefault="00440B70" w:rsidP="00654E8F">
      <w:pPr>
        <w:spacing w:before="240"/>
      </w:pPr>
    </w:p>
    <w:sectPr w:rsidR="00440B70" w:rsidRPr="001549D3" w:rsidSect="00B94344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993" w:right="1181" w:bottom="851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E1310" w14:textId="77777777" w:rsidR="00B647F0" w:rsidRDefault="00B647F0" w:rsidP="00117666">
      <w:pPr>
        <w:spacing w:after="0"/>
      </w:pPr>
      <w:r>
        <w:separator/>
      </w:r>
    </w:p>
  </w:endnote>
  <w:endnote w:type="continuationSeparator" w:id="0">
    <w:p w14:paraId="6DE1490E" w14:textId="77777777" w:rsidR="00B647F0" w:rsidRDefault="00B647F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1D5816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9434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1D5816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94344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84A8C6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9434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84A8C6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9434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A4A9C" w14:textId="77777777" w:rsidR="00B647F0" w:rsidRDefault="00B647F0" w:rsidP="00117666">
      <w:pPr>
        <w:spacing w:after="0"/>
      </w:pPr>
      <w:r>
        <w:separator/>
      </w:r>
    </w:p>
  </w:footnote>
  <w:footnote w:type="continuationSeparator" w:id="0">
    <w:p w14:paraId="79A5C8D0" w14:textId="77777777" w:rsidR="00B647F0" w:rsidRDefault="00B647F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6C5FD0B1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14A3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5609"/>
    <w:rsid w:val="002868E2"/>
    <w:rsid w:val="002869C3"/>
    <w:rsid w:val="002936E4"/>
    <w:rsid w:val="002B4A57"/>
    <w:rsid w:val="002C74CA"/>
    <w:rsid w:val="003123F4"/>
    <w:rsid w:val="003544FB"/>
    <w:rsid w:val="003D2F2D"/>
    <w:rsid w:val="003F2597"/>
    <w:rsid w:val="00401590"/>
    <w:rsid w:val="00440B70"/>
    <w:rsid w:val="00447801"/>
    <w:rsid w:val="00452E9C"/>
    <w:rsid w:val="004735C8"/>
    <w:rsid w:val="00475032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647F0"/>
    <w:rsid w:val="00B94344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BB75EDB-5583-4233-B401-5EE33C1F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8</Pages>
  <Words>858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Casper Marsman</cp:lastModifiedBy>
  <cp:revision>3</cp:revision>
  <cp:lastPrinted>2013-10-03T12:51:00Z</cp:lastPrinted>
  <dcterms:created xsi:type="dcterms:W3CDTF">2021-11-15T12:44:00Z</dcterms:created>
  <dcterms:modified xsi:type="dcterms:W3CDTF">2021-11-15T12:44:00Z</dcterms:modified>
</cp:coreProperties>
</file>