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8E3E" w14:textId="51910657" w:rsidR="00A11C8C" w:rsidRPr="000D7F1F" w:rsidRDefault="00A11C8C" w:rsidP="00A11C8C">
      <w:pPr>
        <w:rPr>
          <w:b/>
          <w:color w:val="auto"/>
          <w:sz w:val="20"/>
          <w:szCs w:val="20"/>
        </w:rPr>
      </w:pPr>
      <w:bookmarkStart w:id="0" w:name="_Toc439777065"/>
      <w:r w:rsidRPr="000D7F1F">
        <w:rPr>
          <w:b/>
          <w:color w:val="auto"/>
          <w:sz w:val="20"/>
          <w:szCs w:val="20"/>
        </w:rPr>
        <w:t xml:space="preserve">Table </w:t>
      </w:r>
      <w:r w:rsidR="000D7F1F" w:rsidRPr="000D7F1F">
        <w:rPr>
          <w:b/>
          <w:color w:val="auto"/>
          <w:sz w:val="20"/>
          <w:szCs w:val="20"/>
        </w:rPr>
        <w:t>1</w:t>
      </w:r>
      <w:r w:rsidRPr="000D7F1F">
        <w:rPr>
          <w:b/>
          <w:color w:val="auto"/>
          <w:sz w:val="20"/>
          <w:szCs w:val="20"/>
        </w:rPr>
        <w:t>. Key hepatic and renal biomarkers in the study group</w:t>
      </w:r>
      <w:bookmarkEnd w:id="0"/>
      <w:r w:rsidR="00DC18C7" w:rsidRPr="000D7F1F">
        <w:rPr>
          <w:b/>
          <w:color w:val="auto"/>
          <w:sz w:val="20"/>
          <w:szCs w:val="20"/>
        </w:rPr>
        <w:t xml:space="preserve"> after transplantation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417"/>
        <w:gridCol w:w="993"/>
        <w:gridCol w:w="1388"/>
      </w:tblGrid>
      <w:tr w:rsidR="00270D9B" w:rsidRPr="00270D9B" w14:paraId="64882A9D" w14:textId="77777777" w:rsidTr="0034214D">
        <w:trPr>
          <w:trHeight w:val="524"/>
        </w:trPr>
        <w:tc>
          <w:tcPr>
            <w:tcW w:w="3114" w:type="dxa"/>
          </w:tcPr>
          <w:p w14:paraId="3507AC94" w14:textId="77777777" w:rsidR="00A11C8C" w:rsidRPr="00270D9B" w:rsidRDefault="00A11C8C" w:rsidP="0027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46B42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Without MCS</w:t>
            </w:r>
          </w:p>
        </w:tc>
        <w:tc>
          <w:tcPr>
            <w:tcW w:w="1417" w:type="dxa"/>
          </w:tcPr>
          <w:p w14:paraId="47436D03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With MCS</w:t>
            </w:r>
          </w:p>
        </w:tc>
        <w:tc>
          <w:tcPr>
            <w:tcW w:w="993" w:type="dxa"/>
          </w:tcPr>
          <w:p w14:paraId="00B9E21D" w14:textId="77777777" w:rsidR="00A11C8C" w:rsidRPr="00270D9B" w:rsidRDefault="0027422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388" w:type="dxa"/>
          </w:tcPr>
          <w:p w14:paraId="76242ABA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70D9B" w:rsidRPr="00270D9B" w14:paraId="7DE8494D" w14:textId="77777777" w:rsidTr="0034214D">
        <w:trPr>
          <w:trHeight w:val="476"/>
        </w:trPr>
        <w:tc>
          <w:tcPr>
            <w:tcW w:w="3114" w:type="dxa"/>
          </w:tcPr>
          <w:p w14:paraId="56D7B6F4" w14:textId="77777777" w:rsidR="00A11C8C" w:rsidRPr="00270D9B" w:rsidRDefault="00274227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Patient, n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</w:tcPr>
          <w:p w14:paraId="2C929A64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115 (45.8)</w:t>
            </w:r>
          </w:p>
        </w:tc>
        <w:tc>
          <w:tcPr>
            <w:tcW w:w="1417" w:type="dxa"/>
          </w:tcPr>
          <w:p w14:paraId="0F39A973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136 (54.2)</w:t>
            </w:r>
          </w:p>
        </w:tc>
        <w:tc>
          <w:tcPr>
            <w:tcW w:w="993" w:type="dxa"/>
          </w:tcPr>
          <w:p w14:paraId="32266051" w14:textId="77777777" w:rsidR="00A11C8C" w:rsidRPr="00270D9B" w:rsidRDefault="00A11C8C" w:rsidP="00DC18C7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549DE78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251</w:t>
            </w:r>
          </w:p>
        </w:tc>
      </w:tr>
      <w:tr w:rsidR="00270D9B" w:rsidRPr="00270D9B" w14:paraId="51E2F61F" w14:textId="77777777" w:rsidTr="00A11C8C">
        <w:tc>
          <w:tcPr>
            <w:tcW w:w="3114" w:type="dxa"/>
          </w:tcPr>
          <w:p w14:paraId="53511984" w14:textId="51463B8D" w:rsidR="00A11C8C" w:rsidRPr="00270D9B" w:rsidRDefault="00BD6F65" w:rsidP="003421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Total </w:t>
            </w:r>
            <w:r w:rsidR="00A11C8C" w:rsidRPr="00270D9B">
              <w:rPr>
                <w:rFonts w:hint="eastAsia"/>
                <w:color w:val="000000" w:themeColor="text1"/>
                <w:sz w:val="20"/>
                <w:szCs w:val="20"/>
              </w:rPr>
              <w:t>B</w:t>
            </w:r>
            <w:r w:rsidR="00A11C8C" w:rsidRPr="00270D9B">
              <w:rPr>
                <w:color w:val="000000" w:themeColor="text1"/>
                <w:sz w:val="20"/>
                <w:szCs w:val="20"/>
              </w:rPr>
              <w:t xml:space="preserve">ilirubin, (mg/dL ± SD) </w:t>
            </w:r>
          </w:p>
        </w:tc>
        <w:tc>
          <w:tcPr>
            <w:tcW w:w="1701" w:type="dxa"/>
          </w:tcPr>
          <w:p w14:paraId="694CB13F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38A4FD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1E555B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CBD3690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D9B" w:rsidRPr="00270D9B" w14:paraId="0BDA0E94" w14:textId="77777777" w:rsidTr="00A11C8C">
        <w:tc>
          <w:tcPr>
            <w:tcW w:w="3114" w:type="dxa"/>
          </w:tcPr>
          <w:p w14:paraId="0B08EBDD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Time of index admission</w:t>
            </w:r>
          </w:p>
        </w:tc>
        <w:tc>
          <w:tcPr>
            <w:tcW w:w="1701" w:type="dxa"/>
          </w:tcPr>
          <w:p w14:paraId="704D46A3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1.9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417" w:type="dxa"/>
          </w:tcPr>
          <w:p w14:paraId="5F9BD4BF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2.6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993" w:type="dxa"/>
          </w:tcPr>
          <w:p w14:paraId="783D9533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0.042</w:t>
            </w:r>
          </w:p>
        </w:tc>
        <w:tc>
          <w:tcPr>
            <w:tcW w:w="1388" w:type="dxa"/>
          </w:tcPr>
          <w:p w14:paraId="6D91C25B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2.3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2.3</w:t>
            </w:r>
          </w:p>
        </w:tc>
      </w:tr>
      <w:tr w:rsidR="00270D9B" w:rsidRPr="00270D9B" w14:paraId="3038786C" w14:textId="77777777" w:rsidTr="00A11C8C">
        <w:tc>
          <w:tcPr>
            <w:tcW w:w="3114" w:type="dxa"/>
          </w:tcPr>
          <w:p w14:paraId="476DFE6F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270D9B">
              <w:rPr>
                <w:color w:val="000000" w:themeColor="text1"/>
                <w:sz w:val="20"/>
                <w:szCs w:val="20"/>
              </w:rPr>
              <w:t>re-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61C6CAC7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2.6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1417" w:type="dxa"/>
          </w:tcPr>
          <w:p w14:paraId="225E280F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3.1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993" w:type="dxa"/>
          </w:tcPr>
          <w:p w14:paraId="11339348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1388" w:type="dxa"/>
          </w:tcPr>
          <w:p w14:paraId="02A5DDBE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2.9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6.3</w:t>
            </w:r>
          </w:p>
        </w:tc>
      </w:tr>
      <w:tr w:rsidR="00270D9B" w:rsidRPr="00270D9B" w14:paraId="676F5752" w14:textId="77777777" w:rsidTr="00A11C8C">
        <w:tc>
          <w:tcPr>
            <w:tcW w:w="3114" w:type="dxa"/>
          </w:tcPr>
          <w:p w14:paraId="01709C22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1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5822871D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1.4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1417" w:type="dxa"/>
          </w:tcPr>
          <w:p w14:paraId="3FA6374E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1.4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993" w:type="dxa"/>
          </w:tcPr>
          <w:p w14:paraId="66A4937C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1388" w:type="dxa"/>
          </w:tcPr>
          <w:p w14:paraId="52BAE851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1.4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3.9</w:t>
            </w:r>
          </w:p>
        </w:tc>
      </w:tr>
      <w:tr w:rsidR="00270D9B" w:rsidRPr="00270D9B" w14:paraId="38D4F11C" w14:textId="77777777" w:rsidTr="00A11C8C">
        <w:tc>
          <w:tcPr>
            <w:tcW w:w="3114" w:type="dxa"/>
          </w:tcPr>
          <w:p w14:paraId="3575D435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3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045AD2EB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1417" w:type="dxa"/>
          </w:tcPr>
          <w:p w14:paraId="2B5A36CC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1.3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993" w:type="dxa"/>
          </w:tcPr>
          <w:p w14:paraId="3EF4F724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0.187</w:t>
            </w:r>
          </w:p>
        </w:tc>
        <w:tc>
          <w:tcPr>
            <w:tcW w:w="1388" w:type="dxa"/>
          </w:tcPr>
          <w:p w14:paraId="56BA0169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1.0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3.2</w:t>
            </w:r>
          </w:p>
        </w:tc>
      </w:tr>
      <w:tr w:rsidR="00270D9B" w:rsidRPr="00270D9B" w14:paraId="45F0BEFE" w14:textId="77777777" w:rsidTr="00A11C8C">
        <w:tc>
          <w:tcPr>
            <w:tcW w:w="3114" w:type="dxa"/>
          </w:tcPr>
          <w:p w14:paraId="5C32A273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6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1D8F0978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417" w:type="dxa"/>
          </w:tcPr>
          <w:p w14:paraId="136B0575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993" w:type="dxa"/>
          </w:tcPr>
          <w:p w14:paraId="0BBD0A36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1388" w:type="dxa"/>
          </w:tcPr>
          <w:p w14:paraId="6E3D6FA3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0.4</w:t>
            </w:r>
          </w:p>
        </w:tc>
      </w:tr>
      <w:tr w:rsidR="00270D9B" w:rsidRPr="00270D9B" w14:paraId="23FFE9A7" w14:textId="77777777" w:rsidTr="00A11C8C">
        <w:tc>
          <w:tcPr>
            <w:tcW w:w="3114" w:type="dxa"/>
          </w:tcPr>
          <w:p w14:paraId="3FDBFD00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9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="00DC18C7"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7585C3F6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1417" w:type="dxa"/>
          </w:tcPr>
          <w:p w14:paraId="27BBA1D7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993" w:type="dxa"/>
          </w:tcPr>
          <w:p w14:paraId="643C771E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1388" w:type="dxa"/>
          </w:tcPr>
          <w:p w14:paraId="7EB294B5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0.3</w:t>
            </w:r>
          </w:p>
        </w:tc>
      </w:tr>
      <w:tr w:rsidR="00270D9B" w:rsidRPr="00270D9B" w14:paraId="15DFA9D2" w14:textId="77777777" w:rsidTr="00A11C8C">
        <w:tc>
          <w:tcPr>
            <w:tcW w:w="3114" w:type="dxa"/>
          </w:tcPr>
          <w:p w14:paraId="2BB375EC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1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year after </w:t>
            </w:r>
            <w:proofErr w:type="spellStart"/>
            <w:r w:rsidR="00DC18C7"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1EBFB8CD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417" w:type="dxa"/>
          </w:tcPr>
          <w:p w14:paraId="3C2150B0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993" w:type="dxa"/>
          </w:tcPr>
          <w:p w14:paraId="65213CF6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0.2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388" w:type="dxa"/>
          </w:tcPr>
          <w:p w14:paraId="472C9F14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0.4</w:t>
            </w:r>
          </w:p>
        </w:tc>
      </w:tr>
      <w:tr w:rsidR="00270D9B" w:rsidRPr="00270D9B" w14:paraId="05A1FD0B" w14:textId="77777777" w:rsidTr="00A11C8C">
        <w:tc>
          <w:tcPr>
            <w:tcW w:w="3114" w:type="dxa"/>
          </w:tcPr>
          <w:p w14:paraId="408291D0" w14:textId="77777777" w:rsidR="00F9555E" w:rsidRPr="00270D9B" w:rsidRDefault="00F9555E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  3</w:t>
            </w:r>
            <w:r w:rsid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year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6C20BF10" w14:textId="77777777" w:rsidR="00F9555E" w:rsidRPr="00270D9B" w:rsidRDefault="00776C0D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1417" w:type="dxa"/>
          </w:tcPr>
          <w:p w14:paraId="3F4EB53C" w14:textId="77777777" w:rsidR="00F9555E" w:rsidRPr="00270D9B" w:rsidRDefault="00776C0D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993" w:type="dxa"/>
          </w:tcPr>
          <w:p w14:paraId="498B9257" w14:textId="77777777" w:rsidR="00F9555E" w:rsidRPr="00270D9B" w:rsidRDefault="00932352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0.617</w:t>
            </w:r>
          </w:p>
        </w:tc>
        <w:tc>
          <w:tcPr>
            <w:tcW w:w="1388" w:type="dxa"/>
          </w:tcPr>
          <w:p w14:paraId="0A7A01C1" w14:textId="77777777" w:rsidR="00F9555E" w:rsidRPr="00270D9B" w:rsidRDefault="00932352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 ± 0.3</w:t>
            </w:r>
          </w:p>
        </w:tc>
      </w:tr>
      <w:tr w:rsidR="00270D9B" w:rsidRPr="00270D9B" w14:paraId="46CEE3EB" w14:textId="77777777" w:rsidTr="00A11C8C">
        <w:tc>
          <w:tcPr>
            <w:tcW w:w="3114" w:type="dxa"/>
          </w:tcPr>
          <w:p w14:paraId="32753DC1" w14:textId="77777777" w:rsidR="00A11C8C" w:rsidRPr="00270D9B" w:rsidRDefault="00DC18C7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C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reatinine, </w:t>
            </w:r>
            <w:r w:rsidR="00A11C8C" w:rsidRPr="00270D9B">
              <w:rPr>
                <w:color w:val="000000" w:themeColor="text1"/>
                <w:sz w:val="20"/>
                <w:szCs w:val="20"/>
              </w:rPr>
              <w:t>(mg/dL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 ± SD</w:t>
            </w:r>
            <w:r w:rsidR="00A11C8C" w:rsidRPr="00270D9B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14:paraId="56CED5C6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C03C4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595331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1D9423D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D9B" w:rsidRPr="00270D9B" w14:paraId="3DD016DA" w14:textId="77777777" w:rsidTr="00A11C8C">
        <w:tc>
          <w:tcPr>
            <w:tcW w:w="3114" w:type="dxa"/>
          </w:tcPr>
          <w:p w14:paraId="0A0A8C56" w14:textId="77777777" w:rsidR="00A11C8C" w:rsidRPr="00270D9B" w:rsidRDefault="00A11C8C" w:rsidP="0034214D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Time of index admission</w:t>
            </w:r>
          </w:p>
        </w:tc>
        <w:tc>
          <w:tcPr>
            <w:tcW w:w="1701" w:type="dxa"/>
          </w:tcPr>
          <w:p w14:paraId="51B66A2D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1.6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1417" w:type="dxa"/>
          </w:tcPr>
          <w:p w14:paraId="5E141D42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993" w:type="dxa"/>
          </w:tcPr>
          <w:p w14:paraId="44B34FCF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0.394</w:t>
            </w:r>
          </w:p>
        </w:tc>
        <w:tc>
          <w:tcPr>
            <w:tcW w:w="1388" w:type="dxa"/>
          </w:tcPr>
          <w:p w14:paraId="2E098214" w14:textId="77777777" w:rsidR="00A11C8C" w:rsidRPr="00270D9B" w:rsidRDefault="00A11C8C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1.6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±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270D9B" w:rsidRPr="00270D9B" w14:paraId="430BADCF" w14:textId="77777777" w:rsidTr="00A11C8C">
        <w:tc>
          <w:tcPr>
            <w:tcW w:w="3114" w:type="dxa"/>
          </w:tcPr>
          <w:p w14:paraId="73097E03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270D9B">
              <w:rPr>
                <w:color w:val="000000" w:themeColor="text1"/>
                <w:sz w:val="20"/>
                <w:szCs w:val="20"/>
              </w:rPr>
              <w:t>re-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4E342A9B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1.6</w:t>
            </w:r>
          </w:p>
        </w:tc>
        <w:tc>
          <w:tcPr>
            <w:tcW w:w="1417" w:type="dxa"/>
          </w:tcPr>
          <w:p w14:paraId="42535D57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1.0</w:t>
            </w:r>
          </w:p>
        </w:tc>
        <w:tc>
          <w:tcPr>
            <w:tcW w:w="993" w:type="dxa"/>
          </w:tcPr>
          <w:p w14:paraId="1330B510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0.941</w:t>
            </w:r>
          </w:p>
        </w:tc>
        <w:tc>
          <w:tcPr>
            <w:tcW w:w="1388" w:type="dxa"/>
          </w:tcPr>
          <w:p w14:paraId="4E9EF436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1.3</w:t>
            </w:r>
          </w:p>
        </w:tc>
      </w:tr>
      <w:tr w:rsidR="00270D9B" w:rsidRPr="00270D9B" w14:paraId="4484A2DF" w14:textId="77777777" w:rsidTr="00A11C8C">
        <w:tc>
          <w:tcPr>
            <w:tcW w:w="3114" w:type="dxa"/>
          </w:tcPr>
          <w:p w14:paraId="3217B125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1-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51F3B534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1.4</w:t>
            </w:r>
          </w:p>
        </w:tc>
        <w:tc>
          <w:tcPr>
            <w:tcW w:w="1417" w:type="dxa"/>
          </w:tcPr>
          <w:p w14:paraId="0D7B60CA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1.0</w:t>
            </w:r>
          </w:p>
        </w:tc>
        <w:tc>
          <w:tcPr>
            <w:tcW w:w="993" w:type="dxa"/>
          </w:tcPr>
          <w:p w14:paraId="513CD124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0.79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14:paraId="25302EEB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1.2</w:t>
            </w:r>
          </w:p>
        </w:tc>
      </w:tr>
      <w:tr w:rsidR="00270D9B" w:rsidRPr="00270D9B" w14:paraId="05AABBA7" w14:textId="77777777" w:rsidTr="00A11C8C">
        <w:tc>
          <w:tcPr>
            <w:tcW w:w="3114" w:type="dxa"/>
          </w:tcPr>
          <w:p w14:paraId="2F691303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3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6D0B374C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1.5 ± 1.2</w:t>
            </w:r>
          </w:p>
        </w:tc>
        <w:tc>
          <w:tcPr>
            <w:tcW w:w="1417" w:type="dxa"/>
          </w:tcPr>
          <w:p w14:paraId="62555D50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1.8 ± 1.</w:t>
            </w:r>
            <w:r w:rsidR="00776C0D" w:rsidRPr="00270D9B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FE9A5E4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0.1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88" w:type="dxa"/>
          </w:tcPr>
          <w:p w14:paraId="418E283E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1.6 ± 1.3</w:t>
            </w:r>
          </w:p>
        </w:tc>
      </w:tr>
      <w:tr w:rsidR="00270D9B" w:rsidRPr="00270D9B" w14:paraId="60D48945" w14:textId="77777777" w:rsidTr="00A11C8C">
        <w:tc>
          <w:tcPr>
            <w:tcW w:w="3114" w:type="dxa"/>
          </w:tcPr>
          <w:p w14:paraId="01EDA314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6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1495EC97" w14:textId="77777777" w:rsidR="00DC18C7" w:rsidRPr="00270D9B" w:rsidRDefault="00776C0D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</w:t>
            </w: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 xml:space="preserve"> ± 1.</w:t>
            </w:r>
            <w:r w:rsidRPr="00270D9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6A22AC8" w14:textId="77777777" w:rsidR="00DC18C7" w:rsidRPr="00270D9B" w:rsidRDefault="00776C0D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 xml:space="preserve">1.9 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± 1.</w:t>
            </w: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65027E7" w14:textId="77777777" w:rsidR="00DC18C7" w:rsidRPr="00270D9B" w:rsidRDefault="00932352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0.388</w:t>
            </w:r>
          </w:p>
        </w:tc>
        <w:tc>
          <w:tcPr>
            <w:tcW w:w="1388" w:type="dxa"/>
          </w:tcPr>
          <w:p w14:paraId="6C179C50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1.8 ± 1.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270D9B" w:rsidRPr="00270D9B" w14:paraId="3ED64DEF" w14:textId="77777777" w:rsidTr="00A11C8C">
        <w:tc>
          <w:tcPr>
            <w:tcW w:w="3114" w:type="dxa"/>
          </w:tcPr>
          <w:p w14:paraId="54A2FE99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9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month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0C0E07F4" w14:textId="77777777" w:rsidR="00DC18C7" w:rsidRPr="00270D9B" w:rsidRDefault="00776C0D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1.7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± 1.</w:t>
            </w:r>
            <w:r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1153E35A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1.9 ± 1.</w:t>
            </w:r>
            <w:r w:rsidR="00776C0D"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A45A0A7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1388" w:type="dxa"/>
          </w:tcPr>
          <w:p w14:paraId="3C30FFE8" w14:textId="77777777" w:rsidR="00DC18C7" w:rsidRPr="00270D9B" w:rsidRDefault="00932352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1.8</w:t>
            </w:r>
            <w:r w:rsidR="00DC18C7" w:rsidRPr="00270D9B">
              <w:rPr>
                <w:color w:val="000000" w:themeColor="text1"/>
                <w:sz w:val="20"/>
                <w:szCs w:val="20"/>
              </w:rPr>
              <w:t>± 1.</w:t>
            </w:r>
            <w:r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270D9B" w:rsidRPr="00270D9B" w14:paraId="239FEEB0" w14:textId="77777777" w:rsidTr="00A11C8C">
        <w:tc>
          <w:tcPr>
            <w:tcW w:w="3114" w:type="dxa"/>
          </w:tcPr>
          <w:p w14:paraId="3E789DD2" w14:textId="77777777" w:rsidR="00DC18C7" w:rsidRPr="00270D9B" w:rsidRDefault="00DC18C7" w:rsidP="00DC18C7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   1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year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344B4C85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1.6 ± 1.</w:t>
            </w:r>
            <w:r w:rsidR="00776C0D"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47C34BE1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</w:t>
            </w:r>
            <w:r w:rsidR="00776C0D" w:rsidRPr="00270D9B">
              <w:rPr>
                <w:color w:val="000000" w:themeColor="text1"/>
                <w:sz w:val="20"/>
                <w:szCs w:val="20"/>
              </w:rPr>
              <w:t>9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 ± 1.</w:t>
            </w:r>
            <w:r w:rsidR="00776C0D"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A42CE1B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0.3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388" w:type="dxa"/>
          </w:tcPr>
          <w:p w14:paraId="5FE9B3B4" w14:textId="77777777" w:rsidR="00DC18C7" w:rsidRPr="00270D9B" w:rsidRDefault="00DC18C7" w:rsidP="00DC18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1.7 ± 1.</w:t>
            </w:r>
            <w:r w:rsidR="00932352" w:rsidRPr="00270D9B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270D9B" w:rsidRPr="00270D9B" w14:paraId="2D87322D" w14:textId="77777777" w:rsidTr="00A11C8C">
        <w:tc>
          <w:tcPr>
            <w:tcW w:w="3114" w:type="dxa"/>
          </w:tcPr>
          <w:p w14:paraId="499497CD" w14:textId="77777777" w:rsidR="00F9555E" w:rsidRPr="00270D9B" w:rsidRDefault="00F9555E" w:rsidP="00F9555E">
            <w:pPr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  3</w:t>
            </w:r>
            <w:r w:rsidR="00270D9B" w:rsidRPr="00270D9B">
              <w:rPr>
                <w:color w:val="000000" w:themeColor="text1"/>
                <w:sz w:val="20"/>
                <w:szCs w:val="20"/>
              </w:rPr>
              <w:t>-</w:t>
            </w:r>
            <w:r w:rsidRPr="00270D9B">
              <w:rPr>
                <w:color w:val="000000" w:themeColor="text1"/>
                <w:sz w:val="20"/>
                <w:szCs w:val="20"/>
              </w:rPr>
              <w:t xml:space="preserve">year after </w:t>
            </w:r>
            <w:proofErr w:type="spellStart"/>
            <w:r w:rsidRPr="00270D9B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701" w:type="dxa"/>
          </w:tcPr>
          <w:p w14:paraId="64906059" w14:textId="77777777" w:rsidR="00F9555E" w:rsidRPr="00270D9B" w:rsidRDefault="00776C0D" w:rsidP="00F95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 xml:space="preserve">1.7± </w:t>
            </w:r>
            <w:r w:rsidR="001C4E6F" w:rsidRPr="00270D9B">
              <w:rPr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1417" w:type="dxa"/>
          </w:tcPr>
          <w:p w14:paraId="11CD1E1C" w14:textId="77777777" w:rsidR="00F9555E" w:rsidRPr="00270D9B" w:rsidRDefault="00776C0D" w:rsidP="00F95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1.7± 1.4</w:t>
            </w:r>
          </w:p>
        </w:tc>
        <w:tc>
          <w:tcPr>
            <w:tcW w:w="993" w:type="dxa"/>
          </w:tcPr>
          <w:p w14:paraId="0508E19B" w14:textId="77777777" w:rsidR="00F9555E" w:rsidRPr="00270D9B" w:rsidRDefault="00932352" w:rsidP="00F95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0.915</w:t>
            </w:r>
          </w:p>
        </w:tc>
        <w:tc>
          <w:tcPr>
            <w:tcW w:w="1388" w:type="dxa"/>
          </w:tcPr>
          <w:p w14:paraId="40C3AB16" w14:textId="77777777" w:rsidR="00F9555E" w:rsidRPr="00270D9B" w:rsidRDefault="00932352" w:rsidP="00F95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D9B">
              <w:rPr>
                <w:color w:val="000000" w:themeColor="text1"/>
                <w:sz w:val="20"/>
                <w:szCs w:val="20"/>
              </w:rPr>
              <w:t>1.7 ± 1.8</w:t>
            </w:r>
          </w:p>
        </w:tc>
      </w:tr>
    </w:tbl>
    <w:p w14:paraId="03AD04CA" w14:textId="77777777" w:rsidR="008F417F" w:rsidRDefault="00DC18C7">
      <w:pPr>
        <w:rPr>
          <w:color w:val="auto"/>
          <w:sz w:val="20"/>
          <w:szCs w:val="20"/>
        </w:rPr>
      </w:pPr>
      <w:bookmarkStart w:id="1" w:name="_Toc439772195"/>
      <w:bookmarkStart w:id="2" w:name="_Toc439773466"/>
      <w:proofErr w:type="spellStart"/>
      <w:r>
        <w:rPr>
          <w:rFonts w:hint="eastAsia"/>
          <w:color w:val="auto"/>
          <w:sz w:val="20"/>
          <w:szCs w:val="20"/>
        </w:rPr>
        <w:t>H</w:t>
      </w:r>
      <w:r>
        <w:rPr>
          <w:color w:val="auto"/>
          <w:sz w:val="20"/>
          <w:szCs w:val="20"/>
        </w:rPr>
        <w:t>Tx</w:t>
      </w:r>
      <w:proofErr w:type="spellEnd"/>
      <w:r>
        <w:rPr>
          <w:color w:val="auto"/>
          <w:sz w:val="20"/>
          <w:szCs w:val="20"/>
        </w:rPr>
        <w:t xml:space="preserve">: heart transplantation, MCS: mechanical circulatory support, SD: standard deviation.  </w:t>
      </w:r>
    </w:p>
    <w:p w14:paraId="76D8D4E8" w14:textId="77777777" w:rsidR="008F417F" w:rsidRDefault="008F417F">
      <w:pPr>
        <w:rPr>
          <w:color w:val="auto"/>
          <w:sz w:val="20"/>
          <w:szCs w:val="20"/>
        </w:rPr>
      </w:pPr>
    </w:p>
    <w:p w14:paraId="034547F5" w14:textId="77777777" w:rsidR="008F417F" w:rsidRPr="00022730" w:rsidRDefault="008F417F" w:rsidP="008F417F">
      <w:pPr>
        <w:pStyle w:val="a8"/>
        <w:rPr>
          <w:b/>
          <w:color w:val="auto"/>
        </w:rPr>
      </w:pPr>
      <w:r>
        <w:rPr>
          <w:b/>
          <w:color w:val="auto"/>
        </w:rPr>
        <w:lastRenderedPageBreak/>
        <w:t xml:space="preserve">Supplement </w:t>
      </w:r>
      <w:r w:rsidRPr="00022730">
        <w:rPr>
          <w:b/>
          <w:color w:val="auto"/>
        </w:rPr>
        <w:t xml:space="preserve">Table </w:t>
      </w:r>
      <w:r>
        <w:rPr>
          <w:b/>
          <w:color w:val="auto"/>
        </w:rPr>
        <w:t>2</w:t>
      </w:r>
      <w:r w:rsidRPr="00022730">
        <w:rPr>
          <w:b/>
          <w:color w:val="auto"/>
        </w:rPr>
        <w:t>：</w:t>
      </w:r>
      <w:r>
        <w:rPr>
          <w:b/>
          <w:color w:val="auto"/>
        </w:rPr>
        <w:t>Creatinine and Bilirubin</w:t>
      </w:r>
      <w:r w:rsidRPr="00022730">
        <w:rPr>
          <w:b/>
          <w:color w:val="auto"/>
        </w:rPr>
        <w:t xml:space="preserve"> data of MCS</w:t>
      </w:r>
      <w:r>
        <w:rPr>
          <w:b/>
          <w:color w:val="auto"/>
        </w:rPr>
        <w:t xml:space="preserve"> bridge to </w:t>
      </w:r>
      <w:proofErr w:type="spellStart"/>
      <w:r>
        <w:rPr>
          <w:b/>
          <w:color w:val="auto"/>
        </w:rPr>
        <w:t>HTx</w:t>
      </w:r>
      <w:proofErr w:type="spellEnd"/>
      <w:r w:rsidRPr="00022730">
        <w:rPr>
          <w:b/>
          <w:color w:val="auto"/>
        </w:rPr>
        <w:t xml:space="preserve"> </w:t>
      </w:r>
      <w:r>
        <w:rPr>
          <w:b/>
          <w:color w:val="auto"/>
        </w:rPr>
        <w:t>sub</w:t>
      </w:r>
      <w:r w:rsidRPr="00022730">
        <w:rPr>
          <w:b/>
          <w:color w:val="auto"/>
        </w:rPr>
        <w:t>group</w:t>
      </w:r>
      <w:r>
        <w:rPr>
          <w:b/>
          <w:color w:val="auto"/>
        </w:rPr>
        <w:t>s</w:t>
      </w:r>
      <w:r w:rsidRPr="00022730">
        <w:rPr>
          <w:b/>
          <w:color w:val="auto"/>
        </w:rPr>
        <w:t xml:space="preserve"> 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1417"/>
        <w:gridCol w:w="1418"/>
        <w:gridCol w:w="1417"/>
        <w:gridCol w:w="709"/>
        <w:gridCol w:w="1417"/>
      </w:tblGrid>
      <w:tr w:rsidR="008F417F" w:rsidRPr="00022730" w14:paraId="444E5A39" w14:textId="77777777" w:rsidTr="009B4054">
        <w:trPr>
          <w:trHeight w:val="586"/>
        </w:trPr>
        <w:tc>
          <w:tcPr>
            <w:tcW w:w="2977" w:type="dxa"/>
          </w:tcPr>
          <w:p w14:paraId="13E6218D" w14:textId="77777777" w:rsidR="008F417F" w:rsidRDefault="008F417F" w:rsidP="009B4054">
            <w:pPr>
              <w:rPr>
                <w:sz w:val="20"/>
                <w:szCs w:val="20"/>
              </w:rPr>
            </w:pPr>
          </w:p>
          <w:p w14:paraId="7EA1E3C1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3AB6989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IABP</w:t>
            </w:r>
          </w:p>
        </w:tc>
        <w:tc>
          <w:tcPr>
            <w:tcW w:w="1417" w:type="dxa"/>
          </w:tcPr>
          <w:p w14:paraId="01FC8184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ECMO</w:t>
            </w:r>
          </w:p>
        </w:tc>
        <w:tc>
          <w:tcPr>
            <w:tcW w:w="1418" w:type="dxa"/>
          </w:tcPr>
          <w:p w14:paraId="4F016923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ECMO-VAD</w:t>
            </w:r>
          </w:p>
        </w:tc>
        <w:tc>
          <w:tcPr>
            <w:tcW w:w="1417" w:type="dxa"/>
          </w:tcPr>
          <w:p w14:paraId="042B48CD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VAD</w:t>
            </w:r>
          </w:p>
        </w:tc>
        <w:tc>
          <w:tcPr>
            <w:tcW w:w="709" w:type="dxa"/>
          </w:tcPr>
          <w:p w14:paraId="0B9485DE" w14:textId="77777777" w:rsidR="008F417F" w:rsidRPr="00D05825" w:rsidRDefault="008F417F" w:rsidP="009B4054">
            <w:pPr>
              <w:jc w:val="center"/>
              <w:rPr>
                <w:i/>
                <w:iCs/>
                <w:sz w:val="20"/>
                <w:szCs w:val="20"/>
              </w:rPr>
            </w:pPr>
            <w:r w:rsidRPr="00D05825">
              <w:rPr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14:paraId="5BE03B43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Total</w:t>
            </w:r>
          </w:p>
        </w:tc>
      </w:tr>
      <w:tr w:rsidR="008F417F" w:rsidRPr="00022730" w14:paraId="68992538" w14:textId="77777777" w:rsidTr="009B4054">
        <w:trPr>
          <w:trHeight w:val="329"/>
        </w:trPr>
        <w:tc>
          <w:tcPr>
            <w:tcW w:w="2977" w:type="dxa"/>
          </w:tcPr>
          <w:p w14:paraId="0CE8113B" w14:textId="77777777" w:rsidR="008F417F" w:rsidRPr="00022730" w:rsidRDefault="008F417F" w:rsidP="009B40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Patient, n</w:t>
            </w:r>
            <w:r w:rsidRPr="00022730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560" w:type="dxa"/>
          </w:tcPr>
          <w:p w14:paraId="3DE9B3B7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022730">
              <w:rPr>
                <w:sz w:val="20"/>
                <w:szCs w:val="20"/>
              </w:rPr>
              <w:t>(11)</w:t>
            </w:r>
          </w:p>
        </w:tc>
        <w:tc>
          <w:tcPr>
            <w:tcW w:w="1417" w:type="dxa"/>
          </w:tcPr>
          <w:p w14:paraId="49A03E8F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33 (24.3)</w:t>
            </w:r>
          </w:p>
        </w:tc>
        <w:tc>
          <w:tcPr>
            <w:tcW w:w="1418" w:type="dxa"/>
          </w:tcPr>
          <w:p w14:paraId="238CCDF1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022730">
              <w:rPr>
                <w:sz w:val="20"/>
                <w:szCs w:val="20"/>
              </w:rPr>
              <w:t>(43.</w:t>
            </w:r>
            <w:r>
              <w:rPr>
                <w:sz w:val="20"/>
                <w:szCs w:val="20"/>
              </w:rPr>
              <w:t>4</w:t>
            </w:r>
            <w:r w:rsidRPr="0002273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BC54FCB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</w:t>
            </w:r>
            <w:r w:rsidRPr="00022730">
              <w:rPr>
                <w:sz w:val="20"/>
                <w:szCs w:val="20"/>
              </w:rPr>
              <w:t>(21.3)</w:t>
            </w:r>
          </w:p>
        </w:tc>
        <w:tc>
          <w:tcPr>
            <w:tcW w:w="709" w:type="dxa"/>
          </w:tcPr>
          <w:p w14:paraId="0B931643" w14:textId="77777777" w:rsidR="008F417F" w:rsidRPr="00D05825" w:rsidRDefault="008F417F" w:rsidP="009B405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C9B107" w14:textId="77777777" w:rsidR="008F417F" w:rsidRPr="00022730" w:rsidRDefault="008F417F" w:rsidP="009B4054">
            <w:pPr>
              <w:jc w:val="center"/>
              <w:rPr>
                <w:sz w:val="20"/>
                <w:szCs w:val="20"/>
              </w:rPr>
            </w:pPr>
            <w:r w:rsidRPr="00022730">
              <w:rPr>
                <w:sz w:val="20"/>
                <w:szCs w:val="20"/>
              </w:rPr>
              <w:t>136</w:t>
            </w:r>
          </w:p>
        </w:tc>
      </w:tr>
      <w:tr w:rsidR="008F417F" w:rsidRPr="00AA7C3E" w14:paraId="383B1D45" w14:textId="77777777" w:rsidTr="009B4054">
        <w:trPr>
          <w:trHeight w:val="442"/>
        </w:trPr>
        <w:tc>
          <w:tcPr>
            <w:tcW w:w="2977" w:type="dxa"/>
          </w:tcPr>
          <w:p w14:paraId="5635C0B7" w14:textId="77777777" w:rsidR="008F417F" w:rsidRPr="00CE3383" w:rsidRDefault="008F417F" w:rsidP="009B4054">
            <w:pPr>
              <w:rPr>
                <w:b/>
                <w:bCs/>
                <w:sz w:val="20"/>
                <w:szCs w:val="20"/>
              </w:rPr>
            </w:pPr>
            <w:r w:rsidRPr="00CE3383">
              <w:rPr>
                <w:b/>
                <w:bCs/>
                <w:sz w:val="20"/>
                <w:szCs w:val="20"/>
              </w:rPr>
              <w:t xml:space="preserve">Creatinine, (mg/dL </w:t>
            </w:r>
            <w:r>
              <w:rPr>
                <w:rFonts w:hint="eastAsia"/>
                <w:b/>
                <w:bCs/>
                <w:sz w:val="20"/>
                <w:szCs w:val="20"/>
              </w:rPr>
              <w:t>mean</w:t>
            </w:r>
            <w:r w:rsidRPr="00CE3383">
              <w:rPr>
                <w:b/>
                <w:bCs/>
                <w:sz w:val="20"/>
                <w:szCs w:val="20"/>
              </w:rPr>
              <w:t>± SD)</w:t>
            </w:r>
          </w:p>
        </w:tc>
        <w:tc>
          <w:tcPr>
            <w:tcW w:w="1560" w:type="dxa"/>
          </w:tcPr>
          <w:p w14:paraId="672F117B" w14:textId="77777777" w:rsidR="008F417F" w:rsidRPr="00AA7C3E" w:rsidRDefault="008F417F" w:rsidP="009B40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BE9632" w14:textId="77777777" w:rsidR="008F417F" w:rsidRPr="00AA7C3E" w:rsidRDefault="008F417F" w:rsidP="009B40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94AEF8" w14:textId="77777777" w:rsidR="008F417F" w:rsidRPr="00AA7C3E" w:rsidRDefault="008F417F" w:rsidP="009B40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9196B" w14:textId="77777777" w:rsidR="008F417F" w:rsidRPr="00AA7C3E" w:rsidRDefault="008F417F" w:rsidP="009B40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20CFA0" w14:textId="77777777" w:rsidR="008F417F" w:rsidRPr="00D05825" w:rsidRDefault="008F417F" w:rsidP="009B405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9F7FB" w14:textId="77777777" w:rsidR="008F417F" w:rsidRPr="00AA7C3E" w:rsidRDefault="008F417F" w:rsidP="009B4054">
            <w:pPr>
              <w:rPr>
                <w:sz w:val="20"/>
                <w:szCs w:val="20"/>
              </w:rPr>
            </w:pPr>
          </w:p>
        </w:tc>
      </w:tr>
      <w:tr w:rsidR="008F417F" w:rsidRPr="002A1E8F" w14:paraId="00C4E064" w14:textId="77777777" w:rsidTr="009B4054">
        <w:tc>
          <w:tcPr>
            <w:tcW w:w="2977" w:type="dxa"/>
          </w:tcPr>
          <w:p w14:paraId="4EDEA5AD" w14:textId="77777777" w:rsidR="008F417F" w:rsidRPr="002B6EF0" w:rsidRDefault="008F417F" w:rsidP="009B405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 xml:space="preserve"> Time of admission</w:t>
            </w:r>
          </w:p>
        </w:tc>
        <w:tc>
          <w:tcPr>
            <w:tcW w:w="1560" w:type="dxa"/>
          </w:tcPr>
          <w:p w14:paraId="4E86ADDF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1.7 ± 1.2</w:t>
            </w:r>
          </w:p>
        </w:tc>
        <w:tc>
          <w:tcPr>
            <w:tcW w:w="1417" w:type="dxa"/>
          </w:tcPr>
          <w:p w14:paraId="1FC91D8E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1.8 ± 0.9</w:t>
            </w:r>
          </w:p>
        </w:tc>
        <w:tc>
          <w:tcPr>
            <w:tcW w:w="1418" w:type="dxa"/>
          </w:tcPr>
          <w:p w14:paraId="017F8663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1.6 ± 0.9</w:t>
            </w:r>
          </w:p>
        </w:tc>
        <w:tc>
          <w:tcPr>
            <w:tcW w:w="1417" w:type="dxa"/>
          </w:tcPr>
          <w:p w14:paraId="1453477A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1.7 ± 1.1</w:t>
            </w:r>
          </w:p>
        </w:tc>
        <w:tc>
          <w:tcPr>
            <w:tcW w:w="709" w:type="dxa"/>
          </w:tcPr>
          <w:p w14:paraId="59E9E00C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0.872</w:t>
            </w:r>
          </w:p>
        </w:tc>
        <w:tc>
          <w:tcPr>
            <w:tcW w:w="1417" w:type="dxa"/>
          </w:tcPr>
          <w:p w14:paraId="7C4511B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1.7 ± 1.0</w:t>
            </w:r>
          </w:p>
        </w:tc>
      </w:tr>
      <w:tr w:rsidR="008F417F" w:rsidRPr="002A1E8F" w14:paraId="0FA62ED8" w14:textId="77777777" w:rsidTr="009B4054">
        <w:tc>
          <w:tcPr>
            <w:tcW w:w="2977" w:type="dxa"/>
          </w:tcPr>
          <w:p w14:paraId="1BE10039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Time of MCS</w:t>
            </w:r>
          </w:p>
        </w:tc>
        <w:tc>
          <w:tcPr>
            <w:tcW w:w="1560" w:type="dxa"/>
          </w:tcPr>
          <w:p w14:paraId="21D23E69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1.6 ± 1.0</w:t>
            </w:r>
          </w:p>
        </w:tc>
        <w:tc>
          <w:tcPr>
            <w:tcW w:w="1417" w:type="dxa"/>
          </w:tcPr>
          <w:p w14:paraId="19B10DDD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2.1 ± 1.0</w:t>
            </w:r>
          </w:p>
        </w:tc>
        <w:tc>
          <w:tcPr>
            <w:tcW w:w="1418" w:type="dxa"/>
          </w:tcPr>
          <w:p w14:paraId="386D8C99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1.7 ± 1.0 (E)</w:t>
            </w:r>
          </w:p>
          <w:p w14:paraId="5DB79957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1.8 ± 1.0(V)</w:t>
            </w:r>
          </w:p>
        </w:tc>
        <w:tc>
          <w:tcPr>
            <w:tcW w:w="1417" w:type="dxa"/>
          </w:tcPr>
          <w:p w14:paraId="67829956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2.1 ± 1.2</w:t>
            </w:r>
          </w:p>
        </w:tc>
        <w:tc>
          <w:tcPr>
            <w:tcW w:w="709" w:type="dxa"/>
          </w:tcPr>
          <w:p w14:paraId="18416651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0.487</w:t>
            </w:r>
          </w:p>
        </w:tc>
        <w:tc>
          <w:tcPr>
            <w:tcW w:w="1417" w:type="dxa"/>
          </w:tcPr>
          <w:p w14:paraId="1FFEDE6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1.1</w:t>
            </w:r>
          </w:p>
        </w:tc>
      </w:tr>
      <w:tr w:rsidR="008F417F" w:rsidRPr="00794030" w14:paraId="3701BE41" w14:textId="77777777" w:rsidTr="009B4054">
        <w:tc>
          <w:tcPr>
            <w:tcW w:w="2977" w:type="dxa"/>
          </w:tcPr>
          <w:p w14:paraId="755FD4C1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Pre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B6EF0">
              <w:rPr>
                <w:bCs/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7871EA78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1.3 ± 0.8</w:t>
            </w:r>
          </w:p>
        </w:tc>
        <w:tc>
          <w:tcPr>
            <w:tcW w:w="1417" w:type="dxa"/>
          </w:tcPr>
          <w:p w14:paraId="453CEF43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1.8 ± 1.2</w:t>
            </w:r>
          </w:p>
        </w:tc>
        <w:tc>
          <w:tcPr>
            <w:tcW w:w="1418" w:type="dxa"/>
          </w:tcPr>
          <w:p w14:paraId="4DB3A5F2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1.4 ± 1.1</w:t>
            </w:r>
          </w:p>
        </w:tc>
        <w:tc>
          <w:tcPr>
            <w:tcW w:w="1417" w:type="dxa"/>
          </w:tcPr>
          <w:p w14:paraId="7FF20F20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1.3 ± 0.9</w:t>
            </w:r>
          </w:p>
        </w:tc>
        <w:tc>
          <w:tcPr>
            <w:tcW w:w="709" w:type="dxa"/>
          </w:tcPr>
          <w:p w14:paraId="043B3324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0.251</w:t>
            </w:r>
          </w:p>
        </w:tc>
        <w:tc>
          <w:tcPr>
            <w:tcW w:w="1417" w:type="dxa"/>
          </w:tcPr>
          <w:p w14:paraId="6E25B0E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1.5 ± 1.0</w:t>
            </w:r>
          </w:p>
        </w:tc>
      </w:tr>
      <w:tr w:rsidR="008F417F" w:rsidRPr="00794030" w14:paraId="06243528" w14:textId="77777777" w:rsidTr="009B4054">
        <w:tc>
          <w:tcPr>
            <w:tcW w:w="2977" w:type="dxa"/>
          </w:tcPr>
          <w:p w14:paraId="58ECA026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 xml:space="preserve">1-month after </w:t>
            </w:r>
            <w:proofErr w:type="spellStart"/>
            <w:r w:rsidRPr="002B6EF0">
              <w:rPr>
                <w:bCs/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08C8B829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1.6 ± 1.1</w:t>
            </w:r>
          </w:p>
        </w:tc>
        <w:tc>
          <w:tcPr>
            <w:tcW w:w="1417" w:type="dxa"/>
          </w:tcPr>
          <w:p w14:paraId="174DB505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1.4 ± 0.7</w:t>
            </w:r>
          </w:p>
        </w:tc>
        <w:tc>
          <w:tcPr>
            <w:tcW w:w="1418" w:type="dxa"/>
          </w:tcPr>
          <w:p w14:paraId="1B26362B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1.5 ± 1.0</w:t>
            </w:r>
          </w:p>
        </w:tc>
        <w:tc>
          <w:tcPr>
            <w:tcW w:w="1417" w:type="dxa"/>
          </w:tcPr>
          <w:p w14:paraId="23F8CFB0" w14:textId="77777777" w:rsidR="008F417F" w:rsidRPr="002B6EF0" w:rsidRDefault="008F417F" w:rsidP="009B405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1.4 ± 1.2</w:t>
            </w:r>
          </w:p>
        </w:tc>
        <w:tc>
          <w:tcPr>
            <w:tcW w:w="709" w:type="dxa"/>
          </w:tcPr>
          <w:p w14:paraId="1B445208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0.927</w:t>
            </w:r>
          </w:p>
        </w:tc>
        <w:tc>
          <w:tcPr>
            <w:tcW w:w="1417" w:type="dxa"/>
          </w:tcPr>
          <w:p w14:paraId="270BAE2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1.5 ± 1.0</w:t>
            </w:r>
          </w:p>
        </w:tc>
      </w:tr>
      <w:tr w:rsidR="008F417F" w:rsidRPr="00022730" w14:paraId="2B81AE44" w14:textId="77777777" w:rsidTr="009B4054">
        <w:tc>
          <w:tcPr>
            <w:tcW w:w="2977" w:type="dxa"/>
          </w:tcPr>
          <w:p w14:paraId="3617FB1A" w14:textId="77777777" w:rsidR="008F417F" w:rsidRPr="002B6EF0" w:rsidRDefault="008F417F" w:rsidP="009B4054">
            <w:pPr>
              <w:ind w:firstLineChars="50" w:firstLine="100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3-month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5108D76E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±1.4</w:t>
            </w:r>
          </w:p>
        </w:tc>
        <w:tc>
          <w:tcPr>
            <w:tcW w:w="1417" w:type="dxa"/>
          </w:tcPr>
          <w:p w14:paraId="5B3D7FA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1.7 ± 0.8</w:t>
            </w:r>
          </w:p>
        </w:tc>
        <w:tc>
          <w:tcPr>
            <w:tcW w:w="1418" w:type="dxa"/>
          </w:tcPr>
          <w:p w14:paraId="6156608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1.7</w:t>
            </w:r>
          </w:p>
        </w:tc>
        <w:tc>
          <w:tcPr>
            <w:tcW w:w="1417" w:type="dxa"/>
          </w:tcPr>
          <w:p w14:paraId="49C25D2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1.6 ± 1.4</w:t>
            </w:r>
          </w:p>
        </w:tc>
        <w:tc>
          <w:tcPr>
            <w:tcW w:w="709" w:type="dxa"/>
          </w:tcPr>
          <w:p w14:paraId="407D9FC1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0.699</w:t>
            </w:r>
          </w:p>
        </w:tc>
        <w:tc>
          <w:tcPr>
            <w:tcW w:w="1417" w:type="dxa"/>
          </w:tcPr>
          <w:p w14:paraId="2E66742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1.8 ± 1.4</w:t>
            </w:r>
          </w:p>
        </w:tc>
      </w:tr>
      <w:tr w:rsidR="008F417F" w:rsidRPr="00022730" w14:paraId="3451C765" w14:textId="77777777" w:rsidTr="009B4054">
        <w:tc>
          <w:tcPr>
            <w:tcW w:w="2977" w:type="dxa"/>
          </w:tcPr>
          <w:p w14:paraId="29073AD9" w14:textId="77777777" w:rsidR="008F417F" w:rsidRPr="002B6EF0" w:rsidRDefault="008F417F" w:rsidP="009B4054">
            <w:pPr>
              <w:ind w:firstLineChars="50" w:firstLine="100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6-month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1569700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2.0 ± 2.2</w:t>
            </w:r>
          </w:p>
        </w:tc>
        <w:tc>
          <w:tcPr>
            <w:tcW w:w="1417" w:type="dxa"/>
          </w:tcPr>
          <w:p w14:paraId="08FA695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1.9</w:t>
            </w:r>
          </w:p>
        </w:tc>
        <w:tc>
          <w:tcPr>
            <w:tcW w:w="1418" w:type="dxa"/>
          </w:tcPr>
          <w:p w14:paraId="09A746E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2.0 ± 1.6</w:t>
            </w:r>
          </w:p>
        </w:tc>
        <w:tc>
          <w:tcPr>
            <w:tcW w:w="1417" w:type="dxa"/>
          </w:tcPr>
          <w:p w14:paraId="7157FD2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1.8 ± 1.3</w:t>
            </w:r>
          </w:p>
        </w:tc>
        <w:tc>
          <w:tcPr>
            <w:tcW w:w="709" w:type="dxa"/>
          </w:tcPr>
          <w:p w14:paraId="5796ECCC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0.955</w:t>
            </w:r>
          </w:p>
        </w:tc>
        <w:tc>
          <w:tcPr>
            <w:tcW w:w="1417" w:type="dxa"/>
          </w:tcPr>
          <w:p w14:paraId="54073A3B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1.6</w:t>
            </w:r>
          </w:p>
        </w:tc>
      </w:tr>
      <w:tr w:rsidR="008F417F" w:rsidRPr="00022730" w14:paraId="6B850253" w14:textId="77777777" w:rsidTr="009B4054">
        <w:trPr>
          <w:trHeight w:val="376"/>
        </w:trPr>
        <w:tc>
          <w:tcPr>
            <w:tcW w:w="2977" w:type="dxa"/>
          </w:tcPr>
          <w:p w14:paraId="405B3EFD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 9-month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078C4CD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2.2 ± 3.2</w:t>
            </w:r>
          </w:p>
        </w:tc>
        <w:tc>
          <w:tcPr>
            <w:tcW w:w="1417" w:type="dxa"/>
          </w:tcPr>
          <w:p w14:paraId="2C6BF71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1.6 ± 0.7</w:t>
            </w:r>
          </w:p>
        </w:tc>
        <w:tc>
          <w:tcPr>
            <w:tcW w:w="1418" w:type="dxa"/>
          </w:tcPr>
          <w:p w14:paraId="44F42A24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1.8 ± 1.4</w:t>
            </w:r>
          </w:p>
        </w:tc>
        <w:tc>
          <w:tcPr>
            <w:tcW w:w="1417" w:type="dxa"/>
          </w:tcPr>
          <w:p w14:paraId="660184A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2.1 ± 2.1</w:t>
            </w:r>
          </w:p>
        </w:tc>
        <w:tc>
          <w:tcPr>
            <w:tcW w:w="709" w:type="dxa"/>
          </w:tcPr>
          <w:p w14:paraId="634B4293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0.771</w:t>
            </w:r>
          </w:p>
        </w:tc>
        <w:tc>
          <w:tcPr>
            <w:tcW w:w="1417" w:type="dxa"/>
          </w:tcPr>
          <w:p w14:paraId="5945F2EB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1.7</w:t>
            </w:r>
          </w:p>
        </w:tc>
      </w:tr>
      <w:tr w:rsidR="008F417F" w:rsidRPr="00022730" w14:paraId="25F65856" w14:textId="77777777" w:rsidTr="009B4054">
        <w:tc>
          <w:tcPr>
            <w:tcW w:w="2977" w:type="dxa"/>
          </w:tcPr>
          <w:p w14:paraId="68B72C00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 1-year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561FF3F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2.1 ± 2.7</w:t>
            </w:r>
          </w:p>
        </w:tc>
        <w:tc>
          <w:tcPr>
            <w:tcW w:w="1417" w:type="dxa"/>
          </w:tcPr>
          <w:p w14:paraId="22DEF6C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1.5 ± 0.6</w:t>
            </w:r>
          </w:p>
        </w:tc>
        <w:tc>
          <w:tcPr>
            <w:tcW w:w="1418" w:type="dxa"/>
          </w:tcPr>
          <w:p w14:paraId="5EAE75B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1.8 ± 1.5</w:t>
            </w:r>
          </w:p>
        </w:tc>
        <w:tc>
          <w:tcPr>
            <w:tcW w:w="1417" w:type="dxa"/>
          </w:tcPr>
          <w:p w14:paraId="65E7524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2.0 ± 2.0</w:t>
            </w:r>
          </w:p>
        </w:tc>
        <w:tc>
          <w:tcPr>
            <w:tcW w:w="709" w:type="dxa"/>
          </w:tcPr>
          <w:p w14:paraId="764D968F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0.769</w:t>
            </w:r>
          </w:p>
        </w:tc>
        <w:tc>
          <w:tcPr>
            <w:tcW w:w="1417" w:type="dxa"/>
          </w:tcPr>
          <w:p w14:paraId="1995E17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1.7</w:t>
            </w:r>
          </w:p>
        </w:tc>
      </w:tr>
      <w:tr w:rsidR="008F417F" w:rsidRPr="00022730" w14:paraId="631B9662" w14:textId="77777777" w:rsidTr="009B4054">
        <w:tc>
          <w:tcPr>
            <w:tcW w:w="2977" w:type="dxa"/>
          </w:tcPr>
          <w:p w14:paraId="76A79C21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 3-year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171D835E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1.3 ± 0.6</w:t>
            </w:r>
          </w:p>
        </w:tc>
        <w:tc>
          <w:tcPr>
            <w:tcW w:w="1417" w:type="dxa"/>
          </w:tcPr>
          <w:p w14:paraId="62457DD8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1.5 ± 0.6</w:t>
            </w:r>
          </w:p>
        </w:tc>
        <w:tc>
          <w:tcPr>
            <w:tcW w:w="1418" w:type="dxa"/>
          </w:tcPr>
          <w:p w14:paraId="1EF9B95D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1.6 ± 1.1</w:t>
            </w:r>
          </w:p>
        </w:tc>
        <w:tc>
          <w:tcPr>
            <w:tcW w:w="1417" w:type="dxa"/>
          </w:tcPr>
          <w:p w14:paraId="6D48DBDB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2.2 ± 2.5</w:t>
            </w:r>
          </w:p>
        </w:tc>
        <w:tc>
          <w:tcPr>
            <w:tcW w:w="709" w:type="dxa"/>
          </w:tcPr>
          <w:p w14:paraId="1F274DCE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0.496</w:t>
            </w:r>
          </w:p>
        </w:tc>
        <w:tc>
          <w:tcPr>
            <w:tcW w:w="1417" w:type="dxa"/>
          </w:tcPr>
          <w:p w14:paraId="41E0AB6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1.7 ± 1.4</w:t>
            </w:r>
          </w:p>
        </w:tc>
      </w:tr>
      <w:tr w:rsidR="008F417F" w:rsidRPr="00022730" w14:paraId="6763B637" w14:textId="77777777" w:rsidTr="009B4054">
        <w:tc>
          <w:tcPr>
            <w:tcW w:w="2977" w:type="dxa"/>
          </w:tcPr>
          <w:p w14:paraId="346507E4" w14:textId="77777777" w:rsidR="008F417F" w:rsidRPr="002B6EF0" w:rsidRDefault="008F417F" w:rsidP="009B4054">
            <w:pPr>
              <w:rPr>
                <w:b/>
                <w:color w:val="000000" w:themeColor="text1"/>
                <w:sz w:val="20"/>
                <w:szCs w:val="20"/>
              </w:rPr>
            </w:pPr>
            <w:r w:rsidRPr="002B6EF0">
              <w:rPr>
                <w:b/>
                <w:color w:val="000000" w:themeColor="text1"/>
                <w:sz w:val="20"/>
                <w:szCs w:val="20"/>
              </w:rPr>
              <w:t xml:space="preserve">Bilirubin, (mg/dL mean ± SD) </w:t>
            </w:r>
          </w:p>
        </w:tc>
        <w:tc>
          <w:tcPr>
            <w:tcW w:w="1560" w:type="dxa"/>
          </w:tcPr>
          <w:p w14:paraId="22EC8AF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B4CF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E38A0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32E52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8E6610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E133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417F" w:rsidRPr="00022730" w14:paraId="6C8206B2" w14:textId="77777777" w:rsidTr="009B4054">
        <w:tc>
          <w:tcPr>
            <w:tcW w:w="2977" w:type="dxa"/>
          </w:tcPr>
          <w:p w14:paraId="77524447" w14:textId="77777777" w:rsidR="008F417F" w:rsidRPr="002B6EF0" w:rsidRDefault="008F417F" w:rsidP="009B405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 xml:space="preserve"> Time of admission</w:t>
            </w:r>
          </w:p>
        </w:tc>
        <w:tc>
          <w:tcPr>
            <w:tcW w:w="1560" w:type="dxa"/>
          </w:tcPr>
          <w:p w14:paraId="2A125201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2.6 ± 1.8</w:t>
            </w:r>
          </w:p>
        </w:tc>
        <w:tc>
          <w:tcPr>
            <w:tcW w:w="1417" w:type="dxa"/>
          </w:tcPr>
          <w:p w14:paraId="1BE0ADBB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3.1 ± 2.8</w:t>
            </w:r>
          </w:p>
        </w:tc>
        <w:tc>
          <w:tcPr>
            <w:tcW w:w="1418" w:type="dxa"/>
          </w:tcPr>
          <w:p w14:paraId="1575AFB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2.7 ± 3.5</w:t>
            </w:r>
          </w:p>
        </w:tc>
        <w:tc>
          <w:tcPr>
            <w:tcW w:w="1417" w:type="dxa"/>
          </w:tcPr>
          <w:p w14:paraId="5EE2854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1.9 ± 1.5</w:t>
            </w:r>
          </w:p>
        </w:tc>
        <w:tc>
          <w:tcPr>
            <w:tcW w:w="709" w:type="dxa"/>
          </w:tcPr>
          <w:p w14:paraId="331EC191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0.551</w:t>
            </w:r>
          </w:p>
        </w:tc>
        <w:tc>
          <w:tcPr>
            <w:tcW w:w="1417" w:type="dxa"/>
          </w:tcPr>
          <w:p w14:paraId="3DF49EE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2.6 ± 2.8</w:t>
            </w:r>
          </w:p>
        </w:tc>
      </w:tr>
      <w:tr w:rsidR="008F417F" w:rsidRPr="00022730" w14:paraId="1DD20C62" w14:textId="77777777" w:rsidTr="009B4054">
        <w:tc>
          <w:tcPr>
            <w:tcW w:w="2977" w:type="dxa"/>
          </w:tcPr>
          <w:p w14:paraId="5347CCA1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Time of MCS</w:t>
            </w:r>
          </w:p>
        </w:tc>
        <w:tc>
          <w:tcPr>
            <w:tcW w:w="1560" w:type="dxa"/>
          </w:tcPr>
          <w:p w14:paraId="048220F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3.4 ± 2.3</w:t>
            </w:r>
          </w:p>
        </w:tc>
        <w:tc>
          <w:tcPr>
            <w:tcW w:w="1417" w:type="dxa"/>
          </w:tcPr>
          <w:p w14:paraId="0F3793D4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3.7 ± 4.7</w:t>
            </w:r>
          </w:p>
        </w:tc>
        <w:tc>
          <w:tcPr>
            <w:tcW w:w="1418" w:type="dxa"/>
          </w:tcPr>
          <w:p w14:paraId="622ED54D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2.3 ± 1.5</w:t>
            </w:r>
          </w:p>
        </w:tc>
        <w:tc>
          <w:tcPr>
            <w:tcW w:w="1417" w:type="dxa"/>
          </w:tcPr>
          <w:p w14:paraId="39B9C80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2.5 ± 1.8</w:t>
            </w:r>
          </w:p>
        </w:tc>
        <w:tc>
          <w:tcPr>
            <w:tcW w:w="709" w:type="dxa"/>
          </w:tcPr>
          <w:p w14:paraId="273BCBAD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0.298</w:t>
            </w:r>
          </w:p>
        </w:tc>
        <w:tc>
          <w:tcPr>
            <w:tcW w:w="1417" w:type="dxa"/>
          </w:tcPr>
          <w:p w14:paraId="3C016D7C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2.9 ± 3.0</w:t>
            </w:r>
          </w:p>
        </w:tc>
      </w:tr>
      <w:tr w:rsidR="008F417F" w:rsidRPr="00022730" w14:paraId="59C66E42" w14:textId="77777777" w:rsidTr="009B4054">
        <w:tc>
          <w:tcPr>
            <w:tcW w:w="2977" w:type="dxa"/>
          </w:tcPr>
          <w:p w14:paraId="1E31D961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>Pre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B6EF0">
              <w:rPr>
                <w:bCs/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796D268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1.5 ± 1.1</w:t>
            </w:r>
          </w:p>
        </w:tc>
        <w:tc>
          <w:tcPr>
            <w:tcW w:w="1417" w:type="dxa"/>
          </w:tcPr>
          <w:p w14:paraId="6B6C8733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5.8 ± 6.9</w:t>
            </w:r>
          </w:p>
        </w:tc>
        <w:tc>
          <w:tcPr>
            <w:tcW w:w="1418" w:type="dxa"/>
          </w:tcPr>
          <w:p w14:paraId="3D8B8E2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2.5 ± 2.8</w:t>
            </w:r>
          </w:p>
        </w:tc>
        <w:tc>
          <w:tcPr>
            <w:tcW w:w="1417" w:type="dxa"/>
          </w:tcPr>
          <w:p w14:paraId="2DD9A49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2.2 ± 2.2</w:t>
            </w:r>
          </w:p>
        </w:tc>
        <w:tc>
          <w:tcPr>
            <w:tcW w:w="709" w:type="dxa"/>
          </w:tcPr>
          <w:p w14:paraId="118D268E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1417" w:type="dxa"/>
          </w:tcPr>
          <w:p w14:paraId="6F0CD14D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3.1 ± 4.3</w:t>
            </w:r>
          </w:p>
        </w:tc>
      </w:tr>
      <w:tr w:rsidR="008F417F" w:rsidRPr="00022730" w14:paraId="66E59D86" w14:textId="77777777" w:rsidTr="009B4054">
        <w:tc>
          <w:tcPr>
            <w:tcW w:w="2977" w:type="dxa"/>
          </w:tcPr>
          <w:p w14:paraId="2C80BA69" w14:textId="77777777" w:rsidR="008F417F" w:rsidRPr="002B6EF0" w:rsidRDefault="008F417F" w:rsidP="009B4054">
            <w:pPr>
              <w:ind w:firstLineChars="50" w:firstLine="100"/>
              <w:rPr>
                <w:bCs/>
                <w:color w:val="000000" w:themeColor="text1"/>
                <w:sz w:val="20"/>
                <w:szCs w:val="20"/>
              </w:rPr>
            </w:pPr>
            <w:r w:rsidRPr="002B6EF0">
              <w:rPr>
                <w:bCs/>
                <w:color w:val="000000" w:themeColor="text1"/>
                <w:sz w:val="20"/>
                <w:szCs w:val="20"/>
              </w:rPr>
              <w:t xml:space="preserve">1-month after </w:t>
            </w:r>
            <w:proofErr w:type="spellStart"/>
            <w:r w:rsidRPr="002B6EF0">
              <w:rPr>
                <w:bCs/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617C1F37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0.6 ± 0.3</w:t>
            </w:r>
          </w:p>
        </w:tc>
        <w:tc>
          <w:tcPr>
            <w:tcW w:w="1417" w:type="dxa"/>
          </w:tcPr>
          <w:p w14:paraId="71C66F59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2.6 ± 4.9 </w:t>
            </w:r>
          </w:p>
        </w:tc>
        <w:tc>
          <w:tcPr>
            <w:tcW w:w="1418" w:type="dxa"/>
          </w:tcPr>
          <w:p w14:paraId="64AA988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1.0 ± 1.5</w:t>
            </w:r>
          </w:p>
        </w:tc>
        <w:tc>
          <w:tcPr>
            <w:tcW w:w="1417" w:type="dxa"/>
          </w:tcPr>
          <w:p w14:paraId="7FAA3BCB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1.2 ± 1.8</w:t>
            </w:r>
          </w:p>
        </w:tc>
        <w:tc>
          <w:tcPr>
            <w:tcW w:w="709" w:type="dxa"/>
          </w:tcPr>
          <w:p w14:paraId="40C4E943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0.056</w:t>
            </w:r>
          </w:p>
        </w:tc>
        <w:tc>
          <w:tcPr>
            <w:tcW w:w="1417" w:type="dxa"/>
          </w:tcPr>
          <w:p w14:paraId="5D357565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1.4 ± 2.7</w:t>
            </w:r>
          </w:p>
        </w:tc>
      </w:tr>
      <w:tr w:rsidR="008F417F" w:rsidRPr="00022730" w14:paraId="0C1D630A" w14:textId="77777777" w:rsidTr="009B4054">
        <w:tc>
          <w:tcPr>
            <w:tcW w:w="2977" w:type="dxa"/>
          </w:tcPr>
          <w:p w14:paraId="11D904DC" w14:textId="77777777" w:rsidR="008F417F" w:rsidRPr="002B6EF0" w:rsidRDefault="008F417F" w:rsidP="009B4054">
            <w:pPr>
              <w:ind w:firstLineChars="50" w:firstLine="100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3-month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4D9C23F8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0.6 ±0.2</w:t>
            </w:r>
          </w:p>
        </w:tc>
        <w:tc>
          <w:tcPr>
            <w:tcW w:w="1417" w:type="dxa"/>
          </w:tcPr>
          <w:p w14:paraId="7A1CB5D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2.6 ± 8.8</w:t>
            </w:r>
          </w:p>
        </w:tc>
        <w:tc>
          <w:tcPr>
            <w:tcW w:w="1418" w:type="dxa"/>
          </w:tcPr>
          <w:p w14:paraId="3A78BD4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1.0 ±2.3</w:t>
            </w:r>
          </w:p>
        </w:tc>
        <w:tc>
          <w:tcPr>
            <w:tcW w:w="1417" w:type="dxa"/>
          </w:tcPr>
          <w:p w14:paraId="4502A51C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0.5</w:t>
            </w:r>
          </w:p>
        </w:tc>
        <w:tc>
          <w:tcPr>
            <w:tcW w:w="709" w:type="dxa"/>
          </w:tcPr>
          <w:p w14:paraId="11850C39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1417" w:type="dxa"/>
          </w:tcPr>
          <w:p w14:paraId="3832B38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1.3 ± 4.4</w:t>
            </w:r>
          </w:p>
        </w:tc>
      </w:tr>
      <w:tr w:rsidR="008F417F" w:rsidRPr="00022730" w14:paraId="3CD87E50" w14:textId="77777777" w:rsidTr="009B4054">
        <w:tc>
          <w:tcPr>
            <w:tcW w:w="2977" w:type="dxa"/>
          </w:tcPr>
          <w:p w14:paraId="5E6D1DD2" w14:textId="77777777" w:rsidR="008F417F" w:rsidRPr="002B6EF0" w:rsidRDefault="008F417F" w:rsidP="009B4054">
            <w:pPr>
              <w:ind w:firstLineChars="50" w:firstLine="100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6-month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1B1DDB0E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1417" w:type="dxa"/>
          </w:tcPr>
          <w:p w14:paraId="636972C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0.9 ±0.5</w:t>
            </w:r>
          </w:p>
        </w:tc>
        <w:tc>
          <w:tcPr>
            <w:tcW w:w="1418" w:type="dxa"/>
          </w:tcPr>
          <w:p w14:paraId="5F658CE4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1417" w:type="dxa"/>
          </w:tcPr>
          <w:p w14:paraId="55DAFB0A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709" w:type="dxa"/>
          </w:tcPr>
          <w:p w14:paraId="4CDDA445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0.179</w:t>
            </w:r>
          </w:p>
        </w:tc>
        <w:tc>
          <w:tcPr>
            <w:tcW w:w="1417" w:type="dxa"/>
          </w:tcPr>
          <w:p w14:paraId="6DF3CBA6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0.8 ± 0.4</w:t>
            </w:r>
          </w:p>
        </w:tc>
      </w:tr>
      <w:tr w:rsidR="008F417F" w:rsidRPr="00022730" w14:paraId="024D1CC0" w14:textId="77777777" w:rsidTr="009B4054">
        <w:tc>
          <w:tcPr>
            <w:tcW w:w="2977" w:type="dxa"/>
          </w:tcPr>
          <w:p w14:paraId="5872A930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lastRenderedPageBreak/>
              <w:t xml:space="preserve"> 9-month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41D18661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0.9 ± 0.4 </w:t>
            </w:r>
          </w:p>
        </w:tc>
        <w:tc>
          <w:tcPr>
            <w:tcW w:w="1417" w:type="dxa"/>
          </w:tcPr>
          <w:p w14:paraId="1E1D1F51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0.8 ± 0.3</w:t>
            </w:r>
          </w:p>
        </w:tc>
        <w:tc>
          <w:tcPr>
            <w:tcW w:w="1418" w:type="dxa"/>
          </w:tcPr>
          <w:p w14:paraId="5E47255D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0.6 ± 0.2</w:t>
            </w:r>
          </w:p>
        </w:tc>
        <w:tc>
          <w:tcPr>
            <w:tcW w:w="1417" w:type="dxa"/>
          </w:tcPr>
          <w:p w14:paraId="6A7150CD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0.6 ± 0.2</w:t>
            </w:r>
          </w:p>
        </w:tc>
        <w:tc>
          <w:tcPr>
            <w:tcW w:w="709" w:type="dxa"/>
          </w:tcPr>
          <w:p w14:paraId="1835B785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417" w:type="dxa"/>
          </w:tcPr>
          <w:p w14:paraId="5FCE242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</w:tr>
      <w:tr w:rsidR="008F417F" w:rsidRPr="00022730" w14:paraId="6B9A6EA9" w14:textId="77777777" w:rsidTr="009B4054">
        <w:tc>
          <w:tcPr>
            <w:tcW w:w="2977" w:type="dxa"/>
          </w:tcPr>
          <w:p w14:paraId="6354908B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 1-year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3E3A177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0.4</w:t>
            </w:r>
          </w:p>
        </w:tc>
        <w:tc>
          <w:tcPr>
            <w:tcW w:w="1417" w:type="dxa"/>
          </w:tcPr>
          <w:p w14:paraId="55A20698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0.9 ± 0.5</w:t>
            </w:r>
          </w:p>
        </w:tc>
        <w:tc>
          <w:tcPr>
            <w:tcW w:w="1418" w:type="dxa"/>
          </w:tcPr>
          <w:p w14:paraId="43E3C611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1417" w:type="dxa"/>
          </w:tcPr>
          <w:p w14:paraId="143253A5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0.8 ± 0.6</w:t>
            </w:r>
          </w:p>
        </w:tc>
        <w:tc>
          <w:tcPr>
            <w:tcW w:w="709" w:type="dxa"/>
          </w:tcPr>
          <w:p w14:paraId="69BF8FC5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0.390</w:t>
            </w:r>
          </w:p>
        </w:tc>
        <w:tc>
          <w:tcPr>
            <w:tcW w:w="1417" w:type="dxa"/>
          </w:tcPr>
          <w:p w14:paraId="74FB668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0.4</w:t>
            </w:r>
          </w:p>
        </w:tc>
      </w:tr>
      <w:tr w:rsidR="008F417F" w:rsidRPr="00022730" w14:paraId="7A559A6B" w14:textId="77777777" w:rsidTr="009B4054">
        <w:tc>
          <w:tcPr>
            <w:tcW w:w="2977" w:type="dxa"/>
          </w:tcPr>
          <w:p w14:paraId="1E944D32" w14:textId="77777777" w:rsidR="008F417F" w:rsidRPr="002B6EF0" w:rsidRDefault="008F417F" w:rsidP="009B4054">
            <w:pPr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 3-year after </w:t>
            </w:r>
            <w:proofErr w:type="spellStart"/>
            <w:r w:rsidRPr="002B6EF0">
              <w:rPr>
                <w:color w:val="000000" w:themeColor="text1"/>
                <w:sz w:val="20"/>
                <w:szCs w:val="20"/>
              </w:rPr>
              <w:t>HTx</w:t>
            </w:r>
            <w:proofErr w:type="spellEnd"/>
          </w:p>
        </w:tc>
        <w:tc>
          <w:tcPr>
            <w:tcW w:w="1560" w:type="dxa"/>
          </w:tcPr>
          <w:p w14:paraId="3A623E1F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0.4</w:t>
            </w:r>
          </w:p>
        </w:tc>
        <w:tc>
          <w:tcPr>
            <w:tcW w:w="1417" w:type="dxa"/>
          </w:tcPr>
          <w:p w14:paraId="65F605A0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 xml:space="preserve">0.8 ± 0.3 </w:t>
            </w:r>
          </w:p>
        </w:tc>
        <w:tc>
          <w:tcPr>
            <w:tcW w:w="1418" w:type="dxa"/>
          </w:tcPr>
          <w:p w14:paraId="2A42A737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  <w:tc>
          <w:tcPr>
            <w:tcW w:w="1417" w:type="dxa"/>
          </w:tcPr>
          <w:p w14:paraId="5A15A585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0.6 ± 0.2</w:t>
            </w:r>
          </w:p>
        </w:tc>
        <w:tc>
          <w:tcPr>
            <w:tcW w:w="709" w:type="dxa"/>
          </w:tcPr>
          <w:p w14:paraId="0B7BD688" w14:textId="77777777" w:rsidR="008F417F" w:rsidRPr="002B6EF0" w:rsidRDefault="008F417F" w:rsidP="009B405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6EF0">
              <w:rPr>
                <w:i/>
                <w:iCs/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1417" w:type="dxa"/>
          </w:tcPr>
          <w:p w14:paraId="28E1D282" w14:textId="77777777" w:rsidR="008F417F" w:rsidRPr="002B6EF0" w:rsidRDefault="008F417F" w:rsidP="009B40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EF0">
              <w:rPr>
                <w:color w:val="000000" w:themeColor="text1"/>
                <w:sz w:val="20"/>
                <w:szCs w:val="20"/>
              </w:rPr>
              <w:t>0.7 ± 0.3</w:t>
            </w:r>
          </w:p>
        </w:tc>
      </w:tr>
    </w:tbl>
    <w:p w14:paraId="4111E8DE" w14:textId="77777777" w:rsidR="008F417F" w:rsidRDefault="008F417F" w:rsidP="008F417F">
      <w:pPr>
        <w:rPr>
          <w:rFonts w:eastAsia="新細明體"/>
          <w:kern w:val="0"/>
          <w:sz w:val="20"/>
          <w:szCs w:val="20"/>
        </w:rPr>
      </w:pPr>
      <w:r w:rsidRPr="00BF7244">
        <w:rPr>
          <w:color w:val="auto"/>
          <w:sz w:val="20"/>
          <w:szCs w:val="20"/>
        </w:rPr>
        <w:t>CPR*: cardiopulmonary resuscitation, cardiac massage during waiting before transplantation,</w:t>
      </w:r>
      <w:r>
        <w:rPr>
          <w:color w:val="auto"/>
          <w:sz w:val="20"/>
          <w:szCs w:val="20"/>
        </w:rPr>
        <w:t xml:space="preserve"> E: ECMO, ECMO: extracorporeal membrane oxygenation,</w:t>
      </w:r>
      <w:r w:rsidRPr="00BF7244">
        <w:rPr>
          <w:color w:val="auto"/>
          <w:sz w:val="20"/>
          <w:szCs w:val="20"/>
        </w:rPr>
        <w:t xml:space="preserve"> </w:t>
      </w:r>
      <w:r w:rsidRPr="00BF7244">
        <w:rPr>
          <w:rFonts w:eastAsia="新細明體" w:hint="eastAsia"/>
          <w:kern w:val="0"/>
          <w:sz w:val="20"/>
          <w:szCs w:val="20"/>
        </w:rPr>
        <w:t>H</w:t>
      </w:r>
      <w:r w:rsidRPr="00BF7244">
        <w:rPr>
          <w:rFonts w:eastAsia="新細明體"/>
          <w:kern w:val="0"/>
          <w:sz w:val="20"/>
          <w:szCs w:val="20"/>
        </w:rPr>
        <w:t xml:space="preserve">/D: hemodialysis, </w:t>
      </w:r>
      <w:proofErr w:type="spellStart"/>
      <w:r w:rsidRPr="00BF7244">
        <w:rPr>
          <w:rFonts w:eastAsia="新細明體"/>
          <w:kern w:val="0"/>
          <w:sz w:val="20"/>
          <w:szCs w:val="20"/>
        </w:rPr>
        <w:t>HTx</w:t>
      </w:r>
      <w:proofErr w:type="spellEnd"/>
      <w:r w:rsidRPr="00BF7244">
        <w:rPr>
          <w:rFonts w:eastAsia="新細明體"/>
          <w:kern w:val="0"/>
          <w:sz w:val="20"/>
          <w:szCs w:val="20"/>
        </w:rPr>
        <w:t xml:space="preserve">: heart transplantation, </w:t>
      </w:r>
      <w:r>
        <w:rPr>
          <w:rFonts w:eastAsia="新細明體"/>
          <w:kern w:val="0"/>
          <w:sz w:val="20"/>
          <w:szCs w:val="20"/>
        </w:rPr>
        <w:t xml:space="preserve">IABP: intra-aortic balloon pumping, ICMP: ischemic cardiomyopathy, </w:t>
      </w:r>
      <w:r w:rsidRPr="00BF7244">
        <w:rPr>
          <w:rFonts w:eastAsia="新細明體"/>
          <w:kern w:val="0"/>
          <w:sz w:val="20"/>
          <w:szCs w:val="20"/>
        </w:rPr>
        <w:t>MCS: mechanical circulatory support, SD: standard deviation</w:t>
      </w:r>
      <w:r>
        <w:rPr>
          <w:rFonts w:eastAsia="新細明體"/>
          <w:kern w:val="0"/>
          <w:sz w:val="20"/>
          <w:szCs w:val="20"/>
        </w:rPr>
        <w:t>, V: VAD, ventricular assist device</w:t>
      </w:r>
    </w:p>
    <w:p w14:paraId="671F5900" w14:textId="77777777" w:rsidR="008F417F" w:rsidRPr="00E97E20" w:rsidRDefault="008F417F" w:rsidP="008F417F">
      <w:pPr>
        <w:rPr>
          <w:rFonts w:eastAsia="新細明體"/>
          <w:kern w:val="0"/>
          <w:sz w:val="20"/>
          <w:szCs w:val="20"/>
        </w:rPr>
      </w:pPr>
    </w:p>
    <w:p w14:paraId="2414A635" w14:textId="77777777" w:rsidR="008F417F" w:rsidRPr="008F417F" w:rsidRDefault="008F417F">
      <w:pPr>
        <w:rPr>
          <w:color w:val="auto"/>
          <w:sz w:val="20"/>
          <w:szCs w:val="20"/>
        </w:rPr>
      </w:pPr>
    </w:p>
    <w:p w14:paraId="6FAAB742" w14:textId="77777777" w:rsidR="008F417F" w:rsidRDefault="008F417F">
      <w:pPr>
        <w:rPr>
          <w:color w:val="auto"/>
          <w:sz w:val="20"/>
          <w:szCs w:val="20"/>
        </w:rPr>
      </w:pPr>
    </w:p>
    <w:p w14:paraId="369CB141" w14:textId="4738F8B9" w:rsidR="00045A03" w:rsidRPr="00A11C8C" w:rsidRDefault="00A11C8C">
      <w:pPr>
        <w:rPr>
          <w:sz w:val="20"/>
          <w:szCs w:val="20"/>
        </w:rPr>
      </w:pPr>
      <w:r w:rsidRPr="00A11C8C">
        <w:rPr>
          <w:color w:val="auto"/>
          <w:sz w:val="20"/>
          <w:szCs w:val="20"/>
        </w:rPr>
        <w:br w:type="page"/>
      </w:r>
      <w:bookmarkEnd w:id="1"/>
      <w:bookmarkEnd w:id="2"/>
    </w:p>
    <w:sectPr w:rsidR="00045A03" w:rsidRPr="00A11C8C" w:rsidSect="007C1CC4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5732" w14:textId="77777777" w:rsidR="00BF1183" w:rsidRDefault="00BF1183" w:rsidP="00274227">
      <w:pPr>
        <w:spacing w:line="240" w:lineRule="auto"/>
      </w:pPr>
      <w:r>
        <w:separator/>
      </w:r>
    </w:p>
  </w:endnote>
  <w:endnote w:type="continuationSeparator" w:id="0">
    <w:p w14:paraId="00215913" w14:textId="77777777" w:rsidR="00BF1183" w:rsidRDefault="00BF1183" w:rsidP="00274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927F" w14:textId="77777777" w:rsidR="00BF1183" w:rsidRDefault="00BF1183" w:rsidP="00274227">
      <w:pPr>
        <w:spacing w:line="240" w:lineRule="auto"/>
      </w:pPr>
      <w:r>
        <w:separator/>
      </w:r>
    </w:p>
  </w:footnote>
  <w:footnote w:type="continuationSeparator" w:id="0">
    <w:p w14:paraId="10E0D237" w14:textId="77777777" w:rsidR="00BF1183" w:rsidRDefault="00BF1183" w:rsidP="002742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8C"/>
    <w:rsid w:val="000D0618"/>
    <w:rsid w:val="000D7F1F"/>
    <w:rsid w:val="00192BEB"/>
    <w:rsid w:val="001C4E6F"/>
    <w:rsid w:val="00270D9B"/>
    <w:rsid w:val="00274227"/>
    <w:rsid w:val="00313498"/>
    <w:rsid w:val="004465A8"/>
    <w:rsid w:val="00461984"/>
    <w:rsid w:val="00776C0D"/>
    <w:rsid w:val="007C1CC4"/>
    <w:rsid w:val="007C55D7"/>
    <w:rsid w:val="007F7B6D"/>
    <w:rsid w:val="008047A4"/>
    <w:rsid w:val="00813744"/>
    <w:rsid w:val="008650FF"/>
    <w:rsid w:val="008C0253"/>
    <w:rsid w:val="008F417F"/>
    <w:rsid w:val="00932352"/>
    <w:rsid w:val="009F7143"/>
    <w:rsid w:val="00A11C8C"/>
    <w:rsid w:val="00A3095F"/>
    <w:rsid w:val="00B409A5"/>
    <w:rsid w:val="00B417A6"/>
    <w:rsid w:val="00B734E0"/>
    <w:rsid w:val="00BC35B1"/>
    <w:rsid w:val="00BD6F65"/>
    <w:rsid w:val="00BF1183"/>
    <w:rsid w:val="00D70244"/>
    <w:rsid w:val="00DC18C7"/>
    <w:rsid w:val="00DE231E"/>
    <w:rsid w:val="00F630DE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F2AA9"/>
  <w15:docId w15:val="{03C7E88E-F393-2B49-939C-5D00E570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8C"/>
    <w:pPr>
      <w:spacing w:line="360" w:lineRule="auto"/>
    </w:pPr>
    <w:rPr>
      <w:rFonts w:ascii="Times New Roman" w:eastAsia="標楷體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C8C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74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74227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74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74227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8">
    <w:name w:val="caption"/>
    <w:basedOn w:val="a"/>
    <w:next w:val="a"/>
    <w:uiPriority w:val="35"/>
    <w:unhideWhenUsed/>
    <w:qFormat/>
    <w:rsid w:val="008F41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2686</Characters>
  <Application>Microsoft Office Word</Application>
  <DocSecurity>0</DocSecurity>
  <Lines>95</Lines>
  <Paragraphs>70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 Chen</dc:creator>
  <cp:lastModifiedBy>YS Chen</cp:lastModifiedBy>
  <cp:revision>2</cp:revision>
  <dcterms:created xsi:type="dcterms:W3CDTF">2021-09-04T09:56:00Z</dcterms:created>
  <dcterms:modified xsi:type="dcterms:W3CDTF">2021-09-04T09:56:00Z</dcterms:modified>
</cp:coreProperties>
</file>