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9529C" w14:textId="77777777" w:rsidR="008369DF" w:rsidRPr="00841F9B" w:rsidRDefault="008369DF" w:rsidP="008369DF">
      <w:pPr>
        <w:pStyle w:val="ListParagraph"/>
        <w:numPr>
          <w:ilvl w:val="0"/>
          <w:numId w:val="1"/>
        </w:numPr>
        <w:bidi w:val="0"/>
        <w:spacing w:after="0" w:line="480" w:lineRule="auto"/>
        <w:ind w:left="284" w:hanging="284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41F9B">
        <w:rPr>
          <w:rFonts w:asciiTheme="majorBidi" w:hAnsiTheme="majorBidi" w:cstheme="majorBidi"/>
          <w:b/>
          <w:bCs/>
          <w:sz w:val="28"/>
          <w:szCs w:val="28"/>
        </w:rPr>
        <w:t>Materials and methods</w:t>
      </w:r>
    </w:p>
    <w:p w14:paraId="69F3342A" w14:textId="75F3F13C" w:rsidR="008369DF" w:rsidRPr="003B5D52" w:rsidRDefault="00AB1577" w:rsidP="008369DF">
      <w:pPr>
        <w:spacing w:after="0" w:line="48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1</w:t>
      </w:r>
      <w:r w:rsidR="008369DF" w:rsidRPr="003B5D52">
        <w:rPr>
          <w:rFonts w:asciiTheme="majorBidi" w:hAnsiTheme="majorBidi" w:cstheme="majorBidi"/>
          <w:i/>
          <w:iCs/>
          <w:sz w:val="24"/>
          <w:szCs w:val="24"/>
        </w:rPr>
        <w:t>.1. Preparation of the ligand</w:t>
      </w:r>
    </w:p>
    <w:p w14:paraId="32251516" w14:textId="77777777" w:rsidR="008369DF" w:rsidRDefault="008369DF" w:rsidP="008369DF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crystal structures of the drugs were retrieved from The Toxin and Toxin Target Database (www.t3db.ca/toxins) or drug bank (</w:t>
      </w:r>
      <w:r w:rsidRPr="00C14E72">
        <w:rPr>
          <w:rFonts w:asciiTheme="majorBidi" w:hAnsiTheme="majorBidi" w:cstheme="majorBidi"/>
          <w:sz w:val="24"/>
          <w:szCs w:val="24"/>
        </w:rPr>
        <w:t>www.drugbank.com</w:t>
      </w:r>
      <w:r>
        <w:rPr>
          <w:rFonts w:asciiTheme="majorBidi" w:hAnsiTheme="majorBidi" w:cstheme="majorBidi"/>
          <w:sz w:val="24"/>
          <w:szCs w:val="24"/>
        </w:rPr>
        <w:t>). The ligands were loaded in .</w:t>
      </w:r>
      <w:proofErr w:type="spellStart"/>
      <w:r>
        <w:rPr>
          <w:rFonts w:asciiTheme="majorBidi" w:hAnsiTheme="majorBidi" w:cstheme="majorBidi"/>
          <w:sz w:val="24"/>
          <w:szCs w:val="24"/>
        </w:rPr>
        <w:t>sdf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format and transformed automatically into a 3D structure during the docking process.</w:t>
      </w:r>
    </w:p>
    <w:p w14:paraId="53A6C110" w14:textId="3B30455E" w:rsidR="008369DF" w:rsidRPr="003B5D52" w:rsidRDefault="00AB1577" w:rsidP="008369DF">
      <w:pPr>
        <w:spacing w:after="0" w:line="48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1</w:t>
      </w:r>
      <w:r w:rsidR="008369DF" w:rsidRPr="003B5D52">
        <w:rPr>
          <w:rFonts w:asciiTheme="majorBidi" w:hAnsiTheme="majorBidi" w:cstheme="majorBidi"/>
          <w:i/>
          <w:iCs/>
          <w:sz w:val="24"/>
          <w:szCs w:val="24"/>
        </w:rPr>
        <w:t>.2. Preparation of the viral proteins</w:t>
      </w:r>
    </w:p>
    <w:p w14:paraId="3F495502" w14:textId="7BAA5667" w:rsidR="008369DF" w:rsidRDefault="008369DF" w:rsidP="008369DF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crystal structures of 7 viral proteins encoded by SARS-CoV-2 were downloaded from RCSB PDB (</w:t>
      </w:r>
      <w:r w:rsidRPr="00515146">
        <w:rPr>
          <w:rFonts w:asciiTheme="majorBidi" w:hAnsiTheme="majorBidi" w:cstheme="majorBidi"/>
          <w:sz w:val="24"/>
          <w:szCs w:val="24"/>
        </w:rPr>
        <w:t>https ://www.rcsb.org</w:t>
      </w:r>
      <w:r>
        <w:rPr>
          <w:rFonts w:asciiTheme="majorBidi" w:hAnsiTheme="majorBidi" w:cstheme="majorBidi"/>
          <w:sz w:val="24"/>
          <w:szCs w:val="24"/>
        </w:rPr>
        <w:t xml:space="preserve">) and used as targets. The crystal structures of all viral proteins were imported into </w:t>
      </w:r>
      <w:proofErr w:type="spellStart"/>
      <w:r>
        <w:rPr>
          <w:rFonts w:asciiTheme="majorBidi" w:hAnsiTheme="majorBidi" w:cstheme="majorBidi"/>
          <w:sz w:val="24"/>
          <w:szCs w:val="24"/>
        </w:rPr>
        <w:t>Molsoft.icm</w:t>
      </w:r>
      <w:proofErr w:type="spellEnd"/>
      <w:r>
        <w:rPr>
          <w:rFonts w:asciiTheme="majorBidi" w:hAnsiTheme="majorBidi" w:cstheme="majorBidi"/>
          <w:sz w:val="24"/>
          <w:szCs w:val="24"/>
        </w:rPr>
        <w:t>-pro v3.9-1b</w:t>
      </w:r>
      <w:r w:rsidR="00E64582">
        <w:rPr>
          <w:rFonts w:asciiTheme="majorBidi" w:hAnsiTheme="majorBidi" w:cstheme="majorBidi"/>
          <w:sz w:val="24"/>
          <w:szCs w:val="24"/>
        </w:rPr>
        <w:fldChar w:fldCharType="begin"/>
      </w:r>
      <w:r w:rsidR="00E64582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&lt;EndNote&gt;&lt;Cite&gt;&lt;Author&gt;Neves&lt;/Author&gt;&lt;Year&gt;2012&lt;/Year&gt;&lt;RecNum&gt;80&lt;/RecNum&gt;&lt;DisplayText&gt;&lt;style size="10"&gt;[1]&lt;/style&gt;&lt;/DisplayText&gt;&lt;record&gt;&lt;rec-number&gt;80&lt;/rec-number&gt;&lt;foreign-keys&gt;&lt;key app="EN" db-id="ezz2tf00jx52z6e9fd65rrx7pz9astwep9zs" timestamp="1626633271"&gt;80&lt;/key&gt;&lt;/foreign-keys&gt;&lt;ref-type name="Journal Article"&gt;17&lt;/ref-type&gt;&lt;contributors&gt;&lt;authors&gt;&lt;author&gt;Neves, M. A.&lt;/author&gt;&lt;author&gt;Totrov, M.&lt;/author&gt;&lt;author&gt;Abagyan, R.&lt;/author&gt;&lt;/authors&gt;&lt;/contributors&gt;&lt;auth-address&gt;Skaggs School of Pharmacy and Pharmaceutical Sciences, University of California, San Diego, 9500 Gilman Drive, La Jolla, CA 92093, USA.&lt;/auth-address&gt;&lt;titles&gt;&lt;title&gt;Docking and scoring with ICM: the benchmarking results and strategies for improvement&lt;/title&gt;&lt;secondary-title&gt;J Comput Aided Mol Des&lt;/secondary-title&gt;&lt;/titles&gt;&lt;periodical&gt;&lt;full-title&gt;J Comput Aided Mol Des&lt;/full-title&gt;&lt;/periodical&gt;&lt;pages&gt;675-86&lt;/pages&gt;&lt;volume&gt;26&lt;/volume&gt;&lt;number&gt;6&lt;/number&gt;&lt;edition&gt;2012/05/10&lt;/edition&gt;&lt;keywords&gt;&lt;keyword&gt;*Algorithms&lt;/keyword&gt;&lt;keyword&gt;Binding Sites&lt;/keyword&gt;&lt;keyword&gt;*Computer Simulation&lt;/keyword&gt;&lt;keyword&gt;Crystallography, X-Ray&lt;/keyword&gt;&lt;keyword&gt;Drug Discovery&lt;/keyword&gt;&lt;keyword&gt;Humans&lt;/keyword&gt;&lt;keyword&gt;*Ligands&lt;/keyword&gt;&lt;keyword&gt;Models, Molecular&lt;/keyword&gt;&lt;keyword&gt;Protein Binding&lt;/keyword&gt;&lt;keyword&gt;Protein Conformation&lt;/keyword&gt;&lt;keyword&gt;Proteins/*chemistry&lt;/keyword&gt;&lt;keyword&gt;Software&lt;/keyword&gt;&lt;/keywords&gt;&lt;dates&gt;&lt;year&gt;2012&lt;/year&gt;&lt;pub-dates&gt;&lt;date&gt;Jun&lt;/date&gt;&lt;/pub-dates&gt;&lt;/dates&gt;&lt;isbn&gt;1573-4951 (Electronic)&amp;#xD;0920-654X (Linking)&lt;/isbn&gt;&lt;accession-num&gt;22569591&lt;/accession-num&gt;&lt;urls&gt;&lt;related-urls&gt;&lt;url&gt;https://www.ncbi.nlm.nih.gov/pubmed/22569591&lt;/url&gt;&lt;/related-urls&gt;&lt;/urls&gt;&lt;custom2&gt;PMC3398187&lt;/custom2&gt;&lt;electronic-resource-num&gt;10.1007/s10822-012-9547-0&lt;/electronic-resource-num&gt;&lt;/record&gt;&lt;/Cite&gt;&lt;/EndNote&gt;</w:instrText>
      </w:r>
      <w:r w:rsidR="00E64582">
        <w:rPr>
          <w:rFonts w:asciiTheme="majorBidi" w:hAnsiTheme="majorBidi" w:cstheme="majorBidi"/>
          <w:sz w:val="24"/>
          <w:szCs w:val="24"/>
        </w:rPr>
        <w:fldChar w:fldCharType="separate"/>
      </w:r>
      <w:r w:rsidR="00E64582" w:rsidRPr="00E64582">
        <w:rPr>
          <w:rFonts w:asciiTheme="majorBidi" w:hAnsiTheme="majorBidi" w:cstheme="majorBidi"/>
          <w:noProof/>
          <w:sz w:val="20"/>
          <w:szCs w:val="24"/>
        </w:rPr>
        <w:t>[1]</w:t>
      </w:r>
      <w:r w:rsidR="00E64582">
        <w:rPr>
          <w:rFonts w:asciiTheme="majorBidi" w:hAnsiTheme="majorBidi" w:cstheme="majorBidi"/>
          <w:sz w:val="24"/>
          <w:szCs w:val="24"/>
        </w:rPr>
        <w:fldChar w:fldCharType="end"/>
      </w:r>
      <w:r>
        <w:rPr>
          <w:rFonts w:asciiTheme="majorBidi" w:hAnsiTheme="majorBidi" w:cstheme="majorBidi"/>
          <w:sz w:val="24"/>
          <w:szCs w:val="24"/>
        </w:rPr>
        <w:t xml:space="preserve">. The PDB structures of the proteins were converted into ICM objects </w:t>
      </w:r>
      <w:r w:rsidRPr="00515146">
        <w:rPr>
          <w:rFonts w:asciiTheme="majorBidi" w:hAnsiTheme="majorBidi" w:cstheme="majorBidi"/>
          <w:sz w:val="24"/>
          <w:szCs w:val="24"/>
        </w:rPr>
        <w:t>by deleting</w:t>
      </w:r>
      <w:r>
        <w:rPr>
          <w:rFonts w:asciiTheme="majorBidi" w:hAnsiTheme="majorBidi" w:cstheme="majorBidi"/>
          <w:sz w:val="24"/>
          <w:szCs w:val="24"/>
        </w:rPr>
        <w:t xml:space="preserve"> all</w:t>
      </w:r>
      <w:r w:rsidRPr="00515146">
        <w:rPr>
          <w:rFonts w:asciiTheme="majorBidi" w:hAnsiTheme="majorBidi" w:cstheme="majorBidi"/>
          <w:sz w:val="24"/>
          <w:szCs w:val="24"/>
        </w:rPr>
        <w:t xml:space="preserve"> water molecules contained in the X-ray structures,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15146">
        <w:rPr>
          <w:rFonts w:asciiTheme="majorBidi" w:hAnsiTheme="majorBidi" w:cstheme="majorBidi"/>
          <w:sz w:val="24"/>
          <w:szCs w:val="24"/>
        </w:rPr>
        <w:t xml:space="preserve">optimizing the hydrogens </w:t>
      </w:r>
      <w:r>
        <w:rPr>
          <w:rFonts w:asciiTheme="majorBidi" w:hAnsiTheme="majorBidi" w:cstheme="majorBidi"/>
          <w:sz w:val="24"/>
          <w:szCs w:val="24"/>
        </w:rPr>
        <w:t xml:space="preserve">(to find the best hydrogen bonding network) as well as the </w:t>
      </w:r>
      <w:r w:rsidRPr="00515146">
        <w:rPr>
          <w:rFonts w:asciiTheme="majorBidi" w:hAnsiTheme="majorBidi" w:cstheme="majorBidi"/>
          <w:sz w:val="24"/>
          <w:szCs w:val="24"/>
        </w:rPr>
        <w:t xml:space="preserve">amino acids </w:t>
      </w:r>
      <w:r>
        <w:rPr>
          <w:rFonts w:asciiTheme="majorBidi" w:hAnsiTheme="majorBidi" w:cstheme="majorBidi"/>
          <w:sz w:val="24"/>
          <w:szCs w:val="24"/>
        </w:rPr>
        <w:t>h</w:t>
      </w:r>
      <w:r w:rsidRPr="00515146">
        <w:rPr>
          <w:rFonts w:asciiTheme="majorBidi" w:hAnsiTheme="majorBidi" w:cstheme="majorBidi"/>
          <w:sz w:val="24"/>
          <w:szCs w:val="24"/>
        </w:rPr>
        <w:t xml:space="preserve">istidine, proline, </w:t>
      </w:r>
      <w:r>
        <w:rPr>
          <w:rFonts w:asciiTheme="majorBidi" w:hAnsiTheme="majorBidi" w:cstheme="majorBidi"/>
          <w:sz w:val="24"/>
          <w:szCs w:val="24"/>
        </w:rPr>
        <w:t xml:space="preserve">asparagine, </w:t>
      </w:r>
      <w:r w:rsidRPr="00515146">
        <w:rPr>
          <w:rFonts w:asciiTheme="majorBidi" w:hAnsiTheme="majorBidi" w:cstheme="majorBidi"/>
          <w:sz w:val="24"/>
          <w:szCs w:val="24"/>
        </w:rPr>
        <w:t>glycine, cysteine</w:t>
      </w:r>
      <w:r>
        <w:rPr>
          <w:rFonts w:asciiTheme="majorBidi" w:hAnsiTheme="majorBidi" w:cstheme="majorBidi"/>
          <w:sz w:val="24"/>
          <w:szCs w:val="24"/>
        </w:rPr>
        <w:t xml:space="preserve"> (to find best orientation and protonation state). M</w:t>
      </w:r>
      <w:r w:rsidRPr="00515146">
        <w:rPr>
          <w:rFonts w:asciiTheme="majorBidi" w:hAnsiTheme="majorBidi" w:cstheme="majorBidi"/>
          <w:sz w:val="24"/>
          <w:szCs w:val="24"/>
        </w:rPr>
        <w:t>issing side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15146">
        <w:rPr>
          <w:rFonts w:asciiTheme="majorBidi" w:hAnsiTheme="majorBidi" w:cstheme="majorBidi"/>
          <w:sz w:val="24"/>
          <w:szCs w:val="24"/>
        </w:rPr>
        <w:t>chains were treated before the receptors were set for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15146">
        <w:rPr>
          <w:rFonts w:asciiTheme="majorBidi" w:hAnsiTheme="majorBidi" w:cstheme="majorBidi"/>
          <w:sz w:val="24"/>
          <w:szCs w:val="24"/>
        </w:rPr>
        <w:t xml:space="preserve">the docking </w:t>
      </w:r>
      <w:r w:rsidRPr="00142690">
        <w:rPr>
          <w:rFonts w:asciiTheme="majorBidi" w:hAnsiTheme="majorBidi" w:cstheme="majorBidi"/>
          <w:sz w:val="24"/>
          <w:szCs w:val="24"/>
        </w:rPr>
        <w:t>processes</w:t>
      </w:r>
      <w:r w:rsidRPr="00515146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To identify the binding sites and generate receptor maps, the </w:t>
      </w:r>
      <w:proofErr w:type="spellStart"/>
      <w:r>
        <w:rPr>
          <w:rFonts w:asciiTheme="majorBidi" w:hAnsiTheme="majorBidi" w:cstheme="majorBidi"/>
          <w:sz w:val="24"/>
          <w:szCs w:val="24"/>
        </w:rPr>
        <w:t>icmPocketFinder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function option was used. This method uses the protein structure to identify cavities/clefts and the “</w:t>
      </w:r>
      <w:proofErr w:type="spellStart"/>
      <w:r>
        <w:rPr>
          <w:rFonts w:asciiTheme="majorBidi" w:hAnsiTheme="majorBidi" w:cstheme="majorBidi"/>
          <w:sz w:val="24"/>
          <w:szCs w:val="24"/>
        </w:rPr>
        <w:t>druggability</w:t>
      </w:r>
      <w:proofErr w:type="spellEnd"/>
      <w:r>
        <w:rPr>
          <w:rFonts w:asciiTheme="majorBidi" w:hAnsiTheme="majorBidi" w:cstheme="majorBidi"/>
          <w:sz w:val="24"/>
          <w:szCs w:val="24"/>
        </w:rPr>
        <w:t>” was estimated by calculating the drug-like density (DLID) score as described previously</w:t>
      </w:r>
      <w:r w:rsidR="00D2079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fldChar w:fldCharType="begin"/>
      </w:r>
      <w:r w:rsidR="00E64582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&lt;EndNote&gt;&lt;Cite&gt;&lt;Author&gt;Sheridan&lt;/Author&gt;&lt;Year&gt;2010&lt;/Year&gt;&lt;RecNum&gt;81&lt;/RecNum&gt;&lt;DisplayText&gt;&lt;style size="10"&gt;[2]&lt;/style&gt;&lt;/DisplayText&gt;&lt;record&gt;&lt;rec-number&gt;81&lt;/rec-number&gt;&lt;foreign-keys&gt;&lt;key app="EN" db-id="ezz2tf00jx52z6e9fd65rrx7pz9astwep9zs" timestamp="1626633361"&gt;81&lt;/key&gt;&lt;/foreign-keys&gt;&lt;ref-type name="Journal Article"&gt;17&lt;/ref-type&gt;&lt;contributors&gt;&lt;authors&gt;&lt;author&gt;Sheridan, R. P.&lt;/author&gt;&lt;author&gt;Maiorov, V. N.&lt;/author&gt;&lt;author&gt;Holloway, M. K.&lt;/author&gt;&lt;author&gt;Cornell, W. D.&lt;/author&gt;&lt;author&gt;Gao, Y. D.&lt;/author&gt;&lt;/authors&gt;&lt;/contributors&gt;&lt;auth-address&gt;Chemistry Modeling and Informatics Department, Merck Research Laboratories, Rahway, New Jersey 07065, USA. sheridan@merck.com&lt;/auth-address&gt;&lt;titles&gt;&lt;title&gt;Drug-like density: a method of quantifying the &amp;quot;bindability&amp;quot; of a protein target based on a very large set of pockets and drug-like ligands from the Protein Data Bank&lt;/title&gt;&lt;secondary-title&gt;J Chem Inf Model&lt;/secondary-title&gt;&lt;/titles&gt;&lt;periodical&gt;&lt;full-title&gt;J Chem Inf Model&lt;/full-title&gt;&lt;/periodical&gt;&lt;pages&gt;2029-40&lt;/pages&gt;&lt;volume&gt;50&lt;/volume&gt;&lt;number&gt;11&lt;/number&gt;&lt;edition&gt;2010/10/28&lt;/edition&gt;&lt;keywords&gt;&lt;keyword&gt;Animals&lt;/keyword&gt;&lt;keyword&gt;Cattle&lt;/keyword&gt;&lt;keyword&gt;*Databases, Protein&lt;/keyword&gt;&lt;keyword&gt;Drug Discovery/*methods&lt;/keyword&gt;&lt;keyword&gt;Humans&lt;/keyword&gt;&lt;keyword&gt;Hydrophobic and Hydrophilic Interactions&lt;/keyword&gt;&lt;keyword&gt;Ligands&lt;/keyword&gt;&lt;keyword&gt;Mice&lt;/keyword&gt;&lt;keyword&gt;Models, Molecular&lt;/keyword&gt;&lt;keyword&gt;Pharmaceutical Preparations/*chemistry/*metabolism&lt;/keyword&gt;&lt;keyword&gt;Protein Binding&lt;/keyword&gt;&lt;keyword&gt;Protein Conformation&lt;/keyword&gt;&lt;keyword&gt;Proteins/*chemistry/*metabolism&lt;/keyword&gt;&lt;/keywords&gt;&lt;dates&gt;&lt;year&gt;2010&lt;/year&gt;&lt;pub-dates&gt;&lt;date&gt;Nov 22&lt;/date&gt;&lt;/pub-dates&gt;&lt;/dates&gt;&lt;isbn&gt;1549-960X (Electronic)&amp;#xD;1549-9596 (Linking)&lt;/isbn&gt;&lt;accession-num&gt;20977231&lt;/accession-num&gt;&lt;urls&gt;&lt;related-urls&gt;&lt;url&gt;https://www.ncbi.nlm.nih.gov/pubmed/20977231&lt;/url&gt;&lt;/related-urls&gt;&lt;/urls&gt;&lt;electronic-resource-num&gt;10.1021/ci100312t&lt;/electronic-resource-num&gt;&lt;/record&gt;&lt;/Cite&gt;&lt;/EndNote&gt;</w:instrText>
      </w:r>
      <w:r>
        <w:rPr>
          <w:rFonts w:asciiTheme="majorBidi" w:hAnsiTheme="majorBidi" w:cstheme="majorBidi"/>
          <w:sz w:val="24"/>
          <w:szCs w:val="24"/>
        </w:rPr>
        <w:fldChar w:fldCharType="separate"/>
      </w:r>
      <w:r w:rsidR="00E64582" w:rsidRPr="00E64582">
        <w:rPr>
          <w:rFonts w:asciiTheme="majorBidi" w:hAnsiTheme="majorBidi" w:cstheme="majorBidi"/>
          <w:noProof/>
          <w:sz w:val="20"/>
          <w:szCs w:val="24"/>
        </w:rPr>
        <w:t>[2]</w:t>
      </w:r>
      <w:r>
        <w:rPr>
          <w:rFonts w:asciiTheme="majorBidi" w:hAnsiTheme="majorBidi" w:cstheme="majorBidi"/>
          <w:sz w:val="24"/>
          <w:szCs w:val="24"/>
        </w:rPr>
        <w:fldChar w:fldCharType="end"/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7B4F1187" w14:textId="08ABEE57" w:rsidR="008369DF" w:rsidRPr="003B5D52" w:rsidRDefault="00AB1577" w:rsidP="008369DF">
      <w:pPr>
        <w:spacing w:after="0" w:line="48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1</w:t>
      </w:r>
      <w:r w:rsidR="008369DF" w:rsidRPr="003B5D52">
        <w:rPr>
          <w:rFonts w:asciiTheme="majorBidi" w:hAnsiTheme="majorBidi" w:cstheme="majorBidi"/>
          <w:i/>
          <w:iCs/>
          <w:sz w:val="24"/>
          <w:szCs w:val="24"/>
        </w:rPr>
        <w:t>.3. Molecular docking</w:t>
      </w:r>
    </w:p>
    <w:p w14:paraId="23606626" w14:textId="3EA735FD" w:rsidR="00DE6DEA" w:rsidRDefault="008369DF" w:rsidP="008369DF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After conversion and selection, the binding site residues of the viral proteins were docked with the ligands (Table 1). At the receptor pocket, </w:t>
      </w:r>
      <w:r w:rsidRPr="00515146">
        <w:rPr>
          <w:rFonts w:asciiTheme="majorBidi" w:hAnsiTheme="majorBidi" w:cstheme="majorBidi"/>
          <w:sz w:val="24"/>
          <w:szCs w:val="24"/>
        </w:rPr>
        <w:t>hydrogen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15146">
        <w:rPr>
          <w:rFonts w:asciiTheme="majorBidi" w:hAnsiTheme="majorBidi" w:cstheme="majorBidi"/>
          <w:sz w:val="24"/>
          <w:szCs w:val="24"/>
        </w:rPr>
        <w:t>bonding potential, van der Waals potential with carbon-,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15146">
        <w:rPr>
          <w:rFonts w:asciiTheme="majorBidi" w:hAnsiTheme="majorBidi" w:cstheme="majorBidi"/>
          <w:sz w:val="24"/>
          <w:szCs w:val="24"/>
        </w:rPr>
        <w:t>sulphur</w:t>
      </w:r>
      <w:proofErr w:type="spellEnd"/>
      <w:r w:rsidRPr="00515146">
        <w:rPr>
          <w:rFonts w:asciiTheme="majorBidi" w:hAnsiTheme="majorBidi" w:cstheme="majorBidi"/>
          <w:sz w:val="24"/>
          <w:szCs w:val="24"/>
        </w:rPr>
        <w:t>- and hydrogen-like probes, hydrophobic potential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515146">
        <w:rPr>
          <w:rFonts w:asciiTheme="majorBidi" w:hAnsiTheme="majorBidi" w:cstheme="majorBidi"/>
          <w:sz w:val="24"/>
          <w:szCs w:val="24"/>
        </w:rPr>
        <w:t>and electrostatic potential</w:t>
      </w:r>
      <w:r>
        <w:rPr>
          <w:rFonts w:asciiTheme="majorBidi" w:hAnsiTheme="majorBidi" w:cstheme="majorBidi"/>
          <w:sz w:val="24"/>
          <w:szCs w:val="24"/>
        </w:rPr>
        <w:t xml:space="preserve"> were taken into consideration. </w:t>
      </w:r>
      <w:r w:rsidRPr="00F55637">
        <w:rPr>
          <w:rFonts w:asciiTheme="majorBidi" w:hAnsiTheme="majorBidi" w:cstheme="majorBidi"/>
          <w:sz w:val="24"/>
          <w:szCs w:val="24"/>
        </w:rPr>
        <w:t xml:space="preserve">The conformational </w:t>
      </w:r>
      <w:r>
        <w:rPr>
          <w:rFonts w:asciiTheme="majorBidi" w:hAnsiTheme="majorBidi" w:cstheme="majorBidi"/>
          <w:sz w:val="24"/>
          <w:szCs w:val="24"/>
        </w:rPr>
        <w:t>examination of</w:t>
      </w:r>
      <w:r w:rsidRPr="00F55637">
        <w:rPr>
          <w:rFonts w:asciiTheme="majorBidi" w:hAnsiTheme="majorBidi" w:cstheme="majorBidi"/>
          <w:sz w:val="24"/>
          <w:szCs w:val="24"/>
        </w:rPr>
        <w:t xml:space="preserve"> the program depends on the </w:t>
      </w:r>
      <w:r>
        <w:rPr>
          <w:rFonts w:asciiTheme="majorBidi" w:hAnsiTheme="majorBidi" w:cstheme="majorBidi"/>
          <w:sz w:val="24"/>
          <w:szCs w:val="24"/>
        </w:rPr>
        <w:t>Biased probability</w:t>
      </w:r>
      <w:r w:rsidRPr="00F55637">
        <w:rPr>
          <w:rFonts w:asciiTheme="majorBidi" w:hAnsiTheme="majorBidi" w:cstheme="majorBidi"/>
          <w:sz w:val="24"/>
          <w:szCs w:val="24"/>
        </w:rPr>
        <w:t xml:space="preserve"> Monte Carlo (BPMC) system, which arbitrarily chooses a</w:t>
      </w:r>
      <w:r>
        <w:rPr>
          <w:rFonts w:asciiTheme="majorBidi" w:hAnsiTheme="majorBidi" w:cstheme="majorBidi"/>
          <w:sz w:val="24"/>
          <w:szCs w:val="24"/>
        </w:rPr>
        <w:t xml:space="preserve"> pose </w:t>
      </w:r>
      <w:r w:rsidRPr="00F55637">
        <w:rPr>
          <w:rFonts w:asciiTheme="majorBidi" w:hAnsiTheme="majorBidi" w:cstheme="majorBidi"/>
          <w:sz w:val="24"/>
          <w:szCs w:val="24"/>
        </w:rPr>
        <w:t xml:space="preserve">in the inside </w:t>
      </w:r>
      <w:r>
        <w:rPr>
          <w:rFonts w:asciiTheme="majorBidi" w:hAnsiTheme="majorBidi" w:cstheme="majorBidi"/>
          <w:sz w:val="24"/>
          <w:szCs w:val="24"/>
        </w:rPr>
        <w:t xml:space="preserve">coordinate </w:t>
      </w:r>
      <w:r w:rsidRPr="00F55637">
        <w:rPr>
          <w:rFonts w:asciiTheme="majorBidi" w:hAnsiTheme="majorBidi" w:cstheme="majorBidi"/>
          <w:sz w:val="24"/>
          <w:szCs w:val="24"/>
        </w:rPr>
        <w:t xml:space="preserve">space and at that point makes a stage to another arbitrary position free of the past one, </w:t>
      </w:r>
      <w:r w:rsidRPr="00F55637">
        <w:rPr>
          <w:rFonts w:asciiTheme="majorBidi" w:hAnsiTheme="majorBidi" w:cstheme="majorBidi"/>
          <w:sz w:val="24"/>
          <w:szCs w:val="24"/>
        </w:rPr>
        <w:lastRenderedPageBreak/>
        <w:t xml:space="preserve">yet as indicated by a predefined </w:t>
      </w:r>
      <w:r>
        <w:rPr>
          <w:rFonts w:asciiTheme="majorBidi" w:hAnsiTheme="majorBidi" w:cstheme="majorBidi"/>
          <w:sz w:val="24"/>
          <w:szCs w:val="24"/>
        </w:rPr>
        <w:t>constant probability distribution. In this study, t</w:t>
      </w:r>
      <w:r w:rsidRPr="00515146">
        <w:rPr>
          <w:rFonts w:asciiTheme="majorBidi" w:hAnsiTheme="majorBidi" w:cstheme="majorBidi"/>
          <w:sz w:val="24"/>
          <w:szCs w:val="24"/>
        </w:rPr>
        <w:t xml:space="preserve">he thoroughness which represents the length of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515146">
        <w:rPr>
          <w:rFonts w:asciiTheme="majorBidi" w:hAnsiTheme="majorBidi" w:cstheme="majorBidi"/>
          <w:sz w:val="24"/>
          <w:szCs w:val="24"/>
        </w:rPr>
        <w:t>simulation was set as 1</w:t>
      </w:r>
      <w:r>
        <w:rPr>
          <w:rFonts w:asciiTheme="majorBidi" w:hAnsiTheme="majorBidi" w:cstheme="majorBidi"/>
          <w:sz w:val="24"/>
          <w:szCs w:val="24"/>
        </w:rPr>
        <w:t>0. The ligand conformations were ranked using the ICM score</w:t>
      </w:r>
      <w:r w:rsidR="00A003E4">
        <w:rPr>
          <w:rFonts w:asciiTheme="majorBidi" w:hAnsiTheme="majorBidi" w:cstheme="majorBidi"/>
          <w:sz w:val="24"/>
          <w:szCs w:val="24"/>
        </w:rPr>
        <w:fldChar w:fldCharType="begin"/>
      </w:r>
      <w:r w:rsidR="00A003E4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&lt;EndNote&gt;&lt;Cite&gt;&lt;Author&gt;Neves&lt;/Author&gt;&lt;Year&gt;2012&lt;/Year&gt;&lt;RecNum&gt;80&lt;/RecNum&gt;&lt;DisplayText&gt;&lt;style size="10"&gt;[1]&lt;/style&gt;&lt;/DisplayText&gt;&lt;record&gt;&lt;rec-number&gt;80&lt;/rec-number&gt;&lt;foreign-keys&gt;&lt;key app="EN" db-id="ezz2tf00jx52z6e9fd65rrx7pz9astwep9zs" timestamp="1626633271"&gt;80&lt;/key&gt;&lt;/foreign-keys&gt;&lt;ref-type name="Journal Article"&gt;17&lt;/ref-type&gt;&lt;contributors&gt;&lt;authors&gt;&lt;author&gt;Neves, M. A.&lt;/author&gt;&lt;author&gt;Totrov, M.&lt;/author&gt;&lt;author&gt;Abagyan, R.&lt;/author&gt;&lt;/authors&gt;&lt;/contributors&gt;&lt;auth-address&gt;Skaggs School of Pharmacy and Pharmaceutical Sciences, University of California, San Diego, 9500 Gilman Drive, La Jolla, CA 92093, USA.&lt;/auth-address&gt;&lt;titles&gt;&lt;title&gt;Docking and scoring with ICM: the benchmarking results and strategies for improvement&lt;/title&gt;&lt;secondary-title&gt;J Comput Aided Mol Des&lt;/secondary-title&gt;&lt;/titles&gt;&lt;periodical&gt;&lt;full-title&gt;J Comput Aided Mol Des&lt;/full-title&gt;&lt;/periodical&gt;&lt;pages&gt;675-86&lt;/pages&gt;&lt;volume&gt;26&lt;/volume&gt;&lt;number&gt;6&lt;/number&gt;&lt;edition&gt;2012/05/10&lt;/edition&gt;&lt;keywords&gt;&lt;keyword&gt;*Algorithms&lt;/keyword&gt;&lt;keyword&gt;Binding Sites&lt;/keyword&gt;&lt;keyword&gt;*Computer Simulation&lt;/keyword&gt;&lt;keyword&gt;Crystallography, X-Ray&lt;/keyword&gt;&lt;keyword&gt;Drug Discovery&lt;/keyword&gt;&lt;keyword&gt;Humans&lt;/keyword&gt;&lt;keyword&gt;*Ligands&lt;/keyword&gt;&lt;keyword&gt;Models, Molecular&lt;/keyword&gt;&lt;keyword&gt;Protein Binding&lt;/keyword&gt;&lt;keyword&gt;Protein Conformation&lt;/keyword&gt;&lt;keyword&gt;Proteins/*chemistry&lt;/keyword&gt;&lt;keyword&gt;Software&lt;/keyword&gt;&lt;/keywords&gt;&lt;dates&gt;&lt;year&gt;2012&lt;/year&gt;&lt;pub-dates&gt;&lt;date&gt;Jun&lt;/date&gt;&lt;/pub-dates&gt;&lt;/dates&gt;&lt;isbn&gt;1573-4951 (Electronic)&amp;#xD;0920-654X (Linking)&lt;/isbn&gt;&lt;accession-num&gt;22569591&lt;/accession-num&gt;&lt;urls&gt;&lt;related-urls&gt;&lt;url&gt;https://www.ncbi.nlm.nih.gov/pubmed/22569591&lt;/url&gt;&lt;/related-urls&gt;&lt;/urls&gt;&lt;custom2&gt;PMC3398187&lt;/custom2&gt;&lt;electronic-resource-num&gt;10.1007/s10822-012-9547-0&lt;/electronic-resource-num&gt;&lt;/record&gt;&lt;/Cite&gt;&lt;/EndNote&gt;</w:instrText>
      </w:r>
      <w:r w:rsidR="00A003E4">
        <w:rPr>
          <w:rFonts w:asciiTheme="majorBidi" w:hAnsiTheme="majorBidi" w:cstheme="majorBidi"/>
          <w:sz w:val="24"/>
          <w:szCs w:val="24"/>
        </w:rPr>
        <w:fldChar w:fldCharType="separate"/>
      </w:r>
      <w:r w:rsidR="00A003E4" w:rsidRPr="00A003E4">
        <w:rPr>
          <w:rFonts w:asciiTheme="majorBidi" w:hAnsiTheme="majorBidi" w:cstheme="majorBidi"/>
          <w:noProof/>
          <w:sz w:val="20"/>
          <w:szCs w:val="24"/>
        </w:rPr>
        <w:t>[1]</w:t>
      </w:r>
      <w:r w:rsidR="00A003E4">
        <w:rPr>
          <w:rFonts w:asciiTheme="majorBidi" w:hAnsiTheme="majorBidi" w:cstheme="majorBidi"/>
          <w:sz w:val="24"/>
          <w:szCs w:val="24"/>
        </w:rPr>
        <w:fldChar w:fldCharType="end"/>
      </w:r>
      <w:r>
        <w:rPr>
          <w:rFonts w:asciiTheme="majorBidi" w:hAnsiTheme="majorBidi" w:cstheme="majorBidi"/>
          <w:sz w:val="24"/>
          <w:szCs w:val="24"/>
        </w:rPr>
        <w:t>. The higher the ICM score is, the lower the chances of protein-ligand binding.</w:t>
      </w:r>
    </w:p>
    <w:p w14:paraId="2FCF07D3" w14:textId="346BE61F" w:rsidR="002C1AC9" w:rsidRDefault="002C1AC9" w:rsidP="008369DF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DB9E7ED" w14:textId="63E4968A" w:rsidR="00AB1577" w:rsidRDefault="00DE6DEA" w:rsidP="008369DF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References</w:t>
      </w:r>
    </w:p>
    <w:p w14:paraId="253312E8" w14:textId="77777777" w:rsidR="00C94BF3" w:rsidRDefault="00C94BF3" w:rsidP="00C94BF3">
      <w:pPr>
        <w:pStyle w:val="NormalWeb"/>
        <w:shd w:val="clear" w:color="auto" w:fill="FFFFFF"/>
        <w:spacing w:before="0" w:beforeAutospacing="0" w:after="173" w:afterAutospacing="0"/>
        <w:rPr>
          <w:rFonts w:ascii="Helvetica" w:hAnsi="Helvetica" w:cs="Helvetica"/>
          <w:color w:val="53565A"/>
          <w:sz w:val="21"/>
          <w:szCs w:val="21"/>
        </w:rPr>
      </w:pPr>
      <w:r>
        <w:rPr>
          <w:rFonts w:ascii="Helvetica" w:hAnsi="Helvetica" w:cs="Helvetica"/>
          <w:color w:val="53565A"/>
          <w:sz w:val="21"/>
          <w:szCs w:val="21"/>
        </w:rPr>
        <w:t xml:space="preserve">[1] Sheridan, R.P.; </w:t>
      </w:r>
      <w:proofErr w:type="spellStart"/>
      <w:r>
        <w:rPr>
          <w:rFonts w:ascii="Helvetica" w:hAnsi="Helvetica" w:cs="Helvetica"/>
          <w:color w:val="53565A"/>
          <w:sz w:val="21"/>
          <w:szCs w:val="21"/>
        </w:rPr>
        <w:t>Maiorov</w:t>
      </w:r>
      <w:proofErr w:type="spellEnd"/>
      <w:r>
        <w:rPr>
          <w:rFonts w:ascii="Helvetica" w:hAnsi="Helvetica" w:cs="Helvetica"/>
          <w:color w:val="53565A"/>
          <w:sz w:val="21"/>
          <w:szCs w:val="21"/>
        </w:rPr>
        <w:t>, V.N.; Holloway, M.K.; Cornell, W.D.; Gao, Y. Drug-Like Density: A Method of Quantifying the “</w:t>
      </w:r>
      <w:proofErr w:type="spellStart"/>
      <w:r>
        <w:rPr>
          <w:rFonts w:ascii="Helvetica" w:hAnsi="Helvetica" w:cs="Helvetica"/>
          <w:color w:val="53565A"/>
          <w:sz w:val="21"/>
          <w:szCs w:val="21"/>
        </w:rPr>
        <w:t>bindability</w:t>
      </w:r>
      <w:proofErr w:type="spellEnd"/>
      <w:r>
        <w:rPr>
          <w:rFonts w:ascii="Helvetica" w:hAnsi="Helvetica" w:cs="Helvetica"/>
          <w:color w:val="53565A"/>
          <w:sz w:val="21"/>
          <w:szCs w:val="21"/>
        </w:rPr>
        <w:t>” of a Protein Target Based on a very Large Set of Pockets and Drug-Like Ligands from the Protein Data Bank. Journal of chemical information and modeling </w:t>
      </w:r>
      <w:r>
        <w:rPr>
          <w:rFonts w:ascii="Helvetica" w:hAnsi="Helvetica" w:cs="Helvetica"/>
          <w:b/>
          <w:bCs/>
          <w:color w:val="53565A"/>
          <w:sz w:val="21"/>
          <w:szCs w:val="21"/>
        </w:rPr>
        <w:t>2010</w:t>
      </w:r>
      <w:r>
        <w:rPr>
          <w:rFonts w:ascii="Helvetica" w:hAnsi="Helvetica" w:cs="Helvetica"/>
          <w:i/>
          <w:iCs/>
          <w:color w:val="53565A"/>
          <w:sz w:val="21"/>
          <w:szCs w:val="21"/>
        </w:rPr>
        <w:t>, 50</w:t>
      </w:r>
      <w:r>
        <w:rPr>
          <w:rFonts w:ascii="Helvetica" w:hAnsi="Helvetica" w:cs="Helvetica"/>
          <w:color w:val="53565A"/>
          <w:sz w:val="21"/>
          <w:szCs w:val="21"/>
        </w:rPr>
        <w:t>, 2029-2040.</w:t>
      </w:r>
    </w:p>
    <w:p w14:paraId="3369037B" w14:textId="77777777" w:rsidR="00C94BF3" w:rsidRDefault="00C94BF3" w:rsidP="00C94BF3">
      <w:pPr>
        <w:pStyle w:val="NormalWeb"/>
        <w:shd w:val="clear" w:color="auto" w:fill="FFFFFF"/>
        <w:spacing w:before="0" w:beforeAutospacing="0" w:after="173" w:afterAutospacing="0"/>
        <w:rPr>
          <w:rFonts w:ascii="Helvetica" w:hAnsi="Helvetica" w:cs="Helvetica"/>
          <w:color w:val="53565A"/>
          <w:sz w:val="21"/>
          <w:szCs w:val="21"/>
        </w:rPr>
      </w:pPr>
      <w:r>
        <w:rPr>
          <w:rFonts w:ascii="Helvetica" w:hAnsi="Helvetica" w:cs="Helvetica"/>
          <w:color w:val="53565A"/>
          <w:sz w:val="21"/>
          <w:szCs w:val="21"/>
        </w:rPr>
        <w:t xml:space="preserve">[2] Neves, M.A.; </w:t>
      </w:r>
      <w:proofErr w:type="spellStart"/>
      <w:r>
        <w:rPr>
          <w:rFonts w:ascii="Helvetica" w:hAnsi="Helvetica" w:cs="Helvetica"/>
          <w:color w:val="53565A"/>
          <w:sz w:val="21"/>
          <w:szCs w:val="21"/>
        </w:rPr>
        <w:t>Totrov</w:t>
      </w:r>
      <w:proofErr w:type="spellEnd"/>
      <w:r>
        <w:rPr>
          <w:rFonts w:ascii="Helvetica" w:hAnsi="Helvetica" w:cs="Helvetica"/>
          <w:color w:val="53565A"/>
          <w:sz w:val="21"/>
          <w:szCs w:val="21"/>
        </w:rPr>
        <w:t xml:space="preserve">, M.; </w:t>
      </w:r>
      <w:proofErr w:type="spellStart"/>
      <w:r>
        <w:rPr>
          <w:rFonts w:ascii="Helvetica" w:hAnsi="Helvetica" w:cs="Helvetica"/>
          <w:color w:val="53565A"/>
          <w:sz w:val="21"/>
          <w:szCs w:val="21"/>
        </w:rPr>
        <w:t>Abagyan</w:t>
      </w:r>
      <w:proofErr w:type="spellEnd"/>
      <w:r>
        <w:rPr>
          <w:rFonts w:ascii="Helvetica" w:hAnsi="Helvetica" w:cs="Helvetica"/>
          <w:color w:val="53565A"/>
          <w:sz w:val="21"/>
          <w:szCs w:val="21"/>
        </w:rPr>
        <w:t xml:space="preserve">, R. Docking and Scoring with ICM: The Benchmarking Results and Strategies for Improvement. J. </w:t>
      </w:r>
      <w:proofErr w:type="spellStart"/>
      <w:r>
        <w:rPr>
          <w:rFonts w:ascii="Helvetica" w:hAnsi="Helvetica" w:cs="Helvetica"/>
          <w:color w:val="53565A"/>
          <w:sz w:val="21"/>
          <w:szCs w:val="21"/>
        </w:rPr>
        <w:t>Comput</w:t>
      </w:r>
      <w:proofErr w:type="spellEnd"/>
      <w:r>
        <w:rPr>
          <w:rFonts w:ascii="Helvetica" w:hAnsi="Helvetica" w:cs="Helvetica"/>
          <w:color w:val="53565A"/>
          <w:sz w:val="21"/>
          <w:szCs w:val="21"/>
        </w:rPr>
        <w:t>. Aided Mol. Des. </w:t>
      </w:r>
      <w:r>
        <w:rPr>
          <w:rFonts w:ascii="Helvetica" w:hAnsi="Helvetica" w:cs="Helvetica"/>
          <w:b/>
          <w:bCs/>
          <w:color w:val="53565A"/>
          <w:sz w:val="21"/>
          <w:szCs w:val="21"/>
        </w:rPr>
        <w:t>2012</w:t>
      </w:r>
      <w:r>
        <w:rPr>
          <w:rFonts w:ascii="Helvetica" w:hAnsi="Helvetica" w:cs="Helvetica"/>
          <w:i/>
          <w:iCs/>
          <w:color w:val="53565A"/>
          <w:sz w:val="21"/>
          <w:szCs w:val="21"/>
        </w:rPr>
        <w:t>, 26</w:t>
      </w:r>
      <w:r>
        <w:rPr>
          <w:rFonts w:ascii="Helvetica" w:hAnsi="Helvetica" w:cs="Helvetica"/>
          <w:color w:val="53565A"/>
          <w:sz w:val="21"/>
          <w:szCs w:val="21"/>
        </w:rPr>
        <w:t>, 675-686.</w:t>
      </w:r>
    </w:p>
    <w:p w14:paraId="66A8AEDF" w14:textId="77777777" w:rsidR="00AB1577" w:rsidRDefault="00AB157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241AAFCA" w14:textId="77777777" w:rsidR="00AB1577" w:rsidRDefault="00AB1577" w:rsidP="00AB157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Supplementary Table S1: List of the residues for the different pockets of SARS-CoV-2 proteins</w:t>
      </w:r>
    </w:p>
    <w:tbl>
      <w:tblPr>
        <w:tblStyle w:val="TableGrid"/>
        <w:tblW w:w="9715" w:type="dxa"/>
        <w:tblInd w:w="0" w:type="dxa"/>
        <w:tblLook w:val="04A0" w:firstRow="1" w:lastRow="0" w:firstColumn="1" w:lastColumn="0" w:noHBand="0" w:noVBand="1"/>
      </w:tblPr>
      <w:tblGrid>
        <w:gridCol w:w="1165"/>
        <w:gridCol w:w="1167"/>
        <w:gridCol w:w="1076"/>
        <w:gridCol w:w="6307"/>
      </w:tblGrid>
      <w:tr w:rsidR="00AB1577" w14:paraId="0B02F29E" w14:textId="77777777" w:rsidTr="00AB1577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A27D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Protein (PDB ID)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6189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Pocket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B397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DLID score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7435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Residues</w:t>
            </w:r>
          </w:p>
        </w:tc>
      </w:tr>
      <w:tr w:rsidR="00AB1577" w:rsidRPr="00E64582" w14:paraId="1BBF36D4" w14:textId="77777777" w:rsidTr="00AB1577"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5751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6LU7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6F94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609A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0.6224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B3A3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Chain A : T25, T26, L27, H41, C44, M49, Y54, F140, L141, N142, G143, S144, C145, H163, H164, M165, E166, L167, P168, H172, D187, R188, Q189, T190, Q192</w:t>
            </w:r>
          </w:p>
        </w:tc>
      </w:tr>
      <w:tr w:rsidR="00AB1577" w14:paraId="7A787AF7" w14:textId="77777777" w:rsidTr="00AB1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28DA" w14:textId="77777777" w:rsidR="00AB1577" w:rsidRPr="00AB1577" w:rsidRDefault="00AB157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F1C2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9304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0.529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DDBD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Chain A: E14, G15, M17, V18, Q19, W31, Q69, A70, G71, N95, P96, K97, N119, G120, S121, P122</w:t>
            </w:r>
          </w:p>
        </w:tc>
      </w:tr>
      <w:tr w:rsidR="00AB1577" w14:paraId="2F667498" w14:textId="77777777" w:rsidTr="00AB1577"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57BA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6VSB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8079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45DA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1.185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6FE5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Chain A: D40, K41, V42, K202, D979, S982, R983</w:t>
            </w:r>
          </w:p>
          <w:p w14:paraId="28E68AC5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Chain C: P330, L390, C391, L517, L518, H519, A520, P521, A522, N542, F543, N544, G545, L546, T547, Q564, F565, V576, R577, P579, L582 </w:t>
            </w:r>
          </w:p>
        </w:tc>
      </w:tr>
      <w:tr w:rsidR="00AB1577" w14:paraId="17CF6117" w14:textId="77777777" w:rsidTr="00AB1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BA92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343B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6FF6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0.87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F081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Chain A: N907, G908, I909, G910, T912, Q913, Q1036, S1037, K1038, R1039, V1040, D1041, F1042, C1043, G1044, G1046, Y1048, H1049, P1090, R1091, E1092, G1093, V1104, T1105, Q1106, R1107, N1108, Q1113, I1114, T1116, N1119, F1121</w:t>
            </w:r>
          </w:p>
          <w:p w14:paraId="06AB714A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Chain B: I712, A713, I714, P715, W886, Y904, N907, G908, I909, G910, V911, T912, Q913, G1035, Q1036, S1037, K1038, R1039, V1040, D1041, F1042, C1043, G1044, G1046, Y1047, H1048, T1066, P1079, P1090, R1091, E1092, G1093, V1094,V1104, T1106, Q1106, R1107, N1108, Q1113, N1119</w:t>
            </w:r>
          </w:p>
          <w:p w14:paraId="7A25D0FD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Chain C: S884, G885, W886, T887, L894, I896, M900, A903, Y904, N907, Q913, Y917, Q1036, S1037, K1038, R1039, R1091, F1021</w:t>
            </w:r>
          </w:p>
        </w:tc>
      </w:tr>
      <w:tr w:rsidR="00AB1577" w14:paraId="3408F177" w14:textId="77777777" w:rsidTr="00AB1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677B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8F09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Receptor binding domain spike-ACE2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0C56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FE55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See Lan et al. 2020</w:t>
            </w:r>
          </w:p>
        </w:tc>
      </w:tr>
      <w:tr w:rsidR="00AB1577" w:rsidRPr="00E64582" w14:paraId="6116660B" w14:textId="77777777" w:rsidTr="00AB1577"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30D4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6ZSL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239C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F568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0.2978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7989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Chain A: L405, P406, P408, R409, T410, L412, G415, T416, L417, E418, P419, F422, K430, V456, Y515, D534, T552, A553, H554, N557, V558, N559, R560</w:t>
            </w:r>
          </w:p>
        </w:tc>
      </w:tr>
      <w:tr w:rsidR="00AB1577" w14:paraId="62FC49E5" w14:textId="77777777" w:rsidTr="00AB1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95B4" w14:textId="77777777" w:rsidR="00AB1577" w:rsidRPr="00AB1577" w:rsidRDefault="00AB157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EED5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B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566C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0.00476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1638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Chain A : L165, W167, R173, P174, P175, L176, N177, R178, N179, E201, K202, D207, A208, V209, D483, V484, S485 S486, I488, P514, Y515, N516, S517, A520, V521, T532, D534, S535, H554 </w:t>
            </w:r>
          </w:p>
        </w:tc>
      </w:tr>
      <w:tr w:rsidR="00AB1577" w:rsidRPr="00E64582" w14:paraId="62629300" w14:textId="77777777" w:rsidTr="00AB1577"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B13C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6VWW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F282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4968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0.6227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EF14" w14:textId="77777777" w:rsidR="00AB1577" w:rsidRDefault="00AB157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Chain A : E69, V70, </w:t>
            </w:r>
            <w:r>
              <w:rPr>
                <w:rFonts w:asciiTheme="majorBidi" w:eastAsia="FrutigerLTStd-Bold" w:hAnsiTheme="majorBidi" w:cstheme="majorBidi"/>
                <w:sz w:val="24"/>
                <w:szCs w:val="24"/>
                <w:lang w:val="fr-FR"/>
              </w:rPr>
              <w:t>K71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, I72, Y89, </w:t>
            </w:r>
            <w:r>
              <w:rPr>
                <w:rFonts w:asciiTheme="majorBidi" w:eastAsia="FrutigerLTStd-Bold" w:hAnsiTheme="majorBidi" w:cstheme="majorBidi"/>
                <w:sz w:val="24"/>
                <w:szCs w:val="24"/>
                <w:lang w:val="fr-FR"/>
              </w:rPr>
              <w:t>K90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, P158, Q160, G165, V166, T167, L168, F195, T196, </w:t>
            </w:r>
            <w:r>
              <w:rPr>
                <w:rFonts w:asciiTheme="majorBidi" w:eastAsia="FrutigerLTStd-Bold" w:hAnsiTheme="majorBidi" w:cstheme="majorBidi"/>
                <w:sz w:val="24"/>
                <w:szCs w:val="24"/>
                <w:lang w:val="fr-FR"/>
              </w:rPr>
              <w:t>Q197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, S198, R199, N200, </w:t>
            </w:r>
            <w:r>
              <w:rPr>
                <w:rFonts w:asciiTheme="majorBidi" w:eastAsia="FrutigerLTStd-Bold" w:hAnsiTheme="majorBidi" w:cstheme="majorBidi"/>
                <w:sz w:val="24"/>
                <w:szCs w:val="24"/>
                <w:lang w:val="fr-FR"/>
              </w:rPr>
              <w:t>L201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, Q202, E203, L252, L266, E267, D268, P271, M272, D273, S274, T275, V276, </w:t>
            </w:r>
            <w:r>
              <w:rPr>
                <w:rFonts w:asciiTheme="majorBidi" w:eastAsia="FrutigerLTStd-Bold" w:hAnsiTheme="majorBidi" w:cstheme="majorBidi"/>
                <w:sz w:val="24"/>
                <w:szCs w:val="24"/>
                <w:lang w:val="fr-FR"/>
              </w:rPr>
              <w:t>K277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, </w:t>
            </w:r>
            <w:r>
              <w:rPr>
                <w:rFonts w:asciiTheme="majorBidi" w:eastAsia="FrutigerLTStd-Bold" w:hAnsiTheme="majorBidi" w:cstheme="majorBidi"/>
                <w:sz w:val="24"/>
                <w:szCs w:val="24"/>
                <w:lang w:val="fr-FR"/>
              </w:rPr>
              <w:t>Y279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, V295, I296, D297, D324</w:t>
            </w:r>
          </w:p>
        </w:tc>
      </w:tr>
      <w:tr w:rsidR="00AB1577" w14:paraId="5D2E641F" w14:textId="77777777" w:rsidTr="00AB1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64CD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0BB4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BC5A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0.531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98DF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Chain A: K71, K90, T167, L168, T196, S198, R199, N200, L201, E203, K205, R207, L252, L266, D273, S274, T275, K277, Y279, V295, I296, D297</w:t>
            </w:r>
          </w:p>
        </w:tc>
      </w:tr>
      <w:tr w:rsidR="00AB1577" w14:paraId="7750A690" w14:textId="77777777" w:rsidTr="00AB1577"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F38B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7BTF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061F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98F2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0.527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52E8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Chain A: V315, S318, F326, G327, P328, Y346, H347, F348, R349, E350, C395, F396, R457, N459, L460, P461, T462, P537, P627, N628, M629, S664, E665, M666, V675, P677</w:t>
            </w:r>
          </w:p>
          <w:p w14:paraId="276F63B4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Chain B: N118</w:t>
            </w:r>
          </w:p>
        </w:tc>
      </w:tr>
      <w:tr w:rsidR="00AB1577" w14:paraId="6D7F2474" w14:textId="77777777" w:rsidTr="00AB1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2C8AA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0065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E60E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0.4583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65E1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Chain A: K478, Y479, C482, R583, G584, A585, T586, V588, T591, S592, F594, Y595, G596, G597, N600, M601, T604, V605, S607, D608, V609, Y746, A747, R750, K751, S754, M755, M756, V930, </w:t>
            </w:r>
          </w:p>
        </w:tc>
      </w:tr>
      <w:tr w:rsidR="00AB1577" w14:paraId="50FC76DB" w14:textId="77777777" w:rsidTr="00AB1577"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6D6E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6W4H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DA92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E311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0.537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B65B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Chain A: N6841, Y6845, H6867, G6869, A6870, G6871, S6872, A6877, P6878, G6879, T6880, D6897, L6898, N6899, G6911, D6912, C6913, D6928, M6929, Y6930, D6931, F6947</w:t>
            </w:r>
          </w:p>
        </w:tc>
      </w:tr>
      <w:tr w:rsidR="00AB1577" w14:paraId="06A9696C" w14:textId="77777777" w:rsidTr="00AB15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9970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040D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4091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0.317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B45F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Chain A: K6836, G6867, M6839</w:t>
            </w:r>
          </w:p>
          <w:p w14:paraId="0150751C" w14:textId="77777777" w:rsidR="00AB1577" w:rsidRP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577">
              <w:rPr>
                <w:rFonts w:asciiTheme="majorBidi" w:hAnsiTheme="majorBidi" w:cstheme="majorBidi"/>
                <w:sz w:val="24"/>
                <w:szCs w:val="24"/>
              </w:rPr>
              <w:t xml:space="preserve">Chain B: P4289, I4290, T4291, N4292, C4293, K4295, E4319, F4321, T4354, A4357, N4358, D4359, P4360 </w:t>
            </w:r>
          </w:p>
        </w:tc>
      </w:tr>
      <w:tr w:rsidR="00AB1577" w14:paraId="0E8F1E6B" w14:textId="77777777" w:rsidTr="00AB1577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1B32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5C8T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0CA9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927D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0.9575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9488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Chain B : H260, C261, H283, F286, V287, R289, V290, W292, N306, C309, R310, Q313, D331, I332, G334, N335, P336, I338, C340, D352, A353, Q354, L366, F367, Y368, L383, W385, N386, C387, N388, V389, D390, R391, R400, F401, C414, D415, F417, Y420, N422, K423, H424, F426, H427, T428, P429, A430, D432, S434, A435, F506 </w:t>
            </w:r>
          </w:p>
        </w:tc>
      </w:tr>
      <w:tr w:rsidR="00AB1577" w14:paraId="03D016C8" w14:textId="77777777" w:rsidTr="00AB1577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AFD6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6ABA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B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2E12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0.9575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53D6" w14:textId="77777777" w:rsidR="00AB1577" w:rsidRDefault="00AB1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Chain B: R81, H82, V83, R84, A85, K175, G176, L177, S178, D179, K212, Y296, P297, I298, I299, N408, L409, L411, V421, N422, </w:t>
            </w:r>
          </w:p>
        </w:tc>
      </w:tr>
    </w:tbl>
    <w:p w14:paraId="6106A88F" w14:textId="77777777" w:rsidR="00AB1577" w:rsidRDefault="00AB1577" w:rsidP="00AB1577"/>
    <w:p w14:paraId="14E3A143" w14:textId="77777777" w:rsidR="008369DF" w:rsidRDefault="008369DF" w:rsidP="008369DF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9494570" w14:textId="77777777" w:rsidR="00A003E4" w:rsidRPr="00A003E4" w:rsidRDefault="00E64582" w:rsidP="00A003E4">
      <w:pPr>
        <w:pStyle w:val="EndNoteBibliography"/>
        <w:spacing w:after="0"/>
        <w:ind w:left="720" w:hanging="720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="00A003E4" w:rsidRPr="00A003E4">
        <w:rPr>
          <w:noProof/>
        </w:rPr>
        <w:t>1.</w:t>
      </w:r>
      <w:r w:rsidR="00A003E4" w:rsidRPr="00A003E4">
        <w:rPr>
          <w:noProof/>
        </w:rPr>
        <w:tab/>
        <w:t xml:space="preserve">Neves, M.A.; Totrov, M.; Abagyan, R. Docking and scoring with ICM: the benchmarking results and strategies for improvement. </w:t>
      </w:r>
      <w:r w:rsidR="00A003E4" w:rsidRPr="00A003E4">
        <w:rPr>
          <w:i/>
          <w:noProof/>
        </w:rPr>
        <w:t xml:space="preserve">J Comput Aided Mol Des </w:t>
      </w:r>
      <w:r w:rsidR="00A003E4" w:rsidRPr="00A003E4">
        <w:rPr>
          <w:b/>
          <w:noProof/>
        </w:rPr>
        <w:t>2012</w:t>
      </w:r>
      <w:r w:rsidR="00A003E4" w:rsidRPr="00A003E4">
        <w:rPr>
          <w:noProof/>
        </w:rPr>
        <w:t xml:space="preserve">, </w:t>
      </w:r>
      <w:r w:rsidR="00A003E4" w:rsidRPr="00A003E4">
        <w:rPr>
          <w:i/>
          <w:noProof/>
        </w:rPr>
        <w:t>26</w:t>
      </w:r>
      <w:r w:rsidR="00A003E4" w:rsidRPr="00A003E4">
        <w:rPr>
          <w:noProof/>
        </w:rPr>
        <w:t>, 675-686, doi:10.1007/s10822-012-9547-0.</w:t>
      </w:r>
    </w:p>
    <w:p w14:paraId="4CB2764E" w14:textId="77777777" w:rsidR="00A003E4" w:rsidRPr="00A003E4" w:rsidRDefault="00A003E4" w:rsidP="00A003E4">
      <w:pPr>
        <w:pStyle w:val="EndNoteBibliography"/>
        <w:ind w:left="720" w:hanging="720"/>
        <w:rPr>
          <w:noProof/>
        </w:rPr>
      </w:pPr>
      <w:r w:rsidRPr="00A003E4">
        <w:rPr>
          <w:noProof/>
        </w:rPr>
        <w:t>2.</w:t>
      </w:r>
      <w:r w:rsidRPr="00A003E4">
        <w:rPr>
          <w:noProof/>
        </w:rPr>
        <w:tab/>
        <w:t xml:space="preserve">Sheridan, R.P.; Maiorov, V.N.; Holloway, M.K.; Cornell, W.D.; Gao, Y.D. Drug-like density: a method of quantifying the "bindability" of a protein target based on a very large set of pockets and drug-like ligands from the Protein Data Bank. </w:t>
      </w:r>
      <w:r w:rsidRPr="00A003E4">
        <w:rPr>
          <w:i/>
          <w:noProof/>
        </w:rPr>
        <w:t xml:space="preserve">J Chem Inf Model </w:t>
      </w:r>
      <w:r w:rsidRPr="00A003E4">
        <w:rPr>
          <w:b/>
          <w:noProof/>
        </w:rPr>
        <w:t>2010</w:t>
      </w:r>
      <w:r w:rsidRPr="00A003E4">
        <w:rPr>
          <w:noProof/>
        </w:rPr>
        <w:t xml:space="preserve">, </w:t>
      </w:r>
      <w:r w:rsidRPr="00A003E4">
        <w:rPr>
          <w:i/>
          <w:noProof/>
        </w:rPr>
        <w:t>50</w:t>
      </w:r>
      <w:r w:rsidRPr="00A003E4">
        <w:rPr>
          <w:noProof/>
        </w:rPr>
        <w:t>, 2029-2040, doi:10.1021/ci100312t.</w:t>
      </w:r>
    </w:p>
    <w:p w14:paraId="18161DD3" w14:textId="32B7B549" w:rsidR="00BB3272" w:rsidRDefault="00E64582" w:rsidP="00A003E4">
      <w:r>
        <w:fldChar w:fldCharType="end"/>
      </w:r>
    </w:p>
    <w:sectPr w:rsidR="00BB3272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4A0FA" w14:textId="77777777" w:rsidR="002536C5" w:rsidRDefault="002536C5" w:rsidP="00A003E4">
      <w:pPr>
        <w:spacing w:after="0" w:line="240" w:lineRule="auto"/>
      </w:pPr>
      <w:r>
        <w:separator/>
      </w:r>
    </w:p>
  </w:endnote>
  <w:endnote w:type="continuationSeparator" w:id="0">
    <w:p w14:paraId="0E3C7194" w14:textId="77777777" w:rsidR="002536C5" w:rsidRDefault="002536C5" w:rsidP="00A00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LTStd-Bold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017944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019B45" w14:textId="31ED0CD0" w:rsidR="00A003E4" w:rsidRDefault="00A003E4" w:rsidP="00CC38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1043B1" w14:textId="77777777" w:rsidR="00A003E4" w:rsidRDefault="00A003E4" w:rsidP="00A003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716355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71DF55" w14:textId="2F7F257F" w:rsidR="00A003E4" w:rsidRDefault="00A003E4" w:rsidP="00CC38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CA44182" w14:textId="77777777" w:rsidR="00A003E4" w:rsidRDefault="00A003E4" w:rsidP="00A003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89635" w14:textId="77777777" w:rsidR="002536C5" w:rsidRDefault="002536C5" w:rsidP="00A003E4">
      <w:pPr>
        <w:spacing w:after="0" w:line="240" w:lineRule="auto"/>
      </w:pPr>
      <w:r>
        <w:separator/>
      </w:r>
    </w:p>
  </w:footnote>
  <w:footnote w:type="continuationSeparator" w:id="0">
    <w:p w14:paraId="408C0A59" w14:textId="77777777" w:rsidR="002536C5" w:rsidRDefault="002536C5" w:rsidP="00A00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D1124"/>
    <w:multiLevelType w:val="multilevel"/>
    <w:tmpl w:val="EC703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SwNLU0MjOwMDU0MDdX0lEKTi0uzszPAykwqgUAa1b3b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DPI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zz2tf00jx52z6e9fd65rrx7pz9astwep9zs&quot;&gt;beauvericin&lt;record-ids&gt;&lt;item&gt;80&lt;/item&gt;&lt;item&gt;81&lt;/item&gt;&lt;/record-ids&gt;&lt;/item&gt;&lt;/Libraries&gt;"/>
  </w:docVars>
  <w:rsids>
    <w:rsidRoot w:val="00826D3C"/>
    <w:rsid w:val="002536C5"/>
    <w:rsid w:val="002C1AC9"/>
    <w:rsid w:val="00355456"/>
    <w:rsid w:val="003D2718"/>
    <w:rsid w:val="003F3861"/>
    <w:rsid w:val="00806DA1"/>
    <w:rsid w:val="00826D3C"/>
    <w:rsid w:val="008369DF"/>
    <w:rsid w:val="009B4727"/>
    <w:rsid w:val="00A003E4"/>
    <w:rsid w:val="00AB1577"/>
    <w:rsid w:val="00BB61E2"/>
    <w:rsid w:val="00C51DDD"/>
    <w:rsid w:val="00C94BF3"/>
    <w:rsid w:val="00D2079E"/>
    <w:rsid w:val="00DE6DEA"/>
    <w:rsid w:val="00E64582"/>
    <w:rsid w:val="00F1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4BCBA"/>
  <w15:chartTrackingRefBased/>
  <w15:docId w15:val="{5213B1AF-3910-41F1-85B6-3FFE5C77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9DF"/>
    <w:pPr>
      <w:bidi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69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9DF"/>
    <w:pPr>
      <w:bidi/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9DF"/>
    <w:rPr>
      <w:sz w:val="20"/>
      <w:szCs w:val="20"/>
    </w:rPr>
  </w:style>
  <w:style w:type="table" w:styleId="TableGrid">
    <w:name w:val="Table Grid"/>
    <w:basedOn w:val="TableNormal"/>
    <w:uiPriority w:val="39"/>
    <w:rsid w:val="00AB15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2079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9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E64582"/>
    <w:pPr>
      <w:spacing w:after="0"/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64582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E64582"/>
    <w:pPr>
      <w:spacing w:line="240" w:lineRule="auto"/>
    </w:pPr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E6458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00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E4"/>
  </w:style>
  <w:style w:type="character" w:styleId="PageNumber">
    <w:name w:val="page number"/>
    <w:basedOn w:val="DefaultParagraphFont"/>
    <w:uiPriority w:val="99"/>
    <w:semiHidden/>
    <w:unhideWhenUsed/>
    <w:rsid w:val="00A00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8F27D91-6E6B-482F-990D-EC971D5B89A9}">
  <we:reference id="wa104380122" version="2.1.0.1" store="en-US" storeType="OMEX"/>
  <we:alternateReferences>
    <we:reference id="WA104380122" version="2.1.0.1" store="" storeType="OMEX"/>
  </we:alternateReferences>
  <we:properties>
    <we:property name="rcm.version" value="2"/>
    <we:property name="citations" value="{&quot;656262808&quot;:{&quot;referencesIds&quot;:[&quot;doc:60eac0948f08f10c1eed4d62&quot;],&quot;referencesOptions&quot;:{&quot;doc:60eac0948f08f10c1eed4d62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656262808,&quot;citationText&quot;:&quot;&lt;span style=\&quot;font-family:Times New Roman;font-size:16px;color:#000000\&quot;&gt;(Neves, Totrov, &amp;amp; Abagyan, 2012)&lt;/span&gt;&quot;},&quot;-290598742&quot;:{&quot;referencesIds&quot;:[&quot;doc:60eac0f38f083f0ffb8f9aa3&quot;],&quot;referencesOptions&quot;:{&quot;doc:60eac0f38f083f0ffb8f9aa3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290598742,&quot;citationText&quot;:&quot;&lt;span style=\&quot;font-family:Times New Roman;font-size:16px;color:#000000\&quot;&gt;(Sheridan, Maiorov, Holloway, Cornell, &amp;amp; Gao, 2010)&lt;/span&gt;&quot;},&quot;-1612809325&quot;:{&quot;referencesIds&quot;:[&quot;doc:60eac0948f08f10c1eed4d62&quot;],&quot;referencesOptions&quot;:{&quot;doc:60eac0948f08f10c1eed4d62&quot;:{&quot;author&quot;:true,&quot;year&quot;:true,&quot;pageReplace&quot;:&quot;&quot;,&quot;prefix&quot;:&quot;&quot;,&quot;suffix&quot;:&quot;&quot;}},&quot;hasBrokenReferences&quot;:false,&quot;hasManualEdits&quot;:false,&quot;citationType&quot;:&quot;inline&quot;,&quot;id&quot;:-1612809325,&quot;citationText&quot;:&quot;&lt;span style=\&quot;font-family:Times New Roman;font-size:16px;color:#000000\&quot;&gt;(Neves et al., 2012)&lt;/span&gt;&quot;}}"/>
    <we:property name="rw.control.unlocked" value="true"/>
    <we:property name="currentStyle" value="{&quot;id&quot;:&quot;1669&quot;,&quot;styleType&quot;:&quot;refworks&quot;,&quot;name&quot;:&quot;APA 6th - American Psychological Association, 6th Edition&quot;,&quot;isInstitutional&quot;:false,&quot;citeStyle&quot;:&quot;INTEXT_ONLY&quot;,&quot;isSorted&quot;:true,&quot;usesNumbers&quot;:false,&quot;authorDisambiguation&quot;:&quot;surname_firstname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1017</Words>
  <Characters>5357</Characters>
  <Application>Microsoft Office Word</Application>
  <DocSecurity>0</DocSecurity>
  <Lines>163</Lines>
  <Paragraphs>73</Paragraphs>
  <ScaleCrop>false</ScaleCrop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Charbel Al Khoury</dc:creator>
  <cp:keywords/>
  <dc:description/>
  <cp:lastModifiedBy>MDPI-09</cp:lastModifiedBy>
  <cp:revision>15</cp:revision>
  <dcterms:created xsi:type="dcterms:W3CDTF">2021-07-04T18:12:00Z</dcterms:created>
  <dcterms:modified xsi:type="dcterms:W3CDTF">2021-07-21T10:31:00Z</dcterms:modified>
</cp:coreProperties>
</file>