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A2EDF" w:rsidRDefault="006E5B0E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Figure S1.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Genome-based phylogeny of the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Pseudomonadaceae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. The phylogenetic tree was inferred using IQ-TREE with automatic model selection and 1,000 ultrafast bootstrap based on an alignment of 1,063 core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orthogroup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from the 272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Pseudomonas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species (including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 xml:space="preserve">P.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hussainii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and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 xml:space="preserve">P.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caeni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), the type strains of the newly described species and affiliated strains (n=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76 ;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Table S2) and type strains of other genera within the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Pseudomonadaceae</w:t>
      </w:r>
      <w:proofErr w:type="spellEnd"/>
      <w:r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(n=9 ; Table S4). Newly described species are highlighted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in bold.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Cellvibrio</w:t>
      </w:r>
      <w:proofErr w:type="spellEnd"/>
      <w:r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japonicus</w:t>
      </w:r>
      <w:proofErr w:type="spellEnd"/>
      <w:r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is used as outgroup.</w:t>
      </w: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1A2EDF" w:rsidRDefault="006E5B0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fr-FR"/>
        </w:rPr>
        <w:lastRenderedPageBreak/>
        <w:drawing>
          <wp:inline distT="0" distB="0" distL="0" distR="0">
            <wp:extent cx="5759450" cy="8810625"/>
            <wp:effectExtent l="0" t="0" r="0" b="952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enome-Based Pseudomonadaceae SupMat_latest.png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67442"/>
                    <a:stretch/>
                  </pic:blipFill>
                  <pic:spPr bwMode="auto">
                    <a:xfrm>
                      <a:off x="0" y="0"/>
                      <a:ext cx="5760000" cy="88114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6E5B0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fr-FR"/>
        </w:rPr>
        <w:lastRenderedPageBreak/>
        <w:drawing>
          <wp:inline distT="0" distB="0" distL="0" distR="0">
            <wp:extent cx="5759450" cy="9182100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enome-Based Pseudomonadaceae SupMat_latest.png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579" b="33491"/>
                    <a:stretch/>
                  </pic:blipFill>
                  <pic:spPr bwMode="auto">
                    <a:xfrm>
                      <a:off x="0" y="0"/>
                      <a:ext cx="5760000" cy="9182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6E5B0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fr-FR"/>
        </w:rPr>
        <w:lastRenderedPageBreak/>
        <w:drawing>
          <wp:inline distT="0" distB="0" distL="0" distR="0">
            <wp:extent cx="5760000" cy="9057455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enome-Based Pseudomonadaceae SupMat_latest.png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535"/>
                    <a:stretch/>
                  </pic:blipFill>
                  <pic:spPr bwMode="auto">
                    <a:xfrm>
                      <a:off x="0" y="0"/>
                      <a:ext cx="5760000" cy="9057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6E5B0E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Figure S2.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Phylogenetic tree based on concatenated NRPS proteins from the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Xantholysin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and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Entolysin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families. The maximum likelihood tree was constructed using the JTT+F+I+G model (MEGA-X). Chara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cterized producers are highlighted in bold (Table S7). All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Xantholysin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and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Entolysin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producers belongs to the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 xml:space="preserve">P.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mosselii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subgroup.</w:t>
      </w:r>
    </w:p>
    <w:p w:rsidR="001A2EDF" w:rsidRDefault="006E5B0E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4680000" cy="2979438"/>
            <wp:effectExtent l="0" t="0" r="635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46" t="4145" r="24204" b="24455"/>
                    <a:stretch/>
                  </pic:blipFill>
                  <pic:spPr bwMode="auto">
                    <a:xfrm>
                      <a:off x="0" y="0"/>
                      <a:ext cx="4680000" cy="2979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6E5B0E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Figure S3.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Phylogenetic tree based on concatenated NRPS proteins from the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Putisolvin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family. Maximum likelihood tree constructed using the JTT+F+I+G model (MEGA-X). Characterized producers are highlighted in bold (Table S7).</w:t>
      </w:r>
    </w:p>
    <w:p w:rsidR="001A2EDF" w:rsidRDefault="006E5B0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6120000" cy="3216042"/>
            <wp:effectExtent l="0" t="0" r="0" b="381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utisolvin.tif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6" t="3087" r="32464" b="8945"/>
                    <a:stretch/>
                  </pic:blipFill>
                  <pic:spPr bwMode="auto">
                    <a:xfrm>
                      <a:off x="0" y="0"/>
                      <a:ext cx="6120000" cy="32160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E5B0E" w:rsidRDefault="006E5B0E">
      <w:pPr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1A2EDF" w:rsidRDefault="006E5B0E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Figure S4.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Phylogenetic tree based on concatenated NRPS proteins of WLIP producers from the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Vi</w:t>
      </w:r>
      <w:r>
        <w:rPr>
          <w:rFonts w:ascii="Times New Roman" w:hAnsi="Times New Roman" w:cs="Times New Roman"/>
          <w:sz w:val="24"/>
          <w:szCs w:val="24"/>
          <w:lang w:val="en-US"/>
        </w:rPr>
        <w:t>scosin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family. Maximum likelihood tree constructed using the JTT+F+I+G model (MEGA-X). Characterized producers are highlighted in bold (Table S7). NRPSs accession number for producers belonging to the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 xml:space="preserve">P.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fluorescens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group: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 xml:space="preserve">P.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fluorescens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LMG 5329 (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WlpA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AFZ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61501;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WlpB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AFZ61525;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WlpC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AFZ61526) and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 xml:space="preserve">P.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chlororaphis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subsp.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aurantiaca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PB-St2 (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WlpA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AZD30270;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WlpB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AZD30268;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WlpC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AZD30267).</w:t>
      </w: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1A2EDF" w:rsidRDefault="006E5B0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fr-FR"/>
        </w:rPr>
        <w:drawing>
          <wp:inline distT="0" distB="0" distL="0" distR="0">
            <wp:extent cx="6189816" cy="3600000"/>
            <wp:effectExtent l="0" t="0" r="1905" b="635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5080" t="11643" r="2722" b="12931"/>
                    <a:stretch/>
                  </pic:blipFill>
                  <pic:spPr bwMode="auto">
                    <a:xfrm>
                      <a:off x="0" y="0"/>
                      <a:ext cx="6189816" cy="36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1A2ED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A2EDF" w:rsidRDefault="006E5B0E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Figure S5.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Genome-based phylogeny of the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P. putida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group. The phylogenetic tree was inferred using IQ-TREE with automatic model selection (LG+F+R10) and 1,000 ultrafast bootstraps, based on an alignment of 2,570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orthogroups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from 98 Pseudomonas strains (accession numbers Table S4). This includes type strai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ns of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Pseudomonas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newly described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Pseudomonas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species and affiliated strains, both known and newly identified CLP producers and a selection of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P. putida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strains. All strains included in this analysis, together with their accession numbers and the output o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f the prospection for CLP BGC are detailed in Table S7.  Newly described species are highlighted in bold. The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 xml:space="preserve">P.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rhizosphaerae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group are used as outgroup.</w:t>
      </w:r>
    </w:p>
    <w:p w:rsidR="001A2EDF" w:rsidRDefault="006E5B0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fr-FR"/>
        </w:rPr>
        <w:lastRenderedPageBreak/>
        <w:drawing>
          <wp:inline distT="0" distB="0" distL="0" distR="0">
            <wp:extent cx="5325217" cy="9720000"/>
            <wp:effectExtent l="0" t="0" r="889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EU5NBsdrvwRN90NYomRag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99" t="-230" b="1"/>
                    <a:stretch/>
                  </pic:blipFill>
                  <pic:spPr bwMode="auto">
                    <a:xfrm>
                      <a:off x="0" y="0"/>
                      <a:ext cx="5325217" cy="97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A2ED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trackRevisions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2EDF"/>
    <w:rsid w:val="001A2EDF"/>
    <w:rsid w:val="006E5B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7A6C12E-4BE0-40FF-8B2B-07FDC25A86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Marquedecommentaire">
    <w:name w:val="annotation reference"/>
    <w:basedOn w:val="Policepardfaut"/>
    <w:uiPriority w:val="99"/>
    <w:semiHidden/>
    <w:unhideWhenUsed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Pr>
      <w:rFonts w:ascii="Segoe UI" w:hAnsi="Segoe UI" w:cs="Segoe UI"/>
      <w:sz w:val="18"/>
      <w:szCs w:val="18"/>
    </w:rPr>
  </w:style>
  <w:style w:type="paragraph" w:styleId="Rvision">
    <w:name w:val="Revision"/>
    <w:hidden/>
    <w:uiPriority w:val="99"/>
    <w:semiHidden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9</Pages>
  <Words>364</Words>
  <Characters>2004</Characters>
  <Application>Microsoft Office Word</Application>
  <DocSecurity>0</DocSecurity>
  <Lines>16</Lines>
  <Paragraphs>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 Z230</dc:creator>
  <cp:keywords/>
  <dc:description/>
  <cp:lastModifiedBy>Mireille</cp:lastModifiedBy>
  <cp:revision>4</cp:revision>
  <dcterms:created xsi:type="dcterms:W3CDTF">2021-07-12T09:17:00Z</dcterms:created>
  <dcterms:modified xsi:type="dcterms:W3CDTF">2021-07-13T09:15:00Z</dcterms:modified>
</cp:coreProperties>
</file>