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3F8DE7" w14:textId="47025612" w:rsidR="0092095D" w:rsidRPr="0092095D" w:rsidRDefault="00FF3003" w:rsidP="0092095D">
      <w:pPr>
        <w:pStyle w:val="Title1"/>
        <w:rPr>
          <w:sz w:val="28"/>
          <w:lang w:val="en-US"/>
        </w:rPr>
      </w:pPr>
      <w:r>
        <w:rPr>
          <w:sz w:val="28"/>
          <w:lang w:val="en-US"/>
        </w:rPr>
        <w:t>Enhancing the cell-free expression of native membrane proteins by in-</w:t>
      </w:r>
      <w:proofErr w:type="spellStart"/>
      <w:r>
        <w:rPr>
          <w:sz w:val="28"/>
          <w:lang w:val="en-US"/>
        </w:rPr>
        <w:t>silico</w:t>
      </w:r>
      <w:proofErr w:type="spellEnd"/>
      <w:r>
        <w:rPr>
          <w:sz w:val="28"/>
          <w:lang w:val="en-US"/>
        </w:rPr>
        <w:t xml:space="preserve"> </w:t>
      </w:r>
      <w:proofErr w:type="spellStart"/>
      <w:r>
        <w:rPr>
          <w:sz w:val="28"/>
          <w:lang w:val="en-US"/>
        </w:rPr>
        <w:t>optimisation</w:t>
      </w:r>
      <w:proofErr w:type="spellEnd"/>
      <w:r>
        <w:rPr>
          <w:sz w:val="28"/>
          <w:lang w:val="en-US"/>
        </w:rPr>
        <w:t xml:space="preserve"> of the coding sequence – an experimental study of the human voltage-dependent anion channel</w:t>
      </w:r>
    </w:p>
    <w:p w14:paraId="09338899" w14:textId="77777777" w:rsidR="000F6502" w:rsidRPr="00AE2887" w:rsidRDefault="000F6502" w:rsidP="001A298D">
      <w:pPr>
        <w:spacing w:before="120"/>
        <w:rPr>
          <w:szCs w:val="20"/>
        </w:rPr>
      </w:pPr>
      <w:r w:rsidRPr="00AE2887">
        <w:rPr>
          <w:szCs w:val="20"/>
        </w:rPr>
        <w:t>Sonja</w:t>
      </w:r>
      <w:r w:rsidR="00237B8D" w:rsidRPr="00AE2887">
        <w:rPr>
          <w:szCs w:val="20"/>
        </w:rPr>
        <w:t xml:space="preserve"> </w:t>
      </w:r>
      <w:proofErr w:type="spellStart"/>
      <w:r w:rsidR="00237B8D" w:rsidRPr="00AE2887">
        <w:rPr>
          <w:szCs w:val="20"/>
        </w:rPr>
        <w:t>Zayni</w:t>
      </w:r>
      <w:proofErr w:type="spellEnd"/>
      <w:r w:rsidRPr="00AE2887">
        <w:rPr>
          <w:szCs w:val="20"/>
        </w:rPr>
        <w:t xml:space="preserve">, Samar </w:t>
      </w:r>
      <w:proofErr w:type="spellStart"/>
      <w:r w:rsidRPr="00AE2887">
        <w:rPr>
          <w:szCs w:val="20"/>
        </w:rPr>
        <w:t>Damiati</w:t>
      </w:r>
      <w:proofErr w:type="spellEnd"/>
      <w:r w:rsidRPr="00AE2887">
        <w:rPr>
          <w:szCs w:val="20"/>
        </w:rPr>
        <w:t xml:space="preserve">, </w:t>
      </w:r>
      <w:r w:rsidR="002466B5" w:rsidRPr="00AE2887">
        <w:rPr>
          <w:szCs w:val="20"/>
        </w:rPr>
        <w:t>Susana Moreno-Flores</w:t>
      </w:r>
      <w:r w:rsidR="00AF5920" w:rsidRPr="00AE2887">
        <w:rPr>
          <w:szCs w:val="20"/>
        </w:rPr>
        <w:t>*</w:t>
      </w:r>
      <w:r w:rsidR="003D750B" w:rsidRPr="00AE2887">
        <w:rPr>
          <w:szCs w:val="20"/>
        </w:rPr>
        <w:t>, Fabian Amman</w:t>
      </w:r>
      <w:r w:rsidR="00AF5920" w:rsidRPr="00AE2887">
        <w:rPr>
          <w:szCs w:val="20"/>
        </w:rPr>
        <w:t>*</w:t>
      </w:r>
      <w:r w:rsidR="003D750B" w:rsidRPr="00AE2887">
        <w:rPr>
          <w:szCs w:val="20"/>
        </w:rPr>
        <w:t xml:space="preserve">, </w:t>
      </w:r>
      <w:r w:rsidR="002466B5" w:rsidRPr="00AE2887">
        <w:rPr>
          <w:szCs w:val="20"/>
        </w:rPr>
        <w:t xml:space="preserve">Ivo </w:t>
      </w:r>
      <w:proofErr w:type="spellStart"/>
      <w:r w:rsidR="002466B5" w:rsidRPr="00AE2887">
        <w:rPr>
          <w:szCs w:val="20"/>
        </w:rPr>
        <w:t>Hofacker</w:t>
      </w:r>
      <w:proofErr w:type="spellEnd"/>
      <w:r w:rsidR="003D750B" w:rsidRPr="00AE2887">
        <w:rPr>
          <w:szCs w:val="20"/>
        </w:rPr>
        <w:t xml:space="preserve"> </w:t>
      </w:r>
      <w:r w:rsidRPr="00AE2887">
        <w:rPr>
          <w:szCs w:val="20"/>
        </w:rPr>
        <w:t xml:space="preserve">and Eva-Kathrin </w:t>
      </w:r>
      <w:proofErr w:type="spellStart"/>
      <w:r w:rsidR="00AD17B6">
        <w:rPr>
          <w:szCs w:val="20"/>
        </w:rPr>
        <w:t>Ehmoser</w:t>
      </w:r>
      <w:proofErr w:type="spellEnd"/>
    </w:p>
    <w:p w14:paraId="190C1978" w14:textId="77777777" w:rsidR="000F6502" w:rsidRDefault="000F6502" w:rsidP="006A24B1">
      <w:pPr>
        <w:rPr>
          <w:rFonts w:cs="Arial"/>
          <w:b/>
        </w:rPr>
      </w:pPr>
    </w:p>
    <w:p w14:paraId="0039D9CE" w14:textId="77777777" w:rsidR="00BB49AD" w:rsidRPr="000F6502" w:rsidRDefault="000F6502">
      <w:pPr>
        <w:rPr>
          <w:rFonts w:cs="Arial"/>
          <w:b/>
          <w:szCs w:val="20"/>
        </w:rPr>
      </w:pPr>
      <w:r w:rsidRPr="000F6502">
        <w:rPr>
          <w:rFonts w:cs="Arial"/>
          <w:b/>
          <w:szCs w:val="20"/>
        </w:rPr>
        <w:t>SUPPORTING INFORMATION</w:t>
      </w:r>
    </w:p>
    <w:sdt>
      <w:sdtPr>
        <w:rPr>
          <w:rFonts w:eastAsiaTheme="minorHAnsi" w:cstheme="minorBidi"/>
          <w:b w:val="0"/>
          <w:color w:val="auto"/>
          <w:szCs w:val="22"/>
          <w:lang w:val="en-GB"/>
        </w:rPr>
        <w:id w:val="-622456260"/>
        <w:docPartObj>
          <w:docPartGallery w:val="Table of Contents"/>
          <w:docPartUnique/>
        </w:docPartObj>
      </w:sdtPr>
      <w:sdtEndPr>
        <w:rPr>
          <w:bCs/>
          <w:noProof/>
        </w:rPr>
      </w:sdtEndPr>
      <w:sdtContent>
        <w:p w14:paraId="466552B5" w14:textId="77777777" w:rsidR="00BC1CB3" w:rsidRDefault="00BC1CB3">
          <w:pPr>
            <w:pStyle w:val="Inhaltsverzeichnisberschrift"/>
          </w:pPr>
          <w:r>
            <w:t>Table of Contents</w:t>
          </w:r>
        </w:p>
        <w:p w14:paraId="22B2EA1A" w14:textId="2BAD934D" w:rsidR="00FF3003" w:rsidRDefault="00BC1CB3">
          <w:pPr>
            <w:pStyle w:val="Verzeichnis1"/>
            <w:tabs>
              <w:tab w:val="right" w:leader="dot" w:pos="9016"/>
            </w:tabs>
            <w:rPr>
              <w:rFonts w:asciiTheme="minorHAnsi" w:eastAsiaTheme="minorEastAsia" w:hAnsiTheme="minorHAnsi"/>
              <w:noProof/>
              <w:sz w:val="22"/>
              <w:lang w:eastAsia="en-GB"/>
            </w:rPr>
          </w:pPr>
          <w:r>
            <w:fldChar w:fldCharType="begin"/>
          </w:r>
          <w:r>
            <w:instrText xml:space="preserve"> TOC \o "1-3" \h \z \u </w:instrText>
          </w:r>
          <w:r>
            <w:fldChar w:fldCharType="separate"/>
          </w:r>
          <w:hyperlink w:anchor="_Toc522728066" w:history="1">
            <w:r w:rsidR="00FF3003" w:rsidRPr="00442F3A">
              <w:rPr>
                <w:rStyle w:val="Hyperlink"/>
                <w:noProof/>
              </w:rPr>
              <w:t>Experimental Details</w:t>
            </w:r>
            <w:r w:rsidR="00FF3003">
              <w:rPr>
                <w:noProof/>
                <w:webHidden/>
              </w:rPr>
              <w:tab/>
            </w:r>
            <w:r w:rsidR="00FF3003">
              <w:rPr>
                <w:noProof/>
                <w:webHidden/>
              </w:rPr>
              <w:fldChar w:fldCharType="begin"/>
            </w:r>
            <w:r w:rsidR="00FF3003">
              <w:rPr>
                <w:noProof/>
                <w:webHidden/>
              </w:rPr>
              <w:instrText xml:space="preserve"> PAGEREF _Toc522728066 \h </w:instrText>
            </w:r>
            <w:r w:rsidR="00FF3003">
              <w:rPr>
                <w:noProof/>
                <w:webHidden/>
              </w:rPr>
            </w:r>
            <w:r w:rsidR="00FF3003">
              <w:rPr>
                <w:noProof/>
                <w:webHidden/>
              </w:rPr>
              <w:fldChar w:fldCharType="separate"/>
            </w:r>
            <w:r w:rsidR="00843659">
              <w:rPr>
                <w:noProof/>
                <w:webHidden/>
              </w:rPr>
              <w:t>1</w:t>
            </w:r>
            <w:r w:rsidR="00FF3003">
              <w:rPr>
                <w:noProof/>
                <w:webHidden/>
              </w:rPr>
              <w:fldChar w:fldCharType="end"/>
            </w:r>
          </w:hyperlink>
        </w:p>
        <w:p w14:paraId="44CB9C45" w14:textId="24389E76" w:rsidR="00FF3003" w:rsidRDefault="00F1350C">
          <w:pPr>
            <w:pStyle w:val="Verzeichnis2"/>
            <w:tabs>
              <w:tab w:val="right" w:leader="dot" w:pos="9016"/>
            </w:tabs>
            <w:rPr>
              <w:rFonts w:asciiTheme="minorHAnsi" w:eastAsiaTheme="minorEastAsia" w:hAnsiTheme="minorHAnsi"/>
              <w:noProof/>
              <w:sz w:val="22"/>
              <w:lang w:eastAsia="en-GB"/>
            </w:rPr>
          </w:pPr>
          <w:hyperlink w:anchor="_Toc522728067" w:history="1">
            <w:r w:rsidR="00FF3003" w:rsidRPr="00442F3A">
              <w:rPr>
                <w:rStyle w:val="Hyperlink"/>
                <w:noProof/>
              </w:rPr>
              <w:t>Cloning and purification of plasmids – Primer templates.</w:t>
            </w:r>
            <w:r w:rsidR="00FF3003">
              <w:rPr>
                <w:noProof/>
                <w:webHidden/>
              </w:rPr>
              <w:tab/>
            </w:r>
            <w:r w:rsidR="00FF3003">
              <w:rPr>
                <w:noProof/>
                <w:webHidden/>
              </w:rPr>
              <w:fldChar w:fldCharType="begin"/>
            </w:r>
            <w:r w:rsidR="00FF3003">
              <w:rPr>
                <w:noProof/>
                <w:webHidden/>
              </w:rPr>
              <w:instrText xml:space="preserve"> PAGEREF _Toc522728067 \h </w:instrText>
            </w:r>
            <w:r w:rsidR="00FF3003">
              <w:rPr>
                <w:noProof/>
                <w:webHidden/>
              </w:rPr>
            </w:r>
            <w:r w:rsidR="00FF3003">
              <w:rPr>
                <w:noProof/>
                <w:webHidden/>
              </w:rPr>
              <w:fldChar w:fldCharType="separate"/>
            </w:r>
            <w:r w:rsidR="00843659">
              <w:rPr>
                <w:noProof/>
                <w:webHidden/>
              </w:rPr>
              <w:t>1</w:t>
            </w:r>
            <w:r w:rsidR="00FF3003">
              <w:rPr>
                <w:noProof/>
                <w:webHidden/>
              </w:rPr>
              <w:fldChar w:fldCharType="end"/>
            </w:r>
          </w:hyperlink>
        </w:p>
        <w:p w14:paraId="5236DF14" w14:textId="19226E9D" w:rsidR="00FF3003" w:rsidRDefault="00F1350C">
          <w:pPr>
            <w:pStyle w:val="Verzeichnis2"/>
            <w:tabs>
              <w:tab w:val="right" w:leader="dot" w:pos="9016"/>
            </w:tabs>
            <w:rPr>
              <w:rFonts w:asciiTheme="minorHAnsi" w:eastAsiaTheme="minorEastAsia" w:hAnsiTheme="minorHAnsi"/>
              <w:noProof/>
              <w:sz w:val="22"/>
              <w:lang w:eastAsia="en-GB"/>
            </w:rPr>
          </w:pPr>
          <w:hyperlink w:anchor="_Toc522728068" w:history="1">
            <w:r w:rsidR="00FF3003" w:rsidRPr="00442F3A">
              <w:rPr>
                <w:rStyle w:val="Hyperlink"/>
                <w:noProof/>
              </w:rPr>
              <w:t>Cloning and purification of plasmids - PCR cycle program for the amplification of the VDAC-encoding gene.</w:t>
            </w:r>
            <w:r w:rsidR="00FF3003">
              <w:rPr>
                <w:noProof/>
                <w:webHidden/>
              </w:rPr>
              <w:tab/>
            </w:r>
            <w:r w:rsidR="00FF3003">
              <w:rPr>
                <w:noProof/>
                <w:webHidden/>
              </w:rPr>
              <w:fldChar w:fldCharType="begin"/>
            </w:r>
            <w:r w:rsidR="00FF3003">
              <w:rPr>
                <w:noProof/>
                <w:webHidden/>
              </w:rPr>
              <w:instrText xml:space="preserve"> PAGEREF _Toc522728068 \h </w:instrText>
            </w:r>
            <w:r w:rsidR="00FF3003">
              <w:rPr>
                <w:noProof/>
                <w:webHidden/>
              </w:rPr>
            </w:r>
            <w:r w:rsidR="00FF3003">
              <w:rPr>
                <w:noProof/>
                <w:webHidden/>
              </w:rPr>
              <w:fldChar w:fldCharType="separate"/>
            </w:r>
            <w:r w:rsidR="00843659">
              <w:rPr>
                <w:noProof/>
                <w:webHidden/>
              </w:rPr>
              <w:t>2</w:t>
            </w:r>
            <w:r w:rsidR="00FF3003">
              <w:rPr>
                <w:noProof/>
                <w:webHidden/>
              </w:rPr>
              <w:fldChar w:fldCharType="end"/>
            </w:r>
          </w:hyperlink>
        </w:p>
        <w:p w14:paraId="1E18DE34" w14:textId="143A5FB3" w:rsidR="00FF3003" w:rsidRDefault="00F1350C">
          <w:pPr>
            <w:pStyle w:val="Verzeichnis2"/>
            <w:tabs>
              <w:tab w:val="right" w:leader="dot" w:pos="9016"/>
            </w:tabs>
            <w:rPr>
              <w:rFonts w:asciiTheme="minorHAnsi" w:eastAsiaTheme="minorEastAsia" w:hAnsiTheme="minorHAnsi"/>
              <w:noProof/>
              <w:sz w:val="22"/>
              <w:lang w:eastAsia="en-GB"/>
            </w:rPr>
          </w:pPr>
          <w:hyperlink w:anchor="_Toc522728069" w:history="1">
            <w:r w:rsidR="00FF3003" w:rsidRPr="00442F3A">
              <w:rPr>
                <w:rStyle w:val="Hyperlink"/>
                <w:noProof/>
              </w:rPr>
              <w:t>RNA detection and quantitative PCR (qPCR) – RNA isolation, qPCR experimental conditions.</w:t>
            </w:r>
            <w:r w:rsidR="00FF3003">
              <w:rPr>
                <w:noProof/>
                <w:webHidden/>
              </w:rPr>
              <w:tab/>
            </w:r>
            <w:r w:rsidR="00FF3003">
              <w:rPr>
                <w:noProof/>
                <w:webHidden/>
              </w:rPr>
              <w:fldChar w:fldCharType="begin"/>
            </w:r>
            <w:r w:rsidR="00FF3003">
              <w:rPr>
                <w:noProof/>
                <w:webHidden/>
              </w:rPr>
              <w:instrText xml:space="preserve"> PAGEREF _Toc522728069 \h </w:instrText>
            </w:r>
            <w:r w:rsidR="00FF3003">
              <w:rPr>
                <w:noProof/>
                <w:webHidden/>
              </w:rPr>
            </w:r>
            <w:r w:rsidR="00FF3003">
              <w:rPr>
                <w:noProof/>
                <w:webHidden/>
              </w:rPr>
              <w:fldChar w:fldCharType="separate"/>
            </w:r>
            <w:r w:rsidR="00843659">
              <w:rPr>
                <w:noProof/>
                <w:webHidden/>
              </w:rPr>
              <w:t>2</w:t>
            </w:r>
            <w:r w:rsidR="00FF3003">
              <w:rPr>
                <w:noProof/>
                <w:webHidden/>
              </w:rPr>
              <w:fldChar w:fldCharType="end"/>
            </w:r>
          </w:hyperlink>
        </w:p>
        <w:p w14:paraId="3B1145DC" w14:textId="33E9ADEC" w:rsidR="00FF3003" w:rsidRDefault="00F1350C">
          <w:pPr>
            <w:pStyle w:val="Verzeichnis2"/>
            <w:tabs>
              <w:tab w:val="right" w:leader="dot" w:pos="9016"/>
            </w:tabs>
            <w:rPr>
              <w:rFonts w:asciiTheme="minorHAnsi" w:eastAsiaTheme="minorEastAsia" w:hAnsiTheme="minorHAnsi"/>
              <w:noProof/>
              <w:sz w:val="22"/>
              <w:lang w:eastAsia="en-GB"/>
            </w:rPr>
          </w:pPr>
          <w:hyperlink w:anchor="_Toc522728070" w:history="1">
            <w:r w:rsidR="00FF3003" w:rsidRPr="00442F3A">
              <w:rPr>
                <w:rStyle w:val="Hyperlink"/>
                <w:noProof/>
              </w:rPr>
              <w:t>Matrix-Assisted Laser Desorption Ionization - Time-of-Flight Mass Spectrometry (MALDI-TOF MS) and MS/MS.</w:t>
            </w:r>
            <w:r w:rsidR="00FF3003">
              <w:rPr>
                <w:noProof/>
                <w:webHidden/>
              </w:rPr>
              <w:tab/>
            </w:r>
            <w:r w:rsidR="00FF3003">
              <w:rPr>
                <w:noProof/>
                <w:webHidden/>
              </w:rPr>
              <w:fldChar w:fldCharType="begin"/>
            </w:r>
            <w:r w:rsidR="00FF3003">
              <w:rPr>
                <w:noProof/>
                <w:webHidden/>
              </w:rPr>
              <w:instrText xml:space="preserve"> PAGEREF _Toc522728070 \h </w:instrText>
            </w:r>
            <w:r w:rsidR="00FF3003">
              <w:rPr>
                <w:noProof/>
                <w:webHidden/>
              </w:rPr>
            </w:r>
            <w:r w:rsidR="00FF3003">
              <w:rPr>
                <w:noProof/>
                <w:webHidden/>
              </w:rPr>
              <w:fldChar w:fldCharType="separate"/>
            </w:r>
            <w:r w:rsidR="00843659">
              <w:rPr>
                <w:noProof/>
                <w:webHidden/>
              </w:rPr>
              <w:t>2</w:t>
            </w:r>
            <w:r w:rsidR="00FF3003">
              <w:rPr>
                <w:noProof/>
                <w:webHidden/>
              </w:rPr>
              <w:fldChar w:fldCharType="end"/>
            </w:r>
          </w:hyperlink>
        </w:p>
        <w:p w14:paraId="20B1E204" w14:textId="7A7EF18D" w:rsidR="00FF3003" w:rsidRDefault="00F1350C">
          <w:pPr>
            <w:pStyle w:val="Verzeichnis2"/>
            <w:tabs>
              <w:tab w:val="right" w:leader="dot" w:pos="9016"/>
            </w:tabs>
            <w:rPr>
              <w:rFonts w:asciiTheme="minorHAnsi" w:eastAsiaTheme="minorEastAsia" w:hAnsiTheme="minorHAnsi"/>
              <w:noProof/>
              <w:sz w:val="22"/>
              <w:lang w:eastAsia="en-GB"/>
            </w:rPr>
          </w:pPr>
          <w:hyperlink w:anchor="_Toc522728071" w:history="1">
            <w:r w:rsidR="00FF3003" w:rsidRPr="00442F3A">
              <w:rPr>
                <w:rStyle w:val="Hyperlink"/>
                <w:noProof/>
              </w:rPr>
              <w:t>MALDI-TOF MS and MS/MS – Protein purification, sample preparation.</w:t>
            </w:r>
            <w:r w:rsidR="00FF3003">
              <w:rPr>
                <w:noProof/>
                <w:webHidden/>
              </w:rPr>
              <w:tab/>
            </w:r>
            <w:r w:rsidR="00FF3003">
              <w:rPr>
                <w:noProof/>
                <w:webHidden/>
              </w:rPr>
              <w:fldChar w:fldCharType="begin"/>
            </w:r>
            <w:r w:rsidR="00FF3003">
              <w:rPr>
                <w:noProof/>
                <w:webHidden/>
              </w:rPr>
              <w:instrText xml:space="preserve"> PAGEREF _Toc522728071 \h </w:instrText>
            </w:r>
            <w:r w:rsidR="00FF3003">
              <w:rPr>
                <w:noProof/>
                <w:webHidden/>
              </w:rPr>
            </w:r>
            <w:r w:rsidR="00FF3003">
              <w:rPr>
                <w:noProof/>
                <w:webHidden/>
              </w:rPr>
              <w:fldChar w:fldCharType="separate"/>
            </w:r>
            <w:r w:rsidR="00843659">
              <w:rPr>
                <w:noProof/>
                <w:webHidden/>
              </w:rPr>
              <w:t>3</w:t>
            </w:r>
            <w:r w:rsidR="00FF3003">
              <w:rPr>
                <w:noProof/>
                <w:webHidden/>
              </w:rPr>
              <w:fldChar w:fldCharType="end"/>
            </w:r>
          </w:hyperlink>
        </w:p>
        <w:p w14:paraId="633865CE" w14:textId="39C55702" w:rsidR="00FF3003" w:rsidRDefault="00F1350C">
          <w:pPr>
            <w:pStyle w:val="Verzeichnis2"/>
            <w:tabs>
              <w:tab w:val="right" w:leader="dot" w:pos="9016"/>
            </w:tabs>
            <w:rPr>
              <w:rFonts w:asciiTheme="minorHAnsi" w:eastAsiaTheme="minorEastAsia" w:hAnsiTheme="minorHAnsi"/>
              <w:noProof/>
              <w:sz w:val="22"/>
              <w:lang w:eastAsia="en-GB"/>
            </w:rPr>
          </w:pPr>
          <w:hyperlink w:anchor="_Toc522728072" w:history="1">
            <w:r w:rsidR="00FF3003" w:rsidRPr="00442F3A">
              <w:rPr>
                <w:rStyle w:val="Hyperlink"/>
                <w:noProof/>
              </w:rPr>
              <w:t>In-cell expression of VDAC proteins</w:t>
            </w:r>
            <w:r w:rsidR="00FF3003">
              <w:rPr>
                <w:noProof/>
                <w:webHidden/>
              </w:rPr>
              <w:tab/>
            </w:r>
            <w:r w:rsidR="00FF3003">
              <w:rPr>
                <w:noProof/>
                <w:webHidden/>
              </w:rPr>
              <w:fldChar w:fldCharType="begin"/>
            </w:r>
            <w:r w:rsidR="00FF3003">
              <w:rPr>
                <w:noProof/>
                <w:webHidden/>
              </w:rPr>
              <w:instrText xml:space="preserve"> PAGEREF _Toc522728072 \h </w:instrText>
            </w:r>
            <w:r w:rsidR="00FF3003">
              <w:rPr>
                <w:noProof/>
                <w:webHidden/>
              </w:rPr>
            </w:r>
            <w:r w:rsidR="00FF3003">
              <w:rPr>
                <w:noProof/>
                <w:webHidden/>
              </w:rPr>
              <w:fldChar w:fldCharType="separate"/>
            </w:r>
            <w:r w:rsidR="00843659">
              <w:rPr>
                <w:noProof/>
                <w:webHidden/>
              </w:rPr>
              <w:t>3</w:t>
            </w:r>
            <w:r w:rsidR="00FF3003">
              <w:rPr>
                <w:noProof/>
                <w:webHidden/>
              </w:rPr>
              <w:fldChar w:fldCharType="end"/>
            </w:r>
          </w:hyperlink>
        </w:p>
        <w:p w14:paraId="05A66C14" w14:textId="55165340" w:rsidR="00FF3003" w:rsidRDefault="00F1350C">
          <w:pPr>
            <w:pStyle w:val="Verzeichnis2"/>
            <w:tabs>
              <w:tab w:val="right" w:leader="dot" w:pos="9016"/>
            </w:tabs>
            <w:rPr>
              <w:rFonts w:asciiTheme="minorHAnsi" w:eastAsiaTheme="minorEastAsia" w:hAnsiTheme="minorHAnsi"/>
              <w:noProof/>
              <w:sz w:val="22"/>
              <w:lang w:eastAsia="en-GB"/>
            </w:rPr>
          </w:pPr>
          <w:hyperlink w:anchor="_Toc522728073" w:history="1">
            <w:r w:rsidR="00FF3003" w:rsidRPr="00442F3A">
              <w:rPr>
                <w:rStyle w:val="Hyperlink"/>
                <w:noProof/>
              </w:rPr>
              <w:t>Simulated annealing and construct optimization</w:t>
            </w:r>
            <w:r w:rsidR="00FF3003">
              <w:rPr>
                <w:noProof/>
                <w:webHidden/>
              </w:rPr>
              <w:tab/>
            </w:r>
            <w:r w:rsidR="00FF3003">
              <w:rPr>
                <w:noProof/>
                <w:webHidden/>
              </w:rPr>
              <w:fldChar w:fldCharType="begin"/>
            </w:r>
            <w:r w:rsidR="00FF3003">
              <w:rPr>
                <w:noProof/>
                <w:webHidden/>
              </w:rPr>
              <w:instrText xml:space="preserve"> PAGEREF _Toc522728073 \h </w:instrText>
            </w:r>
            <w:r w:rsidR="00FF3003">
              <w:rPr>
                <w:noProof/>
                <w:webHidden/>
              </w:rPr>
            </w:r>
            <w:r w:rsidR="00FF3003">
              <w:rPr>
                <w:noProof/>
                <w:webHidden/>
              </w:rPr>
              <w:fldChar w:fldCharType="separate"/>
            </w:r>
            <w:r w:rsidR="00843659">
              <w:rPr>
                <w:noProof/>
                <w:webHidden/>
              </w:rPr>
              <w:t>4</w:t>
            </w:r>
            <w:r w:rsidR="00FF3003">
              <w:rPr>
                <w:noProof/>
                <w:webHidden/>
              </w:rPr>
              <w:fldChar w:fldCharType="end"/>
            </w:r>
          </w:hyperlink>
        </w:p>
        <w:p w14:paraId="5C8CDF61" w14:textId="7C9AC9BC" w:rsidR="00FF3003" w:rsidRDefault="00F1350C">
          <w:pPr>
            <w:pStyle w:val="Verzeichnis2"/>
            <w:tabs>
              <w:tab w:val="right" w:leader="dot" w:pos="9016"/>
            </w:tabs>
            <w:rPr>
              <w:rFonts w:asciiTheme="minorHAnsi" w:eastAsiaTheme="minorEastAsia" w:hAnsiTheme="minorHAnsi"/>
              <w:noProof/>
              <w:sz w:val="22"/>
              <w:lang w:eastAsia="en-GB"/>
            </w:rPr>
          </w:pPr>
          <w:hyperlink w:anchor="_Toc522728074" w:history="1">
            <w:r w:rsidR="00FF3003" w:rsidRPr="00442F3A">
              <w:rPr>
                <w:rStyle w:val="Hyperlink"/>
                <w:noProof/>
              </w:rPr>
              <w:t>Calculation of accessibility profiles for single constructs and sets of constructs (</w:t>
            </w:r>
            <w:r w:rsidR="00FF3003" w:rsidRPr="00442F3A">
              <w:rPr>
                <w:rStyle w:val="Hyperlink"/>
                <w:noProof/>
              </w:rPr>
              <w:sym w:font="Symbol" w:char="F044"/>
            </w:r>
            <w:r w:rsidR="00FF3003" w:rsidRPr="00442F3A">
              <w:rPr>
                <w:rStyle w:val="Hyperlink"/>
                <w:noProof/>
              </w:rPr>
              <w:t>E</w:t>
            </w:r>
            <w:r w:rsidR="00FF3003" w:rsidRPr="00442F3A">
              <w:rPr>
                <w:rStyle w:val="Hyperlink"/>
                <w:noProof/>
                <w:vertAlign w:val="subscript"/>
              </w:rPr>
              <w:t xml:space="preserve">open </w:t>
            </w:r>
            <w:r w:rsidR="00FF3003" w:rsidRPr="00442F3A">
              <w:rPr>
                <w:rStyle w:val="Hyperlink"/>
                <w:noProof/>
              </w:rPr>
              <w:t>(i))</w:t>
            </w:r>
            <w:r w:rsidR="00FF3003">
              <w:rPr>
                <w:noProof/>
                <w:webHidden/>
              </w:rPr>
              <w:tab/>
            </w:r>
            <w:r w:rsidR="00FF3003">
              <w:rPr>
                <w:noProof/>
                <w:webHidden/>
              </w:rPr>
              <w:fldChar w:fldCharType="begin"/>
            </w:r>
            <w:r w:rsidR="00FF3003">
              <w:rPr>
                <w:noProof/>
                <w:webHidden/>
              </w:rPr>
              <w:instrText xml:space="preserve"> PAGEREF _Toc522728074 \h </w:instrText>
            </w:r>
            <w:r w:rsidR="00FF3003">
              <w:rPr>
                <w:noProof/>
                <w:webHidden/>
              </w:rPr>
            </w:r>
            <w:r w:rsidR="00FF3003">
              <w:rPr>
                <w:noProof/>
                <w:webHidden/>
              </w:rPr>
              <w:fldChar w:fldCharType="separate"/>
            </w:r>
            <w:r w:rsidR="00843659">
              <w:rPr>
                <w:noProof/>
                <w:webHidden/>
              </w:rPr>
              <w:t>4</w:t>
            </w:r>
            <w:r w:rsidR="00FF3003">
              <w:rPr>
                <w:noProof/>
                <w:webHidden/>
              </w:rPr>
              <w:fldChar w:fldCharType="end"/>
            </w:r>
          </w:hyperlink>
        </w:p>
        <w:p w14:paraId="23627B36" w14:textId="24F1F6A2" w:rsidR="00FF3003" w:rsidRDefault="00F1350C">
          <w:pPr>
            <w:pStyle w:val="Verzeichnis1"/>
            <w:tabs>
              <w:tab w:val="right" w:leader="dot" w:pos="9016"/>
            </w:tabs>
            <w:rPr>
              <w:rFonts w:asciiTheme="minorHAnsi" w:eastAsiaTheme="minorEastAsia" w:hAnsiTheme="minorHAnsi"/>
              <w:noProof/>
              <w:sz w:val="22"/>
              <w:lang w:eastAsia="en-GB"/>
            </w:rPr>
          </w:pPr>
          <w:hyperlink w:anchor="_Toc522728075" w:history="1">
            <w:r w:rsidR="00FF3003" w:rsidRPr="00442F3A">
              <w:rPr>
                <w:rStyle w:val="Hyperlink"/>
                <w:noProof/>
              </w:rPr>
              <w:t>Results</w:t>
            </w:r>
            <w:r w:rsidR="00FF3003">
              <w:rPr>
                <w:noProof/>
                <w:webHidden/>
              </w:rPr>
              <w:tab/>
            </w:r>
            <w:r w:rsidR="00FF3003">
              <w:rPr>
                <w:noProof/>
                <w:webHidden/>
              </w:rPr>
              <w:fldChar w:fldCharType="begin"/>
            </w:r>
            <w:r w:rsidR="00FF3003">
              <w:rPr>
                <w:noProof/>
                <w:webHidden/>
              </w:rPr>
              <w:instrText xml:space="preserve"> PAGEREF _Toc522728075 \h </w:instrText>
            </w:r>
            <w:r w:rsidR="00FF3003">
              <w:rPr>
                <w:noProof/>
                <w:webHidden/>
              </w:rPr>
            </w:r>
            <w:r w:rsidR="00FF3003">
              <w:rPr>
                <w:noProof/>
                <w:webHidden/>
              </w:rPr>
              <w:fldChar w:fldCharType="separate"/>
            </w:r>
            <w:r w:rsidR="00843659">
              <w:rPr>
                <w:noProof/>
                <w:webHidden/>
              </w:rPr>
              <w:t>5</w:t>
            </w:r>
            <w:r w:rsidR="00FF3003">
              <w:rPr>
                <w:noProof/>
                <w:webHidden/>
              </w:rPr>
              <w:fldChar w:fldCharType="end"/>
            </w:r>
          </w:hyperlink>
        </w:p>
        <w:p w14:paraId="141D7A78" w14:textId="265E5C1C" w:rsidR="00FF3003" w:rsidRDefault="00F1350C">
          <w:pPr>
            <w:pStyle w:val="Verzeichnis2"/>
            <w:tabs>
              <w:tab w:val="right" w:leader="dot" w:pos="9016"/>
            </w:tabs>
            <w:rPr>
              <w:rFonts w:asciiTheme="minorHAnsi" w:eastAsiaTheme="minorEastAsia" w:hAnsiTheme="minorHAnsi"/>
              <w:noProof/>
              <w:sz w:val="22"/>
              <w:lang w:eastAsia="en-GB"/>
            </w:rPr>
          </w:pPr>
          <w:hyperlink w:anchor="_Toc522728076" w:history="1">
            <w:r w:rsidR="00FF3003" w:rsidRPr="00442F3A">
              <w:rPr>
                <w:rStyle w:val="Hyperlink"/>
                <w:noProof/>
              </w:rPr>
              <w:t>MALDI-TOF MS and MS/MS</w:t>
            </w:r>
            <w:r w:rsidR="00FF3003">
              <w:rPr>
                <w:noProof/>
                <w:webHidden/>
              </w:rPr>
              <w:tab/>
            </w:r>
            <w:r w:rsidR="00FF3003">
              <w:rPr>
                <w:noProof/>
                <w:webHidden/>
              </w:rPr>
              <w:fldChar w:fldCharType="begin"/>
            </w:r>
            <w:r w:rsidR="00FF3003">
              <w:rPr>
                <w:noProof/>
                <w:webHidden/>
              </w:rPr>
              <w:instrText xml:space="preserve"> PAGEREF _Toc522728076 \h </w:instrText>
            </w:r>
            <w:r w:rsidR="00FF3003">
              <w:rPr>
                <w:noProof/>
                <w:webHidden/>
              </w:rPr>
            </w:r>
            <w:r w:rsidR="00FF3003">
              <w:rPr>
                <w:noProof/>
                <w:webHidden/>
              </w:rPr>
              <w:fldChar w:fldCharType="separate"/>
            </w:r>
            <w:r w:rsidR="00843659">
              <w:rPr>
                <w:noProof/>
                <w:webHidden/>
              </w:rPr>
              <w:t>5</w:t>
            </w:r>
            <w:r w:rsidR="00FF3003">
              <w:rPr>
                <w:noProof/>
                <w:webHidden/>
              </w:rPr>
              <w:fldChar w:fldCharType="end"/>
            </w:r>
          </w:hyperlink>
        </w:p>
        <w:p w14:paraId="49F01BBE" w14:textId="6065DDAE" w:rsidR="00FF3003" w:rsidRDefault="00F1350C">
          <w:pPr>
            <w:pStyle w:val="Verzeichnis2"/>
            <w:tabs>
              <w:tab w:val="right" w:leader="dot" w:pos="9016"/>
            </w:tabs>
            <w:rPr>
              <w:rFonts w:asciiTheme="minorHAnsi" w:eastAsiaTheme="minorEastAsia" w:hAnsiTheme="minorHAnsi"/>
              <w:noProof/>
              <w:sz w:val="22"/>
              <w:lang w:eastAsia="en-GB"/>
            </w:rPr>
          </w:pPr>
          <w:hyperlink w:anchor="_Toc522728077" w:history="1">
            <w:r w:rsidR="00FF3003" w:rsidRPr="00442F3A">
              <w:rPr>
                <w:rStyle w:val="Hyperlink"/>
                <w:noProof/>
              </w:rPr>
              <w:t>In-cell expression of VDAC protein</w:t>
            </w:r>
            <w:r w:rsidR="00FF3003">
              <w:rPr>
                <w:noProof/>
                <w:webHidden/>
              </w:rPr>
              <w:tab/>
            </w:r>
            <w:r w:rsidR="00FF3003">
              <w:rPr>
                <w:noProof/>
                <w:webHidden/>
              </w:rPr>
              <w:fldChar w:fldCharType="begin"/>
            </w:r>
            <w:r w:rsidR="00FF3003">
              <w:rPr>
                <w:noProof/>
                <w:webHidden/>
              </w:rPr>
              <w:instrText xml:space="preserve"> PAGEREF _Toc522728077 \h </w:instrText>
            </w:r>
            <w:r w:rsidR="00FF3003">
              <w:rPr>
                <w:noProof/>
                <w:webHidden/>
              </w:rPr>
            </w:r>
            <w:r w:rsidR="00FF3003">
              <w:rPr>
                <w:noProof/>
                <w:webHidden/>
              </w:rPr>
              <w:fldChar w:fldCharType="separate"/>
            </w:r>
            <w:r w:rsidR="00843659">
              <w:rPr>
                <w:noProof/>
                <w:webHidden/>
              </w:rPr>
              <w:t>6</w:t>
            </w:r>
            <w:r w:rsidR="00FF3003">
              <w:rPr>
                <w:noProof/>
                <w:webHidden/>
              </w:rPr>
              <w:fldChar w:fldCharType="end"/>
            </w:r>
          </w:hyperlink>
        </w:p>
        <w:p w14:paraId="1B65332C" w14:textId="0BC5A5E0" w:rsidR="00FF3003" w:rsidRDefault="00F1350C">
          <w:pPr>
            <w:pStyle w:val="Verzeichnis2"/>
            <w:tabs>
              <w:tab w:val="right" w:leader="dot" w:pos="9016"/>
            </w:tabs>
            <w:rPr>
              <w:rFonts w:asciiTheme="minorHAnsi" w:eastAsiaTheme="minorEastAsia" w:hAnsiTheme="minorHAnsi"/>
              <w:noProof/>
              <w:sz w:val="22"/>
              <w:lang w:eastAsia="en-GB"/>
            </w:rPr>
          </w:pPr>
          <w:hyperlink w:anchor="_Toc522728078" w:history="1">
            <w:r w:rsidR="00FF3003" w:rsidRPr="00442F3A">
              <w:rPr>
                <w:rStyle w:val="Hyperlink"/>
                <w:noProof/>
              </w:rPr>
              <w:t>Coomassie and Western Blots – VDAC-I and VDAC-II</w:t>
            </w:r>
            <w:r w:rsidR="00FF3003">
              <w:rPr>
                <w:noProof/>
                <w:webHidden/>
              </w:rPr>
              <w:tab/>
            </w:r>
            <w:r w:rsidR="00FF3003">
              <w:rPr>
                <w:noProof/>
                <w:webHidden/>
              </w:rPr>
              <w:fldChar w:fldCharType="begin"/>
            </w:r>
            <w:r w:rsidR="00FF3003">
              <w:rPr>
                <w:noProof/>
                <w:webHidden/>
              </w:rPr>
              <w:instrText xml:space="preserve"> PAGEREF _Toc522728078 \h </w:instrText>
            </w:r>
            <w:r w:rsidR="00FF3003">
              <w:rPr>
                <w:noProof/>
                <w:webHidden/>
              </w:rPr>
            </w:r>
            <w:r w:rsidR="00FF3003">
              <w:rPr>
                <w:noProof/>
                <w:webHidden/>
              </w:rPr>
              <w:fldChar w:fldCharType="separate"/>
            </w:r>
            <w:r w:rsidR="00843659">
              <w:rPr>
                <w:noProof/>
                <w:webHidden/>
              </w:rPr>
              <w:t>7</w:t>
            </w:r>
            <w:r w:rsidR="00FF3003">
              <w:rPr>
                <w:noProof/>
                <w:webHidden/>
              </w:rPr>
              <w:fldChar w:fldCharType="end"/>
            </w:r>
          </w:hyperlink>
        </w:p>
        <w:p w14:paraId="1468EF16" w14:textId="1B7010C0" w:rsidR="00FF3003" w:rsidRDefault="00F1350C">
          <w:pPr>
            <w:pStyle w:val="Verzeichnis2"/>
            <w:tabs>
              <w:tab w:val="right" w:leader="dot" w:pos="9016"/>
            </w:tabs>
            <w:rPr>
              <w:rFonts w:asciiTheme="minorHAnsi" w:eastAsiaTheme="minorEastAsia" w:hAnsiTheme="minorHAnsi"/>
              <w:noProof/>
              <w:sz w:val="22"/>
              <w:lang w:eastAsia="en-GB"/>
            </w:rPr>
          </w:pPr>
          <w:hyperlink w:anchor="_Toc522728079" w:history="1">
            <w:r w:rsidR="00FF3003" w:rsidRPr="00442F3A">
              <w:rPr>
                <w:rStyle w:val="Hyperlink"/>
                <w:noProof/>
              </w:rPr>
              <w:t>SDS-page and Western Blot – bands at lower Mw</w:t>
            </w:r>
            <w:r w:rsidR="00FF3003">
              <w:rPr>
                <w:noProof/>
                <w:webHidden/>
              </w:rPr>
              <w:tab/>
            </w:r>
            <w:r w:rsidR="00FF3003">
              <w:rPr>
                <w:noProof/>
                <w:webHidden/>
              </w:rPr>
              <w:fldChar w:fldCharType="begin"/>
            </w:r>
            <w:r w:rsidR="00FF3003">
              <w:rPr>
                <w:noProof/>
                <w:webHidden/>
              </w:rPr>
              <w:instrText xml:space="preserve"> PAGEREF _Toc522728079 \h </w:instrText>
            </w:r>
            <w:r w:rsidR="00FF3003">
              <w:rPr>
                <w:noProof/>
                <w:webHidden/>
              </w:rPr>
            </w:r>
            <w:r w:rsidR="00FF3003">
              <w:rPr>
                <w:noProof/>
                <w:webHidden/>
              </w:rPr>
              <w:fldChar w:fldCharType="separate"/>
            </w:r>
            <w:r w:rsidR="00843659">
              <w:rPr>
                <w:noProof/>
                <w:webHidden/>
              </w:rPr>
              <w:t>8</w:t>
            </w:r>
            <w:r w:rsidR="00FF3003">
              <w:rPr>
                <w:noProof/>
                <w:webHidden/>
              </w:rPr>
              <w:fldChar w:fldCharType="end"/>
            </w:r>
          </w:hyperlink>
        </w:p>
        <w:p w14:paraId="18A8D924" w14:textId="5BC5DB41" w:rsidR="00FF3003" w:rsidRDefault="00F1350C">
          <w:pPr>
            <w:pStyle w:val="Verzeichnis2"/>
            <w:tabs>
              <w:tab w:val="right" w:leader="dot" w:pos="9016"/>
            </w:tabs>
            <w:rPr>
              <w:rFonts w:asciiTheme="minorHAnsi" w:eastAsiaTheme="minorEastAsia" w:hAnsiTheme="minorHAnsi"/>
              <w:noProof/>
              <w:sz w:val="22"/>
              <w:lang w:eastAsia="en-GB"/>
            </w:rPr>
          </w:pPr>
          <w:hyperlink w:anchor="_Toc522728080" w:history="1">
            <w:r w:rsidR="00FF3003" w:rsidRPr="00442F3A">
              <w:rPr>
                <w:rStyle w:val="Hyperlink"/>
                <w:noProof/>
              </w:rPr>
              <w:t>Accessibility profiles (</w:t>
            </w:r>
            <w:r w:rsidR="00FF3003" w:rsidRPr="00442F3A">
              <w:rPr>
                <w:rStyle w:val="Hyperlink"/>
                <w:noProof/>
              </w:rPr>
              <w:sym w:font="Symbol" w:char="F044"/>
            </w:r>
            <w:r w:rsidR="00FF3003" w:rsidRPr="00442F3A">
              <w:rPr>
                <w:rStyle w:val="Hyperlink"/>
                <w:noProof/>
              </w:rPr>
              <w:t>E</w:t>
            </w:r>
            <w:r w:rsidR="00FF3003" w:rsidRPr="00442F3A">
              <w:rPr>
                <w:rStyle w:val="Hyperlink"/>
                <w:noProof/>
                <w:vertAlign w:val="subscript"/>
              </w:rPr>
              <w:t xml:space="preserve">open </w:t>
            </w:r>
            <w:r w:rsidR="00FF3003" w:rsidRPr="00442F3A">
              <w:rPr>
                <w:rStyle w:val="Hyperlink"/>
                <w:noProof/>
              </w:rPr>
              <w:t>(i)) – H. sapiens and E. coli transcripts</w:t>
            </w:r>
            <w:r w:rsidR="00FF3003">
              <w:rPr>
                <w:noProof/>
                <w:webHidden/>
              </w:rPr>
              <w:tab/>
            </w:r>
            <w:r w:rsidR="00FF3003">
              <w:rPr>
                <w:noProof/>
                <w:webHidden/>
              </w:rPr>
              <w:fldChar w:fldCharType="begin"/>
            </w:r>
            <w:r w:rsidR="00FF3003">
              <w:rPr>
                <w:noProof/>
                <w:webHidden/>
              </w:rPr>
              <w:instrText xml:space="preserve"> PAGEREF _Toc522728080 \h </w:instrText>
            </w:r>
            <w:r w:rsidR="00FF3003">
              <w:rPr>
                <w:noProof/>
                <w:webHidden/>
              </w:rPr>
            </w:r>
            <w:r w:rsidR="00FF3003">
              <w:rPr>
                <w:noProof/>
                <w:webHidden/>
              </w:rPr>
              <w:fldChar w:fldCharType="separate"/>
            </w:r>
            <w:r w:rsidR="00843659">
              <w:rPr>
                <w:noProof/>
                <w:webHidden/>
              </w:rPr>
              <w:t>9</w:t>
            </w:r>
            <w:r w:rsidR="00FF3003">
              <w:rPr>
                <w:noProof/>
                <w:webHidden/>
              </w:rPr>
              <w:fldChar w:fldCharType="end"/>
            </w:r>
          </w:hyperlink>
        </w:p>
        <w:p w14:paraId="4DBB7954" w14:textId="019BA92F" w:rsidR="00BC1CB3" w:rsidRDefault="00BC1CB3">
          <w:r>
            <w:rPr>
              <w:b/>
              <w:bCs/>
              <w:noProof/>
            </w:rPr>
            <w:fldChar w:fldCharType="end"/>
          </w:r>
        </w:p>
      </w:sdtContent>
    </w:sdt>
    <w:p w14:paraId="2C2A6EDF" w14:textId="77777777" w:rsidR="000F6502" w:rsidRPr="00F05F1A" w:rsidRDefault="000F6502" w:rsidP="00BC1CB3">
      <w:pPr>
        <w:pStyle w:val="berschrift1"/>
      </w:pPr>
      <w:bookmarkStart w:id="0" w:name="_Toc522728066"/>
      <w:r w:rsidRPr="00F05F1A">
        <w:t>Experimental Details</w:t>
      </w:r>
      <w:bookmarkEnd w:id="0"/>
    </w:p>
    <w:p w14:paraId="72EC354E" w14:textId="77777777" w:rsidR="00370E4B" w:rsidRPr="00370E4B" w:rsidRDefault="000F6502" w:rsidP="00370E4B">
      <w:pPr>
        <w:pStyle w:val="berschrift2"/>
      </w:pPr>
      <w:bookmarkStart w:id="1" w:name="_Toc522728067"/>
      <w:r w:rsidRPr="00370E4B">
        <w:t>Cloning and purification of plasmids – Primer templates.</w:t>
      </w:r>
      <w:bookmarkEnd w:id="1"/>
    </w:p>
    <w:p w14:paraId="6AC5D86F" w14:textId="77777777" w:rsidR="000F6502" w:rsidRPr="00370E4B" w:rsidRDefault="0067148F" w:rsidP="00370E4B">
      <w:pPr>
        <w:jc w:val="both"/>
      </w:pPr>
      <w:r>
        <w:t xml:space="preserve">Primer were purchased from Invitrogen (Thermo Fisher, Waltham, USA). </w:t>
      </w:r>
      <w:r w:rsidR="000F6502" w:rsidRPr="00370E4B">
        <w:t>The forward primers are schematically listed in the main text (</w:t>
      </w:r>
      <w:r w:rsidR="001347F7" w:rsidRPr="009E4421">
        <w:t>figures 1 and 2</w:t>
      </w:r>
      <w:r w:rsidR="000F6502" w:rsidRPr="00370E4B">
        <w:t>), and obey the following design:</w:t>
      </w:r>
    </w:p>
    <w:p w14:paraId="430D1821" w14:textId="77777777" w:rsidR="000F6502" w:rsidRDefault="0067148F" w:rsidP="000F6502">
      <w:r>
        <w:t>5’</w:t>
      </w:r>
      <w:r w:rsidR="000F6502">
        <w:t>GGGG-attB1-GC-S</w:t>
      </w:r>
      <w:r w:rsidR="003677D8">
        <w:t>D</w:t>
      </w:r>
      <w:r w:rsidR="0077159D">
        <w:t>-</w:t>
      </w:r>
      <w:r>
        <w:t xml:space="preserve">spacer </w:t>
      </w:r>
      <w:r w:rsidR="0077159D">
        <w:t>nucleotides</w:t>
      </w:r>
      <w:r w:rsidR="000F6502">
        <w:t>-ATG-(downstream box)</w:t>
      </w:r>
      <w:r>
        <w:t>-3’</w:t>
      </w:r>
    </w:p>
    <w:p w14:paraId="686382ED" w14:textId="77777777" w:rsidR="00EE3D0F" w:rsidRDefault="000F6502" w:rsidP="00EE3D0F">
      <w:pPr>
        <w:jc w:val="both"/>
      </w:pPr>
      <w:r>
        <w:t xml:space="preserve">where “attB1” is the </w:t>
      </w:r>
      <w:r w:rsidR="00EE3D0F">
        <w:t xml:space="preserve">one-side </w:t>
      </w:r>
      <w:r>
        <w:t xml:space="preserve">flanking sequence required for creating the </w:t>
      </w:r>
      <w:r w:rsidR="003677D8">
        <w:t xml:space="preserve">Gateway® </w:t>
      </w:r>
      <w:r>
        <w:t xml:space="preserve">entry clone </w:t>
      </w:r>
      <w:r w:rsidR="0067148F">
        <w:t>(BP reaction)</w:t>
      </w:r>
      <w:r w:rsidR="003677D8">
        <w:t>, S</w:t>
      </w:r>
      <w:r w:rsidR="0067148F">
        <w:t>D</w:t>
      </w:r>
      <w:r w:rsidR="003677D8">
        <w:t xml:space="preserve"> refers to the Shine-Dalgarno </w:t>
      </w:r>
      <w:r w:rsidR="00EE3D0F">
        <w:t xml:space="preserve">sequence forming part of the RBS together with additional nucleotides. Downstream box refers to the nucleotide sequence </w:t>
      </w:r>
      <w:r w:rsidR="00BC1CB3">
        <w:t>preceding</w:t>
      </w:r>
      <w:r w:rsidR="00EE3D0F">
        <w:t xml:space="preserve"> the protein coding sequenc</w:t>
      </w:r>
      <w:r w:rsidR="00AE2887">
        <w:t xml:space="preserve">e in the translated region (TR). </w:t>
      </w:r>
      <w:r w:rsidR="00EE3D0F">
        <w:t>The sequence of the reverse primer, common to all constructs, is the following:</w:t>
      </w:r>
    </w:p>
    <w:p w14:paraId="4CA2AF3D" w14:textId="77777777" w:rsidR="00EE3D0F" w:rsidRDefault="00EE3D0F" w:rsidP="0048215E">
      <w:pPr>
        <w:jc w:val="both"/>
      </w:pPr>
      <w:r>
        <w:t>GGGG-attB2-T-TTA-CTCGAGTGCTTGAAATTCCAGTCC</w:t>
      </w:r>
    </w:p>
    <w:p w14:paraId="4F10C414" w14:textId="3FACDA1D" w:rsidR="00824149" w:rsidRDefault="00EE3D0F" w:rsidP="0048215E">
      <w:pPr>
        <w:jc w:val="both"/>
      </w:pPr>
      <w:r>
        <w:lastRenderedPageBreak/>
        <w:t xml:space="preserve">where “attB2” is the </w:t>
      </w:r>
      <w:r w:rsidR="0048021D">
        <w:t>second one-side</w:t>
      </w:r>
      <w:r>
        <w:t xml:space="preserve"> flanking sequence for the Gateway® entry clone.</w:t>
      </w:r>
    </w:p>
    <w:tbl>
      <w:tblPr>
        <w:tblStyle w:val="Tabellenraster"/>
        <w:tblW w:w="0" w:type="auto"/>
        <w:jc w:val="center"/>
        <w:tblLayout w:type="fixed"/>
        <w:tblLook w:val="04A0" w:firstRow="1" w:lastRow="0" w:firstColumn="1" w:lastColumn="0" w:noHBand="0" w:noVBand="1"/>
      </w:tblPr>
      <w:tblGrid>
        <w:gridCol w:w="1980"/>
        <w:gridCol w:w="6095"/>
      </w:tblGrid>
      <w:tr w:rsidR="0077159D" w14:paraId="60D22618" w14:textId="77777777" w:rsidTr="000B0D6A">
        <w:trPr>
          <w:jc w:val="center"/>
        </w:trPr>
        <w:tc>
          <w:tcPr>
            <w:tcW w:w="1980" w:type="dxa"/>
          </w:tcPr>
          <w:p w14:paraId="58932259" w14:textId="77777777" w:rsidR="0077159D" w:rsidRPr="0077159D" w:rsidRDefault="0077159D" w:rsidP="0088784B">
            <w:pPr>
              <w:rPr>
                <w:rFonts w:cs="Arial"/>
                <w:b/>
                <w:szCs w:val="20"/>
                <w:lang w:val="de-AT"/>
              </w:rPr>
            </w:pPr>
            <w:r w:rsidRPr="0077159D">
              <w:rPr>
                <w:rFonts w:cs="Arial"/>
                <w:b/>
                <w:szCs w:val="20"/>
                <w:lang w:val="de-AT"/>
              </w:rPr>
              <w:t>Name of construct</w:t>
            </w:r>
          </w:p>
        </w:tc>
        <w:tc>
          <w:tcPr>
            <w:tcW w:w="6095" w:type="dxa"/>
          </w:tcPr>
          <w:p w14:paraId="1F998D65" w14:textId="77777777" w:rsidR="0077159D" w:rsidRPr="0077159D" w:rsidRDefault="0077159D" w:rsidP="0088784B">
            <w:pPr>
              <w:rPr>
                <w:rFonts w:cs="Arial"/>
                <w:b/>
                <w:szCs w:val="20"/>
                <w:lang w:val="de-AT"/>
              </w:rPr>
            </w:pPr>
            <w:r w:rsidRPr="0077159D">
              <w:rPr>
                <w:rFonts w:cs="Arial"/>
                <w:b/>
                <w:szCs w:val="20"/>
                <w:lang w:val="de-AT"/>
              </w:rPr>
              <w:t>Primer sequence (5´to 3´)</w:t>
            </w:r>
          </w:p>
        </w:tc>
      </w:tr>
      <w:tr w:rsidR="00BD0659" w:rsidRPr="002D7F88" w14:paraId="4BC9FD90" w14:textId="77777777" w:rsidTr="000B0D6A">
        <w:trPr>
          <w:jc w:val="center"/>
        </w:trPr>
        <w:tc>
          <w:tcPr>
            <w:tcW w:w="1980" w:type="dxa"/>
          </w:tcPr>
          <w:p w14:paraId="790C4EB7" w14:textId="77777777" w:rsidR="00BD0659" w:rsidRPr="0077159D" w:rsidRDefault="003D750B" w:rsidP="00BD0659">
            <w:pPr>
              <w:rPr>
                <w:rFonts w:cs="Arial"/>
                <w:lang w:val="de-AT"/>
              </w:rPr>
            </w:pPr>
            <w:r>
              <w:rPr>
                <w:rFonts w:cs="Arial"/>
                <w:szCs w:val="20"/>
                <w:lang w:val="de-AT"/>
              </w:rPr>
              <w:t>VDAC-I-0, II-0</w:t>
            </w:r>
          </w:p>
        </w:tc>
        <w:tc>
          <w:tcPr>
            <w:tcW w:w="6095" w:type="dxa"/>
          </w:tcPr>
          <w:p w14:paraId="6834C72D" w14:textId="77777777" w:rsidR="00BD0659" w:rsidRPr="00BD0659" w:rsidRDefault="00BD0659" w:rsidP="00BD0659">
            <w:pPr>
              <w:rPr>
                <w:rFonts w:cs="Arial"/>
                <w:szCs w:val="20"/>
                <w:lang w:val="de-AT"/>
              </w:rPr>
            </w:pPr>
            <w:r w:rsidRPr="00BD0659">
              <w:rPr>
                <w:rFonts w:cs="Arial"/>
                <w:szCs w:val="20"/>
                <w:lang w:val="de-AT"/>
              </w:rPr>
              <w:t xml:space="preserve">gc </w:t>
            </w:r>
            <w:r w:rsidRPr="00BD0659">
              <w:rPr>
                <w:rFonts w:cs="Arial"/>
                <w:color w:val="FF0000"/>
                <w:szCs w:val="20"/>
                <w:lang w:val="de-AT"/>
              </w:rPr>
              <w:t>gaa gga g</w:t>
            </w:r>
            <w:r w:rsidRPr="00BD0659">
              <w:rPr>
                <w:rFonts w:cs="Arial"/>
                <w:color w:val="0000FF"/>
                <w:szCs w:val="20"/>
                <w:lang w:val="de-AT"/>
              </w:rPr>
              <w:t xml:space="preserve">at aga </w:t>
            </w:r>
            <w:r w:rsidRPr="00BD0659">
              <w:rPr>
                <w:rFonts w:cs="Arial"/>
                <w:color w:val="7F7F7F" w:themeColor="text1" w:themeTint="80"/>
                <w:szCs w:val="20"/>
                <w:lang w:val="de-AT"/>
              </w:rPr>
              <w:t xml:space="preserve">acc </w:t>
            </w:r>
            <w:r w:rsidRPr="00BD0659">
              <w:rPr>
                <w:rFonts w:cs="Arial"/>
                <w:b/>
                <w:color w:val="008000"/>
                <w:szCs w:val="20"/>
                <w:lang w:val="de-AT"/>
              </w:rPr>
              <w:t>ATG</w:t>
            </w:r>
            <w:r w:rsidRPr="00BD0659">
              <w:rPr>
                <w:rFonts w:cs="Arial"/>
                <w:szCs w:val="20"/>
                <w:lang w:val="de-AT"/>
              </w:rPr>
              <w:t xml:space="preserve"> GCT GTG CCA CCC ACG TAT G</w:t>
            </w:r>
          </w:p>
        </w:tc>
      </w:tr>
      <w:tr w:rsidR="00BD0659" w:rsidRPr="002D7F88" w14:paraId="141A72EA" w14:textId="77777777" w:rsidTr="000B0D6A">
        <w:trPr>
          <w:jc w:val="center"/>
        </w:trPr>
        <w:tc>
          <w:tcPr>
            <w:tcW w:w="1980" w:type="dxa"/>
          </w:tcPr>
          <w:p w14:paraId="1F114C97" w14:textId="77777777" w:rsidR="00BD0659" w:rsidRPr="0077159D" w:rsidRDefault="003D750B" w:rsidP="00BD0659">
            <w:pPr>
              <w:rPr>
                <w:rFonts w:cs="Arial"/>
                <w:lang w:val="de-AT"/>
              </w:rPr>
            </w:pPr>
            <w:r>
              <w:rPr>
                <w:rFonts w:cs="Arial"/>
                <w:szCs w:val="20"/>
                <w:lang w:val="de-AT"/>
              </w:rPr>
              <w:t>VDAC-I-A, II-A</w:t>
            </w:r>
          </w:p>
        </w:tc>
        <w:tc>
          <w:tcPr>
            <w:tcW w:w="6095" w:type="dxa"/>
          </w:tcPr>
          <w:p w14:paraId="75B3F712" w14:textId="77777777" w:rsidR="00BD0659" w:rsidRPr="0077159D" w:rsidRDefault="00BD0659" w:rsidP="00BD0659">
            <w:pPr>
              <w:rPr>
                <w:rFonts w:cs="Arial"/>
                <w:lang w:val="de-AT"/>
              </w:rPr>
            </w:pPr>
            <w:r w:rsidRPr="0077159D">
              <w:rPr>
                <w:rFonts w:cs="Arial"/>
                <w:szCs w:val="20"/>
                <w:lang w:val="de-AT"/>
              </w:rPr>
              <w:t xml:space="preserve">gc </w:t>
            </w:r>
            <w:r w:rsidRPr="0077159D">
              <w:rPr>
                <w:rFonts w:cs="Arial"/>
                <w:color w:val="FF0000"/>
                <w:szCs w:val="20"/>
                <w:lang w:val="de-AT"/>
              </w:rPr>
              <w:t>gaa gga g</w:t>
            </w:r>
            <w:r w:rsidRPr="0077159D">
              <w:rPr>
                <w:rFonts w:cs="Arial"/>
                <w:color w:val="0000FF"/>
                <w:szCs w:val="20"/>
                <w:lang w:val="de-AT"/>
              </w:rPr>
              <w:t xml:space="preserve">at aga </w:t>
            </w:r>
            <w:r w:rsidRPr="0077159D">
              <w:rPr>
                <w:rFonts w:cs="Arial"/>
                <w:b/>
                <w:color w:val="008000"/>
                <w:szCs w:val="20"/>
                <w:lang w:val="de-AT"/>
              </w:rPr>
              <w:t>ATG</w:t>
            </w:r>
            <w:r w:rsidRPr="0077159D">
              <w:rPr>
                <w:rFonts w:cs="Arial"/>
                <w:szCs w:val="20"/>
                <w:lang w:val="de-AT"/>
              </w:rPr>
              <w:t xml:space="preserve"> GCT GTG CCA CCC ACG TAT G</w:t>
            </w:r>
          </w:p>
        </w:tc>
      </w:tr>
      <w:tr w:rsidR="00BD0659" w:rsidRPr="002D7F88" w14:paraId="1F996E4E" w14:textId="77777777" w:rsidTr="000B0D6A">
        <w:trPr>
          <w:jc w:val="center"/>
        </w:trPr>
        <w:tc>
          <w:tcPr>
            <w:tcW w:w="1980" w:type="dxa"/>
          </w:tcPr>
          <w:p w14:paraId="55B73AC5" w14:textId="77777777" w:rsidR="00BD0659" w:rsidRPr="0077159D" w:rsidRDefault="00BD0659" w:rsidP="00BD0659">
            <w:pPr>
              <w:rPr>
                <w:rFonts w:cs="Arial"/>
                <w:lang w:val="de-AT"/>
              </w:rPr>
            </w:pPr>
            <w:r w:rsidRPr="0077159D">
              <w:rPr>
                <w:rFonts w:cs="Arial"/>
                <w:szCs w:val="20"/>
                <w:lang w:val="de-AT"/>
              </w:rPr>
              <w:t>VDAC-</w:t>
            </w:r>
            <w:r w:rsidR="003D750B">
              <w:rPr>
                <w:rFonts w:cs="Arial"/>
                <w:szCs w:val="20"/>
                <w:lang w:val="de-AT"/>
              </w:rPr>
              <w:t>I-B, II-B</w:t>
            </w:r>
          </w:p>
        </w:tc>
        <w:tc>
          <w:tcPr>
            <w:tcW w:w="6095" w:type="dxa"/>
          </w:tcPr>
          <w:p w14:paraId="71568782" w14:textId="77777777" w:rsidR="00BD0659" w:rsidRPr="0077159D" w:rsidRDefault="00BD0659" w:rsidP="00BD0659">
            <w:pPr>
              <w:rPr>
                <w:rFonts w:cs="Arial"/>
                <w:lang w:val="de-AT"/>
              </w:rPr>
            </w:pPr>
            <w:r w:rsidRPr="0077159D">
              <w:rPr>
                <w:rFonts w:cs="Arial"/>
                <w:szCs w:val="20"/>
                <w:lang w:val="de-AT"/>
              </w:rPr>
              <w:t xml:space="preserve">gc </w:t>
            </w:r>
            <w:r w:rsidRPr="0077159D">
              <w:rPr>
                <w:rFonts w:cs="Arial"/>
                <w:b/>
                <w:color w:val="008000"/>
                <w:szCs w:val="20"/>
                <w:lang w:val="de-AT"/>
              </w:rPr>
              <w:t>ATG</w:t>
            </w:r>
            <w:r w:rsidRPr="0077159D">
              <w:rPr>
                <w:rFonts w:cs="Arial"/>
                <w:szCs w:val="20"/>
                <w:lang w:val="de-AT"/>
              </w:rPr>
              <w:t xml:space="preserve"> GCT GTG CCA CCC ACG TAT G</w:t>
            </w:r>
          </w:p>
        </w:tc>
      </w:tr>
      <w:tr w:rsidR="00BD0659" w:rsidRPr="002D7F88" w14:paraId="2226545A" w14:textId="77777777" w:rsidTr="000B0D6A">
        <w:trPr>
          <w:jc w:val="center"/>
        </w:trPr>
        <w:tc>
          <w:tcPr>
            <w:tcW w:w="1980" w:type="dxa"/>
          </w:tcPr>
          <w:p w14:paraId="5C296559" w14:textId="77777777" w:rsidR="00BD0659" w:rsidRPr="0077159D" w:rsidRDefault="003D750B" w:rsidP="00BD0659">
            <w:pPr>
              <w:rPr>
                <w:rFonts w:cs="Arial"/>
                <w:lang w:val="de-AT"/>
              </w:rPr>
            </w:pPr>
            <w:r>
              <w:rPr>
                <w:rFonts w:cs="Arial"/>
                <w:szCs w:val="20"/>
                <w:lang w:val="de-AT"/>
              </w:rPr>
              <w:t>VDAC-II-C</w:t>
            </w:r>
          </w:p>
        </w:tc>
        <w:tc>
          <w:tcPr>
            <w:tcW w:w="6095" w:type="dxa"/>
          </w:tcPr>
          <w:p w14:paraId="3B21FE52" w14:textId="77777777" w:rsidR="00BD0659" w:rsidRPr="0077159D" w:rsidRDefault="00BD0659" w:rsidP="00BD0659">
            <w:pPr>
              <w:rPr>
                <w:rFonts w:cs="Arial"/>
                <w:lang w:val="de-AT"/>
              </w:rPr>
            </w:pPr>
            <w:r w:rsidRPr="0077159D">
              <w:rPr>
                <w:rFonts w:cs="Arial"/>
                <w:szCs w:val="20"/>
                <w:lang w:val="de-AT"/>
              </w:rPr>
              <w:t xml:space="preserve">gc </w:t>
            </w:r>
            <w:r w:rsidRPr="0077159D">
              <w:rPr>
                <w:rFonts w:cs="Arial"/>
                <w:color w:val="FF0000"/>
                <w:szCs w:val="20"/>
                <w:lang w:val="de-AT"/>
              </w:rPr>
              <w:t>gaa gga g</w:t>
            </w:r>
            <w:r w:rsidRPr="0077159D">
              <w:rPr>
                <w:rFonts w:cs="Arial"/>
                <w:color w:val="00B0F0"/>
                <w:szCs w:val="20"/>
                <w:lang w:val="de-AT"/>
              </w:rPr>
              <w:t xml:space="preserve">at ata cat </w:t>
            </w:r>
            <w:r w:rsidRPr="0077159D">
              <w:rPr>
                <w:rFonts w:cs="Arial"/>
                <w:b/>
                <w:color w:val="008000"/>
                <w:szCs w:val="20"/>
                <w:lang w:val="de-AT"/>
              </w:rPr>
              <w:t>ATG</w:t>
            </w:r>
            <w:r w:rsidRPr="0077159D">
              <w:rPr>
                <w:rFonts w:cs="Arial"/>
                <w:szCs w:val="20"/>
                <w:lang w:val="de-AT"/>
              </w:rPr>
              <w:t xml:space="preserve"> GCT GTG CCA CCC ACG TAT G</w:t>
            </w:r>
          </w:p>
        </w:tc>
      </w:tr>
      <w:tr w:rsidR="00BD0659" w:rsidRPr="002D7F88" w14:paraId="767D1A28" w14:textId="77777777" w:rsidTr="000B0D6A">
        <w:trPr>
          <w:jc w:val="center"/>
        </w:trPr>
        <w:tc>
          <w:tcPr>
            <w:tcW w:w="1980" w:type="dxa"/>
          </w:tcPr>
          <w:p w14:paraId="337EBBE4" w14:textId="77777777" w:rsidR="00BD0659" w:rsidRPr="0077159D" w:rsidRDefault="00BD0659" w:rsidP="00BD0659">
            <w:pPr>
              <w:rPr>
                <w:rFonts w:cs="Arial"/>
                <w:lang w:val="de-AT"/>
              </w:rPr>
            </w:pPr>
            <w:r w:rsidRPr="0077159D">
              <w:rPr>
                <w:rFonts w:cs="Arial"/>
                <w:szCs w:val="20"/>
                <w:lang w:val="de-AT"/>
              </w:rPr>
              <w:t>VDAC-</w:t>
            </w:r>
            <w:r w:rsidR="003D750B">
              <w:rPr>
                <w:rFonts w:cs="Arial"/>
                <w:szCs w:val="20"/>
                <w:lang w:val="de-AT"/>
              </w:rPr>
              <w:t>II-D</w:t>
            </w:r>
          </w:p>
        </w:tc>
        <w:tc>
          <w:tcPr>
            <w:tcW w:w="6095" w:type="dxa"/>
          </w:tcPr>
          <w:p w14:paraId="1FFAE057" w14:textId="77777777" w:rsidR="00BD0659" w:rsidRPr="0077159D" w:rsidRDefault="00BD0659" w:rsidP="00BD0659">
            <w:pPr>
              <w:rPr>
                <w:rFonts w:cs="Arial"/>
                <w:lang w:val="de-AT"/>
              </w:rPr>
            </w:pPr>
            <w:r w:rsidRPr="0077159D">
              <w:rPr>
                <w:rFonts w:cs="Arial"/>
                <w:szCs w:val="20"/>
                <w:lang w:val="de-AT"/>
              </w:rPr>
              <w:t xml:space="preserve">gc </w:t>
            </w:r>
            <w:r w:rsidRPr="0077159D">
              <w:rPr>
                <w:rFonts w:cs="Arial"/>
                <w:color w:val="FF0000"/>
                <w:szCs w:val="20"/>
                <w:lang w:val="de-AT"/>
              </w:rPr>
              <w:t>gaa gga g</w:t>
            </w:r>
            <w:r w:rsidRPr="0077159D">
              <w:rPr>
                <w:rFonts w:cs="Arial"/>
                <w:color w:val="00B0F0"/>
                <w:szCs w:val="20"/>
                <w:lang w:val="de-AT"/>
              </w:rPr>
              <w:t xml:space="preserve">at ata cat </w:t>
            </w:r>
            <w:r w:rsidRPr="0077159D">
              <w:rPr>
                <w:rFonts w:cs="Arial"/>
                <w:b/>
                <w:color w:val="008000"/>
                <w:szCs w:val="20"/>
                <w:lang w:val="de-AT"/>
              </w:rPr>
              <w:t>ATG</w:t>
            </w:r>
            <w:r w:rsidRPr="0077159D">
              <w:rPr>
                <w:rFonts w:cs="Arial"/>
                <w:szCs w:val="20"/>
                <w:lang w:val="de-AT"/>
              </w:rPr>
              <w:t xml:space="preserve"> </w:t>
            </w:r>
            <w:r w:rsidRPr="0077159D">
              <w:rPr>
                <w:rFonts w:cs="Arial"/>
                <w:color w:val="990000"/>
                <w:szCs w:val="20"/>
                <w:lang w:val="de-AT"/>
              </w:rPr>
              <w:t>TCG TAC TAC</w:t>
            </w:r>
            <w:r w:rsidRPr="0077159D">
              <w:rPr>
                <w:rFonts w:cs="Arial"/>
                <w:szCs w:val="20"/>
                <w:lang w:val="de-AT"/>
              </w:rPr>
              <w:t xml:space="preserve"> GCT GTG CCA CCC ACG TAT G</w:t>
            </w:r>
          </w:p>
        </w:tc>
      </w:tr>
      <w:tr w:rsidR="00BD0659" w:rsidRPr="002D7F88" w14:paraId="5908DCF9" w14:textId="77777777" w:rsidTr="000B0D6A">
        <w:trPr>
          <w:jc w:val="center"/>
        </w:trPr>
        <w:tc>
          <w:tcPr>
            <w:tcW w:w="1980" w:type="dxa"/>
          </w:tcPr>
          <w:p w14:paraId="38616558" w14:textId="77777777" w:rsidR="00BD0659" w:rsidRPr="0077159D" w:rsidRDefault="003D750B" w:rsidP="00BD0659">
            <w:pPr>
              <w:rPr>
                <w:rFonts w:cs="Arial"/>
                <w:lang w:val="de-AT"/>
              </w:rPr>
            </w:pPr>
            <w:r>
              <w:rPr>
                <w:rFonts w:cs="Arial"/>
                <w:szCs w:val="20"/>
                <w:lang w:val="de-AT"/>
              </w:rPr>
              <w:t>VDAC-II-E</w:t>
            </w:r>
          </w:p>
        </w:tc>
        <w:tc>
          <w:tcPr>
            <w:tcW w:w="6095" w:type="dxa"/>
          </w:tcPr>
          <w:p w14:paraId="0B79C1B4" w14:textId="77777777" w:rsidR="00BD0659" w:rsidRPr="0077159D" w:rsidRDefault="00BD0659" w:rsidP="00BD0659">
            <w:pPr>
              <w:rPr>
                <w:rFonts w:cs="Arial"/>
                <w:lang w:val="de-AT"/>
              </w:rPr>
            </w:pPr>
            <w:r w:rsidRPr="0077159D">
              <w:rPr>
                <w:rFonts w:cs="Arial"/>
                <w:szCs w:val="20"/>
                <w:lang w:val="de-AT"/>
              </w:rPr>
              <w:t xml:space="preserve">gc </w:t>
            </w:r>
            <w:r w:rsidRPr="0077159D">
              <w:rPr>
                <w:rFonts w:cs="Arial"/>
                <w:color w:val="FF0000"/>
                <w:szCs w:val="20"/>
                <w:lang w:val="de-AT"/>
              </w:rPr>
              <w:t>gaa gga g</w:t>
            </w:r>
            <w:r w:rsidRPr="0077159D">
              <w:rPr>
                <w:rFonts w:cs="Arial"/>
                <w:color w:val="00B0F0"/>
                <w:szCs w:val="20"/>
                <w:lang w:val="de-AT"/>
              </w:rPr>
              <w:t xml:space="preserve">at ata cat </w:t>
            </w:r>
            <w:r w:rsidRPr="0077159D">
              <w:rPr>
                <w:rFonts w:cs="Arial"/>
                <w:b/>
                <w:color w:val="008000"/>
                <w:szCs w:val="20"/>
                <w:lang w:val="de-AT"/>
              </w:rPr>
              <w:t>ATG</w:t>
            </w:r>
            <w:r w:rsidRPr="0077159D">
              <w:rPr>
                <w:rFonts w:cs="Arial"/>
                <w:szCs w:val="20"/>
                <w:lang w:val="de-AT"/>
              </w:rPr>
              <w:t xml:space="preserve"> </w:t>
            </w:r>
            <w:r w:rsidRPr="0077159D">
              <w:rPr>
                <w:rFonts w:cs="Arial"/>
                <w:color w:val="FF9900"/>
                <w:szCs w:val="20"/>
                <w:lang w:val="de-AT"/>
              </w:rPr>
              <w:t>GAG AAA AAA ATC</w:t>
            </w:r>
            <w:r w:rsidRPr="0077159D">
              <w:rPr>
                <w:rFonts w:cs="Arial"/>
                <w:color w:val="FFC000"/>
                <w:szCs w:val="20"/>
                <w:lang w:val="de-AT"/>
              </w:rPr>
              <w:t xml:space="preserve"> </w:t>
            </w:r>
            <w:r w:rsidRPr="0077159D">
              <w:rPr>
                <w:rFonts w:cs="Arial"/>
                <w:szCs w:val="20"/>
                <w:lang w:val="de-AT"/>
              </w:rPr>
              <w:t>GCT GTG CCA CCC ACG TAT G</w:t>
            </w:r>
          </w:p>
        </w:tc>
      </w:tr>
      <w:tr w:rsidR="00BD0659" w:rsidRPr="002D7F88" w14:paraId="040C80A5" w14:textId="77777777" w:rsidTr="000B0D6A">
        <w:trPr>
          <w:jc w:val="center"/>
        </w:trPr>
        <w:tc>
          <w:tcPr>
            <w:tcW w:w="1980" w:type="dxa"/>
          </w:tcPr>
          <w:p w14:paraId="44121A58" w14:textId="77777777" w:rsidR="00BD0659" w:rsidRPr="0077159D" w:rsidRDefault="003D750B" w:rsidP="00BD0659">
            <w:pPr>
              <w:rPr>
                <w:rFonts w:cs="Arial"/>
                <w:lang w:val="de-AT"/>
              </w:rPr>
            </w:pPr>
            <w:r>
              <w:rPr>
                <w:rFonts w:cs="Arial"/>
                <w:szCs w:val="20"/>
                <w:lang w:val="de-AT"/>
              </w:rPr>
              <w:t>VDAC-I-C, II-F</w:t>
            </w:r>
          </w:p>
        </w:tc>
        <w:tc>
          <w:tcPr>
            <w:tcW w:w="6095" w:type="dxa"/>
          </w:tcPr>
          <w:p w14:paraId="05896C4D" w14:textId="77777777" w:rsidR="00BD0659" w:rsidRPr="0077159D" w:rsidRDefault="00BD0659" w:rsidP="00BD0659">
            <w:pPr>
              <w:rPr>
                <w:rFonts w:cs="Arial"/>
                <w:lang w:val="de-AT"/>
              </w:rPr>
            </w:pPr>
            <w:r w:rsidRPr="0077159D">
              <w:rPr>
                <w:rFonts w:cs="Arial"/>
                <w:szCs w:val="20"/>
                <w:lang w:val="de-AT"/>
              </w:rPr>
              <w:t xml:space="preserve">gc </w:t>
            </w:r>
            <w:r w:rsidRPr="0077159D">
              <w:rPr>
                <w:rFonts w:cs="Arial"/>
                <w:color w:val="FF0000"/>
                <w:szCs w:val="20"/>
                <w:lang w:val="de-AT"/>
              </w:rPr>
              <w:t>gaa gga g</w:t>
            </w:r>
            <w:r w:rsidRPr="0077159D">
              <w:rPr>
                <w:rFonts w:cs="Arial"/>
                <w:color w:val="0000FF"/>
                <w:szCs w:val="20"/>
                <w:lang w:val="de-AT"/>
              </w:rPr>
              <w:t xml:space="preserve">at aga </w:t>
            </w:r>
            <w:r w:rsidRPr="0077159D">
              <w:rPr>
                <w:rFonts w:cs="Arial"/>
                <w:b/>
                <w:color w:val="008000"/>
                <w:szCs w:val="20"/>
                <w:lang w:val="de-AT"/>
              </w:rPr>
              <w:t>ATG</w:t>
            </w:r>
            <w:r w:rsidRPr="0077159D">
              <w:rPr>
                <w:rFonts w:cs="Arial"/>
                <w:szCs w:val="20"/>
                <w:lang w:val="de-AT"/>
              </w:rPr>
              <w:t xml:space="preserve"> </w:t>
            </w:r>
            <w:r w:rsidRPr="0077159D">
              <w:rPr>
                <w:rFonts w:cs="Arial"/>
                <w:color w:val="FF9900"/>
                <w:szCs w:val="20"/>
                <w:lang w:val="de-AT"/>
              </w:rPr>
              <w:t xml:space="preserve">GAG AAA AAA ATC </w:t>
            </w:r>
            <w:r w:rsidRPr="0077159D">
              <w:rPr>
                <w:rFonts w:cs="Arial"/>
                <w:szCs w:val="20"/>
                <w:lang w:val="de-AT"/>
              </w:rPr>
              <w:t>GCT GTG CCA CCC ACG TAT G</w:t>
            </w:r>
          </w:p>
        </w:tc>
      </w:tr>
      <w:tr w:rsidR="00BD0659" w:rsidRPr="002D7F88" w14:paraId="63B48663" w14:textId="77777777" w:rsidTr="000B0D6A">
        <w:trPr>
          <w:jc w:val="center"/>
        </w:trPr>
        <w:tc>
          <w:tcPr>
            <w:tcW w:w="1980" w:type="dxa"/>
          </w:tcPr>
          <w:p w14:paraId="6EAFF608" w14:textId="77777777" w:rsidR="00BD0659" w:rsidRPr="0077159D" w:rsidRDefault="003D750B" w:rsidP="00BD0659">
            <w:pPr>
              <w:rPr>
                <w:rFonts w:cs="Arial"/>
                <w:lang w:val="de-AT"/>
              </w:rPr>
            </w:pPr>
            <w:r>
              <w:rPr>
                <w:rFonts w:cs="Arial"/>
                <w:szCs w:val="20"/>
                <w:lang w:val="de-AT"/>
              </w:rPr>
              <w:t>VDAC-II-G</w:t>
            </w:r>
          </w:p>
        </w:tc>
        <w:tc>
          <w:tcPr>
            <w:tcW w:w="6095" w:type="dxa"/>
          </w:tcPr>
          <w:p w14:paraId="6F7E84AB" w14:textId="77777777" w:rsidR="00BD0659" w:rsidRPr="0077159D" w:rsidRDefault="00BD0659" w:rsidP="00BD0659">
            <w:pPr>
              <w:keepNext/>
              <w:rPr>
                <w:rFonts w:cs="Arial"/>
                <w:lang w:val="de-AT"/>
              </w:rPr>
            </w:pPr>
            <w:r w:rsidRPr="0077159D">
              <w:rPr>
                <w:rFonts w:cs="Arial"/>
                <w:szCs w:val="20"/>
                <w:lang w:val="de-AT"/>
              </w:rPr>
              <w:t xml:space="preserve">gc </w:t>
            </w:r>
            <w:r w:rsidRPr="0077159D">
              <w:rPr>
                <w:rFonts w:cs="Arial"/>
                <w:color w:val="FF0000"/>
                <w:szCs w:val="20"/>
                <w:lang w:val="de-AT"/>
              </w:rPr>
              <w:t>gaa gga g</w:t>
            </w:r>
            <w:r w:rsidRPr="0077159D">
              <w:rPr>
                <w:rFonts w:cs="Arial"/>
                <w:color w:val="0000FF"/>
                <w:szCs w:val="20"/>
                <w:lang w:val="de-AT"/>
              </w:rPr>
              <w:t xml:space="preserve">at aga </w:t>
            </w:r>
            <w:r w:rsidRPr="0077159D">
              <w:rPr>
                <w:rFonts w:cs="Arial"/>
                <w:b/>
                <w:color w:val="008000"/>
                <w:szCs w:val="20"/>
                <w:lang w:val="de-AT"/>
              </w:rPr>
              <w:t>ATG</w:t>
            </w:r>
            <w:r w:rsidRPr="0077159D">
              <w:rPr>
                <w:rFonts w:cs="Arial"/>
                <w:szCs w:val="20"/>
                <w:lang w:val="de-AT"/>
              </w:rPr>
              <w:t xml:space="preserve"> GC</w:t>
            </w:r>
            <w:r w:rsidRPr="0077159D">
              <w:rPr>
                <w:rFonts w:cs="Arial"/>
                <w:color w:val="FF33CC"/>
                <w:szCs w:val="20"/>
                <w:lang w:val="de-AT"/>
              </w:rPr>
              <w:t>A</w:t>
            </w:r>
            <w:r w:rsidRPr="0077159D">
              <w:rPr>
                <w:rFonts w:cs="Arial"/>
                <w:szCs w:val="20"/>
                <w:lang w:val="de-AT"/>
              </w:rPr>
              <w:t xml:space="preserve"> GT</w:t>
            </w:r>
            <w:r w:rsidRPr="0077159D">
              <w:rPr>
                <w:rFonts w:cs="Arial"/>
                <w:color w:val="FF33CC"/>
                <w:szCs w:val="20"/>
                <w:lang w:val="de-AT"/>
              </w:rPr>
              <w:t>A</w:t>
            </w:r>
            <w:r w:rsidRPr="0077159D">
              <w:rPr>
                <w:rFonts w:cs="Arial"/>
                <w:szCs w:val="20"/>
                <w:lang w:val="de-AT"/>
              </w:rPr>
              <w:t xml:space="preserve"> CCA CC</w:t>
            </w:r>
            <w:r w:rsidRPr="0077159D">
              <w:rPr>
                <w:rFonts w:cs="Arial"/>
                <w:color w:val="FF33CC"/>
                <w:szCs w:val="20"/>
                <w:lang w:val="de-AT"/>
              </w:rPr>
              <w:t>A</w:t>
            </w:r>
            <w:r w:rsidRPr="0077159D">
              <w:rPr>
                <w:rFonts w:cs="Arial"/>
                <w:szCs w:val="20"/>
                <w:lang w:val="de-AT"/>
              </w:rPr>
              <w:t xml:space="preserve"> AC</w:t>
            </w:r>
            <w:r w:rsidRPr="0077159D">
              <w:rPr>
                <w:rFonts w:cs="Arial"/>
                <w:color w:val="FF33CC"/>
                <w:szCs w:val="20"/>
                <w:lang w:val="de-AT"/>
              </w:rPr>
              <w:t>A</w:t>
            </w:r>
            <w:r w:rsidRPr="0077159D">
              <w:rPr>
                <w:rFonts w:cs="Arial"/>
                <w:szCs w:val="20"/>
                <w:lang w:val="de-AT"/>
              </w:rPr>
              <w:t xml:space="preserve"> TA</w:t>
            </w:r>
            <w:r w:rsidRPr="0077159D">
              <w:rPr>
                <w:rFonts w:cs="Arial"/>
                <w:color w:val="FF33CC"/>
                <w:szCs w:val="20"/>
                <w:lang w:val="de-AT"/>
              </w:rPr>
              <w:t>C</w:t>
            </w:r>
            <w:r w:rsidRPr="0077159D">
              <w:rPr>
                <w:rFonts w:cs="Arial"/>
                <w:szCs w:val="20"/>
                <w:lang w:val="de-AT"/>
              </w:rPr>
              <w:t xml:space="preserve"> GC</w:t>
            </w:r>
            <w:r w:rsidRPr="0077159D">
              <w:rPr>
                <w:rFonts w:cs="Arial"/>
                <w:color w:val="FF33CC"/>
                <w:szCs w:val="20"/>
                <w:lang w:val="de-AT"/>
              </w:rPr>
              <w:t>A</w:t>
            </w:r>
            <w:r w:rsidRPr="0077159D">
              <w:rPr>
                <w:rFonts w:cs="Arial"/>
                <w:szCs w:val="20"/>
                <w:lang w:val="de-AT"/>
              </w:rPr>
              <w:t xml:space="preserve"> GA</w:t>
            </w:r>
            <w:r w:rsidRPr="0077159D">
              <w:rPr>
                <w:rFonts w:cs="Arial"/>
                <w:color w:val="FF33CC"/>
                <w:szCs w:val="20"/>
                <w:lang w:val="de-AT"/>
              </w:rPr>
              <w:t>C</w:t>
            </w:r>
          </w:p>
        </w:tc>
      </w:tr>
    </w:tbl>
    <w:p w14:paraId="1F945DF5" w14:textId="5A21934C" w:rsidR="0077159D" w:rsidRPr="000B0D6A" w:rsidRDefault="000B0D6A" w:rsidP="00174260">
      <w:pPr>
        <w:pStyle w:val="Beschriftung"/>
        <w:spacing w:before="120"/>
        <w:jc w:val="both"/>
        <w:rPr>
          <w:i w:val="0"/>
          <w:color w:val="auto"/>
        </w:rPr>
      </w:pPr>
      <w:r>
        <w:rPr>
          <w:i w:val="0"/>
          <w:color w:val="auto"/>
        </w:rPr>
        <w:t>Table S</w:t>
      </w:r>
      <w:r w:rsidR="0077159D" w:rsidRPr="0077159D">
        <w:rPr>
          <w:i w:val="0"/>
          <w:color w:val="auto"/>
        </w:rPr>
        <w:fldChar w:fldCharType="begin"/>
      </w:r>
      <w:r w:rsidR="0077159D" w:rsidRPr="0077159D">
        <w:rPr>
          <w:i w:val="0"/>
          <w:color w:val="auto"/>
        </w:rPr>
        <w:instrText xml:space="preserve"> SEQ Label_S \* ARABIC </w:instrText>
      </w:r>
      <w:r w:rsidR="0077159D" w:rsidRPr="0077159D">
        <w:rPr>
          <w:i w:val="0"/>
          <w:color w:val="auto"/>
        </w:rPr>
        <w:fldChar w:fldCharType="separate"/>
      </w:r>
      <w:r w:rsidR="00843659">
        <w:rPr>
          <w:i w:val="0"/>
          <w:noProof/>
          <w:color w:val="auto"/>
        </w:rPr>
        <w:t>1</w:t>
      </w:r>
      <w:r w:rsidR="0077159D" w:rsidRPr="0077159D">
        <w:rPr>
          <w:i w:val="0"/>
          <w:color w:val="auto"/>
        </w:rPr>
        <w:fldChar w:fldCharType="end"/>
      </w:r>
      <w:r w:rsidR="0077159D" w:rsidRPr="0077159D">
        <w:rPr>
          <w:i w:val="0"/>
          <w:color w:val="auto"/>
        </w:rPr>
        <w:t>. List of primer seq</w:t>
      </w:r>
      <w:r>
        <w:rPr>
          <w:i w:val="0"/>
          <w:color w:val="auto"/>
        </w:rPr>
        <w:t>uences used in this study. Sequences of untranslated (UTR) and translated (TR) regions are in lowercase and uppercase letters, respectively. UTRs may contain Shine-Dalgarno (red),</w:t>
      </w:r>
      <w:r w:rsidR="00DD0030">
        <w:rPr>
          <w:i w:val="0"/>
          <w:color w:val="auto"/>
        </w:rPr>
        <w:t xml:space="preserve"> the Kozak sequence (grey), and</w:t>
      </w:r>
      <w:r>
        <w:rPr>
          <w:i w:val="0"/>
          <w:color w:val="auto"/>
        </w:rPr>
        <w:t xml:space="preserve"> </w:t>
      </w:r>
      <w:r w:rsidR="00DD0030">
        <w:rPr>
          <w:i w:val="0"/>
          <w:color w:val="auto"/>
        </w:rPr>
        <w:t>spacer</w:t>
      </w:r>
      <w:r>
        <w:rPr>
          <w:i w:val="0"/>
          <w:color w:val="auto"/>
        </w:rPr>
        <w:t xml:space="preserve"> sequences (blue and light blue, respectively). The start codon ATG in green. TRs may contain downstream PDEST-17-codons (brown), the CAT enhancer sequence (orange), in addition to the VDAC sequence (black). Single-nucleotide mutations (</w:t>
      </w:r>
      <w:r w:rsidR="00C94DA9">
        <w:rPr>
          <w:i w:val="0"/>
          <w:color w:val="auto"/>
        </w:rPr>
        <w:t>synonymous</w:t>
      </w:r>
      <w:r>
        <w:rPr>
          <w:i w:val="0"/>
          <w:color w:val="auto"/>
        </w:rPr>
        <w:t xml:space="preserve"> mutations) are depicted in pink</w:t>
      </w:r>
      <w:r w:rsidR="00FC2373">
        <w:rPr>
          <w:i w:val="0"/>
          <w:color w:val="auto"/>
        </w:rPr>
        <w:t xml:space="preserve"> (Original first-nine-codon sequence: GCT GTG CCA CCC ACG TAT GCC GAC)</w:t>
      </w:r>
      <w:r>
        <w:rPr>
          <w:i w:val="0"/>
          <w:color w:val="auto"/>
        </w:rPr>
        <w:t>.</w:t>
      </w:r>
    </w:p>
    <w:p w14:paraId="19E53940" w14:textId="77777777" w:rsidR="00EE3D0F" w:rsidRPr="000848DE" w:rsidRDefault="000848DE" w:rsidP="00370E4B">
      <w:pPr>
        <w:pStyle w:val="berschrift2"/>
      </w:pPr>
      <w:bookmarkStart w:id="2" w:name="_Toc522728068"/>
      <w:r w:rsidRPr="000F6502">
        <w:t xml:space="preserve">Cloning and purification of plasmids </w:t>
      </w:r>
      <w:r>
        <w:t>-</w:t>
      </w:r>
      <w:r w:rsidRPr="000848DE">
        <w:t xml:space="preserve"> </w:t>
      </w:r>
      <w:r>
        <w:t>PCR cycle program for</w:t>
      </w:r>
      <w:r w:rsidR="00D63674" w:rsidRPr="000848DE">
        <w:t xml:space="preserve"> the amplific</w:t>
      </w:r>
      <w:r w:rsidRPr="000848DE">
        <w:t>ation of the VDAC-encoding gene.</w:t>
      </w:r>
      <w:bookmarkEnd w:id="2"/>
    </w:p>
    <w:p w14:paraId="09D21D67" w14:textId="77777777" w:rsidR="000848DE" w:rsidRDefault="000848DE" w:rsidP="0048215E">
      <w:pPr>
        <w:jc w:val="both"/>
      </w:pPr>
      <w:r>
        <w:t xml:space="preserve">Denaturation: 98°C, </w:t>
      </w:r>
      <w:proofErr w:type="gramStart"/>
      <w:r>
        <w:t>10s ;</w:t>
      </w:r>
      <w:proofErr w:type="gramEnd"/>
      <w:r>
        <w:t xml:space="preserve"> Annealing: 56°C, 10s; Elongation: 72°C, 20s.</w:t>
      </w:r>
    </w:p>
    <w:p w14:paraId="5CBEA107" w14:textId="77777777" w:rsidR="00370E4B" w:rsidRDefault="000848DE" w:rsidP="00370E4B">
      <w:pPr>
        <w:pStyle w:val="berschrift2"/>
      </w:pPr>
      <w:bookmarkStart w:id="3" w:name="_Toc522728069"/>
      <w:r w:rsidRPr="000848DE">
        <w:t>RNA detect</w:t>
      </w:r>
      <w:r>
        <w:t>ion and quantitative PCR (qPCR) – RNA isolation, qPCR</w:t>
      </w:r>
      <w:r w:rsidR="00B651BE">
        <w:t xml:space="preserve"> experimental conditions</w:t>
      </w:r>
      <w:r w:rsidR="0048215E">
        <w:t>.</w:t>
      </w:r>
      <w:bookmarkEnd w:id="3"/>
      <w:r w:rsidR="0048215E">
        <w:t xml:space="preserve"> </w:t>
      </w:r>
    </w:p>
    <w:p w14:paraId="1834749E" w14:textId="77777777" w:rsidR="0048215E" w:rsidRPr="0048215E" w:rsidRDefault="0048215E" w:rsidP="008C443D">
      <w:pPr>
        <w:jc w:val="both"/>
      </w:pPr>
      <w:r>
        <w:t xml:space="preserve">RNA isolation was carried out with 35 µl of the cell-free reaction mixture and the </w:t>
      </w:r>
      <w:proofErr w:type="spellStart"/>
      <w:r>
        <w:t>Aurum</w:t>
      </w:r>
      <w:proofErr w:type="spellEnd"/>
      <w:r>
        <w:t xml:space="preserve"> Total RNA Mini Kit (Bio-Rad, Hercules, USA), following the protocol for bacterial cells with the exception of adding lysozyme. The isolation procedure includes a DNA digestion step and elution was performed with 40 µl elution buffer before spectrophotometric measurements</w:t>
      </w:r>
      <w:r w:rsidR="00161CCA">
        <w:t xml:space="preserve"> and reverse transcription into cDNA for qPCR</w:t>
      </w:r>
      <w:r>
        <w:t>.</w:t>
      </w:r>
    </w:p>
    <w:p w14:paraId="2F6A9A88" w14:textId="77777777" w:rsidR="006F6172" w:rsidRDefault="00161CCA" w:rsidP="008C443D">
      <w:pPr>
        <w:jc w:val="both"/>
      </w:pPr>
      <w:r>
        <w:t>qPCR experiments were pe</w:t>
      </w:r>
      <w:r w:rsidR="00237B8D">
        <w:t>rformed with cDNA</w:t>
      </w:r>
      <w:r w:rsidR="004C4725">
        <w:t xml:space="preserve"> at a starting concentration of 500 </w:t>
      </w:r>
      <w:proofErr w:type="spellStart"/>
      <w:r w:rsidR="004C4725">
        <w:t>nM</w:t>
      </w:r>
      <w:proofErr w:type="spellEnd"/>
      <w:r w:rsidR="004C4725">
        <w:t>,</w:t>
      </w:r>
      <w:r w:rsidR="00237B8D">
        <w:t xml:space="preserve"> and three VDAC-specific primer pairs</w:t>
      </w:r>
      <w:r w:rsidR="006F6172">
        <w:t xml:space="preserve"> </w:t>
      </w:r>
      <w:r w:rsidR="003258CD">
        <w:t xml:space="preserve">for amplicons </w:t>
      </w:r>
      <w:r w:rsidR="006F6172">
        <w:t>of varying lengths</w:t>
      </w:r>
      <w:r w:rsidR="00237B8D">
        <w:t>,</w:t>
      </w:r>
      <w:r w:rsidR="006F6172">
        <w:t xml:space="preserve"> as the table </w:t>
      </w:r>
      <w:r w:rsidR="00135777">
        <w:t xml:space="preserve">below </w:t>
      </w:r>
      <w:r w:rsidR="006F6172">
        <w:t>shows:</w:t>
      </w:r>
    </w:p>
    <w:tbl>
      <w:tblPr>
        <w:tblStyle w:val="Tabellenraster"/>
        <w:tblW w:w="0" w:type="auto"/>
        <w:tblLook w:val="04A0" w:firstRow="1" w:lastRow="0" w:firstColumn="1" w:lastColumn="0" w:noHBand="0" w:noVBand="1"/>
      </w:tblPr>
      <w:tblGrid>
        <w:gridCol w:w="1236"/>
        <w:gridCol w:w="3241"/>
        <w:gridCol w:w="3500"/>
        <w:gridCol w:w="1039"/>
      </w:tblGrid>
      <w:tr w:rsidR="00135777" w14:paraId="683F0057" w14:textId="77777777" w:rsidTr="00135777">
        <w:tc>
          <w:tcPr>
            <w:tcW w:w="1271" w:type="dxa"/>
            <w:vAlign w:val="center"/>
          </w:tcPr>
          <w:p w14:paraId="27B711AC" w14:textId="77777777" w:rsidR="00135777" w:rsidRDefault="00135777" w:rsidP="00135777">
            <w:pPr>
              <w:jc w:val="center"/>
            </w:pPr>
            <w:r>
              <w:t>Primer pair</w:t>
            </w:r>
          </w:p>
        </w:tc>
        <w:tc>
          <w:tcPr>
            <w:tcW w:w="3260" w:type="dxa"/>
            <w:vAlign w:val="center"/>
          </w:tcPr>
          <w:p w14:paraId="352DCB27" w14:textId="77777777" w:rsidR="00135777" w:rsidRDefault="00135777" w:rsidP="00135777">
            <w:pPr>
              <w:jc w:val="center"/>
            </w:pPr>
            <w:r>
              <w:t>Forward primer</w:t>
            </w:r>
          </w:p>
        </w:tc>
        <w:tc>
          <w:tcPr>
            <w:tcW w:w="3544" w:type="dxa"/>
            <w:vAlign w:val="center"/>
          </w:tcPr>
          <w:p w14:paraId="38D75E93" w14:textId="77777777" w:rsidR="00135777" w:rsidRDefault="00135777" w:rsidP="00135777">
            <w:pPr>
              <w:jc w:val="center"/>
            </w:pPr>
            <w:r>
              <w:t>Reverse primer</w:t>
            </w:r>
          </w:p>
        </w:tc>
        <w:tc>
          <w:tcPr>
            <w:tcW w:w="941" w:type="dxa"/>
            <w:vAlign w:val="center"/>
          </w:tcPr>
          <w:p w14:paraId="39540B37" w14:textId="77777777" w:rsidR="00135777" w:rsidRDefault="003258CD" w:rsidP="00135777">
            <w:pPr>
              <w:jc w:val="center"/>
            </w:pPr>
            <w:r>
              <w:t xml:space="preserve">Amplicon </w:t>
            </w:r>
            <w:r w:rsidR="00135777">
              <w:t>Length (bp)</w:t>
            </w:r>
          </w:p>
        </w:tc>
      </w:tr>
      <w:tr w:rsidR="00135777" w14:paraId="316BE590" w14:textId="77777777" w:rsidTr="00135777">
        <w:tc>
          <w:tcPr>
            <w:tcW w:w="1271" w:type="dxa"/>
            <w:vAlign w:val="center"/>
          </w:tcPr>
          <w:p w14:paraId="53FCEEC2" w14:textId="77777777" w:rsidR="00135777" w:rsidRDefault="00135777" w:rsidP="00135777">
            <w:pPr>
              <w:jc w:val="center"/>
            </w:pPr>
            <w:r>
              <w:t>1</w:t>
            </w:r>
          </w:p>
        </w:tc>
        <w:tc>
          <w:tcPr>
            <w:tcW w:w="3260" w:type="dxa"/>
            <w:vAlign w:val="center"/>
          </w:tcPr>
          <w:p w14:paraId="29606A8F" w14:textId="77777777" w:rsidR="00135777" w:rsidRDefault="00135777" w:rsidP="00135777">
            <w:pPr>
              <w:jc w:val="center"/>
            </w:pPr>
            <w:r>
              <w:t>CCAAGGGCTATGGATTTGG</w:t>
            </w:r>
          </w:p>
        </w:tc>
        <w:tc>
          <w:tcPr>
            <w:tcW w:w="3544" w:type="dxa"/>
            <w:vAlign w:val="center"/>
          </w:tcPr>
          <w:p w14:paraId="72E4C0DE" w14:textId="77777777" w:rsidR="00135777" w:rsidRDefault="00135777" w:rsidP="00135777">
            <w:pPr>
              <w:jc w:val="center"/>
            </w:pPr>
            <w:r>
              <w:t>TACTTGGTTTCCAGACTGCC</w:t>
            </w:r>
          </w:p>
        </w:tc>
        <w:tc>
          <w:tcPr>
            <w:tcW w:w="941" w:type="dxa"/>
            <w:vAlign w:val="center"/>
          </w:tcPr>
          <w:p w14:paraId="4CC80B72" w14:textId="77777777" w:rsidR="00135777" w:rsidRDefault="00135777" w:rsidP="00135777">
            <w:pPr>
              <w:jc w:val="center"/>
            </w:pPr>
            <w:r>
              <w:t>130</w:t>
            </w:r>
          </w:p>
        </w:tc>
      </w:tr>
      <w:tr w:rsidR="00135777" w14:paraId="0416F20A" w14:textId="77777777" w:rsidTr="00135777">
        <w:tc>
          <w:tcPr>
            <w:tcW w:w="1271" w:type="dxa"/>
            <w:vAlign w:val="center"/>
          </w:tcPr>
          <w:p w14:paraId="1352944A" w14:textId="77777777" w:rsidR="00135777" w:rsidRDefault="00135777" w:rsidP="00135777">
            <w:pPr>
              <w:jc w:val="center"/>
            </w:pPr>
            <w:r>
              <w:t>2</w:t>
            </w:r>
          </w:p>
        </w:tc>
        <w:tc>
          <w:tcPr>
            <w:tcW w:w="3260" w:type="dxa"/>
            <w:vAlign w:val="center"/>
          </w:tcPr>
          <w:p w14:paraId="620F9F97" w14:textId="77777777" w:rsidR="00135777" w:rsidRDefault="00135777" w:rsidP="00135777">
            <w:pPr>
              <w:jc w:val="center"/>
            </w:pPr>
            <w:r>
              <w:t>ACACTAGGCACCGAGATTAC</w:t>
            </w:r>
          </w:p>
        </w:tc>
        <w:tc>
          <w:tcPr>
            <w:tcW w:w="3544" w:type="dxa"/>
            <w:vAlign w:val="center"/>
          </w:tcPr>
          <w:p w14:paraId="0C6A535A" w14:textId="77777777" w:rsidR="00135777" w:rsidRDefault="00135777" w:rsidP="00135777">
            <w:pPr>
              <w:jc w:val="center"/>
            </w:pPr>
            <w:r>
              <w:t>GCTTGTACCCTGTCTTGATT</w:t>
            </w:r>
          </w:p>
        </w:tc>
        <w:tc>
          <w:tcPr>
            <w:tcW w:w="941" w:type="dxa"/>
            <w:vAlign w:val="center"/>
          </w:tcPr>
          <w:p w14:paraId="660C61F5" w14:textId="77777777" w:rsidR="00135777" w:rsidRDefault="00135777" w:rsidP="00135777">
            <w:pPr>
              <w:jc w:val="center"/>
            </w:pPr>
            <w:r>
              <w:t>120</w:t>
            </w:r>
          </w:p>
        </w:tc>
      </w:tr>
      <w:tr w:rsidR="00135777" w14:paraId="3F6361C9" w14:textId="77777777" w:rsidTr="00135777">
        <w:tc>
          <w:tcPr>
            <w:tcW w:w="1271" w:type="dxa"/>
            <w:vAlign w:val="center"/>
          </w:tcPr>
          <w:p w14:paraId="7F500AAC" w14:textId="77777777" w:rsidR="00135777" w:rsidRDefault="00135777" w:rsidP="00135777">
            <w:pPr>
              <w:jc w:val="center"/>
            </w:pPr>
            <w:r>
              <w:t>3</w:t>
            </w:r>
          </w:p>
        </w:tc>
        <w:tc>
          <w:tcPr>
            <w:tcW w:w="3260" w:type="dxa"/>
            <w:vAlign w:val="center"/>
          </w:tcPr>
          <w:p w14:paraId="3CB66CA9" w14:textId="77777777" w:rsidR="00135777" w:rsidRDefault="00135777" w:rsidP="00135777">
            <w:pPr>
              <w:jc w:val="center"/>
            </w:pPr>
            <w:r>
              <w:t>ACGTGGACTGAAGCTGAC</w:t>
            </w:r>
          </w:p>
        </w:tc>
        <w:tc>
          <w:tcPr>
            <w:tcW w:w="3544" w:type="dxa"/>
            <w:vAlign w:val="center"/>
          </w:tcPr>
          <w:p w14:paraId="3D7352C1" w14:textId="77777777" w:rsidR="00135777" w:rsidRDefault="00135777" w:rsidP="00135777">
            <w:pPr>
              <w:jc w:val="center"/>
            </w:pPr>
            <w:r>
              <w:t>GCTTGTACCCTGTCTTGATT</w:t>
            </w:r>
          </w:p>
        </w:tc>
        <w:tc>
          <w:tcPr>
            <w:tcW w:w="941" w:type="dxa"/>
            <w:vAlign w:val="center"/>
          </w:tcPr>
          <w:p w14:paraId="0C3A9B45" w14:textId="77777777" w:rsidR="00135777" w:rsidRDefault="00135777" w:rsidP="00135777">
            <w:pPr>
              <w:jc w:val="center"/>
            </w:pPr>
            <w:r>
              <w:t>80</w:t>
            </w:r>
          </w:p>
        </w:tc>
      </w:tr>
    </w:tbl>
    <w:p w14:paraId="3281BC80" w14:textId="2E6E4783" w:rsidR="00EB12A1" w:rsidRDefault="00EB12A1" w:rsidP="000848DE">
      <w:r>
        <w:t>Table S2.</w:t>
      </w:r>
      <w:bookmarkStart w:id="4" w:name="_GoBack"/>
      <w:bookmarkEnd w:id="4"/>
      <w:r>
        <w:t xml:space="preserve"> </w:t>
      </w:r>
      <w:proofErr w:type="spellStart"/>
      <w:proofErr w:type="gramStart"/>
      <w:r>
        <w:t>qPCR</w:t>
      </w:r>
      <w:proofErr w:type="spellEnd"/>
      <w:proofErr w:type="gramEnd"/>
      <w:r>
        <w:t xml:space="preserve"> VDAC specific primer pairs</w:t>
      </w:r>
    </w:p>
    <w:p w14:paraId="5BE7F9FB" w14:textId="77777777" w:rsidR="006E7057" w:rsidRDefault="006E7057" w:rsidP="00E717F3">
      <w:pPr>
        <w:jc w:val="both"/>
      </w:pPr>
      <w:r>
        <w:t>The PCR reaction mixture was subjected to the following multi-step treatment: 95°C for 180s (step 1), 95°C for 10s (step 2); 60°C for 30s (step 3); 95°C for 10s (step 4); temperature sweep from 65 to 95°C (melt curve</w:t>
      </w:r>
      <w:r w:rsidR="00E717F3">
        <w:t xml:space="preserve"> with 5°C temperature steps every </w:t>
      </w:r>
      <w:proofErr w:type="gramStart"/>
      <w:r w:rsidR="00E717F3">
        <w:t>5s</w:t>
      </w:r>
      <w:proofErr w:type="gramEnd"/>
      <w:r>
        <w:t xml:space="preserve">, step 5). </w:t>
      </w:r>
      <w:r w:rsidR="00E717F3">
        <w:t>Steps 2 and 3 were repeated 40 times, plate reading was done after steps 3 and 5. Lid temperature was 100°C.</w:t>
      </w:r>
      <w:r w:rsidR="00996C9B">
        <w:t xml:space="preserve"> Sample with primers but no cDNA was used as non-template control (NTC).</w:t>
      </w:r>
    </w:p>
    <w:p w14:paraId="6D6E099E" w14:textId="77777777" w:rsidR="00434F3B" w:rsidRPr="00434F3B" w:rsidRDefault="00434F3B" w:rsidP="00434F3B">
      <w:pPr>
        <w:pStyle w:val="berschrift2"/>
      </w:pPr>
      <w:bookmarkStart w:id="5" w:name="_Toc522728070"/>
      <w:r w:rsidRPr="00434F3B">
        <w:t>Matrix-Assisted Laser Desorption Ionization - Time-of-Flight Mass Spectrometry (MALDI-TOF MS) and MS/MS.</w:t>
      </w:r>
      <w:bookmarkEnd w:id="5"/>
    </w:p>
    <w:p w14:paraId="3173E0C5" w14:textId="77777777" w:rsidR="00126850" w:rsidRDefault="00434F3B" w:rsidP="00434F3B">
      <w:pPr>
        <w:jc w:val="both"/>
      </w:pPr>
      <w:r w:rsidRPr="00B60258">
        <w:t>MALDI-TOF MS was conducted on in-gel dig</w:t>
      </w:r>
      <w:r w:rsidR="00BD0659">
        <w:t>ested protein expressed from</w:t>
      </w:r>
      <w:r w:rsidRPr="00B60258">
        <w:t xml:space="preserve"> </w:t>
      </w:r>
      <w:r w:rsidR="00BD0659">
        <w:t>VDAC-</w:t>
      </w:r>
      <w:r w:rsidR="003D67C9">
        <w:t>I-0</w:t>
      </w:r>
      <w:r w:rsidRPr="00B60258">
        <w:t xml:space="preserve">. The sample was purified from </w:t>
      </w:r>
      <w:r>
        <w:t>the cell-free reaction mixture prior to in-gel digestion as described below</w:t>
      </w:r>
      <w:r w:rsidRPr="00B60258">
        <w:t>. The tryptic peptides were isolated, dried, and resuspended in ace</w:t>
      </w:r>
      <w:r>
        <w:t>tonitrile-trifluoroacetic acid</w:t>
      </w:r>
      <w:r w:rsidRPr="00B60258">
        <w:t xml:space="preserve"> before being analysed </w:t>
      </w:r>
      <w:r w:rsidRPr="00B60258">
        <w:lastRenderedPageBreak/>
        <w:t xml:space="preserve">in an </w:t>
      </w:r>
      <w:proofErr w:type="spellStart"/>
      <w:r w:rsidRPr="00B60258">
        <w:t>Autoflex</w:t>
      </w:r>
      <w:proofErr w:type="spellEnd"/>
      <w:r w:rsidRPr="00B60258">
        <w:t xml:space="preserve"> MALDI TOF/TOF mass spectrometer (Bruker</w:t>
      </w:r>
      <w:r>
        <w:t>, Billerica, USA</w:t>
      </w:r>
      <w:r w:rsidRPr="00B60258">
        <w:t>).</w:t>
      </w:r>
      <w:r>
        <w:rPr>
          <w:i/>
        </w:rPr>
        <w:t xml:space="preserve"> </w:t>
      </w:r>
      <w:r w:rsidRPr="00B60258">
        <w:t xml:space="preserve">Peptide matching was performed by comparing the experimental tryptic profile with those from the theoretical profile of VDAC. VDAC-based peptide sequences and comparison were carried out using the MS-Digest and MS-Tag algorithms of </w:t>
      </w:r>
      <w:proofErr w:type="spellStart"/>
      <w:r w:rsidRPr="00393A58">
        <w:rPr>
          <w:i/>
        </w:rPr>
        <w:t>ProteinProspector</w:t>
      </w:r>
      <w:proofErr w:type="spellEnd"/>
      <w:r w:rsidRPr="00B60258">
        <w:t xml:space="preserve"> (</w:t>
      </w:r>
      <w:r w:rsidRPr="00393A58">
        <w:rPr>
          <w:i/>
        </w:rPr>
        <w:t>http://prospector.ucsf.edu</w:t>
      </w:r>
      <w:r w:rsidRPr="00B60258">
        <w:t xml:space="preserve">), respectively. Peptide fragments </w:t>
      </w:r>
      <w:r>
        <w:t>giving out</w:t>
      </w:r>
      <w:r w:rsidRPr="00B60258">
        <w:t xml:space="preserve"> matching peaks were chosen as parent ions for partia</w:t>
      </w:r>
      <w:r>
        <w:t>l sequencing via MS/MS.</w:t>
      </w:r>
    </w:p>
    <w:p w14:paraId="4582AE79" w14:textId="77777777" w:rsidR="00370E4B" w:rsidRDefault="00B651BE" w:rsidP="00434F3B">
      <w:pPr>
        <w:pStyle w:val="berschrift2"/>
      </w:pPr>
      <w:bookmarkStart w:id="6" w:name="_Toc522728071"/>
      <w:r w:rsidRPr="00B651BE">
        <w:t>MALDI-TOF MS and MS/MS</w:t>
      </w:r>
      <w:r>
        <w:t xml:space="preserve"> </w:t>
      </w:r>
      <w:r w:rsidRPr="00807F09">
        <w:t xml:space="preserve">– Protein purification, </w:t>
      </w:r>
      <w:r w:rsidR="00434F3B">
        <w:t>sample preparation</w:t>
      </w:r>
      <w:r w:rsidR="00807F09">
        <w:t>.</w:t>
      </w:r>
      <w:bookmarkEnd w:id="6"/>
      <w:r w:rsidR="00807F09">
        <w:t xml:space="preserve"> </w:t>
      </w:r>
    </w:p>
    <w:p w14:paraId="416C27AE" w14:textId="77777777" w:rsidR="00996C9B" w:rsidRDefault="00807F09" w:rsidP="00E717F3">
      <w:pPr>
        <w:jc w:val="both"/>
      </w:pPr>
      <w:r>
        <w:t xml:space="preserve">HIS-Tagged VDAC was purified using the </w:t>
      </w:r>
      <w:proofErr w:type="spellStart"/>
      <w:r>
        <w:t>MagneHis</w:t>
      </w:r>
      <w:r w:rsidRPr="00B334E8">
        <w:rPr>
          <w:vertAlign w:val="superscript"/>
        </w:rPr>
        <w:t>TM</w:t>
      </w:r>
      <w:proofErr w:type="spellEnd"/>
      <w:r>
        <w:t xml:space="preserve"> Protein Purification Kit (Prom</w:t>
      </w:r>
      <w:r w:rsidR="00740893">
        <w:t>ega) according to</w:t>
      </w:r>
      <w:r>
        <w:t xml:space="preserve"> manufacturer’s instructions</w:t>
      </w:r>
      <w:r w:rsidR="00EF7D93">
        <w:t xml:space="preserve">, and eluted </w:t>
      </w:r>
      <w:r w:rsidR="006511A5">
        <w:t xml:space="preserve">from </w:t>
      </w:r>
      <w:r w:rsidR="00740893">
        <w:t xml:space="preserve">nickel </w:t>
      </w:r>
      <w:r w:rsidR="006511A5">
        <w:t>beads in two fractions</w:t>
      </w:r>
      <w:r>
        <w:t>.</w:t>
      </w:r>
      <w:r w:rsidR="006511A5">
        <w:t xml:space="preserve"> </w:t>
      </w:r>
      <w:r w:rsidR="00740893">
        <w:t xml:space="preserve">Attempts to filter the eluted fractions with </w:t>
      </w:r>
      <w:proofErr w:type="spellStart"/>
      <w:r w:rsidR="00740893">
        <w:t>Amicon</w:t>
      </w:r>
      <w:proofErr w:type="spellEnd"/>
      <w:r w:rsidR="00740893">
        <w:t xml:space="preserve"> ultra-0.5 mL centrifugal filters (Millipore) or D-</w:t>
      </w:r>
      <w:proofErr w:type="spellStart"/>
      <w:r w:rsidR="00740893">
        <w:t>tubeTM</w:t>
      </w:r>
      <w:proofErr w:type="spellEnd"/>
      <w:r w:rsidR="00740893">
        <w:t xml:space="preserve"> dialyzer Mini (MWCO 12-14 </w:t>
      </w:r>
      <w:proofErr w:type="spellStart"/>
      <w:r w:rsidR="00740893">
        <w:t>kDa</w:t>
      </w:r>
      <w:proofErr w:type="spellEnd"/>
      <w:r w:rsidR="00740893">
        <w:t xml:space="preserve">, </w:t>
      </w:r>
      <w:proofErr w:type="spellStart"/>
      <w:r w:rsidR="00740893">
        <w:t>Novagen</w:t>
      </w:r>
      <w:proofErr w:type="spellEnd"/>
      <w:r w:rsidR="00740893">
        <w:t xml:space="preserve">) led to considerable loss of sample, and hence fractions were not filtered after elution. </w:t>
      </w:r>
      <w:r w:rsidR="006511A5">
        <w:t xml:space="preserve">The </w:t>
      </w:r>
      <w:r w:rsidR="00740893">
        <w:t xml:space="preserve">first </w:t>
      </w:r>
      <w:r w:rsidR="006511A5">
        <w:t>fraction eluted by 3</w:t>
      </w:r>
      <w:r w:rsidR="00BF7172">
        <w:t xml:space="preserve"> </w:t>
      </w:r>
      <w:r w:rsidR="006511A5">
        <w:t>M NaCl and the second by 3</w:t>
      </w:r>
      <w:r w:rsidR="00BF7172">
        <w:t xml:space="preserve"> </w:t>
      </w:r>
      <w:r w:rsidR="006511A5">
        <w:t>M NaCl, 500 mM imidazole in 10 mM HEPES (1:1). The second fraction, of higher purity, was used for MS analysis.</w:t>
      </w:r>
    </w:p>
    <w:p w14:paraId="6D3B223D" w14:textId="77777777" w:rsidR="006511A5" w:rsidRDefault="00873067" w:rsidP="00E717F3">
      <w:pPr>
        <w:jc w:val="both"/>
      </w:pPr>
      <w:r>
        <w:t>In-gel digestion of HIS-tagged VDAC protein for MS analysis was performed as follows. After excising the VDAC band, the gel fragments</w:t>
      </w:r>
      <w:r w:rsidR="00AC508A">
        <w:t xml:space="preserve"> were distained and dehydrated thrice at room temperature for 15 min, twice with 50% acetonitrile (</w:t>
      </w:r>
      <w:proofErr w:type="spellStart"/>
      <w:r w:rsidR="00AC508A">
        <w:t>AcCN</w:t>
      </w:r>
      <w:proofErr w:type="spellEnd"/>
      <w:r w:rsidR="00AC508A">
        <w:t xml:space="preserve">) and once with 100% </w:t>
      </w:r>
      <w:proofErr w:type="spellStart"/>
      <w:r w:rsidR="00AC508A">
        <w:t>AcCN</w:t>
      </w:r>
      <w:proofErr w:type="spellEnd"/>
      <w:r w:rsidR="00AC508A">
        <w:t xml:space="preserve">, </w:t>
      </w:r>
      <w:r w:rsidR="00BF7172">
        <w:t>before being further treated with 0.1 M NH</w:t>
      </w:r>
      <w:r w:rsidR="00BF7172" w:rsidRPr="00BF7172">
        <w:rPr>
          <w:vertAlign w:val="subscript"/>
        </w:rPr>
        <w:t>4</w:t>
      </w:r>
      <w:r w:rsidR="00BF7172">
        <w:t>HCO</w:t>
      </w:r>
      <w:r w:rsidR="00BF7172" w:rsidRPr="00BF7172">
        <w:rPr>
          <w:vertAlign w:val="subscript"/>
        </w:rPr>
        <w:t>3</w:t>
      </w:r>
      <w:r w:rsidR="00BF7172">
        <w:t xml:space="preserve"> and 100 % </w:t>
      </w:r>
      <w:proofErr w:type="spellStart"/>
      <w:r w:rsidR="00BF7172">
        <w:t>AcCN</w:t>
      </w:r>
      <w:proofErr w:type="spellEnd"/>
      <w:r w:rsidR="00BF7172">
        <w:t>. Gel bands were then dried in a Speed Vac (Thermo Scientific) and then reduced and allowed to swell with 10 mM dithiothreitol (DTT) in 0.1 M NH</w:t>
      </w:r>
      <w:r w:rsidR="00BF7172" w:rsidRPr="00BF7172">
        <w:rPr>
          <w:vertAlign w:val="subscript"/>
        </w:rPr>
        <w:t>4</w:t>
      </w:r>
      <w:r w:rsidR="00BF7172">
        <w:t>HCO</w:t>
      </w:r>
      <w:r w:rsidR="00BF7172" w:rsidRPr="00BF7172">
        <w:rPr>
          <w:vertAlign w:val="subscript"/>
        </w:rPr>
        <w:t>3</w:t>
      </w:r>
      <w:r w:rsidR="00BF7172">
        <w:t xml:space="preserve"> at room temperature for 5 min. The swollen pieces were incubated at 56°C for 45 min, and alkylated with 55 mM iodoacetamide in 0.1 M NH</w:t>
      </w:r>
      <w:r w:rsidR="00BF7172" w:rsidRPr="00BF7172">
        <w:rPr>
          <w:vertAlign w:val="subscript"/>
        </w:rPr>
        <w:t>4</w:t>
      </w:r>
      <w:r w:rsidR="00BF7172">
        <w:t>HCO</w:t>
      </w:r>
      <w:r w:rsidR="00BF7172" w:rsidRPr="00BF7172">
        <w:rPr>
          <w:vertAlign w:val="subscript"/>
        </w:rPr>
        <w:t>3</w:t>
      </w:r>
      <w:r w:rsidR="00BF7172">
        <w:t xml:space="preserve"> in the dark for another 30 min. Gel bands were then washed as detailed above, and dried in </w:t>
      </w:r>
      <w:proofErr w:type="spellStart"/>
      <w:r w:rsidR="00BF7172">
        <w:t>AcCN</w:t>
      </w:r>
      <w:proofErr w:type="spellEnd"/>
      <w:r w:rsidR="00BF7172">
        <w:t xml:space="preserve"> before trypsin-digested in 0.1 M NH</w:t>
      </w:r>
      <w:r w:rsidR="00BF7172" w:rsidRPr="00BF7172">
        <w:rPr>
          <w:vertAlign w:val="subscript"/>
        </w:rPr>
        <w:t>4</w:t>
      </w:r>
      <w:r w:rsidR="00BF7172">
        <w:t>HCO</w:t>
      </w:r>
      <w:r w:rsidR="00BF7172" w:rsidRPr="00BF7172">
        <w:rPr>
          <w:vertAlign w:val="subscript"/>
        </w:rPr>
        <w:t>3</w:t>
      </w:r>
      <w:r w:rsidR="00124885">
        <w:t xml:space="preserve">. Trypsin cleaves at the carboxyl sites of positively-charged Lys and </w:t>
      </w:r>
      <w:proofErr w:type="spellStart"/>
      <w:r w:rsidR="00124885">
        <w:t>Arg</w:t>
      </w:r>
      <w:proofErr w:type="spellEnd"/>
      <w:r w:rsidR="00124885">
        <w:t xml:space="preserve"> side chains. </w:t>
      </w:r>
      <w:r w:rsidR="00205068">
        <w:t>After digestion, the pieces were reswollen for 5 min, then incubated overnight in 0.1 M NH</w:t>
      </w:r>
      <w:r w:rsidR="00205068" w:rsidRPr="00BF7172">
        <w:rPr>
          <w:vertAlign w:val="subscript"/>
        </w:rPr>
        <w:t>4</w:t>
      </w:r>
      <w:r w:rsidR="00205068">
        <w:t>HCO</w:t>
      </w:r>
      <w:r w:rsidR="00205068" w:rsidRPr="00BF7172">
        <w:rPr>
          <w:vertAlign w:val="subscript"/>
        </w:rPr>
        <w:t>3</w:t>
      </w:r>
      <w:r w:rsidR="00205068">
        <w:t xml:space="preserve"> at 37°C and </w:t>
      </w:r>
      <w:r w:rsidR="00B417A0">
        <w:t xml:space="preserve">the supernatant </w:t>
      </w:r>
      <w:r w:rsidR="00205068">
        <w:t>transfer</w:t>
      </w:r>
      <w:r w:rsidR="00B417A0">
        <w:t xml:space="preserve">red into a clean tube. Peptide traces still lodged in the gel were extracted thrice with </w:t>
      </w:r>
      <w:proofErr w:type="spellStart"/>
      <w:r w:rsidR="00B417A0">
        <w:t>AcCN</w:t>
      </w:r>
      <w:proofErr w:type="spellEnd"/>
      <w:r w:rsidR="00B417A0">
        <w:t>: H</w:t>
      </w:r>
      <w:r w:rsidR="00B417A0" w:rsidRPr="00B417A0">
        <w:rPr>
          <w:vertAlign w:val="subscript"/>
        </w:rPr>
        <w:t>2</w:t>
      </w:r>
      <w:r w:rsidR="00B417A0">
        <w:t xml:space="preserve">O: </w:t>
      </w:r>
      <w:proofErr w:type="spellStart"/>
      <w:r w:rsidR="00B417A0">
        <w:t>trifluoroacetic</w:t>
      </w:r>
      <w:proofErr w:type="spellEnd"/>
      <w:r w:rsidR="00B417A0">
        <w:t xml:space="preserve"> acid</w:t>
      </w:r>
      <w:r w:rsidR="00A86181">
        <w:t xml:space="preserve"> (TFA)</w:t>
      </w:r>
      <w:r w:rsidR="00B417A0">
        <w:t xml:space="preserve"> (660:330:1), incubated at room temperature for 15 min and at 1400 rpm, and added to the tube. The extracted peptides were then dried in the Speed-Vac at low or zero heat, and resuspended in 5 µl </w:t>
      </w:r>
      <w:r w:rsidR="00A86181">
        <w:t xml:space="preserve">50% </w:t>
      </w:r>
      <w:proofErr w:type="spellStart"/>
      <w:r w:rsidR="00A86181">
        <w:t>AcCN</w:t>
      </w:r>
      <w:proofErr w:type="spellEnd"/>
      <w:r w:rsidR="00A86181">
        <w:t xml:space="preserve"> and 0.1% TFA, before dispensed onto the MALDI-target plate and air dried at room temperature.</w:t>
      </w:r>
      <w:r w:rsidR="00D40CFA">
        <w:t xml:space="preserve"> The masses of minimum and maximum digest fragment masses were found to be 500 (5 amino acids) and 4000 Da, respectively.</w:t>
      </w:r>
    </w:p>
    <w:p w14:paraId="109D6ACF" w14:textId="77777777" w:rsidR="00197190" w:rsidRDefault="00D40CFA" w:rsidP="00197190">
      <w:pPr>
        <w:jc w:val="both"/>
      </w:pPr>
      <w:r>
        <w:t xml:space="preserve">Database search was carried out with one missing trypsin cleavage, </w:t>
      </w:r>
      <w:proofErr w:type="spellStart"/>
      <w:r>
        <w:t>carbamidomethylation</w:t>
      </w:r>
      <w:proofErr w:type="spellEnd"/>
      <w:r>
        <w:t xml:space="preserve"> and methionine oxidation. Mass tolerances were 0.1% for precursor and product ions. The variable search parameters were Acetyl (Protein N-term), </w:t>
      </w:r>
      <w:proofErr w:type="spellStart"/>
      <w:r>
        <w:t>Gln</w:t>
      </w:r>
      <w:proofErr w:type="spellEnd"/>
      <w:r>
        <w:t>-pyro-</w:t>
      </w:r>
      <w:proofErr w:type="spellStart"/>
      <w:r>
        <w:t>Glu</w:t>
      </w:r>
      <w:proofErr w:type="spellEnd"/>
      <w:r>
        <w:t xml:space="preserve"> (N term Q), Met-loss (Protein N-term M), </w:t>
      </w:r>
      <w:proofErr w:type="spellStart"/>
      <w:r>
        <w:t>Met-loss+Acetyl</w:t>
      </w:r>
      <w:proofErr w:type="spellEnd"/>
      <w:r>
        <w:t xml:space="preserve"> (Protei</w:t>
      </w:r>
      <w:r w:rsidR="00141063">
        <w:t>n N-term M), and Oxidation (M).</w:t>
      </w:r>
    </w:p>
    <w:p w14:paraId="0217495D" w14:textId="77777777" w:rsidR="00434F3B" w:rsidRDefault="00434F3B" w:rsidP="00434F3B">
      <w:pPr>
        <w:pStyle w:val="berschrift2"/>
      </w:pPr>
      <w:bookmarkStart w:id="7" w:name="_Toc522728072"/>
      <w:r w:rsidRPr="001A2674">
        <w:t>In-cell expression of VDAC proteins</w:t>
      </w:r>
      <w:bookmarkEnd w:id="7"/>
    </w:p>
    <w:p w14:paraId="5266372C" w14:textId="77777777" w:rsidR="00434F3B" w:rsidRDefault="00434F3B" w:rsidP="00434F3B">
      <w:pPr>
        <w:jc w:val="both"/>
      </w:pPr>
      <w:r>
        <w:t>VDAC-</w:t>
      </w:r>
      <w:r w:rsidR="003D67C9">
        <w:t>I-0</w:t>
      </w:r>
      <w:r>
        <w:t xml:space="preserve"> and VDAC-</w:t>
      </w:r>
      <w:r w:rsidR="003D67C9">
        <w:t>II-0</w:t>
      </w:r>
      <w:r w:rsidR="00BD0659">
        <w:t xml:space="preserve"> plasmids </w:t>
      </w:r>
      <w:r>
        <w:t xml:space="preserve">were transformed into </w:t>
      </w:r>
      <w:r w:rsidR="003D67C9">
        <w:rPr>
          <w:i/>
        </w:rPr>
        <w:t>E. c</w:t>
      </w:r>
      <w:r w:rsidRPr="001A2674">
        <w:rPr>
          <w:i/>
        </w:rPr>
        <w:t>oli</w:t>
      </w:r>
      <w:r>
        <w:t xml:space="preserve"> BL21 via heat-shock transformation. Cells were then regenerated by incubation in SOC broth at 37°C for 1h. Transformed cells were allowed to grow overnight on LB agar plates supplemented with 50 µm/ml ampicillin at 37°C. Single colonies were inoculated in 5 ml LB medium containing ampicillin. After overnight growth, 100 µl of the start culture was transferred to 5 ml of fresh LB medium containing ampicillin, and further incubated at 37°C for 3h. 5 µl of 1 M isopropyl-</w:t>
      </w:r>
      <w:r>
        <w:sym w:font="Symbol" w:char="F062"/>
      </w:r>
      <w:r>
        <w:t>-D-</w:t>
      </w:r>
      <w:proofErr w:type="spellStart"/>
      <w:r>
        <w:t>thiogalactopyranosid</w:t>
      </w:r>
      <w:proofErr w:type="spellEnd"/>
      <w:r>
        <w:t xml:space="preserve"> (</w:t>
      </w:r>
      <w:proofErr w:type="spellStart"/>
      <w:r>
        <w:t>iPTG</w:t>
      </w:r>
      <w:proofErr w:type="spellEnd"/>
      <w:r>
        <w:t>), were then added to the culture to induce over expression of VDAC protein, and further incubated at 37°C for another 3 hours. 100 µl of sample were collected every hour and checked for protein expression via SDS-PAGE and Western Blot.</w:t>
      </w:r>
    </w:p>
    <w:p w14:paraId="365F6A47" w14:textId="77777777" w:rsidR="00434F3B" w:rsidRDefault="00434F3B">
      <w:pPr>
        <w:spacing w:line="259" w:lineRule="auto"/>
      </w:pPr>
      <w:r>
        <w:br w:type="page"/>
      </w:r>
    </w:p>
    <w:p w14:paraId="057D07BA" w14:textId="77777777" w:rsidR="001974A1" w:rsidRDefault="001974A1" w:rsidP="001974A1">
      <w:pPr>
        <w:pStyle w:val="berschrift2"/>
      </w:pPr>
      <w:bookmarkStart w:id="8" w:name="_Toc522728073"/>
      <w:r>
        <w:lastRenderedPageBreak/>
        <w:t xml:space="preserve">Simulated annealing </w:t>
      </w:r>
      <w:r w:rsidR="002B48E6">
        <w:t>and construct optimization</w:t>
      </w:r>
      <w:bookmarkEnd w:id="8"/>
    </w:p>
    <w:p w14:paraId="289E2D8F" w14:textId="77777777" w:rsidR="001974A1" w:rsidRPr="00AB2EB9" w:rsidRDefault="002B48E6" w:rsidP="00104CD4">
      <w:pPr>
        <w:jc w:val="both"/>
      </w:pPr>
      <w:r>
        <w:t xml:space="preserve">The procedure starts with the characterization of the source sequence, the RNA transcript of a reference construct. </w:t>
      </w:r>
      <w:r>
        <w:sym w:font="Symbol" w:char="F064"/>
      </w:r>
      <w:r>
        <w:t xml:space="preserve"> is computed </w:t>
      </w:r>
      <w:r w:rsidR="0086045E">
        <w:t>with</w:t>
      </w:r>
      <w:r>
        <w:t xml:space="preserve"> </w:t>
      </w:r>
      <w:r w:rsidR="0086045E">
        <w:t xml:space="preserve">the </w:t>
      </w:r>
      <w:r>
        <w:t xml:space="preserve">equation in </w:t>
      </w:r>
      <w:r w:rsidR="0086045E">
        <w:t xml:space="preserve">the </w:t>
      </w:r>
      <w:r>
        <w:t xml:space="preserve">main text, with </w:t>
      </w:r>
      <w:r>
        <w:sym w:font="Symbol" w:char="F044"/>
      </w:r>
      <w:proofErr w:type="spellStart"/>
      <w:r>
        <w:t>E</w:t>
      </w:r>
      <w:r w:rsidRPr="002B48E6">
        <w:rPr>
          <w:i/>
          <w:vertAlign w:val="subscript"/>
        </w:rPr>
        <w:t>tRNA</w:t>
      </w:r>
      <w:proofErr w:type="spellEnd"/>
      <w:r>
        <w:rPr>
          <w:vertAlign w:val="subscript"/>
        </w:rPr>
        <w:t xml:space="preserve"> </w:t>
      </w:r>
      <w:r>
        <w:t xml:space="preserve">set constant and equal to -1.19 kcal/mol for </w:t>
      </w:r>
      <w:r w:rsidR="00AB2EB9">
        <w:t xml:space="preserve">the </w:t>
      </w:r>
      <w:r>
        <w:t xml:space="preserve">AUG </w:t>
      </w:r>
      <w:r w:rsidR="00AB2EB9">
        <w:t>start codon</w:t>
      </w:r>
      <w:r>
        <w:t xml:space="preserve">. </w:t>
      </w:r>
      <w:r w:rsidR="00104CD4">
        <w:sym w:font="Symbol" w:char="F044"/>
      </w:r>
      <w:r w:rsidR="00104CD4">
        <w:t>E</w:t>
      </w:r>
      <w:r w:rsidR="00104CD4">
        <w:rPr>
          <w:i/>
          <w:vertAlign w:val="subscript"/>
        </w:rPr>
        <w:t>SD</w:t>
      </w:r>
      <w:r w:rsidR="00104CD4">
        <w:t xml:space="preserve"> is calculated between a 30-nucleotide-long segment upstream the start codon of the source sequence and </w:t>
      </w:r>
      <w:proofErr w:type="spellStart"/>
      <w:r w:rsidR="00104CD4">
        <w:t>and</w:t>
      </w:r>
      <w:proofErr w:type="spellEnd"/>
      <w:r w:rsidR="00104CD4">
        <w:t xml:space="preserve"> the anti-SD sequence in the 16S-ribosomal RNA (CACCTCCTTA), for the most energetically favourable location of the SD sequence in the source, which is obtained with </w:t>
      </w:r>
      <w:proofErr w:type="spellStart"/>
      <w:r w:rsidR="00104CD4" w:rsidRPr="00104CD4">
        <w:rPr>
          <w:i/>
        </w:rPr>
        <w:t>RNAduplex</w:t>
      </w:r>
      <w:proofErr w:type="spellEnd"/>
      <w:r w:rsidR="00104CD4">
        <w:t>.</w:t>
      </w:r>
      <w:r w:rsidR="000D0BA7">
        <w:t xml:space="preserve"> </w:t>
      </w:r>
      <w:r w:rsidR="000D0BA7">
        <w:sym w:font="Symbol" w:char="F044"/>
      </w:r>
      <w:proofErr w:type="spellStart"/>
      <w:r w:rsidR="000D0BA7">
        <w:t>E</w:t>
      </w:r>
      <w:r w:rsidR="000D0BA7">
        <w:rPr>
          <w:i/>
          <w:vertAlign w:val="subscript"/>
        </w:rPr>
        <w:t>open</w:t>
      </w:r>
      <w:proofErr w:type="spellEnd"/>
      <w:r w:rsidR="00AB2EB9">
        <w:t xml:space="preserve"> is calculated with the program </w:t>
      </w:r>
      <w:proofErr w:type="spellStart"/>
      <w:r w:rsidR="00AB2EB9" w:rsidRPr="00AB2EB9">
        <w:rPr>
          <w:i/>
        </w:rPr>
        <w:t>RNAup</w:t>
      </w:r>
      <w:proofErr w:type="spellEnd"/>
      <w:r w:rsidR="00AB2EB9">
        <w:t>.</w:t>
      </w:r>
    </w:p>
    <w:p w14:paraId="57468942" w14:textId="77777777" w:rsidR="00104CD4" w:rsidRDefault="00104CD4" w:rsidP="00104CD4">
      <w:pPr>
        <w:jc w:val="both"/>
      </w:pPr>
      <w:r>
        <w:sym w:font="Symbol" w:char="F064"/>
      </w:r>
      <w:r>
        <w:t xml:space="preserve"> is then maximised </w:t>
      </w:r>
      <w:r w:rsidR="000D0BA7">
        <w:t>by allowing single-nucleotide mutation</w:t>
      </w:r>
      <w:r w:rsidR="00F11619">
        <w:t>s in the TR of source sequences</w:t>
      </w:r>
      <w:r w:rsidR="000D0BA7">
        <w:t xml:space="preserve"> that encode the same amino acid (synonymous). The simulated annealing algorithm randomly swaps codons with synonymous mutations and the resulting sequence is characterized as described above. Mutations are accepted as long as they decrease </w:t>
      </w:r>
      <w:r w:rsidR="000D0BA7">
        <w:sym w:font="Symbol" w:char="F044"/>
      </w:r>
      <w:proofErr w:type="spellStart"/>
      <w:r w:rsidR="000D0BA7">
        <w:t>E</w:t>
      </w:r>
      <w:r w:rsidR="000D0BA7">
        <w:rPr>
          <w:i/>
          <w:vertAlign w:val="subscript"/>
        </w:rPr>
        <w:t>open</w:t>
      </w:r>
      <w:proofErr w:type="spellEnd"/>
      <w:r w:rsidR="000D0BA7">
        <w:t xml:space="preserve">; </w:t>
      </w:r>
      <w:proofErr w:type="gramStart"/>
      <w:r w:rsidR="000D0BA7">
        <w:t>otherwise</w:t>
      </w:r>
      <w:proofErr w:type="gramEnd"/>
      <w:r w:rsidR="000D0BA7">
        <w:t xml:space="preserve"> they are accepted with a probability </w:t>
      </w:r>
      <w:r w:rsidR="000D0BA7" w:rsidRPr="000D0BA7">
        <w:rPr>
          <w:i/>
        </w:rPr>
        <w:t>p</w:t>
      </w:r>
      <w:r w:rsidR="000D0BA7">
        <w:t xml:space="preserve"> that in turn depends on the change in </w:t>
      </w:r>
      <w:r w:rsidR="000D0BA7">
        <w:sym w:font="Symbol" w:char="F044"/>
      </w:r>
      <w:proofErr w:type="spellStart"/>
      <w:r w:rsidR="000D0BA7">
        <w:t>E</w:t>
      </w:r>
      <w:r w:rsidR="000D0BA7">
        <w:rPr>
          <w:i/>
          <w:vertAlign w:val="subscript"/>
        </w:rPr>
        <w:t>open</w:t>
      </w:r>
      <w:proofErr w:type="spellEnd"/>
      <w:r w:rsidR="000D0BA7">
        <w:t xml:space="preserve"> brought about by the mutation, and a virtual temperature </w:t>
      </w:r>
      <w:r w:rsidR="000D0BA7" w:rsidRPr="000D0BA7">
        <w:rPr>
          <w:i/>
        </w:rPr>
        <w:t>t</w:t>
      </w:r>
      <w:r w:rsidR="000D0BA7">
        <w:t xml:space="preserve"> that is iteratively decreased from 2 to 0:</w:t>
      </w:r>
    </w:p>
    <w:p w14:paraId="480C9FAA" w14:textId="77777777" w:rsidR="000D0BA7" w:rsidRPr="00D11A4B" w:rsidRDefault="000D0BA7" w:rsidP="00104CD4">
      <w:pPr>
        <w:jc w:val="both"/>
        <w:rPr>
          <w:rFonts w:eastAsiaTheme="minorEastAsia"/>
        </w:rPr>
      </w:pPr>
      <m:oMathPara>
        <m:oMath>
          <m:r>
            <w:rPr>
              <w:rFonts w:ascii="Cambria Math" w:hAnsi="Cambria Math"/>
            </w:rPr>
            <m:t>p≤</m:t>
          </m:r>
          <m:sSup>
            <m:sSupPr>
              <m:ctrlPr>
                <w:rPr>
                  <w:rFonts w:ascii="Cambria Math" w:hAnsi="Cambria Math"/>
                  <w:i/>
                </w:rPr>
              </m:ctrlPr>
            </m:sSupPr>
            <m:e>
              <m:r>
                <w:rPr>
                  <w:rFonts w:ascii="Cambria Math" w:hAnsi="Cambria Math"/>
                </w:rPr>
                <m:t>e</m:t>
              </m:r>
            </m:e>
            <m:sup>
              <m:f>
                <m:fPr>
                  <m:type m:val="skw"/>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w:rPr>
                              <w:rFonts w:ascii="Cambria Math" w:hAnsi="Cambria Math"/>
                            </w:rPr>
                            <m:t>∆E</m:t>
                          </m:r>
                        </m:e>
                        <m:sub>
                          <m:r>
                            <w:rPr>
                              <w:rFonts w:ascii="Cambria Math" w:hAnsi="Cambria Math"/>
                            </w:rPr>
                            <m:t>open</m:t>
                          </m:r>
                        </m:sub>
                        <m:sup>
                          <m:r>
                            <w:rPr>
                              <w:rFonts w:ascii="Cambria Math" w:hAnsi="Cambria Math"/>
                            </w:rPr>
                            <m:t>after</m:t>
                          </m:r>
                        </m:sup>
                      </m:sSubSup>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open</m:t>
                          </m:r>
                        </m:sub>
                        <m:sup>
                          <m:r>
                            <w:rPr>
                              <w:rFonts w:ascii="Cambria Math" w:hAnsi="Cambria Math"/>
                            </w:rPr>
                            <m:t>before</m:t>
                          </m:r>
                        </m:sup>
                      </m:sSubSup>
                    </m:e>
                  </m:d>
                </m:num>
                <m:den>
                  <m:r>
                    <w:rPr>
                      <w:rFonts w:ascii="Cambria Math" w:hAnsi="Cambria Math"/>
                    </w:rPr>
                    <m:t>t</m:t>
                  </m:r>
                </m:den>
              </m:f>
            </m:sup>
          </m:sSup>
        </m:oMath>
      </m:oMathPara>
    </w:p>
    <w:p w14:paraId="27560BCF" w14:textId="77777777" w:rsidR="00D11A4B" w:rsidRPr="000D0BA7" w:rsidRDefault="00792A7E" w:rsidP="00104CD4">
      <w:pPr>
        <w:jc w:val="both"/>
      </w:pPr>
      <w:r>
        <w:t xml:space="preserve">Where </w:t>
      </w:r>
      <m:oMath>
        <m:sSubSup>
          <m:sSubSupPr>
            <m:ctrlPr>
              <w:rPr>
                <w:rFonts w:ascii="Cambria Math" w:hAnsi="Cambria Math"/>
                <w:i/>
              </w:rPr>
            </m:ctrlPr>
          </m:sSubSupPr>
          <m:e>
            <m:r>
              <w:rPr>
                <w:rFonts w:ascii="Cambria Math" w:hAnsi="Cambria Math"/>
              </w:rPr>
              <m:t>∆E</m:t>
            </m:r>
          </m:e>
          <m:sub>
            <m:r>
              <w:rPr>
                <w:rFonts w:ascii="Cambria Math" w:hAnsi="Cambria Math"/>
              </w:rPr>
              <m:t>open</m:t>
            </m:r>
          </m:sub>
          <m:sup>
            <m:r>
              <w:rPr>
                <w:rFonts w:ascii="Cambria Math" w:hAnsi="Cambria Math"/>
              </w:rPr>
              <m:t>before</m:t>
            </m:r>
          </m:sup>
        </m:sSubSup>
      </m:oMath>
      <w:r>
        <w:rPr>
          <w:rFonts w:eastAsiaTheme="minorEastAsia"/>
        </w:rPr>
        <w:t xml:space="preserve"> </w:t>
      </w:r>
      <w:r w:rsidR="00296C7F">
        <w:rPr>
          <w:rFonts w:eastAsiaTheme="minorEastAsia"/>
        </w:rPr>
        <w:t xml:space="preserve">and </w:t>
      </w:r>
      <m:oMath>
        <m:sSubSup>
          <m:sSubSupPr>
            <m:ctrlPr>
              <w:rPr>
                <w:rFonts w:ascii="Cambria Math" w:hAnsi="Cambria Math"/>
                <w:i/>
              </w:rPr>
            </m:ctrlPr>
          </m:sSubSupPr>
          <m:e>
            <m:r>
              <w:rPr>
                <w:rFonts w:ascii="Cambria Math" w:hAnsi="Cambria Math"/>
              </w:rPr>
              <m:t>∆E</m:t>
            </m:r>
          </m:e>
          <m:sub>
            <m:r>
              <w:rPr>
                <w:rFonts w:ascii="Cambria Math" w:hAnsi="Cambria Math"/>
              </w:rPr>
              <m:t>open</m:t>
            </m:r>
          </m:sub>
          <m:sup>
            <m:r>
              <w:rPr>
                <w:rFonts w:ascii="Cambria Math" w:hAnsi="Cambria Math"/>
              </w:rPr>
              <m:t>after</m:t>
            </m:r>
          </m:sup>
        </m:sSubSup>
      </m:oMath>
      <w:r w:rsidR="00296C7F">
        <w:rPr>
          <w:rFonts w:eastAsiaTheme="minorEastAsia"/>
        </w:rPr>
        <w:t xml:space="preserve"> </w:t>
      </w:r>
      <w:r>
        <w:rPr>
          <w:rFonts w:eastAsiaTheme="minorEastAsia"/>
        </w:rPr>
        <w:t>are the opening energies before and after introducing the mutation</w:t>
      </w:r>
      <w:r w:rsidR="00296C7F">
        <w:rPr>
          <w:rFonts w:eastAsiaTheme="minorEastAsia"/>
        </w:rPr>
        <w:t>, respectively</w:t>
      </w:r>
      <w:r>
        <w:rPr>
          <w:rFonts w:eastAsiaTheme="minorEastAsia"/>
        </w:rPr>
        <w:t>.</w:t>
      </w:r>
      <w:r w:rsidR="00296C7F">
        <w:rPr>
          <w:rFonts w:eastAsiaTheme="minorEastAsia"/>
        </w:rPr>
        <w:t xml:space="preserve"> </w:t>
      </w:r>
      <w:proofErr w:type="gramStart"/>
      <w:r w:rsidR="00296C7F">
        <w:rPr>
          <w:rFonts w:eastAsiaTheme="minorEastAsia"/>
        </w:rPr>
        <w:t>Hence</w:t>
      </w:r>
      <w:proofErr w:type="gramEnd"/>
      <w:r w:rsidR="00296C7F">
        <w:rPr>
          <w:rFonts w:eastAsiaTheme="minorEastAsia"/>
        </w:rPr>
        <w:t xml:space="preserve"> the probability of accepting a detrimental mutation is reduced in the course of the iterative process. This allows to widely explore the energy landscape before fine searching for local energy minima.</w:t>
      </w:r>
      <w:r w:rsidR="002C68D3">
        <w:rPr>
          <w:rFonts w:eastAsiaTheme="minorEastAsia"/>
        </w:rPr>
        <w:t xml:space="preserve"> </w:t>
      </w:r>
      <w:r w:rsidR="00593ED9">
        <w:rPr>
          <w:rFonts w:eastAsiaTheme="minorEastAsia"/>
        </w:rPr>
        <w:t xml:space="preserve">Finding mutations </w:t>
      </w:r>
      <w:r w:rsidR="008A0777">
        <w:rPr>
          <w:rFonts w:eastAsiaTheme="minorEastAsia"/>
        </w:rPr>
        <w:t xml:space="preserve">that are accepted is accomplished by setting </w:t>
      </w:r>
      <w:r w:rsidR="00920B86">
        <w:rPr>
          <w:rFonts w:eastAsiaTheme="minorEastAsia"/>
        </w:rPr>
        <w:t>300 iteration ste</w:t>
      </w:r>
      <w:r w:rsidR="008A0777">
        <w:rPr>
          <w:rFonts w:eastAsiaTheme="minorEastAsia"/>
        </w:rPr>
        <w:t>ps with up to 25 tries per step</w:t>
      </w:r>
      <w:r w:rsidR="00AB2EB9">
        <w:rPr>
          <w:rFonts w:eastAsiaTheme="minorEastAsia"/>
        </w:rPr>
        <w:t>.</w:t>
      </w:r>
    </w:p>
    <w:p w14:paraId="2B0FCFE1" w14:textId="77777777" w:rsidR="000C3D32" w:rsidRDefault="000C3D32" w:rsidP="000C3D32">
      <w:pPr>
        <w:pStyle w:val="berschrift2"/>
      </w:pPr>
      <w:bookmarkStart w:id="9" w:name="_Toc522728074"/>
      <w:r>
        <w:t xml:space="preserve">Calculation of accessibility profiles for single </w:t>
      </w:r>
      <w:r w:rsidR="00040369">
        <w:t xml:space="preserve">constructs </w:t>
      </w:r>
      <w:r>
        <w:t xml:space="preserve">and sets of constructs </w:t>
      </w:r>
      <w:r w:rsidRPr="00040369">
        <w:rPr>
          <w:i w:val="0"/>
        </w:rPr>
        <w:t>(</w:t>
      </w:r>
      <w:r w:rsidRPr="00040369">
        <w:rPr>
          <w:i w:val="0"/>
        </w:rPr>
        <w:sym w:font="Symbol" w:char="F044"/>
      </w:r>
      <w:proofErr w:type="spellStart"/>
      <w:r w:rsidRPr="00040369">
        <w:rPr>
          <w:i w:val="0"/>
        </w:rPr>
        <w:t>E</w:t>
      </w:r>
      <w:r w:rsidRPr="00040369">
        <w:rPr>
          <w:i w:val="0"/>
          <w:vertAlign w:val="subscript"/>
        </w:rPr>
        <w:t>open</w:t>
      </w:r>
      <w:proofErr w:type="spellEnd"/>
      <w:r w:rsidRPr="00040369">
        <w:rPr>
          <w:i w:val="0"/>
          <w:vertAlign w:val="subscript"/>
        </w:rPr>
        <w:t xml:space="preserve"> </w:t>
      </w:r>
      <w:r w:rsidRPr="00040369">
        <w:rPr>
          <w:i w:val="0"/>
        </w:rPr>
        <w:t>(</w:t>
      </w:r>
      <w:proofErr w:type="spellStart"/>
      <w:r w:rsidRPr="00040369">
        <w:rPr>
          <w:i w:val="0"/>
        </w:rPr>
        <w:t>i</w:t>
      </w:r>
      <w:proofErr w:type="spellEnd"/>
      <w:r w:rsidRPr="00040369">
        <w:rPr>
          <w:i w:val="0"/>
        </w:rPr>
        <w:t>))</w:t>
      </w:r>
      <w:bookmarkEnd w:id="9"/>
    </w:p>
    <w:p w14:paraId="18A6AFC0" w14:textId="77777777" w:rsidR="000C3D32" w:rsidRPr="000C3D32" w:rsidRDefault="000C3D32" w:rsidP="00393A58">
      <w:pPr>
        <w:jc w:val="both"/>
      </w:pPr>
      <w:r>
        <w:t xml:space="preserve">For the constructs such as those displayed in Figure 4a </w:t>
      </w:r>
      <w:r w:rsidR="00040369">
        <w:t>and b</w:t>
      </w:r>
      <w:r>
        <w:t xml:space="preserve">, </w:t>
      </w:r>
      <w:r>
        <w:sym w:font="Symbol" w:char="F044"/>
      </w:r>
      <w:proofErr w:type="spellStart"/>
      <w:r>
        <w:t>E</w:t>
      </w:r>
      <w:r w:rsidRPr="000C3D32">
        <w:rPr>
          <w:vertAlign w:val="subscript"/>
        </w:rPr>
        <w:t>open</w:t>
      </w:r>
      <w:proofErr w:type="spellEnd"/>
      <w:r>
        <w:t>(</w:t>
      </w:r>
      <w:proofErr w:type="spellStart"/>
      <w:r>
        <w:t>i</w:t>
      </w:r>
      <w:proofErr w:type="spellEnd"/>
      <w:r>
        <w:t xml:space="preserve">) is calculated using </w:t>
      </w:r>
      <w:proofErr w:type="spellStart"/>
      <w:r w:rsidRPr="00296C7F">
        <w:rPr>
          <w:i/>
        </w:rPr>
        <w:t>RNAplfold</w:t>
      </w:r>
      <w:proofErr w:type="spellEnd"/>
      <w:r>
        <w:t xml:space="preserve"> with the parameters -W 120 -L 70 -u 30.</w:t>
      </w:r>
      <w:r w:rsidR="00263213">
        <w:t xml:space="preserve"> All coding sequences (4</w:t>
      </w:r>
      <w:r w:rsidR="004A5D88">
        <w:t>,</w:t>
      </w:r>
      <w:r w:rsidR="00263213">
        <w:t xml:space="preserve">294) from the K12 strain of </w:t>
      </w:r>
      <w:r w:rsidR="00263213" w:rsidRPr="00296C7F">
        <w:rPr>
          <w:i/>
        </w:rPr>
        <w:t>E. Coli</w:t>
      </w:r>
      <w:r w:rsidR="00263213">
        <w:t xml:space="preserve">, including the 100 nucleotide long upstream region, were obtained from </w:t>
      </w:r>
      <w:r w:rsidR="00296C7F">
        <w:rPr>
          <w:i/>
        </w:rPr>
        <w:t>microbes.uscs.edu</w:t>
      </w:r>
      <w:r w:rsidR="00040369">
        <w:t xml:space="preserve">. </w:t>
      </w:r>
      <w:r w:rsidR="00263213">
        <w:t>The cDNA</w:t>
      </w:r>
      <w:r w:rsidR="004A5D88">
        <w:t xml:space="preserve"> sequence of all human protein transcripts</w:t>
      </w:r>
      <w:r w:rsidR="00263213">
        <w:t xml:space="preserve"> (57</w:t>
      </w:r>
      <w:r w:rsidR="004A5D88">
        <w:t>,</w:t>
      </w:r>
      <w:r w:rsidR="00263213">
        <w:t xml:space="preserve">982 sequences) as well as all protein coding </w:t>
      </w:r>
      <w:r w:rsidR="004A5D88">
        <w:t>transcripts</w:t>
      </w:r>
      <w:r w:rsidR="00263213">
        <w:t xml:space="preserve"> associated with the GO-term “integral component of the membrane” (GO:0016021, 8</w:t>
      </w:r>
      <w:r w:rsidR="004A5D88">
        <w:t>,</w:t>
      </w:r>
      <w:r w:rsidR="00263213">
        <w:t>270 sequences</w:t>
      </w:r>
      <w:r w:rsidR="004A5D88">
        <w:t xml:space="preserve"> with an annotated 5’UTR of 100 nucleotides at least</w:t>
      </w:r>
      <w:r w:rsidR="00263213">
        <w:t xml:space="preserve">) were obtained from </w:t>
      </w:r>
      <w:proofErr w:type="spellStart"/>
      <w:r w:rsidR="00263213" w:rsidRPr="00040369">
        <w:rPr>
          <w:i/>
        </w:rPr>
        <w:t>ensemble_biomart</w:t>
      </w:r>
      <w:proofErr w:type="spellEnd"/>
      <w:r w:rsidR="00263213">
        <w:t>. The UTRs of these transcripts were replaced with the sequence of the pDEST14 vector to generate the pDEST14-based constructs</w:t>
      </w:r>
      <w:r w:rsidR="00040369">
        <w:t xml:space="preserve">, and the respective sequences of the CAT enhancer (GAGAAAAAAATC) and the </w:t>
      </w:r>
      <w:r w:rsidR="00471DDE">
        <w:t xml:space="preserve">embedded </w:t>
      </w:r>
      <w:r w:rsidR="00040369">
        <w:t>HIS-tag (</w:t>
      </w:r>
      <w:r w:rsidR="00040369" w:rsidRPr="00040369">
        <w:t>TCGTACTACCATCACCATCACCATCACCTCGAATCAACAAGTTTGTACAAA</w:t>
      </w:r>
      <w:r w:rsidR="00393A58">
        <w:br/>
      </w:r>
      <w:r w:rsidR="00040369" w:rsidRPr="00040369">
        <w:t>AAAGCAGGCTGCGAAGGAGATAGAACC</w:t>
      </w:r>
      <w:r w:rsidR="00040369">
        <w:t xml:space="preserve">) inserted right after the start codon. </w:t>
      </w:r>
      <w:proofErr w:type="gramStart"/>
      <w:r w:rsidR="00040369">
        <w:t xml:space="preserve">For the purpose of visualization, </w:t>
      </w:r>
      <w:r w:rsidR="00040369">
        <w:sym w:font="Symbol" w:char="F044"/>
      </w:r>
      <w:proofErr w:type="spellStart"/>
      <w:r w:rsidR="00040369">
        <w:t>E</w:t>
      </w:r>
      <w:r w:rsidR="00040369" w:rsidRPr="000C3D32">
        <w:rPr>
          <w:vertAlign w:val="subscript"/>
        </w:rPr>
        <w:t>open</w:t>
      </w:r>
      <w:proofErr w:type="spellEnd"/>
      <w:r w:rsidR="00040369">
        <w:t xml:space="preserve"> (</w:t>
      </w:r>
      <w:proofErr w:type="spellStart"/>
      <w:r w:rsidR="00040369">
        <w:t>i</w:t>
      </w:r>
      <w:proofErr w:type="spellEnd"/>
      <w:r w:rsidR="00040369">
        <w:t>) data were smoothed by a generalized additive model</w:t>
      </w:r>
      <w:proofErr w:type="gramEnd"/>
      <w:r w:rsidR="00040369">
        <w:t xml:space="preserve"> (Wood, S.N. </w:t>
      </w:r>
      <w:r w:rsidR="00040369" w:rsidRPr="00040369">
        <w:rPr>
          <w:i/>
        </w:rPr>
        <w:t>J. R. Stat.</w:t>
      </w:r>
      <w:r w:rsidR="00040369">
        <w:rPr>
          <w:i/>
        </w:rPr>
        <w:t xml:space="preserve"> Soc.</w:t>
      </w:r>
      <w:r w:rsidR="003438EB">
        <w:rPr>
          <w:i/>
        </w:rPr>
        <w:t xml:space="preserve"> B: Statisti</w:t>
      </w:r>
      <w:r w:rsidR="00040369" w:rsidRPr="00040369">
        <w:rPr>
          <w:i/>
        </w:rPr>
        <w:t>cal Methodology</w:t>
      </w:r>
      <w:r w:rsidR="00040369">
        <w:t xml:space="preserve"> 2001, 73, 3-36).</w:t>
      </w:r>
    </w:p>
    <w:p w14:paraId="4DB11764" w14:textId="77777777" w:rsidR="00434F3B" w:rsidRDefault="00434F3B" w:rsidP="00197190">
      <w:pPr>
        <w:jc w:val="both"/>
      </w:pPr>
    </w:p>
    <w:p w14:paraId="1DDB2B7A" w14:textId="77777777" w:rsidR="00200696" w:rsidRDefault="00434F3B" w:rsidP="00434F3B">
      <w:pPr>
        <w:pStyle w:val="berschrift1"/>
      </w:pPr>
      <w:bookmarkStart w:id="10" w:name="_Toc522728075"/>
      <w:r>
        <w:lastRenderedPageBreak/>
        <w:t>Results</w:t>
      </w:r>
      <w:bookmarkEnd w:id="10"/>
      <w:r>
        <w:t xml:space="preserve"> </w:t>
      </w:r>
    </w:p>
    <w:p w14:paraId="7C1F9A1E" w14:textId="77777777" w:rsidR="00434F3B" w:rsidRPr="00434F3B" w:rsidRDefault="00434F3B" w:rsidP="00434F3B">
      <w:pPr>
        <w:pStyle w:val="berschrift2"/>
      </w:pPr>
      <w:bookmarkStart w:id="11" w:name="_Toc522728076"/>
      <w:r>
        <w:t>MALDI-TOF MS and MS/MS</w:t>
      </w:r>
      <w:r>
        <w:rPr>
          <w:noProof/>
          <w:lang w:val="de-AT" w:eastAsia="de-AT"/>
        </w:rPr>
        <w:drawing>
          <wp:anchor distT="0" distB="0" distL="114300" distR="114300" simplePos="0" relativeHeight="251658240" behindDoc="0" locked="0" layoutInCell="1" allowOverlap="1" wp14:anchorId="532A5A3F" wp14:editId="1AD50E1D">
            <wp:simplePos x="0" y="0"/>
            <wp:positionH relativeFrom="margin">
              <wp:align>left</wp:align>
            </wp:positionH>
            <wp:positionV relativeFrom="paragraph">
              <wp:posOffset>215172</wp:posOffset>
            </wp:positionV>
            <wp:extent cx="5285105" cy="354012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S-parent.tif"/>
                    <pic:cNvPicPr/>
                  </pic:nvPicPr>
                  <pic:blipFill>
                    <a:blip r:embed="rId7">
                      <a:extLst>
                        <a:ext uri="{28A0092B-C50C-407E-A947-70E740481C1C}">
                          <a14:useLocalDpi xmlns:a14="http://schemas.microsoft.com/office/drawing/2010/main" val="0"/>
                        </a:ext>
                      </a:extLst>
                    </a:blip>
                    <a:stretch>
                      <a:fillRect/>
                    </a:stretch>
                  </pic:blipFill>
                  <pic:spPr>
                    <a:xfrm>
                      <a:off x="0" y="0"/>
                      <a:ext cx="5285105" cy="3540125"/>
                    </a:xfrm>
                    <a:prstGeom prst="rect">
                      <a:avLst/>
                    </a:prstGeom>
                  </pic:spPr>
                </pic:pic>
              </a:graphicData>
            </a:graphic>
            <wp14:sizeRelH relativeFrom="margin">
              <wp14:pctWidth>0</wp14:pctWidth>
            </wp14:sizeRelH>
            <wp14:sizeRelV relativeFrom="margin">
              <wp14:pctHeight>0</wp14:pctHeight>
            </wp14:sizeRelV>
          </wp:anchor>
        </w:drawing>
      </w:r>
      <w:bookmarkEnd w:id="11"/>
    </w:p>
    <w:tbl>
      <w:tblPr>
        <w:tblW w:w="0" w:type="auto"/>
        <w:jc w:val="center"/>
        <w:tblCellSpacing w:w="22"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00"/>
        <w:gridCol w:w="1035"/>
        <w:gridCol w:w="1035"/>
        <w:gridCol w:w="1035"/>
        <w:gridCol w:w="1035"/>
        <w:gridCol w:w="1035"/>
        <w:gridCol w:w="1035"/>
        <w:gridCol w:w="1035"/>
        <w:gridCol w:w="1212"/>
      </w:tblGrid>
      <w:tr w:rsidR="00BC7791" w:rsidRPr="006116B7" w14:paraId="093CD44F" w14:textId="77777777" w:rsidTr="00F30766">
        <w:trPr>
          <w:tblCellSpacing w:w="22" w:type="dxa"/>
          <w:jc w:val="center"/>
        </w:trPr>
        <w:tc>
          <w:tcPr>
            <w:tcW w:w="334" w:type="dxa"/>
            <w:vAlign w:val="center"/>
            <w:hideMark/>
          </w:tcPr>
          <w:p w14:paraId="636876F1" w14:textId="77777777" w:rsidR="00BC7791" w:rsidRPr="0011106D" w:rsidRDefault="00BC7791" w:rsidP="00F30766">
            <w:pPr>
              <w:spacing w:after="0" w:line="240" w:lineRule="auto"/>
              <w:jc w:val="center"/>
              <w:rPr>
                <w:rFonts w:ascii="Times New Roman" w:eastAsia="Times New Roman" w:hAnsi="Times New Roman" w:cs="Times New Roman"/>
                <w:sz w:val="16"/>
                <w:szCs w:val="16"/>
                <w:lang w:eastAsia="de-DE"/>
              </w:rPr>
            </w:pPr>
            <w:r w:rsidRPr="0011106D">
              <w:rPr>
                <w:rFonts w:ascii="Courier New" w:eastAsia="Times New Roman" w:hAnsi="Courier New" w:cs="Courier New"/>
                <w:sz w:val="16"/>
                <w:szCs w:val="16"/>
                <w:lang w:eastAsia="de-DE"/>
              </w:rPr>
              <w:t>1</w:t>
            </w:r>
          </w:p>
        </w:tc>
        <w:tc>
          <w:tcPr>
            <w:tcW w:w="0" w:type="auto"/>
            <w:vAlign w:val="center"/>
            <w:hideMark/>
          </w:tcPr>
          <w:p w14:paraId="39A7FA1B"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r w:rsidRPr="0011106D">
              <w:rPr>
                <w:rFonts w:ascii="Courier New" w:eastAsia="Times New Roman" w:hAnsi="Courier New" w:cs="Courier New"/>
                <w:sz w:val="16"/>
                <w:szCs w:val="16"/>
                <w:lang w:eastAsia="de-DE"/>
              </w:rPr>
              <w:t>MAVPPTYADL</w:t>
            </w:r>
            <w:r w:rsidRPr="0011106D">
              <w:rPr>
                <w:rFonts w:ascii="Times New Roman" w:eastAsia="Times New Roman" w:hAnsi="Times New Roman" w:cs="Times New Roman"/>
                <w:sz w:val="16"/>
                <w:szCs w:val="16"/>
                <w:lang w:eastAsia="de-DE"/>
              </w:rPr>
              <w:t xml:space="preserve"> </w:t>
            </w:r>
          </w:p>
        </w:tc>
        <w:tc>
          <w:tcPr>
            <w:tcW w:w="0" w:type="auto"/>
            <w:vAlign w:val="center"/>
            <w:hideMark/>
          </w:tcPr>
          <w:p w14:paraId="7C32AFA0"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r w:rsidRPr="0011106D">
              <w:rPr>
                <w:rFonts w:ascii="Courier New" w:eastAsia="Times New Roman" w:hAnsi="Courier New" w:cs="Courier New"/>
                <w:sz w:val="16"/>
                <w:szCs w:val="16"/>
                <w:lang w:eastAsia="de-DE"/>
              </w:rPr>
              <w:t>G</w:t>
            </w:r>
            <w:r w:rsidRPr="0011106D">
              <w:rPr>
                <w:rFonts w:ascii="Courier New" w:eastAsia="Times New Roman" w:hAnsi="Courier New" w:cs="Courier New"/>
                <w:sz w:val="16"/>
                <w:szCs w:val="16"/>
                <w:u w:val="single"/>
                <w:lang w:eastAsia="de-DE"/>
              </w:rPr>
              <w:t>K</w:t>
            </w:r>
            <w:r w:rsidRPr="0011106D">
              <w:rPr>
                <w:rFonts w:ascii="Courier New" w:eastAsia="Times New Roman" w:hAnsi="Courier New" w:cs="Courier New"/>
                <w:sz w:val="16"/>
                <w:szCs w:val="16"/>
                <w:lang w:eastAsia="de-DE"/>
              </w:rPr>
              <w:t>SA</w:t>
            </w:r>
            <w:r w:rsidRPr="0011106D">
              <w:rPr>
                <w:rFonts w:ascii="Courier New" w:eastAsia="Times New Roman" w:hAnsi="Courier New" w:cs="Courier New"/>
                <w:sz w:val="16"/>
                <w:szCs w:val="16"/>
                <w:u w:val="single"/>
                <w:lang w:eastAsia="de-DE"/>
              </w:rPr>
              <w:t>R</w:t>
            </w:r>
            <w:r w:rsidRPr="0011106D">
              <w:rPr>
                <w:rFonts w:ascii="Courier New" w:eastAsia="Times New Roman" w:hAnsi="Courier New" w:cs="Courier New"/>
                <w:sz w:val="16"/>
                <w:szCs w:val="16"/>
                <w:lang w:eastAsia="de-DE"/>
              </w:rPr>
              <w:t>DVFT</w:t>
            </w:r>
            <w:r w:rsidRPr="0011106D">
              <w:rPr>
                <w:rFonts w:ascii="Courier New" w:eastAsia="Times New Roman" w:hAnsi="Courier New" w:cs="Courier New"/>
                <w:sz w:val="16"/>
                <w:szCs w:val="16"/>
                <w:u w:val="single"/>
                <w:lang w:eastAsia="de-DE"/>
              </w:rPr>
              <w:t>K</w:t>
            </w:r>
            <w:r w:rsidRPr="0011106D">
              <w:rPr>
                <w:rFonts w:ascii="Times New Roman" w:eastAsia="Times New Roman" w:hAnsi="Times New Roman" w:cs="Times New Roman"/>
                <w:sz w:val="16"/>
                <w:szCs w:val="16"/>
                <w:lang w:eastAsia="de-DE"/>
              </w:rPr>
              <w:t xml:space="preserve"> </w:t>
            </w:r>
          </w:p>
        </w:tc>
        <w:tc>
          <w:tcPr>
            <w:tcW w:w="0" w:type="auto"/>
            <w:vAlign w:val="center"/>
            <w:hideMark/>
          </w:tcPr>
          <w:p w14:paraId="3F889AD1"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r w:rsidRPr="0011106D">
              <w:rPr>
                <w:rFonts w:ascii="Courier New" w:eastAsia="Times New Roman" w:hAnsi="Courier New" w:cs="Courier New"/>
                <w:b/>
                <w:bCs/>
                <w:color w:val="FF0000"/>
                <w:sz w:val="16"/>
                <w:szCs w:val="16"/>
                <w:lang w:eastAsia="de-DE"/>
              </w:rPr>
              <w:t>GYGFGLI</w:t>
            </w:r>
            <w:r w:rsidRPr="0011106D">
              <w:rPr>
                <w:rFonts w:ascii="Courier New" w:eastAsia="Times New Roman" w:hAnsi="Courier New" w:cs="Courier New"/>
                <w:b/>
                <w:bCs/>
                <w:color w:val="FF0000"/>
                <w:sz w:val="16"/>
                <w:szCs w:val="16"/>
                <w:u w:val="single"/>
                <w:lang w:eastAsia="de-DE"/>
              </w:rPr>
              <w:t>K</w:t>
            </w:r>
            <w:r w:rsidRPr="0011106D">
              <w:rPr>
                <w:rFonts w:ascii="Courier New" w:eastAsia="Times New Roman" w:hAnsi="Courier New" w:cs="Courier New"/>
                <w:sz w:val="16"/>
                <w:szCs w:val="16"/>
                <w:lang w:eastAsia="de-DE"/>
              </w:rPr>
              <w:t>LD</w:t>
            </w:r>
            <w:r w:rsidRPr="0011106D">
              <w:rPr>
                <w:rFonts w:ascii="Times New Roman" w:eastAsia="Times New Roman" w:hAnsi="Times New Roman" w:cs="Times New Roman"/>
                <w:sz w:val="16"/>
                <w:szCs w:val="16"/>
                <w:lang w:eastAsia="de-DE"/>
              </w:rPr>
              <w:t xml:space="preserve"> </w:t>
            </w:r>
          </w:p>
        </w:tc>
        <w:tc>
          <w:tcPr>
            <w:tcW w:w="0" w:type="auto"/>
            <w:vAlign w:val="center"/>
            <w:hideMark/>
          </w:tcPr>
          <w:p w14:paraId="76A809FB"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r w:rsidRPr="0011106D">
              <w:rPr>
                <w:rFonts w:ascii="Courier New" w:eastAsia="Times New Roman" w:hAnsi="Courier New" w:cs="Courier New"/>
                <w:sz w:val="16"/>
                <w:szCs w:val="16"/>
                <w:lang w:eastAsia="de-DE"/>
              </w:rPr>
              <w:t>L</w:t>
            </w:r>
            <w:r w:rsidRPr="0011106D">
              <w:rPr>
                <w:rFonts w:ascii="Courier New" w:eastAsia="Times New Roman" w:hAnsi="Courier New" w:cs="Courier New"/>
                <w:sz w:val="16"/>
                <w:szCs w:val="16"/>
                <w:u w:val="single"/>
                <w:lang w:eastAsia="de-DE"/>
              </w:rPr>
              <w:t>K</w:t>
            </w:r>
            <w:r w:rsidRPr="0011106D">
              <w:rPr>
                <w:rFonts w:ascii="Courier New" w:eastAsia="Times New Roman" w:hAnsi="Courier New" w:cs="Courier New"/>
                <w:sz w:val="16"/>
                <w:szCs w:val="16"/>
                <w:lang w:eastAsia="de-DE"/>
              </w:rPr>
              <w:t>T</w:t>
            </w:r>
            <w:r w:rsidRPr="0011106D">
              <w:rPr>
                <w:rFonts w:ascii="Courier New" w:eastAsia="Times New Roman" w:hAnsi="Courier New" w:cs="Courier New"/>
                <w:sz w:val="16"/>
                <w:szCs w:val="16"/>
                <w:u w:val="single"/>
                <w:lang w:eastAsia="de-DE"/>
              </w:rPr>
              <w:t>K</w:t>
            </w:r>
            <w:r w:rsidRPr="0011106D">
              <w:rPr>
                <w:rFonts w:ascii="Courier New" w:eastAsia="Times New Roman" w:hAnsi="Courier New" w:cs="Courier New"/>
                <w:sz w:val="16"/>
                <w:szCs w:val="16"/>
                <w:lang w:eastAsia="de-DE"/>
              </w:rPr>
              <w:t>SENGLE</w:t>
            </w:r>
            <w:r w:rsidRPr="0011106D">
              <w:rPr>
                <w:rFonts w:ascii="Times New Roman" w:eastAsia="Times New Roman" w:hAnsi="Times New Roman" w:cs="Times New Roman"/>
                <w:sz w:val="16"/>
                <w:szCs w:val="16"/>
                <w:lang w:eastAsia="de-DE"/>
              </w:rPr>
              <w:t xml:space="preserve"> </w:t>
            </w:r>
          </w:p>
        </w:tc>
        <w:tc>
          <w:tcPr>
            <w:tcW w:w="0" w:type="auto"/>
            <w:vAlign w:val="center"/>
            <w:hideMark/>
          </w:tcPr>
          <w:p w14:paraId="2793DC05"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r w:rsidRPr="0011106D">
              <w:rPr>
                <w:rFonts w:ascii="Courier New" w:eastAsia="Times New Roman" w:hAnsi="Courier New" w:cs="Courier New"/>
                <w:sz w:val="16"/>
                <w:szCs w:val="16"/>
                <w:lang w:eastAsia="de-DE"/>
              </w:rPr>
              <w:t>FTSSGSANTE</w:t>
            </w:r>
            <w:r w:rsidRPr="0011106D">
              <w:rPr>
                <w:rFonts w:ascii="Times New Roman" w:eastAsia="Times New Roman" w:hAnsi="Times New Roman" w:cs="Times New Roman"/>
                <w:sz w:val="16"/>
                <w:szCs w:val="16"/>
                <w:lang w:eastAsia="de-DE"/>
              </w:rPr>
              <w:t xml:space="preserve"> </w:t>
            </w:r>
          </w:p>
        </w:tc>
        <w:tc>
          <w:tcPr>
            <w:tcW w:w="0" w:type="auto"/>
            <w:vAlign w:val="center"/>
            <w:hideMark/>
          </w:tcPr>
          <w:p w14:paraId="6E6C6CC7"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r w:rsidRPr="0011106D">
              <w:rPr>
                <w:rFonts w:ascii="Courier New" w:eastAsia="Times New Roman" w:hAnsi="Courier New" w:cs="Courier New"/>
                <w:sz w:val="16"/>
                <w:szCs w:val="16"/>
                <w:lang w:eastAsia="de-DE"/>
              </w:rPr>
              <w:t>TT</w:t>
            </w:r>
            <w:r w:rsidRPr="0011106D">
              <w:rPr>
                <w:rFonts w:ascii="Courier New" w:eastAsia="Times New Roman" w:hAnsi="Courier New" w:cs="Courier New"/>
                <w:sz w:val="16"/>
                <w:szCs w:val="16"/>
                <w:u w:val="single"/>
                <w:lang w:eastAsia="de-DE"/>
              </w:rPr>
              <w:t>K</w:t>
            </w:r>
            <w:r w:rsidRPr="0011106D">
              <w:rPr>
                <w:rFonts w:ascii="Courier New" w:eastAsia="Times New Roman" w:hAnsi="Courier New" w:cs="Courier New"/>
                <w:sz w:val="16"/>
                <w:szCs w:val="16"/>
                <w:lang w:eastAsia="de-DE"/>
              </w:rPr>
              <w:t>VTGSLET</w:t>
            </w:r>
            <w:r w:rsidRPr="0011106D">
              <w:rPr>
                <w:rFonts w:ascii="Times New Roman" w:eastAsia="Times New Roman" w:hAnsi="Times New Roman" w:cs="Times New Roman"/>
                <w:sz w:val="16"/>
                <w:szCs w:val="16"/>
                <w:lang w:eastAsia="de-DE"/>
              </w:rPr>
              <w:t xml:space="preserve"> </w:t>
            </w:r>
          </w:p>
        </w:tc>
        <w:tc>
          <w:tcPr>
            <w:tcW w:w="0" w:type="auto"/>
            <w:vAlign w:val="center"/>
            <w:hideMark/>
          </w:tcPr>
          <w:p w14:paraId="5095FAA3"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r w:rsidRPr="0011106D">
              <w:rPr>
                <w:rFonts w:ascii="Courier New" w:eastAsia="Times New Roman" w:hAnsi="Courier New" w:cs="Courier New"/>
                <w:sz w:val="16"/>
                <w:szCs w:val="16"/>
                <w:u w:val="single"/>
                <w:lang w:eastAsia="de-DE"/>
              </w:rPr>
              <w:t>K</w:t>
            </w:r>
            <w:r w:rsidRPr="0011106D">
              <w:rPr>
                <w:rFonts w:ascii="Courier New" w:eastAsia="Times New Roman" w:hAnsi="Courier New" w:cs="Courier New"/>
                <w:sz w:val="16"/>
                <w:szCs w:val="16"/>
                <w:lang w:eastAsia="de-DE"/>
              </w:rPr>
              <w:t>Y</w:t>
            </w:r>
            <w:r w:rsidRPr="0011106D">
              <w:rPr>
                <w:rFonts w:ascii="Courier New" w:eastAsia="Times New Roman" w:hAnsi="Courier New" w:cs="Courier New"/>
                <w:sz w:val="16"/>
                <w:szCs w:val="16"/>
                <w:u w:val="single"/>
                <w:lang w:eastAsia="de-DE"/>
              </w:rPr>
              <w:t>R</w:t>
            </w:r>
            <w:r w:rsidRPr="0011106D">
              <w:rPr>
                <w:rFonts w:ascii="Courier New" w:eastAsia="Times New Roman" w:hAnsi="Courier New" w:cs="Courier New"/>
                <w:b/>
                <w:bCs/>
                <w:color w:val="FF0000"/>
                <w:sz w:val="16"/>
                <w:szCs w:val="16"/>
                <w:lang w:eastAsia="de-DE"/>
              </w:rPr>
              <w:t>WTEYGLT</w:t>
            </w:r>
            <w:r w:rsidRPr="0011106D">
              <w:rPr>
                <w:rFonts w:ascii="Times New Roman" w:eastAsia="Times New Roman" w:hAnsi="Times New Roman" w:cs="Times New Roman"/>
                <w:sz w:val="16"/>
                <w:szCs w:val="16"/>
                <w:lang w:eastAsia="de-DE"/>
              </w:rPr>
              <w:t xml:space="preserve"> </w:t>
            </w:r>
          </w:p>
        </w:tc>
        <w:tc>
          <w:tcPr>
            <w:tcW w:w="1146" w:type="dxa"/>
            <w:vAlign w:val="center"/>
            <w:hideMark/>
          </w:tcPr>
          <w:p w14:paraId="24BD323B"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r w:rsidRPr="0011106D">
              <w:rPr>
                <w:rFonts w:ascii="Courier New" w:eastAsia="Times New Roman" w:hAnsi="Courier New" w:cs="Courier New"/>
                <w:b/>
                <w:bCs/>
                <w:color w:val="FF0000"/>
                <w:sz w:val="16"/>
                <w:szCs w:val="16"/>
                <w:lang w:eastAsia="de-DE"/>
              </w:rPr>
              <w:t>FTE</w:t>
            </w:r>
            <w:r w:rsidRPr="0011106D">
              <w:rPr>
                <w:rFonts w:ascii="Courier New" w:eastAsia="Times New Roman" w:hAnsi="Courier New" w:cs="Courier New"/>
                <w:b/>
                <w:bCs/>
                <w:color w:val="FF0000"/>
                <w:sz w:val="16"/>
                <w:szCs w:val="16"/>
                <w:u w:val="single"/>
                <w:lang w:eastAsia="de-DE"/>
              </w:rPr>
              <w:t>K</w:t>
            </w:r>
            <w:r w:rsidRPr="0011106D">
              <w:rPr>
                <w:rFonts w:ascii="Courier New" w:eastAsia="Times New Roman" w:hAnsi="Courier New" w:cs="Courier New"/>
                <w:b/>
                <w:bCs/>
                <w:color w:val="FF0000"/>
                <w:sz w:val="16"/>
                <w:szCs w:val="16"/>
                <w:lang w:eastAsia="de-DE"/>
              </w:rPr>
              <w:t>WNTDNT</w:t>
            </w:r>
            <w:r w:rsidRPr="0011106D">
              <w:rPr>
                <w:rFonts w:ascii="Times New Roman" w:eastAsia="Times New Roman" w:hAnsi="Times New Roman" w:cs="Times New Roman"/>
                <w:sz w:val="16"/>
                <w:szCs w:val="16"/>
                <w:lang w:eastAsia="de-DE"/>
              </w:rPr>
              <w:t xml:space="preserve"> </w:t>
            </w:r>
          </w:p>
        </w:tc>
      </w:tr>
      <w:tr w:rsidR="00BC7791" w:rsidRPr="006116B7" w14:paraId="63BCF713" w14:textId="77777777" w:rsidTr="00F30766">
        <w:trPr>
          <w:tblCellSpacing w:w="22" w:type="dxa"/>
          <w:jc w:val="center"/>
        </w:trPr>
        <w:tc>
          <w:tcPr>
            <w:tcW w:w="334" w:type="dxa"/>
            <w:vAlign w:val="center"/>
            <w:hideMark/>
          </w:tcPr>
          <w:p w14:paraId="7DA98A20"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r w:rsidRPr="0011106D">
              <w:rPr>
                <w:rFonts w:ascii="Courier New" w:eastAsia="Times New Roman" w:hAnsi="Courier New" w:cs="Courier New"/>
                <w:sz w:val="16"/>
                <w:szCs w:val="16"/>
                <w:lang w:eastAsia="de-DE"/>
              </w:rPr>
              <w:t>81</w:t>
            </w:r>
            <w:r w:rsidRPr="0011106D">
              <w:rPr>
                <w:rFonts w:ascii="Times New Roman" w:eastAsia="Times New Roman" w:hAnsi="Times New Roman" w:cs="Times New Roman"/>
                <w:sz w:val="16"/>
                <w:szCs w:val="16"/>
                <w:lang w:eastAsia="de-DE"/>
              </w:rPr>
              <w:t xml:space="preserve"> </w:t>
            </w:r>
          </w:p>
        </w:tc>
        <w:tc>
          <w:tcPr>
            <w:tcW w:w="0" w:type="auto"/>
            <w:vAlign w:val="center"/>
            <w:hideMark/>
          </w:tcPr>
          <w:p w14:paraId="6C24ED00"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r w:rsidRPr="0011106D">
              <w:rPr>
                <w:rFonts w:ascii="Courier New" w:eastAsia="Times New Roman" w:hAnsi="Courier New" w:cs="Courier New"/>
                <w:b/>
                <w:bCs/>
                <w:color w:val="FF0000"/>
                <w:sz w:val="16"/>
                <w:szCs w:val="16"/>
                <w:lang w:eastAsia="de-DE"/>
              </w:rPr>
              <w:t>LGTEITVEDQ</w:t>
            </w:r>
            <w:r w:rsidRPr="0011106D">
              <w:rPr>
                <w:rFonts w:ascii="Times New Roman" w:eastAsia="Times New Roman" w:hAnsi="Times New Roman" w:cs="Times New Roman"/>
                <w:sz w:val="16"/>
                <w:szCs w:val="16"/>
                <w:lang w:eastAsia="de-DE"/>
              </w:rPr>
              <w:t xml:space="preserve"> </w:t>
            </w:r>
          </w:p>
        </w:tc>
        <w:tc>
          <w:tcPr>
            <w:tcW w:w="0" w:type="auto"/>
            <w:vAlign w:val="center"/>
            <w:hideMark/>
          </w:tcPr>
          <w:p w14:paraId="5FA5111C"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r w:rsidRPr="0011106D">
              <w:rPr>
                <w:rFonts w:ascii="Courier New" w:eastAsia="Times New Roman" w:hAnsi="Courier New" w:cs="Courier New"/>
                <w:b/>
                <w:bCs/>
                <w:color w:val="FF0000"/>
                <w:sz w:val="16"/>
                <w:szCs w:val="16"/>
                <w:lang w:eastAsia="de-DE"/>
              </w:rPr>
              <w:t>LA</w:t>
            </w:r>
            <w:r w:rsidRPr="0011106D">
              <w:rPr>
                <w:rFonts w:ascii="Courier New" w:eastAsia="Times New Roman" w:hAnsi="Courier New" w:cs="Courier New"/>
                <w:b/>
                <w:bCs/>
                <w:color w:val="FF0000"/>
                <w:sz w:val="16"/>
                <w:szCs w:val="16"/>
                <w:u w:val="single"/>
                <w:lang w:eastAsia="de-DE"/>
              </w:rPr>
              <w:t>R</w:t>
            </w:r>
            <w:r w:rsidRPr="0011106D">
              <w:rPr>
                <w:rFonts w:ascii="Courier New" w:eastAsia="Times New Roman" w:hAnsi="Courier New" w:cs="Courier New"/>
                <w:sz w:val="16"/>
                <w:szCs w:val="16"/>
                <w:lang w:eastAsia="de-DE"/>
              </w:rPr>
              <w:t>GL</w:t>
            </w:r>
            <w:r w:rsidRPr="0011106D">
              <w:rPr>
                <w:rFonts w:ascii="Courier New" w:eastAsia="Times New Roman" w:hAnsi="Courier New" w:cs="Courier New"/>
                <w:sz w:val="16"/>
                <w:szCs w:val="16"/>
                <w:u w:val="single"/>
                <w:lang w:eastAsia="de-DE"/>
              </w:rPr>
              <w:t>K</w:t>
            </w:r>
            <w:r w:rsidRPr="0011106D">
              <w:rPr>
                <w:rFonts w:ascii="Courier New" w:eastAsia="Times New Roman" w:hAnsi="Courier New" w:cs="Courier New"/>
                <w:sz w:val="16"/>
                <w:szCs w:val="16"/>
                <w:lang w:eastAsia="de-DE"/>
              </w:rPr>
              <w:t>LTFD</w:t>
            </w:r>
            <w:r w:rsidRPr="0011106D">
              <w:rPr>
                <w:rFonts w:ascii="Times New Roman" w:eastAsia="Times New Roman" w:hAnsi="Times New Roman" w:cs="Times New Roman"/>
                <w:sz w:val="16"/>
                <w:szCs w:val="16"/>
                <w:lang w:eastAsia="de-DE"/>
              </w:rPr>
              <w:t xml:space="preserve"> </w:t>
            </w:r>
          </w:p>
        </w:tc>
        <w:tc>
          <w:tcPr>
            <w:tcW w:w="0" w:type="auto"/>
            <w:vAlign w:val="center"/>
            <w:hideMark/>
          </w:tcPr>
          <w:p w14:paraId="5A8E3F9A"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r w:rsidRPr="0011106D">
              <w:rPr>
                <w:rFonts w:ascii="Courier New" w:eastAsia="Times New Roman" w:hAnsi="Courier New" w:cs="Courier New"/>
                <w:sz w:val="16"/>
                <w:szCs w:val="16"/>
                <w:lang w:eastAsia="de-DE"/>
              </w:rPr>
              <w:t>SSFSPNTG</w:t>
            </w:r>
            <w:r w:rsidRPr="0011106D">
              <w:rPr>
                <w:rFonts w:ascii="Courier New" w:eastAsia="Times New Roman" w:hAnsi="Courier New" w:cs="Courier New"/>
                <w:sz w:val="16"/>
                <w:szCs w:val="16"/>
                <w:u w:val="single"/>
                <w:lang w:eastAsia="de-DE"/>
              </w:rPr>
              <w:t>KK</w:t>
            </w:r>
            <w:r w:rsidRPr="0011106D">
              <w:rPr>
                <w:rFonts w:ascii="Times New Roman" w:eastAsia="Times New Roman" w:hAnsi="Times New Roman" w:cs="Times New Roman"/>
                <w:sz w:val="16"/>
                <w:szCs w:val="16"/>
                <w:lang w:eastAsia="de-DE"/>
              </w:rPr>
              <w:t xml:space="preserve"> </w:t>
            </w:r>
          </w:p>
        </w:tc>
        <w:tc>
          <w:tcPr>
            <w:tcW w:w="0" w:type="auto"/>
            <w:vAlign w:val="center"/>
            <w:hideMark/>
          </w:tcPr>
          <w:p w14:paraId="1E2AEE62"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r w:rsidRPr="0011106D">
              <w:rPr>
                <w:rFonts w:ascii="Courier New" w:eastAsia="Times New Roman" w:hAnsi="Courier New" w:cs="Courier New"/>
                <w:sz w:val="16"/>
                <w:szCs w:val="16"/>
                <w:lang w:eastAsia="de-DE"/>
              </w:rPr>
              <w:t>NA</w:t>
            </w:r>
            <w:r w:rsidRPr="0011106D">
              <w:rPr>
                <w:rFonts w:ascii="Courier New" w:eastAsia="Times New Roman" w:hAnsi="Courier New" w:cs="Courier New"/>
                <w:sz w:val="16"/>
                <w:szCs w:val="16"/>
                <w:u w:val="single"/>
                <w:lang w:eastAsia="de-DE"/>
              </w:rPr>
              <w:t>K</w:t>
            </w:r>
            <w:r w:rsidRPr="0011106D">
              <w:rPr>
                <w:rFonts w:ascii="Courier New" w:eastAsia="Times New Roman" w:hAnsi="Courier New" w:cs="Courier New"/>
                <w:sz w:val="16"/>
                <w:szCs w:val="16"/>
                <w:lang w:eastAsia="de-DE"/>
              </w:rPr>
              <w:t>I</w:t>
            </w:r>
            <w:r w:rsidRPr="0011106D">
              <w:rPr>
                <w:rFonts w:ascii="Courier New" w:eastAsia="Times New Roman" w:hAnsi="Courier New" w:cs="Courier New"/>
                <w:sz w:val="16"/>
                <w:szCs w:val="16"/>
                <w:u w:val="single"/>
                <w:lang w:eastAsia="de-DE"/>
              </w:rPr>
              <w:t>K</w:t>
            </w:r>
            <w:r w:rsidRPr="0011106D">
              <w:rPr>
                <w:rFonts w:ascii="Courier New" w:eastAsia="Times New Roman" w:hAnsi="Courier New" w:cs="Courier New"/>
                <w:sz w:val="16"/>
                <w:szCs w:val="16"/>
                <w:lang w:eastAsia="de-DE"/>
              </w:rPr>
              <w:t>TGY</w:t>
            </w:r>
            <w:r w:rsidRPr="0011106D">
              <w:rPr>
                <w:rFonts w:ascii="Courier New" w:eastAsia="Times New Roman" w:hAnsi="Courier New" w:cs="Courier New"/>
                <w:sz w:val="16"/>
                <w:szCs w:val="16"/>
                <w:u w:val="single"/>
                <w:lang w:eastAsia="de-DE"/>
              </w:rPr>
              <w:t>KR</w:t>
            </w:r>
            <w:r w:rsidRPr="0011106D">
              <w:rPr>
                <w:rFonts w:ascii="Times New Roman" w:eastAsia="Times New Roman" w:hAnsi="Times New Roman" w:cs="Times New Roman"/>
                <w:sz w:val="16"/>
                <w:szCs w:val="16"/>
                <w:lang w:eastAsia="de-DE"/>
              </w:rPr>
              <w:t xml:space="preserve"> </w:t>
            </w:r>
          </w:p>
        </w:tc>
        <w:tc>
          <w:tcPr>
            <w:tcW w:w="0" w:type="auto"/>
            <w:vAlign w:val="center"/>
            <w:hideMark/>
          </w:tcPr>
          <w:p w14:paraId="7007ED9B"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r w:rsidRPr="0011106D">
              <w:rPr>
                <w:rFonts w:ascii="Courier New" w:eastAsia="Times New Roman" w:hAnsi="Courier New" w:cs="Courier New"/>
                <w:b/>
                <w:bCs/>
                <w:color w:val="FF0000"/>
                <w:sz w:val="16"/>
                <w:szCs w:val="16"/>
                <w:lang w:eastAsia="de-DE"/>
              </w:rPr>
              <w:t>EHINLGCDMD</w:t>
            </w:r>
            <w:r w:rsidRPr="0011106D">
              <w:rPr>
                <w:rFonts w:ascii="Times New Roman" w:eastAsia="Times New Roman" w:hAnsi="Times New Roman" w:cs="Times New Roman"/>
                <w:sz w:val="16"/>
                <w:szCs w:val="16"/>
                <w:lang w:eastAsia="de-DE"/>
              </w:rPr>
              <w:t xml:space="preserve"> </w:t>
            </w:r>
          </w:p>
        </w:tc>
        <w:tc>
          <w:tcPr>
            <w:tcW w:w="0" w:type="auto"/>
            <w:vAlign w:val="center"/>
            <w:hideMark/>
          </w:tcPr>
          <w:p w14:paraId="7B334280"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r w:rsidRPr="0011106D">
              <w:rPr>
                <w:rFonts w:ascii="Courier New" w:eastAsia="Times New Roman" w:hAnsi="Courier New" w:cs="Courier New"/>
                <w:b/>
                <w:bCs/>
                <w:color w:val="FF0000"/>
                <w:sz w:val="16"/>
                <w:szCs w:val="16"/>
                <w:lang w:eastAsia="de-DE"/>
              </w:rPr>
              <w:t>FDIAGPSI</w:t>
            </w:r>
            <w:r w:rsidRPr="0011106D">
              <w:rPr>
                <w:rFonts w:ascii="Courier New" w:eastAsia="Times New Roman" w:hAnsi="Courier New" w:cs="Courier New"/>
                <w:b/>
                <w:bCs/>
                <w:color w:val="FF0000"/>
                <w:sz w:val="16"/>
                <w:szCs w:val="16"/>
                <w:u w:val="single"/>
                <w:lang w:eastAsia="de-DE"/>
              </w:rPr>
              <w:t>R</w:t>
            </w:r>
            <w:r w:rsidRPr="0011106D">
              <w:rPr>
                <w:rFonts w:ascii="Courier New" w:eastAsia="Times New Roman" w:hAnsi="Courier New" w:cs="Courier New"/>
                <w:sz w:val="16"/>
                <w:szCs w:val="16"/>
                <w:lang w:eastAsia="de-DE"/>
              </w:rPr>
              <w:t>G</w:t>
            </w:r>
            <w:r w:rsidRPr="0011106D">
              <w:rPr>
                <w:rFonts w:ascii="Times New Roman" w:eastAsia="Times New Roman" w:hAnsi="Times New Roman" w:cs="Times New Roman"/>
                <w:sz w:val="16"/>
                <w:szCs w:val="16"/>
                <w:lang w:eastAsia="de-DE"/>
              </w:rPr>
              <w:t xml:space="preserve"> </w:t>
            </w:r>
          </w:p>
        </w:tc>
        <w:tc>
          <w:tcPr>
            <w:tcW w:w="0" w:type="auto"/>
            <w:vAlign w:val="center"/>
            <w:hideMark/>
          </w:tcPr>
          <w:p w14:paraId="788B179E"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r w:rsidRPr="0011106D">
              <w:rPr>
                <w:rFonts w:ascii="Courier New" w:eastAsia="Times New Roman" w:hAnsi="Courier New" w:cs="Courier New"/>
                <w:sz w:val="16"/>
                <w:szCs w:val="16"/>
                <w:lang w:eastAsia="de-DE"/>
              </w:rPr>
              <w:t>ALVLGYEGWL</w:t>
            </w:r>
            <w:r w:rsidRPr="0011106D">
              <w:rPr>
                <w:rFonts w:ascii="Times New Roman" w:eastAsia="Times New Roman" w:hAnsi="Times New Roman" w:cs="Times New Roman"/>
                <w:sz w:val="16"/>
                <w:szCs w:val="16"/>
                <w:lang w:eastAsia="de-DE"/>
              </w:rPr>
              <w:t xml:space="preserve"> </w:t>
            </w:r>
          </w:p>
        </w:tc>
        <w:tc>
          <w:tcPr>
            <w:tcW w:w="1146" w:type="dxa"/>
            <w:vAlign w:val="center"/>
            <w:hideMark/>
          </w:tcPr>
          <w:p w14:paraId="0B15F0A1"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r w:rsidRPr="0011106D">
              <w:rPr>
                <w:rFonts w:ascii="Courier New" w:eastAsia="Times New Roman" w:hAnsi="Courier New" w:cs="Courier New"/>
                <w:sz w:val="16"/>
                <w:szCs w:val="16"/>
                <w:lang w:eastAsia="de-DE"/>
              </w:rPr>
              <w:t>AGYQMNFETA</w:t>
            </w:r>
            <w:r w:rsidRPr="0011106D">
              <w:rPr>
                <w:rFonts w:ascii="Times New Roman" w:eastAsia="Times New Roman" w:hAnsi="Times New Roman" w:cs="Times New Roman"/>
                <w:sz w:val="16"/>
                <w:szCs w:val="16"/>
                <w:lang w:eastAsia="de-DE"/>
              </w:rPr>
              <w:t xml:space="preserve"> </w:t>
            </w:r>
          </w:p>
        </w:tc>
      </w:tr>
      <w:tr w:rsidR="00BC7791" w:rsidRPr="006116B7" w14:paraId="451872F6" w14:textId="77777777" w:rsidTr="00F30766">
        <w:trPr>
          <w:tblCellSpacing w:w="22" w:type="dxa"/>
          <w:jc w:val="center"/>
        </w:trPr>
        <w:tc>
          <w:tcPr>
            <w:tcW w:w="334" w:type="dxa"/>
            <w:vAlign w:val="center"/>
            <w:hideMark/>
          </w:tcPr>
          <w:p w14:paraId="635F82A5"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r w:rsidRPr="0011106D">
              <w:rPr>
                <w:rFonts w:ascii="Courier New" w:eastAsia="Times New Roman" w:hAnsi="Courier New" w:cs="Courier New"/>
                <w:sz w:val="16"/>
                <w:szCs w:val="16"/>
                <w:lang w:eastAsia="de-DE"/>
              </w:rPr>
              <w:t>161</w:t>
            </w:r>
            <w:r w:rsidRPr="0011106D">
              <w:rPr>
                <w:rFonts w:ascii="Times New Roman" w:eastAsia="Times New Roman" w:hAnsi="Times New Roman" w:cs="Times New Roman"/>
                <w:sz w:val="16"/>
                <w:szCs w:val="16"/>
                <w:lang w:eastAsia="de-DE"/>
              </w:rPr>
              <w:t xml:space="preserve"> </w:t>
            </w:r>
          </w:p>
        </w:tc>
        <w:tc>
          <w:tcPr>
            <w:tcW w:w="0" w:type="auto"/>
            <w:vAlign w:val="center"/>
            <w:hideMark/>
          </w:tcPr>
          <w:p w14:paraId="6223DF9D"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r w:rsidRPr="0011106D">
              <w:rPr>
                <w:rFonts w:ascii="Courier New" w:eastAsia="Times New Roman" w:hAnsi="Courier New" w:cs="Courier New"/>
                <w:sz w:val="16"/>
                <w:szCs w:val="16"/>
                <w:u w:val="single"/>
                <w:lang w:eastAsia="de-DE"/>
              </w:rPr>
              <w:t>K</w:t>
            </w:r>
            <w:r w:rsidRPr="0011106D">
              <w:rPr>
                <w:rFonts w:ascii="Courier New" w:eastAsia="Times New Roman" w:hAnsi="Courier New" w:cs="Courier New"/>
                <w:sz w:val="16"/>
                <w:szCs w:val="16"/>
                <w:lang w:eastAsia="de-DE"/>
              </w:rPr>
              <w:t>S</w:t>
            </w:r>
            <w:r w:rsidRPr="0011106D">
              <w:rPr>
                <w:rFonts w:ascii="Courier New" w:eastAsia="Times New Roman" w:hAnsi="Courier New" w:cs="Courier New"/>
                <w:sz w:val="16"/>
                <w:szCs w:val="16"/>
                <w:u w:val="single"/>
                <w:lang w:eastAsia="de-DE"/>
              </w:rPr>
              <w:t>R</w:t>
            </w:r>
            <w:r w:rsidRPr="0011106D">
              <w:rPr>
                <w:rFonts w:ascii="Courier New" w:eastAsia="Times New Roman" w:hAnsi="Courier New" w:cs="Courier New"/>
                <w:sz w:val="16"/>
                <w:szCs w:val="16"/>
                <w:lang w:eastAsia="de-DE"/>
              </w:rPr>
              <w:t>VTQSNFA</w:t>
            </w:r>
            <w:r w:rsidRPr="0011106D">
              <w:rPr>
                <w:rFonts w:ascii="Times New Roman" w:eastAsia="Times New Roman" w:hAnsi="Times New Roman" w:cs="Times New Roman"/>
                <w:sz w:val="16"/>
                <w:szCs w:val="16"/>
                <w:lang w:eastAsia="de-DE"/>
              </w:rPr>
              <w:t xml:space="preserve"> </w:t>
            </w:r>
          </w:p>
        </w:tc>
        <w:tc>
          <w:tcPr>
            <w:tcW w:w="0" w:type="auto"/>
            <w:vAlign w:val="center"/>
            <w:hideMark/>
          </w:tcPr>
          <w:p w14:paraId="1546648D"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r w:rsidRPr="0011106D">
              <w:rPr>
                <w:rFonts w:ascii="Courier New" w:eastAsia="Times New Roman" w:hAnsi="Courier New" w:cs="Courier New"/>
                <w:sz w:val="16"/>
                <w:szCs w:val="16"/>
                <w:lang w:eastAsia="de-DE"/>
              </w:rPr>
              <w:t>VGY</w:t>
            </w:r>
            <w:r w:rsidRPr="0011106D">
              <w:rPr>
                <w:rFonts w:ascii="Courier New" w:eastAsia="Times New Roman" w:hAnsi="Courier New" w:cs="Courier New"/>
                <w:sz w:val="16"/>
                <w:szCs w:val="16"/>
                <w:u w:val="single"/>
                <w:lang w:eastAsia="de-DE"/>
              </w:rPr>
              <w:t>K</w:t>
            </w:r>
            <w:r w:rsidRPr="0011106D">
              <w:rPr>
                <w:rFonts w:ascii="Courier New" w:eastAsia="Times New Roman" w:hAnsi="Courier New" w:cs="Courier New"/>
                <w:b/>
                <w:bCs/>
                <w:color w:val="FF0000"/>
                <w:sz w:val="16"/>
                <w:szCs w:val="16"/>
                <w:lang w:eastAsia="de-DE"/>
              </w:rPr>
              <w:t>TDEFQL</w:t>
            </w:r>
            <w:r w:rsidRPr="0011106D">
              <w:rPr>
                <w:rFonts w:ascii="Times New Roman" w:eastAsia="Times New Roman" w:hAnsi="Times New Roman" w:cs="Times New Roman"/>
                <w:sz w:val="16"/>
                <w:szCs w:val="16"/>
                <w:lang w:eastAsia="de-DE"/>
              </w:rPr>
              <w:t xml:space="preserve"> </w:t>
            </w:r>
          </w:p>
        </w:tc>
        <w:tc>
          <w:tcPr>
            <w:tcW w:w="0" w:type="auto"/>
            <w:vAlign w:val="center"/>
            <w:hideMark/>
          </w:tcPr>
          <w:p w14:paraId="488C38E2"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r w:rsidRPr="0011106D">
              <w:rPr>
                <w:rFonts w:ascii="Courier New" w:eastAsia="Times New Roman" w:hAnsi="Courier New" w:cs="Courier New"/>
                <w:b/>
                <w:bCs/>
                <w:color w:val="FF0000"/>
                <w:sz w:val="16"/>
                <w:szCs w:val="16"/>
                <w:lang w:eastAsia="de-DE"/>
              </w:rPr>
              <w:t>HTNVNDGTEF</w:t>
            </w:r>
            <w:r w:rsidRPr="0011106D">
              <w:rPr>
                <w:rFonts w:ascii="Times New Roman" w:eastAsia="Times New Roman" w:hAnsi="Times New Roman" w:cs="Times New Roman"/>
                <w:sz w:val="16"/>
                <w:szCs w:val="16"/>
                <w:lang w:eastAsia="de-DE"/>
              </w:rPr>
              <w:t xml:space="preserve"> </w:t>
            </w:r>
          </w:p>
        </w:tc>
        <w:tc>
          <w:tcPr>
            <w:tcW w:w="0" w:type="auto"/>
            <w:vAlign w:val="center"/>
            <w:hideMark/>
          </w:tcPr>
          <w:p w14:paraId="466F10C4"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r w:rsidRPr="0011106D">
              <w:rPr>
                <w:rFonts w:ascii="Courier New" w:eastAsia="Times New Roman" w:hAnsi="Courier New" w:cs="Courier New"/>
                <w:b/>
                <w:bCs/>
                <w:color w:val="FF0000"/>
                <w:sz w:val="16"/>
                <w:szCs w:val="16"/>
                <w:lang w:eastAsia="de-DE"/>
              </w:rPr>
              <w:t>GGSIYQ</w:t>
            </w:r>
            <w:r w:rsidRPr="0011106D">
              <w:rPr>
                <w:rFonts w:ascii="Courier New" w:eastAsia="Times New Roman" w:hAnsi="Courier New" w:cs="Courier New"/>
                <w:b/>
                <w:bCs/>
                <w:color w:val="FF0000"/>
                <w:sz w:val="16"/>
                <w:szCs w:val="16"/>
                <w:u w:val="single"/>
                <w:lang w:eastAsia="de-DE"/>
              </w:rPr>
              <w:t>K</w:t>
            </w:r>
            <w:r w:rsidRPr="0011106D">
              <w:rPr>
                <w:rFonts w:ascii="Courier New" w:eastAsia="Times New Roman" w:hAnsi="Courier New" w:cs="Courier New"/>
                <w:sz w:val="16"/>
                <w:szCs w:val="16"/>
                <w:lang w:eastAsia="de-DE"/>
              </w:rPr>
              <w:t>VN</w:t>
            </w:r>
            <w:r w:rsidRPr="0011106D">
              <w:rPr>
                <w:rFonts w:ascii="Courier New" w:eastAsia="Times New Roman" w:hAnsi="Courier New" w:cs="Courier New"/>
                <w:sz w:val="16"/>
                <w:szCs w:val="16"/>
                <w:u w:val="single"/>
                <w:lang w:eastAsia="de-DE"/>
              </w:rPr>
              <w:t>K</w:t>
            </w:r>
            <w:r w:rsidRPr="0011106D">
              <w:rPr>
                <w:rFonts w:ascii="Times New Roman" w:eastAsia="Times New Roman" w:hAnsi="Times New Roman" w:cs="Times New Roman"/>
                <w:sz w:val="16"/>
                <w:szCs w:val="16"/>
                <w:lang w:eastAsia="de-DE"/>
              </w:rPr>
              <w:t xml:space="preserve"> </w:t>
            </w:r>
          </w:p>
        </w:tc>
        <w:tc>
          <w:tcPr>
            <w:tcW w:w="0" w:type="auto"/>
            <w:vAlign w:val="center"/>
            <w:hideMark/>
          </w:tcPr>
          <w:p w14:paraId="2DE300CD"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r w:rsidRPr="0011106D">
              <w:rPr>
                <w:rFonts w:ascii="Courier New" w:eastAsia="Times New Roman" w:hAnsi="Courier New" w:cs="Courier New"/>
                <w:b/>
                <w:bCs/>
                <w:color w:val="FF0000"/>
                <w:sz w:val="16"/>
                <w:szCs w:val="16"/>
                <w:u w:val="single"/>
                <w:lang w:eastAsia="de-DE"/>
              </w:rPr>
              <w:t>K</w:t>
            </w:r>
            <w:r w:rsidRPr="0011106D">
              <w:rPr>
                <w:rFonts w:ascii="Courier New" w:eastAsia="Times New Roman" w:hAnsi="Courier New" w:cs="Courier New"/>
                <w:b/>
                <w:bCs/>
                <w:color w:val="FF0000"/>
                <w:sz w:val="16"/>
                <w:szCs w:val="16"/>
                <w:lang w:eastAsia="de-DE"/>
              </w:rPr>
              <w:t>LETAVNLAW</w:t>
            </w:r>
            <w:r w:rsidRPr="0011106D">
              <w:rPr>
                <w:rFonts w:ascii="Times New Roman" w:eastAsia="Times New Roman" w:hAnsi="Times New Roman" w:cs="Times New Roman"/>
                <w:sz w:val="16"/>
                <w:szCs w:val="16"/>
                <w:lang w:eastAsia="de-DE"/>
              </w:rPr>
              <w:t xml:space="preserve"> </w:t>
            </w:r>
          </w:p>
        </w:tc>
        <w:tc>
          <w:tcPr>
            <w:tcW w:w="0" w:type="auto"/>
            <w:vAlign w:val="center"/>
            <w:hideMark/>
          </w:tcPr>
          <w:p w14:paraId="78A28AE4"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r w:rsidRPr="0011106D">
              <w:rPr>
                <w:rFonts w:ascii="Courier New" w:eastAsia="Times New Roman" w:hAnsi="Courier New" w:cs="Courier New"/>
                <w:b/>
                <w:bCs/>
                <w:color w:val="FF0000"/>
                <w:sz w:val="16"/>
                <w:szCs w:val="16"/>
                <w:lang w:eastAsia="de-DE"/>
              </w:rPr>
              <w:t>TAGNSNT</w:t>
            </w:r>
            <w:r w:rsidRPr="0011106D">
              <w:rPr>
                <w:rFonts w:ascii="Courier New" w:eastAsia="Times New Roman" w:hAnsi="Courier New" w:cs="Courier New"/>
                <w:b/>
                <w:bCs/>
                <w:color w:val="FF0000"/>
                <w:sz w:val="16"/>
                <w:szCs w:val="16"/>
                <w:u w:val="single"/>
                <w:lang w:eastAsia="de-DE"/>
              </w:rPr>
              <w:t>R</w:t>
            </w:r>
            <w:r w:rsidRPr="0011106D">
              <w:rPr>
                <w:rFonts w:ascii="Courier New" w:eastAsia="Times New Roman" w:hAnsi="Courier New" w:cs="Courier New"/>
                <w:sz w:val="16"/>
                <w:szCs w:val="16"/>
                <w:lang w:eastAsia="de-DE"/>
              </w:rPr>
              <w:t>FG</w:t>
            </w:r>
            <w:r w:rsidRPr="0011106D">
              <w:rPr>
                <w:rFonts w:ascii="Times New Roman" w:eastAsia="Times New Roman" w:hAnsi="Times New Roman" w:cs="Times New Roman"/>
                <w:sz w:val="16"/>
                <w:szCs w:val="16"/>
                <w:lang w:eastAsia="de-DE"/>
              </w:rPr>
              <w:t xml:space="preserve"> </w:t>
            </w:r>
          </w:p>
        </w:tc>
        <w:tc>
          <w:tcPr>
            <w:tcW w:w="0" w:type="auto"/>
            <w:vAlign w:val="center"/>
            <w:hideMark/>
          </w:tcPr>
          <w:p w14:paraId="0EB7458A"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r w:rsidRPr="0011106D">
              <w:rPr>
                <w:rFonts w:ascii="Courier New" w:eastAsia="Times New Roman" w:hAnsi="Courier New" w:cs="Courier New"/>
                <w:sz w:val="16"/>
                <w:szCs w:val="16"/>
                <w:lang w:eastAsia="de-DE"/>
              </w:rPr>
              <w:t>IAA</w:t>
            </w:r>
            <w:r w:rsidRPr="0011106D">
              <w:rPr>
                <w:rFonts w:ascii="Courier New" w:eastAsia="Times New Roman" w:hAnsi="Courier New" w:cs="Courier New"/>
                <w:sz w:val="16"/>
                <w:szCs w:val="16"/>
                <w:u w:val="single"/>
                <w:lang w:eastAsia="de-DE"/>
              </w:rPr>
              <w:t>K</w:t>
            </w:r>
            <w:r w:rsidRPr="0011106D">
              <w:rPr>
                <w:rFonts w:ascii="Courier New" w:eastAsia="Times New Roman" w:hAnsi="Courier New" w:cs="Courier New"/>
                <w:sz w:val="16"/>
                <w:szCs w:val="16"/>
                <w:lang w:eastAsia="de-DE"/>
              </w:rPr>
              <w:t>YQIDPD</w:t>
            </w:r>
            <w:r w:rsidRPr="0011106D">
              <w:rPr>
                <w:rFonts w:ascii="Times New Roman" w:eastAsia="Times New Roman" w:hAnsi="Times New Roman" w:cs="Times New Roman"/>
                <w:sz w:val="16"/>
                <w:szCs w:val="16"/>
                <w:lang w:eastAsia="de-DE"/>
              </w:rPr>
              <w:t xml:space="preserve"> </w:t>
            </w:r>
          </w:p>
        </w:tc>
        <w:tc>
          <w:tcPr>
            <w:tcW w:w="1146" w:type="dxa"/>
            <w:vAlign w:val="center"/>
            <w:hideMark/>
          </w:tcPr>
          <w:p w14:paraId="27F38A96"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r w:rsidRPr="0011106D">
              <w:rPr>
                <w:rFonts w:ascii="Courier New" w:eastAsia="Times New Roman" w:hAnsi="Courier New" w:cs="Courier New"/>
                <w:sz w:val="16"/>
                <w:szCs w:val="16"/>
                <w:lang w:eastAsia="de-DE"/>
              </w:rPr>
              <w:t>ACFSA</w:t>
            </w:r>
            <w:r w:rsidRPr="0011106D">
              <w:rPr>
                <w:rFonts w:ascii="Courier New" w:eastAsia="Times New Roman" w:hAnsi="Courier New" w:cs="Courier New"/>
                <w:sz w:val="16"/>
                <w:szCs w:val="16"/>
                <w:u w:val="single"/>
                <w:lang w:eastAsia="de-DE"/>
              </w:rPr>
              <w:t>K</w:t>
            </w:r>
            <w:r w:rsidRPr="0011106D">
              <w:rPr>
                <w:rFonts w:ascii="Courier New" w:eastAsia="Times New Roman" w:hAnsi="Courier New" w:cs="Courier New"/>
                <w:sz w:val="16"/>
                <w:szCs w:val="16"/>
                <w:lang w:eastAsia="de-DE"/>
              </w:rPr>
              <w:t>VNNS</w:t>
            </w:r>
            <w:r w:rsidRPr="0011106D">
              <w:rPr>
                <w:rFonts w:ascii="Times New Roman" w:eastAsia="Times New Roman" w:hAnsi="Times New Roman" w:cs="Times New Roman"/>
                <w:sz w:val="16"/>
                <w:szCs w:val="16"/>
                <w:lang w:eastAsia="de-DE"/>
              </w:rPr>
              <w:t xml:space="preserve"> </w:t>
            </w:r>
          </w:p>
        </w:tc>
      </w:tr>
      <w:tr w:rsidR="00BC7791" w:rsidRPr="006116B7" w14:paraId="0D6FDD6D" w14:textId="77777777" w:rsidTr="00F30766">
        <w:trPr>
          <w:tblCellSpacing w:w="22" w:type="dxa"/>
          <w:jc w:val="center"/>
        </w:trPr>
        <w:tc>
          <w:tcPr>
            <w:tcW w:w="334" w:type="dxa"/>
            <w:vAlign w:val="center"/>
            <w:hideMark/>
          </w:tcPr>
          <w:p w14:paraId="55FF125F"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r w:rsidRPr="0011106D">
              <w:rPr>
                <w:rFonts w:ascii="Courier New" w:eastAsia="Times New Roman" w:hAnsi="Courier New" w:cs="Courier New"/>
                <w:sz w:val="16"/>
                <w:szCs w:val="16"/>
                <w:lang w:eastAsia="de-DE"/>
              </w:rPr>
              <w:t>241</w:t>
            </w:r>
            <w:r w:rsidRPr="0011106D">
              <w:rPr>
                <w:rFonts w:ascii="Times New Roman" w:eastAsia="Times New Roman" w:hAnsi="Times New Roman" w:cs="Times New Roman"/>
                <w:sz w:val="16"/>
                <w:szCs w:val="16"/>
                <w:lang w:eastAsia="de-DE"/>
              </w:rPr>
              <w:t xml:space="preserve"> </w:t>
            </w:r>
          </w:p>
        </w:tc>
        <w:tc>
          <w:tcPr>
            <w:tcW w:w="0" w:type="auto"/>
            <w:vAlign w:val="center"/>
            <w:hideMark/>
          </w:tcPr>
          <w:p w14:paraId="35709989"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r w:rsidRPr="0011106D">
              <w:rPr>
                <w:rFonts w:ascii="Courier New" w:eastAsia="Times New Roman" w:hAnsi="Courier New" w:cs="Courier New"/>
                <w:sz w:val="16"/>
                <w:szCs w:val="16"/>
                <w:lang w:eastAsia="de-DE"/>
              </w:rPr>
              <w:t>SLIGLGYTQT</w:t>
            </w:r>
            <w:r w:rsidRPr="0011106D">
              <w:rPr>
                <w:rFonts w:ascii="Times New Roman" w:eastAsia="Times New Roman" w:hAnsi="Times New Roman" w:cs="Times New Roman"/>
                <w:sz w:val="16"/>
                <w:szCs w:val="16"/>
                <w:lang w:eastAsia="de-DE"/>
              </w:rPr>
              <w:t xml:space="preserve"> </w:t>
            </w:r>
          </w:p>
        </w:tc>
        <w:tc>
          <w:tcPr>
            <w:tcW w:w="0" w:type="auto"/>
            <w:vAlign w:val="center"/>
            <w:hideMark/>
          </w:tcPr>
          <w:p w14:paraId="3BBEDA23"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r w:rsidRPr="0011106D">
              <w:rPr>
                <w:rFonts w:ascii="Courier New" w:eastAsia="Times New Roman" w:hAnsi="Courier New" w:cs="Courier New"/>
                <w:sz w:val="16"/>
                <w:szCs w:val="16"/>
                <w:lang w:eastAsia="de-DE"/>
              </w:rPr>
              <w:t>LKPGI</w:t>
            </w:r>
            <w:r w:rsidRPr="0011106D">
              <w:rPr>
                <w:rFonts w:ascii="Courier New" w:eastAsia="Times New Roman" w:hAnsi="Courier New" w:cs="Courier New"/>
                <w:sz w:val="16"/>
                <w:szCs w:val="16"/>
                <w:u w:val="single"/>
                <w:lang w:eastAsia="de-DE"/>
              </w:rPr>
              <w:t>K</w:t>
            </w:r>
            <w:r w:rsidRPr="0011106D">
              <w:rPr>
                <w:rFonts w:ascii="Courier New" w:eastAsia="Times New Roman" w:hAnsi="Courier New" w:cs="Courier New"/>
                <w:sz w:val="16"/>
                <w:szCs w:val="16"/>
                <w:lang w:eastAsia="de-DE"/>
              </w:rPr>
              <w:t>LTLS</w:t>
            </w:r>
            <w:r w:rsidRPr="0011106D">
              <w:rPr>
                <w:rFonts w:ascii="Times New Roman" w:eastAsia="Times New Roman" w:hAnsi="Times New Roman" w:cs="Times New Roman"/>
                <w:sz w:val="16"/>
                <w:szCs w:val="16"/>
                <w:lang w:eastAsia="de-DE"/>
              </w:rPr>
              <w:t xml:space="preserve"> </w:t>
            </w:r>
          </w:p>
        </w:tc>
        <w:tc>
          <w:tcPr>
            <w:tcW w:w="0" w:type="auto"/>
            <w:vAlign w:val="center"/>
            <w:hideMark/>
          </w:tcPr>
          <w:p w14:paraId="23C3417D"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r w:rsidRPr="0011106D">
              <w:rPr>
                <w:rFonts w:ascii="Courier New" w:eastAsia="Times New Roman" w:hAnsi="Courier New" w:cs="Courier New"/>
                <w:sz w:val="16"/>
                <w:szCs w:val="16"/>
                <w:lang w:eastAsia="de-DE"/>
              </w:rPr>
              <w:t>ALLDG</w:t>
            </w:r>
            <w:r w:rsidRPr="0011106D">
              <w:rPr>
                <w:rFonts w:ascii="Courier New" w:eastAsia="Times New Roman" w:hAnsi="Courier New" w:cs="Courier New"/>
                <w:sz w:val="16"/>
                <w:szCs w:val="16"/>
                <w:u w:val="single"/>
                <w:lang w:eastAsia="de-DE"/>
              </w:rPr>
              <w:t>K</w:t>
            </w:r>
            <w:r w:rsidRPr="0011106D">
              <w:rPr>
                <w:rFonts w:ascii="Courier New" w:eastAsia="Times New Roman" w:hAnsi="Courier New" w:cs="Courier New"/>
                <w:sz w:val="16"/>
                <w:szCs w:val="16"/>
                <w:lang w:eastAsia="de-DE"/>
              </w:rPr>
              <w:t>NVNA</w:t>
            </w:r>
            <w:r w:rsidRPr="0011106D">
              <w:rPr>
                <w:rFonts w:ascii="Times New Roman" w:eastAsia="Times New Roman" w:hAnsi="Times New Roman" w:cs="Times New Roman"/>
                <w:sz w:val="16"/>
                <w:szCs w:val="16"/>
                <w:lang w:eastAsia="de-DE"/>
              </w:rPr>
              <w:t xml:space="preserve"> </w:t>
            </w:r>
          </w:p>
        </w:tc>
        <w:tc>
          <w:tcPr>
            <w:tcW w:w="0" w:type="auto"/>
            <w:vAlign w:val="center"/>
            <w:hideMark/>
          </w:tcPr>
          <w:p w14:paraId="14B42AE9"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r w:rsidRPr="0011106D">
              <w:rPr>
                <w:rFonts w:ascii="Courier New" w:eastAsia="Times New Roman" w:hAnsi="Courier New" w:cs="Courier New"/>
                <w:sz w:val="16"/>
                <w:szCs w:val="16"/>
                <w:lang w:eastAsia="de-DE"/>
              </w:rPr>
              <w:t>GGH</w:t>
            </w:r>
            <w:r w:rsidRPr="0011106D">
              <w:rPr>
                <w:rFonts w:ascii="Courier New" w:eastAsia="Times New Roman" w:hAnsi="Courier New" w:cs="Courier New"/>
                <w:sz w:val="16"/>
                <w:szCs w:val="16"/>
                <w:u w:val="single"/>
                <w:lang w:eastAsia="de-DE"/>
              </w:rPr>
              <w:t>K</w:t>
            </w:r>
            <w:r w:rsidRPr="0011106D">
              <w:rPr>
                <w:rFonts w:ascii="Courier New" w:eastAsia="Times New Roman" w:hAnsi="Courier New" w:cs="Courier New"/>
                <w:sz w:val="16"/>
                <w:szCs w:val="16"/>
                <w:lang w:eastAsia="de-DE"/>
              </w:rPr>
              <w:t>LGLGLE</w:t>
            </w:r>
            <w:r w:rsidRPr="0011106D">
              <w:rPr>
                <w:rFonts w:ascii="Times New Roman" w:eastAsia="Times New Roman" w:hAnsi="Times New Roman" w:cs="Times New Roman"/>
                <w:sz w:val="16"/>
                <w:szCs w:val="16"/>
                <w:lang w:eastAsia="de-DE"/>
              </w:rPr>
              <w:t xml:space="preserve"> </w:t>
            </w:r>
          </w:p>
        </w:tc>
        <w:tc>
          <w:tcPr>
            <w:tcW w:w="0" w:type="auto"/>
            <w:vAlign w:val="center"/>
            <w:hideMark/>
          </w:tcPr>
          <w:p w14:paraId="5EDEDF98"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r w:rsidRPr="0011106D">
              <w:rPr>
                <w:rFonts w:ascii="Courier New" w:eastAsia="Times New Roman" w:hAnsi="Courier New" w:cs="Courier New"/>
                <w:sz w:val="16"/>
                <w:szCs w:val="16"/>
                <w:lang w:eastAsia="de-DE"/>
              </w:rPr>
              <w:t>FQAL</w:t>
            </w:r>
            <w:r w:rsidRPr="0011106D">
              <w:rPr>
                <w:rFonts w:ascii="Courier New" w:eastAsia="Times New Roman" w:hAnsi="Courier New" w:cs="Courier New"/>
                <w:sz w:val="16"/>
                <w:szCs w:val="16"/>
                <w:u w:val="single"/>
                <w:lang w:eastAsia="de-DE"/>
              </w:rPr>
              <w:t>E</w:t>
            </w:r>
            <w:r w:rsidRPr="0011106D">
              <w:rPr>
                <w:rFonts w:ascii="Times New Roman" w:eastAsia="Times New Roman" w:hAnsi="Times New Roman" w:cs="Times New Roman"/>
                <w:sz w:val="16"/>
                <w:szCs w:val="16"/>
                <w:lang w:eastAsia="de-DE"/>
              </w:rPr>
              <w:t xml:space="preserve"> </w:t>
            </w:r>
          </w:p>
        </w:tc>
        <w:tc>
          <w:tcPr>
            <w:tcW w:w="0" w:type="auto"/>
            <w:vAlign w:val="center"/>
            <w:hideMark/>
          </w:tcPr>
          <w:p w14:paraId="2734B7D7"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p>
        </w:tc>
        <w:tc>
          <w:tcPr>
            <w:tcW w:w="0" w:type="auto"/>
            <w:vAlign w:val="center"/>
            <w:hideMark/>
          </w:tcPr>
          <w:p w14:paraId="2C7D82FB"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p>
        </w:tc>
        <w:tc>
          <w:tcPr>
            <w:tcW w:w="1146" w:type="dxa"/>
            <w:vAlign w:val="center"/>
            <w:hideMark/>
          </w:tcPr>
          <w:p w14:paraId="6616A2C9" w14:textId="77777777" w:rsidR="00BC7791" w:rsidRPr="0011106D" w:rsidRDefault="00BC7791" w:rsidP="00F30766">
            <w:pPr>
              <w:spacing w:after="0" w:line="240" w:lineRule="auto"/>
              <w:rPr>
                <w:rFonts w:ascii="Times New Roman" w:eastAsia="Times New Roman" w:hAnsi="Times New Roman" w:cs="Times New Roman"/>
                <w:sz w:val="16"/>
                <w:szCs w:val="16"/>
                <w:lang w:eastAsia="de-DE"/>
              </w:rPr>
            </w:pPr>
          </w:p>
        </w:tc>
      </w:tr>
    </w:tbl>
    <w:p w14:paraId="178E615D" w14:textId="77777777" w:rsidR="00434F3B" w:rsidRDefault="00434F3B" w:rsidP="00434F3B">
      <w:pPr>
        <w:pStyle w:val="Beschriftung"/>
        <w:jc w:val="both"/>
        <w:rPr>
          <w:i w:val="0"/>
          <w:color w:val="auto"/>
        </w:rPr>
      </w:pPr>
    </w:p>
    <w:p w14:paraId="4C39DA31" w14:textId="4C27F8E3" w:rsidR="00D955E0" w:rsidRPr="00434F3B" w:rsidRDefault="00F26167" w:rsidP="00434F3B">
      <w:pPr>
        <w:pStyle w:val="Beschriftung"/>
        <w:jc w:val="both"/>
        <w:rPr>
          <w:i w:val="0"/>
          <w:color w:val="auto"/>
        </w:rPr>
      </w:pPr>
      <w:r w:rsidRPr="00F26167">
        <w:rPr>
          <w:i w:val="0"/>
          <w:color w:val="auto"/>
        </w:rPr>
        <w:t xml:space="preserve">Figure </w:t>
      </w:r>
      <w:r w:rsidR="00D955E0">
        <w:rPr>
          <w:i w:val="0"/>
          <w:color w:val="auto"/>
        </w:rPr>
        <w:t>S</w:t>
      </w:r>
      <w:r w:rsidRPr="00F26167">
        <w:rPr>
          <w:i w:val="0"/>
          <w:color w:val="auto"/>
        </w:rPr>
        <w:fldChar w:fldCharType="begin"/>
      </w:r>
      <w:r w:rsidRPr="00F26167">
        <w:rPr>
          <w:i w:val="0"/>
          <w:color w:val="auto"/>
        </w:rPr>
        <w:instrText xml:space="preserve"> SEQ Figure \* ARABIC </w:instrText>
      </w:r>
      <w:r w:rsidRPr="00F26167">
        <w:rPr>
          <w:i w:val="0"/>
          <w:color w:val="auto"/>
        </w:rPr>
        <w:fldChar w:fldCharType="separate"/>
      </w:r>
      <w:r w:rsidR="00843659">
        <w:rPr>
          <w:i w:val="0"/>
          <w:noProof/>
          <w:color w:val="auto"/>
        </w:rPr>
        <w:t>1</w:t>
      </w:r>
      <w:r w:rsidRPr="00F26167">
        <w:rPr>
          <w:i w:val="0"/>
          <w:color w:val="auto"/>
        </w:rPr>
        <w:fldChar w:fldCharType="end"/>
      </w:r>
      <w:r w:rsidRPr="00F26167">
        <w:rPr>
          <w:i w:val="0"/>
          <w:color w:val="auto"/>
        </w:rPr>
        <w:t xml:space="preserve">. </w:t>
      </w:r>
      <w:r w:rsidR="00BC7791">
        <w:rPr>
          <w:i w:val="0"/>
          <w:color w:val="auto"/>
        </w:rPr>
        <w:t>MALDI-TOF-MS spectrum of VDAC showing the tryptic peptides. The theoretical masses, intensity and signal-to-noise ratio (S/N) are shown in the box. Peaks corresponding to matching peptide sequences (in red below) are shown in bold type. Below, the complete VDAC amino acid sequence, showing the matching peptide sequences in red and the sites of cleavage by trypsin (_).T</w:t>
      </w:r>
      <w:r w:rsidR="00197190">
        <w:rPr>
          <w:i w:val="0"/>
          <w:color w:val="auto"/>
        </w:rPr>
        <w:t xml:space="preserve">he matched peptides cover 34% of the protein with 98 identical residues of 285 </w:t>
      </w:r>
      <w:proofErr w:type="spellStart"/>
      <w:r w:rsidR="00197190">
        <w:rPr>
          <w:i w:val="0"/>
          <w:color w:val="auto"/>
        </w:rPr>
        <w:t>aminoacids</w:t>
      </w:r>
      <w:proofErr w:type="spellEnd"/>
      <w:r w:rsidR="00197190">
        <w:rPr>
          <w:i w:val="0"/>
          <w:color w:val="auto"/>
        </w:rPr>
        <w:t xml:space="preserve"> for VDAC.</w:t>
      </w:r>
    </w:p>
    <w:p w14:paraId="6274667C" w14:textId="77777777" w:rsidR="00F26167" w:rsidRDefault="00D955E0" w:rsidP="00D955E0">
      <w:pPr>
        <w:keepNext/>
        <w:jc w:val="center"/>
      </w:pPr>
      <w:r>
        <w:rPr>
          <w:noProof/>
          <w:lang w:val="de-AT" w:eastAsia="de-AT"/>
        </w:rPr>
        <w:lastRenderedPageBreak/>
        <w:drawing>
          <wp:inline distT="0" distB="0" distL="0" distR="0" wp14:anchorId="7A8B1F3C" wp14:editId="463A438C">
            <wp:extent cx="3936732" cy="5640709"/>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tif"/>
                    <pic:cNvPicPr/>
                  </pic:nvPicPr>
                  <pic:blipFill>
                    <a:blip r:embed="rId8">
                      <a:extLst>
                        <a:ext uri="{28A0092B-C50C-407E-A947-70E740481C1C}">
                          <a14:useLocalDpi xmlns:a14="http://schemas.microsoft.com/office/drawing/2010/main" val="0"/>
                        </a:ext>
                      </a:extLst>
                    </a:blip>
                    <a:stretch>
                      <a:fillRect/>
                    </a:stretch>
                  </pic:blipFill>
                  <pic:spPr>
                    <a:xfrm>
                      <a:off x="0" y="0"/>
                      <a:ext cx="3939847" cy="5645173"/>
                    </a:xfrm>
                    <a:prstGeom prst="rect">
                      <a:avLst/>
                    </a:prstGeom>
                  </pic:spPr>
                </pic:pic>
              </a:graphicData>
            </a:graphic>
          </wp:inline>
        </w:drawing>
      </w:r>
    </w:p>
    <w:p w14:paraId="268C9756" w14:textId="56BDDE00" w:rsidR="00F26167" w:rsidRPr="00126850" w:rsidRDefault="00F26167" w:rsidP="00126850">
      <w:pPr>
        <w:pStyle w:val="Beschriftung"/>
        <w:jc w:val="both"/>
        <w:rPr>
          <w:i w:val="0"/>
          <w:color w:val="auto"/>
        </w:rPr>
      </w:pPr>
      <w:r w:rsidRPr="00F26167">
        <w:rPr>
          <w:i w:val="0"/>
          <w:color w:val="auto"/>
        </w:rPr>
        <w:t xml:space="preserve">Figure </w:t>
      </w:r>
      <w:r w:rsidR="00D955E0">
        <w:rPr>
          <w:i w:val="0"/>
          <w:color w:val="auto"/>
        </w:rPr>
        <w:t>S</w:t>
      </w:r>
      <w:r w:rsidRPr="00F26167">
        <w:rPr>
          <w:i w:val="0"/>
          <w:color w:val="auto"/>
        </w:rPr>
        <w:fldChar w:fldCharType="begin"/>
      </w:r>
      <w:r w:rsidRPr="00F26167">
        <w:rPr>
          <w:i w:val="0"/>
          <w:color w:val="auto"/>
        </w:rPr>
        <w:instrText xml:space="preserve"> SEQ Figure \* ARABIC </w:instrText>
      </w:r>
      <w:r w:rsidRPr="00F26167">
        <w:rPr>
          <w:i w:val="0"/>
          <w:color w:val="auto"/>
        </w:rPr>
        <w:fldChar w:fldCharType="separate"/>
      </w:r>
      <w:r w:rsidR="00843659">
        <w:rPr>
          <w:i w:val="0"/>
          <w:noProof/>
          <w:color w:val="auto"/>
        </w:rPr>
        <w:t>2</w:t>
      </w:r>
      <w:r w:rsidRPr="00F26167">
        <w:rPr>
          <w:i w:val="0"/>
          <w:color w:val="auto"/>
        </w:rPr>
        <w:fldChar w:fldCharType="end"/>
      </w:r>
      <w:r w:rsidR="00197190">
        <w:rPr>
          <w:i w:val="0"/>
          <w:color w:val="auto"/>
        </w:rPr>
        <w:t xml:space="preserve">. </w:t>
      </w:r>
      <w:r w:rsidR="00D955E0">
        <w:rPr>
          <w:i w:val="0"/>
          <w:color w:val="auto"/>
        </w:rPr>
        <w:t xml:space="preserve">MS/MS spectra of two parent ions corresponding to the two highest peaks of the MS spectrum (figure S1). Upper graph: Spectrum of the peptide 1945.934 m/z with sequence </w:t>
      </w:r>
      <w:r w:rsidR="00D955E0" w:rsidRPr="00D955E0">
        <w:rPr>
          <w:i w:val="0"/>
          <w:color w:val="auto"/>
        </w:rPr>
        <w:t>KLETAVNLAWTAGNSNTR</w:t>
      </w:r>
      <w:r w:rsidR="00D955E0">
        <w:rPr>
          <w:i w:val="0"/>
          <w:color w:val="auto"/>
        </w:rPr>
        <w:t xml:space="preserve"> (matched intensity: 48.1%). Lower graph: Spectrum of the peptide 2175.956 m/z with sequence </w:t>
      </w:r>
      <w:r w:rsidR="00D955E0" w:rsidRPr="00D955E0">
        <w:rPr>
          <w:i w:val="0"/>
          <w:color w:val="auto"/>
        </w:rPr>
        <w:t>EHINLGCDMDFDIAGPSIR</w:t>
      </w:r>
      <w:r w:rsidR="00141063">
        <w:rPr>
          <w:i w:val="0"/>
          <w:color w:val="auto"/>
        </w:rPr>
        <w:t xml:space="preserve"> (matched intensity: 34.8%).</w:t>
      </w:r>
    </w:p>
    <w:p w14:paraId="7A96947B" w14:textId="77777777" w:rsidR="00F26167" w:rsidRDefault="00F26167" w:rsidP="00434F3B">
      <w:pPr>
        <w:pStyle w:val="berschrift2"/>
      </w:pPr>
      <w:bookmarkStart w:id="12" w:name="_Toc522728077"/>
      <w:r w:rsidRPr="001A2674">
        <w:t>In-cell expression of VDAC protein</w:t>
      </w:r>
      <w:bookmarkEnd w:id="12"/>
      <w:r w:rsidR="00434F3B">
        <w:t xml:space="preserve"> </w:t>
      </w:r>
    </w:p>
    <w:p w14:paraId="7DCB3581" w14:textId="77777777" w:rsidR="00A931AD" w:rsidRDefault="003158F9" w:rsidP="00A931AD">
      <w:pPr>
        <w:keepNext/>
      </w:pPr>
      <w:r>
        <w:rPr>
          <w:noProof/>
          <w:lang w:val="de-AT" w:eastAsia="de-AT"/>
        </w:rPr>
        <w:drawing>
          <wp:inline distT="0" distB="0" distL="0" distR="0" wp14:anchorId="443E2A5A" wp14:editId="1FEB8608">
            <wp:extent cx="5731510" cy="156781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567815"/>
                    </a:xfrm>
                    <a:prstGeom prst="rect">
                      <a:avLst/>
                    </a:prstGeom>
                  </pic:spPr>
                </pic:pic>
              </a:graphicData>
            </a:graphic>
          </wp:inline>
        </w:drawing>
      </w:r>
    </w:p>
    <w:p w14:paraId="77D09BC2" w14:textId="754DA293" w:rsidR="00BD0659" w:rsidRPr="00141063" w:rsidRDefault="00A931AD" w:rsidP="00141063">
      <w:pPr>
        <w:pStyle w:val="Beschriftung"/>
        <w:jc w:val="both"/>
        <w:rPr>
          <w:i w:val="0"/>
          <w:color w:val="auto"/>
        </w:rPr>
      </w:pPr>
      <w:r w:rsidRPr="00A931AD">
        <w:rPr>
          <w:i w:val="0"/>
          <w:color w:val="auto"/>
        </w:rPr>
        <w:t>Figure S</w:t>
      </w:r>
      <w:r w:rsidRPr="00A931AD">
        <w:rPr>
          <w:i w:val="0"/>
          <w:color w:val="auto"/>
        </w:rPr>
        <w:fldChar w:fldCharType="begin"/>
      </w:r>
      <w:r w:rsidRPr="00A931AD">
        <w:rPr>
          <w:i w:val="0"/>
          <w:color w:val="auto"/>
        </w:rPr>
        <w:instrText xml:space="preserve"> SEQ Figure \* ARABIC </w:instrText>
      </w:r>
      <w:r w:rsidRPr="00A931AD">
        <w:rPr>
          <w:i w:val="0"/>
          <w:color w:val="auto"/>
        </w:rPr>
        <w:fldChar w:fldCharType="separate"/>
      </w:r>
      <w:r w:rsidR="00843659">
        <w:rPr>
          <w:i w:val="0"/>
          <w:noProof/>
          <w:color w:val="auto"/>
        </w:rPr>
        <w:t>3</w:t>
      </w:r>
      <w:r w:rsidRPr="00A931AD">
        <w:rPr>
          <w:i w:val="0"/>
          <w:color w:val="auto"/>
        </w:rPr>
        <w:fldChar w:fldCharType="end"/>
      </w:r>
      <w:r>
        <w:rPr>
          <w:i w:val="0"/>
          <w:color w:val="auto"/>
        </w:rPr>
        <w:t xml:space="preserve">. Western Blots of VDAC expression in </w:t>
      </w:r>
      <w:r w:rsidR="003D67C9">
        <w:rPr>
          <w:color w:val="auto"/>
        </w:rPr>
        <w:t>E. c</w:t>
      </w:r>
      <w:r w:rsidRPr="00A931AD">
        <w:rPr>
          <w:color w:val="auto"/>
        </w:rPr>
        <w:t>oli</w:t>
      </w:r>
      <w:r>
        <w:rPr>
          <w:i w:val="0"/>
          <w:color w:val="auto"/>
        </w:rPr>
        <w:t xml:space="preserve">. Lanes </w:t>
      </w:r>
      <w:r w:rsidR="00BD0659">
        <w:rPr>
          <w:i w:val="0"/>
          <w:color w:val="auto"/>
        </w:rPr>
        <w:t>1-4: Expression levels using</w:t>
      </w:r>
      <w:r>
        <w:rPr>
          <w:i w:val="0"/>
          <w:color w:val="auto"/>
        </w:rPr>
        <w:t xml:space="preserve"> </w:t>
      </w:r>
      <w:r w:rsidR="00BD0659">
        <w:rPr>
          <w:i w:val="0"/>
          <w:color w:val="auto"/>
        </w:rPr>
        <w:t>VDAC-</w:t>
      </w:r>
      <w:r w:rsidR="003D67C9">
        <w:rPr>
          <w:i w:val="0"/>
          <w:color w:val="auto"/>
        </w:rPr>
        <w:t>I-0</w:t>
      </w:r>
      <w:r w:rsidR="00BD0659">
        <w:rPr>
          <w:i w:val="0"/>
          <w:color w:val="auto"/>
        </w:rPr>
        <w:t xml:space="preserve"> </w:t>
      </w:r>
      <w:r>
        <w:rPr>
          <w:i w:val="0"/>
          <w:color w:val="auto"/>
        </w:rPr>
        <w:t xml:space="preserve">before (1), and 2h (2), 3h (3), </w:t>
      </w:r>
      <w:r w:rsidR="00BD0659">
        <w:rPr>
          <w:i w:val="0"/>
          <w:color w:val="auto"/>
        </w:rPr>
        <w:t xml:space="preserve">and </w:t>
      </w:r>
      <w:r>
        <w:rPr>
          <w:i w:val="0"/>
          <w:color w:val="auto"/>
        </w:rPr>
        <w:t>an overnight (4) after the addition of IPTG. Lanes 5</w:t>
      </w:r>
      <w:r w:rsidR="00BD0659">
        <w:rPr>
          <w:i w:val="0"/>
          <w:color w:val="auto"/>
        </w:rPr>
        <w:t>-8: Expression levels using VDAC-</w:t>
      </w:r>
      <w:r w:rsidR="003D67C9">
        <w:rPr>
          <w:i w:val="0"/>
          <w:color w:val="auto"/>
        </w:rPr>
        <w:t>II-0</w:t>
      </w:r>
      <w:r>
        <w:rPr>
          <w:i w:val="0"/>
          <w:color w:val="auto"/>
        </w:rPr>
        <w:t xml:space="preserve"> construct before (5), and 2h (6), 3h (7), and an overnight </w:t>
      </w:r>
      <w:r w:rsidR="00CC5AFD">
        <w:rPr>
          <w:i w:val="0"/>
          <w:color w:val="auto"/>
        </w:rPr>
        <w:t xml:space="preserve">(8) </w:t>
      </w:r>
      <w:r>
        <w:rPr>
          <w:i w:val="0"/>
          <w:color w:val="auto"/>
        </w:rPr>
        <w:t xml:space="preserve">after the addition of </w:t>
      </w:r>
      <w:proofErr w:type="spellStart"/>
      <w:r w:rsidR="00CC5AFD">
        <w:rPr>
          <w:i w:val="0"/>
          <w:color w:val="auto"/>
        </w:rPr>
        <w:t>i</w:t>
      </w:r>
      <w:r w:rsidR="00F1716B">
        <w:rPr>
          <w:i w:val="0"/>
          <w:color w:val="auto"/>
        </w:rPr>
        <w:t>PTG</w:t>
      </w:r>
      <w:proofErr w:type="spellEnd"/>
      <w:r w:rsidR="00F1716B">
        <w:rPr>
          <w:i w:val="0"/>
          <w:color w:val="auto"/>
        </w:rPr>
        <w:t>.</w:t>
      </w:r>
      <w:r w:rsidR="00BD0659">
        <w:rPr>
          <w:i w:val="0"/>
          <w:color w:val="auto"/>
        </w:rPr>
        <w:t xml:space="preserve">). </w:t>
      </w:r>
      <w:r w:rsidR="00F31421" w:rsidRPr="00F31421">
        <w:rPr>
          <w:b/>
          <w:i w:val="0"/>
          <w:color w:val="auto"/>
        </w:rPr>
        <w:t>m</w:t>
      </w:r>
      <w:r w:rsidR="00F31421">
        <w:rPr>
          <w:i w:val="0"/>
          <w:color w:val="auto"/>
        </w:rPr>
        <w:t xml:space="preserve"> stands for marker</w:t>
      </w:r>
      <w:r w:rsidR="006E6F7E">
        <w:rPr>
          <w:i w:val="0"/>
          <w:color w:val="auto"/>
        </w:rPr>
        <w:t>.</w:t>
      </w:r>
    </w:p>
    <w:p w14:paraId="18F45219" w14:textId="45DEFDA0" w:rsidR="00023AFC" w:rsidRDefault="00AD17B6" w:rsidP="00023AFC">
      <w:pPr>
        <w:pStyle w:val="berschrift2"/>
      </w:pPr>
      <w:bookmarkStart w:id="13" w:name="_Toc522728078"/>
      <w:r w:rsidRPr="007B78B6">
        <w:lastRenderedPageBreak/>
        <w:t>Co</w:t>
      </w:r>
      <w:r w:rsidR="00966D50" w:rsidRPr="007B78B6">
        <w:t>o</w:t>
      </w:r>
      <w:r w:rsidRPr="007B78B6">
        <w:t xml:space="preserve">massie and </w:t>
      </w:r>
      <w:r w:rsidR="004816DE" w:rsidRPr="007B78B6">
        <w:t xml:space="preserve">Western Blots – </w:t>
      </w:r>
      <w:r w:rsidR="00023AFC" w:rsidRPr="007B78B6">
        <w:t>VDAC-</w:t>
      </w:r>
      <w:r w:rsidR="00B934BA" w:rsidRPr="007B78B6">
        <w:t>I</w:t>
      </w:r>
      <w:r w:rsidR="00023AFC" w:rsidRPr="007B78B6">
        <w:t xml:space="preserve"> and VDAC-</w:t>
      </w:r>
      <w:r w:rsidR="00B934BA" w:rsidRPr="007B78B6">
        <w:t>II</w:t>
      </w:r>
      <w:bookmarkEnd w:id="13"/>
    </w:p>
    <w:p w14:paraId="6FFE3CDB" w14:textId="71A74FE4" w:rsidR="000C7273" w:rsidRDefault="00AE2BC7" w:rsidP="000C7273">
      <w:pPr>
        <w:keepNext/>
        <w:jc w:val="center"/>
      </w:pPr>
      <w:r>
        <w:rPr>
          <w:noProof/>
          <w:lang w:val="de-AT" w:eastAsia="de-AT"/>
        </w:rPr>
        <w:drawing>
          <wp:inline distT="0" distB="0" distL="0" distR="0" wp14:anchorId="3AB0CED2" wp14:editId="77840352">
            <wp:extent cx="5731510" cy="28632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863215"/>
                    </a:xfrm>
                    <a:prstGeom prst="rect">
                      <a:avLst/>
                    </a:prstGeom>
                  </pic:spPr>
                </pic:pic>
              </a:graphicData>
            </a:graphic>
          </wp:inline>
        </w:drawing>
      </w:r>
    </w:p>
    <w:p w14:paraId="07718B1C" w14:textId="4BD0633C" w:rsidR="00023AFC" w:rsidRDefault="000C7273" w:rsidP="000C7273">
      <w:pPr>
        <w:pStyle w:val="Beschriftung"/>
        <w:rPr>
          <w:i w:val="0"/>
          <w:color w:val="auto"/>
        </w:rPr>
      </w:pPr>
      <w:r w:rsidRPr="000C7273">
        <w:rPr>
          <w:i w:val="0"/>
          <w:color w:val="auto"/>
        </w:rPr>
        <w:t>Figure S</w:t>
      </w:r>
      <w:r w:rsidRPr="000C7273">
        <w:rPr>
          <w:i w:val="0"/>
          <w:color w:val="auto"/>
        </w:rPr>
        <w:fldChar w:fldCharType="begin"/>
      </w:r>
      <w:r w:rsidRPr="000C7273">
        <w:rPr>
          <w:i w:val="0"/>
          <w:color w:val="auto"/>
        </w:rPr>
        <w:instrText xml:space="preserve"> SEQ Figure \* ARABIC </w:instrText>
      </w:r>
      <w:r w:rsidRPr="000C7273">
        <w:rPr>
          <w:i w:val="0"/>
          <w:color w:val="auto"/>
        </w:rPr>
        <w:fldChar w:fldCharType="separate"/>
      </w:r>
      <w:r w:rsidR="00843659">
        <w:rPr>
          <w:i w:val="0"/>
          <w:noProof/>
          <w:color w:val="auto"/>
        </w:rPr>
        <w:t>4</w:t>
      </w:r>
      <w:r w:rsidRPr="000C7273">
        <w:rPr>
          <w:i w:val="0"/>
          <w:color w:val="auto"/>
        </w:rPr>
        <w:fldChar w:fldCharType="end"/>
      </w:r>
      <w:r>
        <w:rPr>
          <w:i w:val="0"/>
          <w:color w:val="auto"/>
        </w:rPr>
        <w:t xml:space="preserve">. </w:t>
      </w:r>
      <w:proofErr w:type="spellStart"/>
      <w:r w:rsidR="00AD17B6">
        <w:rPr>
          <w:i w:val="0"/>
          <w:color w:val="auto"/>
        </w:rPr>
        <w:t>Co</w:t>
      </w:r>
      <w:r w:rsidR="00966D50">
        <w:rPr>
          <w:i w:val="0"/>
          <w:color w:val="auto"/>
        </w:rPr>
        <w:t>o</w:t>
      </w:r>
      <w:r w:rsidR="00AD17B6">
        <w:rPr>
          <w:i w:val="0"/>
          <w:color w:val="auto"/>
        </w:rPr>
        <w:t>massie</w:t>
      </w:r>
      <w:proofErr w:type="spellEnd"/>
      <w:r w:rsidR="00D9734A">
        <w:rPr>
          <w:i w:val="0"/>
          <w:color w:val="auto"/>
        </w:rPr>
        <w:t xml:space="preserve"> </w:t>
      </w:r>
      <w:proofErr w:type="spellStart"/>
      <w:r w:rsidR="00D9734A">
        <w:rPr>
          <w:i w:val="0"/>
          <w:color w:val="auto"/>
        </w:rPr>
        <w:t>stainings</w:t>
      </w:r>
      <w:proofErr w:type="spellEnd"/>
      <w:r>
        <w:rPr>
          <w:i w:val="0"/>
          <w:color w:val="auto"/>
        </w:rPr>
        <w:t xml:space="preserve"> </w:t>
      </w:r>
      <w:r w:rsidR="00D9734A">
        <w:rPr>
          <w:i w:val="0"/>
          <w:color w:val="auto"/>
        </w:rPr>
        <w:t>of the constructs VDAC-I (A,B,C) (a) and VDAC-II (A-G) (b). Fluorescence scans on the same gel</w:t>
      </w:r>
      <w:r w:rsidR="00F52CA9">
        <w:rPr>
          <w:i w:val="0"/>
          <w:color w:val="auto"/>
        </w:rPr>
        <w:t xml:space="preserve"> are shown in the main text as figures 1 and 2, respectively.</w:t>
      </w:r>
      <w:r w:rsidR="00D9734A">
        <w:rPr>
          <w:i w:val="0"/>
          <w:color w:val="auto"/>
        </w:rPr>
        <w:t xml:space="preserve"> </w:t>
      </w:r>
      <w:r w:rsidR="00A1769C">
        <w:rPr>
          <w:i w:val="0"/>
          <w:color w:val="auto"/>
        </w:rPr>
        <w:t>(</w:t>
      </w:r>
      <w:proofErr w:type="spellStart"/>
      <w:r w:rsidR="00A1769C">
        <w:rPr>
          <w:i w:val="0"/>
          <w:color w:val="auto"/>
        </w:rPr>
        <w:t>std</w:t>
      </w:r>
      <w:proofErr w:type="spellEnd"/>
      <w:r w:rsidR="00A1769C">
        <w:rPr>
          <w:i w:val="0"/>
          <w:color w:val="auto"/>
        </w:rPr>
        <w:t xml:space="preserve">: standard; </w:t>
      </w:r>
      <w:proofErr w:type="spellStart"/>
      <w:r w:rsidR="00A1769C">
        <w:rPr>
          <w:i w:val="0"/>
          <w:color w:val="auto"/>
        </w:rPr>
        <w:t>nc</w:t>
      </w:r>
      <w:proofErr w:type="spellEnd"/>
      <w:r w:rsidR="00A1769C">
        <w:rPr>
          <w:i w:val="0"/>
          <w:color w:val="auto"/>
        </w:rPr>
        <w:t>: negative control)</w:t>
      </w:r>
    </w:p>
    <w:p w14:paraId="29F253DE" w14:textId="3704F30E" w:rsidR="000C7273" w:rsidRDefault="00AE2BC7" w:rsidP="00B934BA">
      <w:pPr>
        <w:keepNext/>
        <w:jc w:val="center"/>
      </w:pPr>
      <w:r>
        <w:rPr>
          <w:noProof/>
          <w:lang w:val="de-AT" w:eastAsia="de-AT"/>
        </w:rPr>
        <w:drawing>
          <wp:inline distT="0" distB="0" distL="0" distR="0" wp14:anchorId="53ED36A1" wp14:editId="1849BC4F">
            <wp:extent cx="4282440" cy="2932176"/>
            <wp:effectExtent l="0" t="0" r="381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S5.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2440" cy="2932176"/>
                    </a:xfrm>
                    <a:prstGeom prst="rect">
                      <a:avLst/>
                    </a:prstGeom>
                  </pic:spPr>
                </pic:pic>
              </a:graphicData>
            </a:graphic>
          </wp:inline>
        </w:drawing>
      </w:r>
    </w:p>
    <w:p w14:paraId="508822F2" w14:textId="549542F1" w:rsidR="00BC72FE" w:rsidRDefault="000C7273" w:rsidP="000C7273">
      <w:pPr>
        <w:pStyle w:val="Beschriftung"/>
        <w:jc w:val="both"/>
        <w:rPr>
          <w:i w:val="0"/>
          <w:color w:val="auto"/>
        </w:rPr>
      </w:pPr>
      <w:r w:rsidRPr="000C7273">
        <w:rPr>
          <w:i w:val="0"/>
          <w:color w:val="auto"/>
        </w:rPr>
        <w:t>Figure S</w:t>
      </w:r>
      <w:r w:rsidRPr="000C7273">
        <w:rPr>
          <w:i w:val="0"/>
          <w:color w:val="auto"/>
        </w:rPr>
        <w:fldChar w:fldCharType="begin"/>
      </w:r>
      <w:r w:rsidRPr="000C7273">
        <w:rPr>
          <w:i w:val="0"/>
          <w:color w:val="auto"/>
        </w:rPr>
        <w:instrText xml:space="preserve"> SEQ Figure \* ARABIC </w:instrText>
      </w:r>
      <w:r w:rsidRPr="000C7273">
        <w:rPr>
          <w:i w:val="0"/>
          <w:color w:val="auto"/>
        </w:rPr>
        <w:fldChar w:fldCharType="separate"/>
      </w:r>
      <w:r w:rsidR="00843659">
        <w:rPr>
          <w:i w:val="0"/>
          <w:noProof/>
          <w:color w:val="auto"/>
        </w:rPr>
        <w:t>5</w:t>
      </w:r>
      <w:r w:rsidRPr="000C7273">
        <w:rPr>
          <w:i w:val="0"/>
          <w:color w:val="auto"/>
        </w:rPr>
        <w:fldChar w:fldCharType="end"/>
      </w:r>
      <w:r>
        <w:rPr>
          <w:i w:val="0"/>
          <w:color w:val="auto"/>
        </w:rPr>
        <w:t>. Western Blot showing the level of protein expre</w:t>
      </w:r>
      <w:r w:rsidR="00B934BA">
        <w:rPr>
          <w:i w:val="0"/>
          <w:color w:val="auto"/>
        </w:rPr>
        <w:t xml:space="preserve">ssion for the constructs </w:t>
      </w:r>
      <w:r w:rsidR="00A1769C">
        <w:rPr>
          <w:i w:val="0"/>
          <w:color w:val="auto"/>
        </w:rPr>
        <w:t xml:space="preserve">VDAC-I (I-A, I-B, I-C) and </w:t>
      </w:r>
      <w:r w:rsidR="00B934BA">
        <w:rPr>
          <w:i w:val="0"/>
          <w:color w:val="auto"/>
        </w:rPr>
        <w:t>VDAC-II</w:t>
      </w:r>
      <w:r w:rsidR="00A1769C">
        <w:rPr>
          <w:i w:val="0"/>
          <w:color w:val="auto"/>
        </w:rPr>
        <w:t xml:space="preserve"> (II-A, II-B, II-C, II-D, II-</w:t>
      </w:r>
      <w:r w:rsidR="00AE2BC7">
        <w:rPr>
          <w:i w:val="0"/>
          <w:color w:val="auto"/>
        </w:rPr>
        <w:t>E</w:t>
      </w:r>
      <w:r w:rsidR="00A1769C">
        <w:rPr>
          <w:i w:val="0"/>
          <w:color w:val="auto"/>
        </w:rPr>
        <w:t>, II-</w:t>
      </w:r>
      <w:r w:rsidR="00AE2BC7">
        <w:rPr>
          <w:i w:val="0"/>
          <w:color w:val="auto"/>
        </w:rPr>
        <w:t>F</w:t>
      </w:r>
      <w:r w:rsidR="00A1769C">
        <w:rPr>
          <w:i w:val="0"/>
          <w:color w:val="auto"/>
        </w:rPr>
        <w:t>, II-</w:t>
      </w:r>
      <w:r w:rsidR="00AE2BC7">
        <w:rPr>
          <w:i w:val="0"/>
          <w:color w:val="auto"/>
        </w:rPr>
        <w:t>G</w:t>
      </w:r>
      <w:r w:rsidR="00A1769C">
        <w:rPr>
          <w:i w:val="0"/>
          <w:color w:val="auto"/>
        </w:rPr>
        <w:t>).</w:t>
      </w:r>
    </w:p>
    <w:p w14:paraId="2C77175E" w14:textId="34E24DD5" w:rsidR="00AE2BC7" w:rsidRDefault="00AE2BC7">
      <w:pPr>
        <w:spacing w:line="259" w:lineRule="auto"/>
        <w:rPr>
          <w:rFonts w:asciiTheme="minorHAnsi" w:hAnsiTheme="minorHAnsi"/>
        </w:rPr>
      </w:pPr>
      <w:r>
        <w:rPr>
          <w:rFonts w:asciiTheme="minorHAnsi" w:hAnsiTheme="minorHAnsi"/>
        </w:rPr>
        <w:br w:type="page"/>
      </w:r>
    </w:p>
    <w:p w14:paraId="68D0C376" w14:textId="77777777" w:rsidR="00AE2BC7" w:rsidRDefault="00AE2BC7" w:rsidP="00AE2BC7">
      <w:pPr>
        <w:rPr>
          <w:rFonts w:asciiTheme="minorHAnsi" w:hAnsiTheme="minorHAnsi"/>
        </w:rPr>
      </w:pPr>
    </w:p>
    <w:tbl>
      <w:tblPr>
        <w:tblStyle w:val="Tabellenraster"/>
        <w:tblW w:w="0" w:type="auto"/>
        <w:jc w:val="center"/>
        <w:tblCellMar>
          <w:bottom w:w="57" w:type="dxa"/>
        </w:tblCellMar>
        <w:tblLook w:val="04A0" w:firstRow="1" w:lastRow="0" w:firstColumn="1" w:lastColumn="0" w:noHBand="0" w:noVBand="1"/>
      </w:tblPr>
      <w:tblGrid>
        <w:gridCol w:w="1161"/>
        <w:gridCol w:w="2428"/>
        <w:gridCol w:w="2761"/>
      </w:tblGrid>
      <w:tr w:rsidR="00AE2BC7" w14:paraId="54C9A6AC" w14:textId="77777777" w:rsidTr="0001151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FC82BF7" w14:textId="3E7A6339" w:rsidR="00AE2BC7" w:rsidRPr="00AE2BC7" w:rsidRDefault="00AE2BC7" w:rsidP="00011510">
            <w:pPr>
              <w:spacing w:line="240" w:lineRule="auto"/>
              <w:jc w:val="center"/>
              <w:rPr>
                <w:b/>
              </w:rPr>
            </w:pPr>
            <w:r w:rsidRPr="00AE2BC7">
              <w:rPr>
                <w:b/>
              </w:rPr>
              <w:t>Construct</w:t>
            </w:r>
          </w:p>
        </w:tc>
        <w:tc>
          <w:tcPr>
            <w:tcW w:w="0" w:type="auto"/>
            <w:tcBorders>
              <w:top w:val="single" w:sz="4" w:space="0" w:color="auto"/>
              <w:left w:val="single" w:sz="4" w:space="0" w:color="auto"/>
              <w:bottom w:val="single" w:sz="4" w:space="0" w:color="auto"/>
              <w:right w:val="single" w:sz="4" w:space="0" w:color="auto"/>
            </w:tcBorders>
            <w:vAlign w:val="center"/>
            <w:hideMark/>
          </w:tcPr>
          <w:p w14:paraId="6D4B931F" w14:textId="0BC552E7" w:rsidR="00AE2BC7" w:rsidRPr="00AE2BC7" w:rsidRDefault="00AE2BC7" w:rsidP="00011510">
            <w:pPr>
              <w:spacing w:line="240" w:lineRule="auto"/>
              <w:jc w:val="center"/>
              <w:rPr>
                <w:b/>
              </w:rPr>
            </w:pPr>
            <w:r w:rsidRPr="00AE2BC7">
              <w:rPr>
                <w:b/>
              </w:rPr>
              <w:t xml:space="preserve">Number of amino acids </w:t>
            </w:r>
            <w:r>
              <w:rPr>
                <w:b/>
              </w:rPr>
              <w:br/>
            </w:r>
            <w:r w:rsidRPr="00AE2BC7">
              <w:rPr>
                <w:b/>
              </w:rPr>
              <w:t>of the coding protein</w:t>
            </w:r>
          </w:p>
        </w:tc>
        <w:tc>
          <w:tcPr>
            <w:tcW w:w="0" w:type="auto"/>
            <w:tcBorders>
              <w:top w:val="single" w:sz="4" w:space="0" w:color="auto"/>
              <w:left w:val="single" w:sz="4" w:space="0" w:color="auto"/>
              <w:bottom w:val="single" w:sz="4" w:space="0" w:color="auto"/>
              <w:right w:val="single" w:sz="4" w:space="0" w:color="auto"/>
            </w:tcBorders>
            <w:vAlign w:val="center"/>
            <w:hideMark/>
          </w:tcPr>
          <w:p w14:paraId="0757F7CA" w14:textId="2C0A20F1" w:rsidR="00AE2BC7" w:rsidRPr="00AE2BC7" w:rsidRDefault="00AE2BC7" w:rsidP="00011510">
            <w:pPr>
              <w:spacing w:line="240" w:lineRule="auto"/>
              <w:jc w:val="center"/>
              <w:rPr>
                <w:b/>
              </w:rPr>
            </w:pPr>
            <w:r w:rsidRPr="00AE2BC7">
              <w:rPr>
                <w:b/>
              </w:rPr>
              <w:t xml:space="preserve">Calculated MW </w:t>
            </w:r>
            <w:r>
              <w:rPr>
                <w:b/>
              </w:rPr>
              <w:br/>
            </w:r>
            <w:r w:rsidRPr="00AE2BC7">
              <w:rPr>
                <w:b/>
              </w:rPr>
              <w:t>of the coding protein (</w:t>
            </w:r>
            <w:proofErr w:type="spellStart"/>
            <w:r w:rsidRPr="00AE2BC7">
              <w:rPr>
                <w:b/>
              </w:rPr>
              <w:t>kDa</w:t>
            </w:r>
            <w:proofErr w:type="spellEnd"/>
            <w:r w:rsidRPr="00AE2BC7">
              <w:rPr>
                <w:b/>
              </w:rPr>
              <w:t>)</w:t>
            </w:r>
          </w:p>
        </w:tc>
      </w:tr>
      <w:tr w:rsidR="00AE2BC7" w14:paraId="7B49985C" w14:textId="77777777" w:rsidTr="0001151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70BE75B" w14:textId="77777777" w:rsidR="00AE2BC7" w:rsidRDefault="00AE2BC7" w:rsidP="00011510">
            <w:pPr>
              <w:spacing w:line="240" w:lineRule="auto"/>
              <w:jc w:val="center"/>
            </w:pPr>
            <w:r>
              <w:t>IA</w:t>
            </w:r>
          </w:p>
        </w:tc>
        <w:tc>
          <w:tcPr>
            <w:tcW w:w="0" w:type="auto"/>
            <w:tcBorders>
              <w:top w:val="single" w:sz="4" w:space="0" w:color="auto"/>
              <w:left w:val="single" w:sz="4" w:space="0" w:color="auto"/>
              <w:bottom w:val="single" w:sz="4" w:space="0" w:color="auto"/>
              <w:right w:val="single" w:sz="4" w:space="0" w:color="auto"/>
            </w:tcBorders>
            <w:vAlign w:val="center"/>
            <w:hideMark/>
          </w:tcPr>
          <w:p w14:paraId="7EB763D9" w14:textId="77777777" w:rsidR="00AE2BC7" w:rsidRDefault="00AE2BC7" w:rsidP="00011510">
            <w:pPr>
              <w:spacing w:line="240" w:lineRule="auto"/>
              <w:jc w:val="center"/>
            </w:pPr>
            <w:r>
              <w:t>311</w:t>
            </w:r>
          </w:p>
        </w:tc>
        <w:tc>
          <w:tcPr>
            <w:tcW w:w="0" w:type="auto"/>
            <w:tcBorders>
              <w:top w:val="single" w:sz="4" w:space="0" w:color="auto"/>
              <w:left w:val="single" w:sz="4" w:space="0" w:color="auto"/>
              <w:bottom w:val="single" w:sz="4" w:space="0" w:color="auto"/>
              <w:right w:val="single" w:sz="4" w:space="0" w:color="auto"/>
            </w:tcBorders>
            <w:vAlign w:val="center"/>
            <w:hideMark/>
          </w:tcPr>
          <w:p w14:paraId="5C7E7B35" w14:textId="1FFF60E5" w:rsidR="00AE2BC7" w:rsidRDefault="00AE2BC7" w:rsidP="00011510">
            <w:pPr>
              <w:spacing w:line="240" w:lineRule="auto"/>
              <w:jc w:val="center"/>
            </w:pPr>
            <w:r>
              <w:t>34.12</w:t>
            </w:r>
          </w:p>
        </w:tc>
      </w:tr>
      <w:tr w:rsidR="00AE2BC7" w14:paraId="38D1594C" w14:textId="77777777" w:rsidTr="0001151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1670824" w14:textId="77777777" w:rsidR="00AE2BC7" w:rsidRDefault="00AE2BC7" w:rsidP="00011510">
            <w:pPr>
              <w:spacing w:line="240" w:lineRule="auto"/>
              <w:jc w:val="center"/>
            </w:pPr>
            <w:r>
              <w:t>IB</w:t>
            </w:r>
          </w:p>
        </w:tc>
        <w:tc>
          <w:tcPr>
            <w:tcW w:w="0" w:type="auto"/>
            <w:tcBorders>
              <w:top w:val="single" w:sz="4" w:space="0" w:color="auto"/>
              <w:left w:val="single" w:sz="4" w:space="0" w:color="auto"/>
              <w:bottom w:val="single" w:sz="4" w:space="0" w:color="auto"/>
              <w:right w:val="single" w:sz="4" w:space="0" w:color="auto"/>
            </w:tcBorders>
            <w:vAlign w:val="center"/>
            <w:hideMark/>
          </w:tcPr>
          <w:p w14:paraId="78B03DB1" w14:textId="77777777" w:rsidR="00AE2BC7" w:rsidRDefault="00AE2BC7" w:rsidP="00011510">
            <w:pPr>
              <w:spacing w:line="240" w:lineRule="auto"/>
              <w:jc w:val="center"/>
            </w:pPr>
            <w:r>
              <w:t>307</w:t>
            </w:r>
          </w:p>
        </w:tc>
        <w:tc>
          <w:tcPr>
            <w:tcW w:w="0" w:type="auto"/>
            <w:tcBorders>
              <w:top w:val="single" w:sz="4" w:space="0" w:color="auto"/>
              <w:left w:val="single" w:sz="4" w:space="0" w:color="auto"/>
              <w:bottom w:val="single" w:sz="4" w:space="0" w:color="auto"/>
              <w:right w:val="single" w:sz="4" w:space="0" w:color="auto"/>
            </w:tcBorders>
            <w:vAlign w:val="center"/>
            <w:hideMark/>
          </w:tcPr>
          <w:p w14:paraId="1C3BAFBB" w14:textId="050DE4EF" w:rsidR="00AE2BC7" w:rsidRDefault="00AE2BC7" w:rsidP="00011510">
            <w:pPr>
              <w:spacing w:line="240" w:lineRule="auto"/>
              <w:jc w:val="center"/>
            </w:pPr>
            <w:r>
              <w:t>33.66</w:t>
            </w:r>
          </w:p>
        </w:tc>
      </w:tr>
      <w:tr w:rsidR="00AE2BC7" w14:paraId="46A2A2E3" w14:textId="77777777" w:rsidTr="0001151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25B9392" w14:textId="77777777" w:rsidR="00AE2BC7" w:rsidRDefault="00AE2BC7" w:rsidP="00011510">
            <w:pPr>
              <w:spacing w:line="240" w:lineRule="auto"/>
              <w:jc w:val="center"/>
            </w:pPr>
            <w:r>
              <w:t>IC</w:t>
            </w:r>
          </w:p>
        </w:tc>
        <w:tc>
          <w:tcPr>
            <w:tcW w:w="0" w:type="auto"/>
            <w:tcBorders>
              <w:top w:val="single" w:sz="4" w:space="0" w:color="auto"/>
              <w:left w:val="single" w:sz="4" w:space="0" w:color="auto"/>
              <w:bottom w:val="single" w:sz="4" w:space="0" w:color="auto"/>
              <w:right w:val="single" w:sz="4" w:space="0" w:color="auto"/>
            </w:tcBorders>
            <w:vAlign w:val="center"/>
            <w:hideMark/>
          </w:tcPr>
          <w:p w14:paraId="1E393583" w14:textId="77777777" w:rsidR="00AE2BC7" w:rsidRDefault="00AE2BC7" w:rsidP="00011510">
            <w:pPr>
              <w:spacing w:line="240" w:lineRule="auto"/>
              <w:jc w:val="center"/>
            </w:pPr>
            <w:r>
              <w:t>315</w:t>
            </w:r>
          </w:p>
        </w:tc>
        <w:tc>
          <w:tcPr>
            <w:tcW w:w="0" w:type="auto"/>
            <w:tcBorders>
              <w:top w:val="single" w:sz="4" w:space="0" w:color="auto"/>
              <w:left w:val="single" w:sz="4" w:space="0" w:color="auto"/>
              <w:bottom w:val="single" w:sz="4" w:space="0" w:color="auto"/>
              <w:right w:val="single" w:sz="4" w:space="0" w:color="auto"/>
            </w:tcBorders>
            <w:vAlign w:val="center"/>
            <w:hideMark/>
          </w:tcPr>
          <w:p w14:paraId="13C6A488" w14:textId="06B9FA8F" w:rsidR="00AE2BC7" w:rsidRDefault="00AE2BC7" w:rsidP="00011510">
            <w:pPr>
              <w:spacing w:line="240" w:lineRule="auto"/>
              <w:jc w:val="center"/>
            </w:pPr>
            <w:r>
              <w:t>34.12</w:t>
            </w:r>
          </w:p>
        </w:tc>
      </w:tr>
      <w:tr w:rsidR="00AE2BC7" w14:paraId="680FCFAF" w14:textId="77777777" w:rsidTr="0001151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84FC21E" w14:textId="77777777" w:rsidR="00AE2BC7" w:rsidRDefault="00AE2BC7" w:rsidP="00011510">
            <w:pPr>
              <w:spacing w:line="240" w:lineRule="auto"/>
              <w:jc w:val="center"/>
            </w:pPr>
            <w:r>
              <w:t>IIA-IIC</w:t>
            </w:r>
          </w:p>
        </w:tc>
        <w:tc>
          <w:tcPr>
            <w:tcW w:w="0" w:type="auto"/>
            <w:tcBorders>
              <w:top w:val="single" w:sz="4" w:space="0" w:color="auto"/>
              <w:left w:val="single" w:sz="4" w:space="0" w:color="auto"/>
              <w:bottom w:val="single" w:sz="4" w:space="0" w:color="auto"/>
              <w:right w:val="single" w:sz="4" w:space="0" w:color="auto"/>
            </w:tcBorders>
            <w:vAlign w:val="center"/>
            <w:hideMark/>
          </w:tcPr>
          <w:p w14:paraId="56D6E911" w14:textId="77777777" w:rsidR="00AE2BC7" w:rsidRDefault="00AE2BC7" w:rsidP="00011510">
            <w:pPr>
              <w:spacing w:line="240" w:lineRule="auto"/>
              <w:jc w:val="center"/>
            </w:pPr>
            <w:r>
              <w:t>285</w:t>
            </w:r>
          </w:p>
        </w:tc>
        <w:tc>
          <w:tcPr>
            <w:tcW w:w="0" w:type="auto"/>
            <w:tcBorders>
              <w:top w:val="single" w:sz="4" w:space="0" w:color="auto"/>
              <w:left w:val="single" w:sz="4" w:space="0" w:color="auto"/>
              <w:bottom w:val="single" w:sz="4" w:space="0" w:color="auto"/>
              <w:right w:val="single" w:sz="4" w:space="0" w:color="auto"/>
            </w:tcBorders>
            <w:vAlign w:val="center"/>
            <w:hideMark/>
          </w:tcPr>
          <w:p w14:paraId="0DB807CC" w14:textId="23DAEFF2" w:rsidR="00AE2BC7" w:rsidRDefault="00AE2BC7" w:rsidP="00011510">
            <w:pPr>
              <w:spacing w:line="240" w:lineRule="auto"/>
              <w:jc w:val="center"/>
            </w:pPr>
            <w:r>
              <w:t>31.01</w:t>
            </w:r>
          </w:p>
        </w:tc>
      </w:tr>
      <w:tr w:rsidR="00AE2BC7" w14:paraId="105FDABC" w14:textId="77777777" w:rsidTr="0001151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9F5DB7" w14:textId="77777777" w:rsidR="00AE2BC7" w:rsidRDefault="00AE2BC7" w:rsidP="00011510">
            <w:pPr>
              <w:spacing w:line="240" w:lineRule="auto"/>
              <w:jc w:val="center"/>
            </w:pPr>
            <w:r>
              <w:t>IID</w:t>
            </w:r>
          </w:p>
        </w:tc>
        <w:tc>
          <w:tcPr>
            <w:tcW w:w="0" w:type="auto"/>
            <w:tcBorders>
              <w:top w:val="single" w:sz="4" w:space="0" w:color="auto"/>
              <w:left w:val="single" w:sz="4" w:space="0" w:color="auto"/>
              <w:bottom w:val="single" w:sz="4" w:space="0" w:color="auto"/>
              <w:right w:val="single" w:sz="4" w:space="0" w:color="auto"/>
            </w:tcBorders>
            <w:vAlign w:val="center"/>
            <w:hideMark/>
          </w:tcPr>
          <w:p w14:paraId="19DB19F6" w14:textId="77777777" w:rsidR="00AE2BC7" w:rsidRDefault="00AE2BC7" w:rsidP="00011510">
            <w:pPr>
              <w:spacing w:line="240" w:lineRule="auto"/>
              <w:jc w:val="center"/>
            </w:pPr>
            <w:r>
              <w:t>288</w:t>
            </w:r>
          </w:p>
        </w:tc>
        <w:tc>
          <w:tcPr>
            <w:tcW w:w="0" w:type="auto"/>
            <w:tcBorders>
              <w:top w:val="single" w:sz="4" w:space="0" w:color="auto"/>
              <w:left w:val="single" w:sz="4" w:space="0" w:color="auto"/>
              <w:bottom w:val="single" w:sz="4" w:space="0" w:color="auto"/>
              <w:right w:val="single" w:sz="4" w:space="0" w:color="auto"/>
            </w:tcBorders>
            <w:vAlign w:val="center"/>
            <w:hideMark/>
          </w:tcPr>
          <w:p w14:paraId="057FBC1A" w14:textId="5C17725B" w:rsidR="00AE2BC7" w:rsidRDefault="00AE2BC7" w:rsidP="00011510">
            <w:pPr>
              <w:spacing w:line="240" w:lineRule="auto"/>
              <w:jc w:val="center"/>
            </w:pPr>
            <w:r>
              <w:t>31.43</w:t>
            </w:r>
          </w:p>
        </w:tc>
      </w:tr>
      <w:tr w:rsidR="00AE2BC7" w14:paraId="41C6BD30" w14:textId="77777777" w:rsidTr="0001151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85714FF" w14:textId="77777777" w:rsidR="00AE2BC7" w:rsidRDefault="00AE2BC7" w:rsidP="00011510">
            <w:pPr>
              <w:spacing w:line="240" w:lineRule="auto"/>
              <w:jc w:val="center"/>
            </w:pPr>
            <w:r>
              <w:t>IIE</w:t>
            </w:r>
          </w:p>
        </w:tc>
        <w:tc>
          <w:tcPr>
            <w:tcW w:w="0" w:type="auto"/>
            <w:tcBorders>
              <w:top w:val="single" w:sz="4" w:space="0" w:color="auto"/>
              <w:left w:val="single" w:sz="4" w:space="0" w:color="auto"/>
              <w:bottom w:val="single" w:sz="4" w:space="0" w:color="auto"/>
              <w:right w:val="single" w:sz="4" w:space="0" w:color="auto"/>
            </w:tcBorders>
            <w:vAlign w:val="center"/>
            <w:hideMark/>
          </w:tcPr>
          <w:p w14:paraId="4FCD450A" w14:textId="77777777" w:rsidR="00AE2BC7" w:rsidRDefault="00AE2BC7" w:rsidP="00011510">
            <w:pPr>
              <w:spacing w:line="240" w:lineRule="auto"/>
              <w:jc w:val="center"/>
            </w:pPr>
            <w:r>
              <w:t>289</w:t>
            </w:r>
          </w:p>
        </w:tc>
        <w:tc>
          <w:tcPr>
            <w:tcW w:w="0" w:type="auto"/>
            <w:tcBorders>
              <w:top w:val="single" w:sz="4" w:space="0" w:color="auto"/>
              <w:left w:val="single" w:sz="4" w:space="0" w:color="auto"/>
              <w:bottom w:val="single" w:sz="4" w:space="0" w:color="auto"/>
              <w:right w:val="single" w:sz="4" w:space="0" w:color="auto"/>
            </w:tcBorders>
            <w:vAlign w:val="center"/>
            <w:hideMark/>
          </w:tcPr>
          <w:p w14:paraId="10DE78A3" w14:textId="0EAD5CFC" w:rsidR="00AE2BC7" w:rsidRDefault="00AE2BC7" w:rsidP="00011510">
            <w:pPr>
              <w:spacing w:line="240" w:lineRule="auto"/>
              <w:jc w:val="center"/>
            </w:pPr>
            <w:r>
              <w:t>31.51</w:t>
            </w:r>
          </w:p>
        </w:tc>
      </w:tr>
      <w:tr w:rsidR="00AE2BC7" w14:paraId="5C32D6BA" w14:textId="77777777" w:rsidTr="0001151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054A838" w14:textId="77777777" w:rsidR="00AE2BC7" w:rsidRDefault="00AE2BC7" w:rsidP="00011510">
            <w:pPr>
              <w:spacing w:line="240" w:lineRule="auto"/>
              <w:jc w:val="center"/>
            </w:pPr>
            <w:r>
              <w:t>IIF</w:t>
            </w:r>
          </w:p>
        </w:tc>
        <w:tc>
          <w:tcPr>
            <w:tcW w:w="0" w:type="auto"/>
            <w:tcBorders>
              <w:top w:val="single" w:sz="4" w:space="0" w:color="auto"/>
              <w:left w:val="single" w:sz="4" w:space="0" w:color="auto"/>
              <w:bottom w:val="single" w:sz="4" w:space="0" w:color="auto"/>
              <w:right w:val="single" w:sz="4" w:space="0" w:color="auto"/>
            </w:tcBorders>
            <w:vAlign w:val="center"/>
            <w:hideMark/>
          </w:tcPr>
          <w:p w14:paraId="4AC60E49" w14:textId="77777777" w:rsidR="00AE2BC7" w:rsidRDefault="00AE2BC7" w:rsidP="00011510">
            <w:pPr>
              <w:spacing w:line="240" w:lineRule="auto"/>
              <w:jc w:val="center"/>
            </w:pPr>
            <w:r>
              <w:t>289</w:t>
            </w:r>
          </w:p>
        </w:tc>
        <w:tc>
          <w:tcPr>
            <w:tcW w:w="0" w:type="auto"/>
            <w:tcBorders>
              <w:top w:val="single" w:sz="4" w:space="0" w:color="auto"/>
              <w:left w:val="single" w:sz="4" w:space="0" w:color="auto"/>
              <w:bottom w:val="single" w:sz="4" w:space="0" w:color="auto"/>
              <w:right w:val="single" w:sz="4" w:space="0" w:color="auto"/>
            </w:tcBorders>
            <w:vAlign w:val="center"/>
            <w:hideMark/>
          </w:tcPr>
          <w:p w14:paraId="2B1EEB3A" w14:textId="242F8B29" w:rsidR="00AE2BC7" w:rsidRDefault="00AE2BC7" w:rsidP="00011510">
            <w:pPr>
              <w:spacing w:line="240" w:lineRule="auto"/>
              <w:jc w:val="center"/>
            </w:pPr>
            <w:r>
              <w:t>31.51</w:t>
            </w:r>
          </w:p>
        </w:tc>
      </w:tr>
      <w:tr w:rsidR="00AE2BC7" w14:paraId="4ACAA675" w14:textId="77777777" w:rsidTr="0001151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564826D" w14:textId="77777777" w:rsidR="00AE2BC7" w:rsidRDefault="00AE2BC7" w:rsidP="00011510">
            <w:pPr>
              <w:spacing w:line="240" w:lineRule="auto"/>
              <w:jc w:val="center"/>
            </w:pPr>
            <w:r>
              <w:t>IIG</w:t>
            </w:r>
          </w:p>
        </w:tc>
        <w:tc>
          <w:tcPr>
            <w:tcW w:w="0" w:type="auto"/>
            <w:tcBorders>
              <w:top w:val="single" w:sz="4" w:space="0" w:color="auto"/>
              <w:left w:val="single" w:sz="4" w:space="0" w:color="auto"/>
              <w:bottom w:val="single" w:sz="4" w:space="0" w:color="auto"/>
              <w:right w:val="single" w:sz="4" w:space="0" w:color="auto"/>
            </w:tcBorders>
            <w:vAlign w:val="center"/>
            <w:hideMark/>
          </w:tcPr>
          <w:p w14:paraId="1BEC55CF" w14:textId="77777777" w:rsidR="00AE2BC7" w:rsidRDefault="00AE2BC7" w:rsidP="00011510">
            <w:pPr>
              <w:spacing w:line="240" w:lineRule="auto"/>
              <w:jc w:val="center"/>
            </w:pPr>
            <w:r>
              <w:t>285</w:t>
            </w:r>
          </w:p>
        </w:tc>
        <w:tc>
          <w:tcPr>
            <w:tcW w:w="0" w:type="auto"/>
            <w:tcBorders>
              <w:top w:val="single" w:sz="4" w:space="0" w:color="auto"/>
              <w:left w:val="single" w:sz="4" w:space="0" w:color="auto"/>
              <w:bottom w:val="single" w:sz="4" w:space="0" w:color="auto"/>
              <w:right w:val="single" w:sz="4" w:space="0" w:color="auto"/>
            </w:tcBorders>
            <w:vAlign w:val="center"/>
            <w:hideMark/>
          </w:tcPr>
          <w:p w14:paraId="54A4A13E" w14:textId="76EAD2AE" w:rsidR="00AE2BC7" w:rsidRDefault="00AE2BC7" w:rsidP="00011510">
            <w:pPr>
              <w:keepNext/>
              <w:spacing w:line="240" w:lineRule="auto"/>
              <w:jc w:val="center"/>
            </w:pPr>
            <w:r>
              <w:t>31.01</w:t>
            </w:r>
          </w:p>
        </w:tc>
      </w:tr>
    </w:tbl>
    <w:p w14:paraId="5B60B5A9" w14:textId="2E6A93E2" w:rsidR="00AE2BC7" w:rsidRPr="00AE2BC7" w:rsidRDefault="00AE2BC7" w:rsidP="00011510">
      <w:pPr>
        <w:pStyle w:val="Beschriftung"/>
        <w:spacing w:before="240"/>
        <w:rPr>
          <w:i w:val="0"/>
          <w:color w:val="auto"/>
        </w:rPr>
      </w:pPr>
      <w:r w:rsidRPr="00AE2BC7">
        <w:rPr>
          <w:i w:val="0"/>
          <w:color w:val="auto"/>
        </w:rPr>
        <w:t xml:space="preserve">Table </w:t>
      </w:r>
      <w:r w:rsidR="002D7F88">
        <w:rPr>
          <w:i w:val="0"/>
          <w:color w:val="auto"/>
        </w:rPr>
        <w:t>S</w:t>
      </w:r>
      <w:r w:rsidR="00A04290">
        <w:rPr>
          <w:i w:val="0"/>
          <w:color w:val="auto"/>
        </w:rPr>
        <w:t>3</w:t>
      </w:r>
      <w:r>
        <w:rPr>
          <w:i w:val="0"/>
          <w:color w:val="auto"/>
        </w:rPr>
        <w:t xml:space="preserve">. </w:t>
      </w:r>
      <w:r w:rsidR="00011510">
        <w:rPr>
          <w:i w:val="0"/>
          <w:color w:val="auto"/>
        </w:rPr>
        <w:t>Number of amino acids and the corresponding molecular weight (MW) of the resulting protein, based on the construct´s coding sequence.</w:t>
      </w:r>
    </w:p>
    <w:p w14:paraId="321905FB" w14:textId="2EF41071" w:rsidR="00693E28" w:rsidRDefault="00693E28" w:rsidP="00693E28">
      <w:pPr>
        <w:pStyle w:val="berschrift2"/>
      </w:pPr>
      <w:bookmarkStart w:id="14" w:name="_Toc522728079"/>
      <w:r w:rsidRPr="007B78B6">
        <w:t>SDS-page and Western Blot – bands</w:t>
      </w:r>
      <w:r w:rsidR="007B78B6" w:rsidRPr="007B78B6">
        <w:t xml:space="preserve"> at lower Mw</w:t>
      </w:r>
      <w:bookmarkEnd w:id="14"/>
    </w:p>
    <w:p w14:paraId="399CE256" w14:textId="4E550207" w:rsidR="007B78B6" w:rsidRDefault="007B78B6" w:rsidP="007B78B6">
      <w:pPr>
        <w:jc w:val="both"/>
      </w:pPr>
      <w:r w:rsidRPr="007B78B6">
        <w:t>Worth mentioning is the presence in both the SDS-page gel and Western Blot of an additional band at approx</w:t>
      </w:r>
      <w:r>
        <w:t xml:space="preserve">imately </w:t>
      </w:r>
      <w:r w:rsidRPr="007B78B6">
        <w:t xml:space="preserve">36 </w:t>
      </w:r>
      <w:proofErr w:type="spellStart"/>
      <w:r w:rsidRPr="007B78B6">
        <w:t>kDa</w:t>
      </w:r>
      <w:proofErr w:type="spellEnd"/>
      <w:r w:rsidRPr="007B78B6">
        <w:t>. This band of weak intensity appears only when the intensity of the 39k</w:t>
      </w:r>
      <w:r>
        <w:t xml:space="preserve"> </w:t>
      </w:r>
      <w:r w:rsidRPr="007B78B6">
        <w:t xml:space="preserve">Da band is either low or non-detectable; in other words, in the case of plasmids II-A to II-D or of low to no VDAC expression. </w:t>
      </w:r>
    </w:p>
    <w:p w14:paraId="0513868F" w14:textId="4AD70828" w:rsidR="007B78B6" w:rsidRDefault="007B78B6" w:rsidP="007B78B6">
      <w:pPr>
        <w:jc w:val="both"/>
      </w:pPr>
      <w:r w:rsidRPr="007B78B6">
        <w:t xml:space="preserve">Protein expression in the absence of natural or good templates is not unheard of </w:t>
      </w:r>
      <w:r w:rsidR="00757AAB">
        <w:t>in</w:t>
      </w:r>
      <w:r w:rsidRPr="007B78B6">
        <w:t xml:space="preserve"> in-vitro synthesis with bacterial systems,</w:t>
      </w:r>
      <w:r w:rsidR="00757AAB">
        <w:t xml:space="preserve"> [1]</w:t>
      </w:r>
      <w:r w:rsidRPr="007B78B6">
        <w:t xml:space="preserve"> and may be symptomatic of mRNA transcription re-initiation events. Resuming transcription initiation results in shorter mRNA transcripts, and hence to the expression of proteins of lower molecular weight. In this case, the underlying mechanism may not be different from that reported for DNA replication in the presence of non-replicating polymerases, whereby nascent RNA transcripts act as primers to re-initiate DNA replication. </w:t>
      </w:r>
      <w:r w:rsidR="00757AAB">
        <w:t>[2]</w:t>
      </w:r>
    </w:p>
    <w:p w14:paraId="1FDF22B5" w14:textId="1942982A" w:rsidR="007B78B6" w:rsidRDefault="007B78B6" w:rsidP="007B78B6">
      <w:pPr>
        <w:jc w:val="both"/>
      </w:pPr>
    </w:p>
    <w:p w14:paraId="2AD44B6A" w14:textId="77777777" w:rsidR="007B78B6" w:rsidRPr="007B78B6" w:rsidRDefault="007B78B6" w:rsidP="007B78B6">
      <w:pPr>
        <w:jc w:val="both"/>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26"/>
      </w:tblGrid>
      <w:tr w:rsidR="007B78B6" w:rsidRPr="00650CA8" w14:paraId="4FDE9BE2" w14:textId="77777777" w:rsidTr="004858AC">
        <w:trPr>
          <w:tblCellSpacing w:w="15" w:type="dxa"/>
        </w:trPr>
        <w:tc>
          <w:tcPr>
            <w:tcW w:w="0" w:type="auto"/>
            <w:hideMark/>
          </w:tcPr>
          <w:p w14:paraId="02E615CA" w14:textId="5D513B86" w:rsidR="007B78B6" w:rsidRPr="0073277C" w:rsidRDefault="00757AAB" w:rsidP="004858AC">
            <w:pPr>
              <w:pStyle w:val="Literaturverzeichnis"/>
              <w:rPr>
                <w:rFonts w:ascii="Arial" w:hAnsi="Arial" w:cs="Arial"/>
                <w:noProof/>
                <w:sz w:val="20"/>
                <w:szCs w:val="20"/>
                <w:lang w:val="en-GB"/>
              </w:rPr>
            </w:pPr>
            <w:r w:rsidRPr="0073277C">
              <w:rPr>
                <w:rFonts w:ascii="Arial" w:hAnsi="Arial" w:cs="Arial"/>
                <w:noProof/>
                <w:sz w:val="20"/>
                <w:szCs w:val="20"/>
                <w:lang w:val="en-GB"/>
              </w:rPr>
              <w:t xml:space="preserve">[1] </w:t>
            </w:r>
            <w:r w:rsidR="007B78B6" w:rsidRPr="0073277C">
              <w:rPr>
                <w:rFonts w:ascii="Arial" w:hAnsi="Arial" w:cs="Arial"/>
                <w:noProof/>
                <w:sz w:val="20"/>
                <w:szCs w:val="20"/>
                <w:lang w:val="en-GB"/>
              </w:rPr>
              <w:t xml:space="preserve">A. Arslan Yildiz, </w:t>
            </w:r>
            <w:r w:rsidR="007B78B6" w:rsidRPr="0073277C">
              <w:rPr>
                <w:rFonts w:ascii="Arial" w:hAnsi="Arial" w:cs="Arial"/>
                <w:i/>
                <w:iCs/>
                <w:noProof/>
                <w:sz w:val="20"/>
                <w:szCs w:val="20"/>
                <w:lang w:val="en-GB"/>
              </w:rPr>
              <w:t xml:space="preserve">In-vitro synthesis and reconstitution of cytochrome bo3 ubiquinol oxidase in artificial membranes, </w:t>
            </w:r>
            <w:r w:rsidR="007B78B6" w:rsidRPr="0073277C">
              <w:rPr>
                <w:rFonts w:ascii="Arial" w:hAnsi="Arial" w:cs="Arial"/>
                <w:noProof/>
                <w:sz w:val="20"/>
                <w:szCs w:val="20"/>
                <w:lang w:val="en-GB"/>
              </w:rPr>
              <w:t xml:space="preserve">PhD Disssertation, </w:t>
            </w:r>
            <w:r w:rsidR="007B78B6" w:rsidRPr="0073277C">
              <w:rPr>
                <w:rFonts w:ascii="Arial" w:hAnsi="Arial" w:cs="Arial"/>
                <w:b/>
                <w:bCs/>
                <w:noProof/>
                <w:sz w:val="20"/>
                <w:szCs w:val="20"/>
                <w:lang w:val="en-GB"/>
              </w:rPr>
              <w:t>2010.</w:t>
            </w:r>
            <w:r w:rsidR="007B78B6" w:rsidRPr="0073277C">
              <w:rPr>
                <w:rFonts w:ascii="Arial" w:hAnsi="Arial" w:cs="Arial"/>
                <w:noProof/>
                <w:sz w:val="20"/>
                <w:szCs w:val="20"/>
                <w:lang w:val="en-GB"/>
              </w:rPr>
              <w:t xml:space="preserve"> </w:t>
            </w:r>
          </w:p>
        </w:tc>
      </w:tr>
      <w:tr w:rsidR="007B78B6" w:rsidRPr="00650CA8" w14:paraId="1BC408A9" w14:textId="77777777" w:rsidTr="004858AC">
        <w:trPr>
          <w:tblCellSpacing w:w="15" w:type="dxa"/>
        </w:trPr>
        <w:tc>
          <w:tcPr>
            <w:tcW w:w="0" w:type="auto"/>
            <w:hideMark/>
          </w:tcPr>
          <w:p w14:paraId="2A0EFB1B" w14:textId="7C4968F9" w:rsidR="007B78B6" w:rsidRPr="0073277C" w:rsidRDefault="00757AAB" w:rsidP="004858AC">
            <w:pPr>
              <w:pStyle w:val="Literaturverzeichnis"/>
              <w:rPr>
                <w:rFonts w:ascii="Arial" w:hAnsi="Arial" w:cs="Arial"/>
                <w:noProof/>
                <w:sz w:val="20"/>
                <w:szCs w:val="20"/>
                <w:lang w:val="en-GB"/>
              </w:rPr>
            </w:pPr>
            <w:r w:rsidRPr="0073277C">
              <w:rPr>
                <w:rFonts w:ascii="Arial" w:hAnsi="Arial" w:cs="Arial"/>
                <w:noProof/>
                <w:sz w:val="20"/>
                <w:szCs w:val="20"/>
                <w:lang w:val="en-GB"/>
              </w:rPr>
              <w:t xml:space="preserve">[2] </w:t>
            </w:r>
            <w:r w:rsidR="007B78B6" w:rsidRPr="0073277C">
              <w:rPr>
                <w:rFonts w:ascii="Arial" w:hAnsi="Arial" w:cs="Arial"/>
                <w:noProof/>
                <w:sz w:val="20"/>
                <w:szCs w:val="20"/>
                <w:lang w:val="en-GB"/>
              </w:rPr>
              <w:t xml:space="preserve">S. Bo, A. Singh, S. Sultana, J. T. Inman, S. S. Patel and M. D. Wang, </w:t>
            </w:r>
            <w:r w:rsidR="007B78B6" w:rsidRPr="0073277C">
              <w:rPr>
                <w:rFonts w:ascii="Arial" w:hAnsi="Arial" w:cs="Arial"/>
                <w:i/>
                <w:iCs/>
                <w:noProof/>
                <w:sz w:val="20"/>
                <w:szCs w:val="20"/>
                <w:lang w:val="en-GB"/>
              </w:rPr>
              <w:t xml:space="preserve">Nature Comm., </w:t>
            </w:r>
            <w:r w:rsidR="007B78B6" w:rsidRPr="0073277C">
              <w:rPr>
                <w:rFonts w:ascii="Arial" w:hAnsi="Arial" w:cs="Arial"/>
                <w:b/>
                <w:bCs/>
                <w:noProof/>
                <w:sz w:val="20"/>
                <w:szCs w:val="20"/>
                <w:lang w:val="en-GB"/>
              </w:rPr>
              <w:t>2018</w:t>
            </w:r>
            <w:r w:rsidR="007B78B6" w:rsidRPr="0073277C">
              <w:rPr>
                <w:rFonts w:ascii="Arial" w:hAnsi="Arial" w:cs="Arial"/>
                <w:noProof/>
                <w:sz w:val="20"/>
                <w:szCs w:val="20"/>
                <w:lang w:val="en-GB"/>
              </w:rPr>
              <w:t>, 9, 2306-2314.</w:t>
            </w:r>
          </w:p>
        </w:tc>
      </w:tr>
    </w:tbl>
    <w:p w14:paraId="156D698A" w14:textId="77777777" w:rsidR="00AE2BC7" w:rsidRPr="00AE2BC7" w:rsidRDefault="00AE2BC7" w:rsidP="00AE2BC7"/>
    <w:p w14:paraId="11B179B4" w14:textId="77777777" w:rsidR="00E14B15" w:rsidRDefault="00E14B15">
      <w:pPr>
        <w:spacing w:line="259" w:lineRule="auto"/>
        <w:rPr>
          <w:i/>
        </w:rPr>
      </w:pPr>
      <w:r>
        <w:br w:type="page"/>
      </w:r>
    </w:p>
    <w:p w14:paraId="6096B56C" w14:textId="77777777" w:rsidR="000C7273" w:rsidRDefault="008F3A99" w:rsidP="00BC72FE">
      <w:pPr>
        <w:pStyle w:val="berschrift2"/>
      </w:pPr>
      <w:bookmarkStart w:id="15" w:name="_Toc522728080"/>
      <w:r>
        <w:lastRenderedPageBreak/>
        <w:t>Accessibility</w:t>
      </w:r>
      <w:r w:rsidR="00BC72FE">
        <w:t xml:space="preserve"> profiles </w:t>
      </w:r>
      <w:r w:rsidR="00BC72FE" w:rsidRPr="00BC72FE">
        <w:rPr>
          <w:i w:val="0"/>
        </w:rPr>
        <w:t>(</w:t>
      </w:r>
      <w:r w:rsidR="00BC72FE" w:rsidRPr="00040369">
        <w:rPr>
          <w:i w:val="0"/>
        </w:rPr>
        <w:sym w:font="Symbol" w:char="F044"/>
      </w:r>
      <w:proofErr w:type="spellStart"/>
      <w:r w:rsidR="00BC72FE" w:rsidRPr="00040369">
        <w:rPr>
          <w:i w:val="0"/>
        </w:rPr>
        <w:t>E</w:t>
      </w:r>
      <w:r w:rsidR="00BC72FE" w:rsidRPr="00040369">
        <w:rPr>
          <w:i w:val="0"/>
          <w:vertAlign w:val="subscript"/>
        </w:rPr>
        <w:t>open</w:t>
      </w:r>
      <w:proofErr w:type="spellEnd"/>
      <w:r w:rsidR="00BC72FE" w:rsidRPr="00040369">
        <w:rPr>
          <w:i w:val="0"/>
          <w:vertAlign w:val="subscript"/>
        </w:rPr>
        <w:t xml:space="preserve"> </w:t>
      </w:r>
      <w:r w:rsidR="00BC72FE" w:rsidRPr="00040369">
        <w:rPr>
          <w:i w:val="0"/>
        </w:rPr>
        <w:t>(</w:t>
      </w:r>
      <w:proofErr w:type="spellStart"/>
      <w:r w:rsidR="00BC72FE" w:rsidRPr="00040369">
        <w:rPr>
          <w:i w:val="0"/>
        </w:rPr>
        <w:t>i</w:t>
      </w:r>
      <w:proofErr w:type="spellEnd"/>
      <w:r w:rsidR="00BC72FE" w:rsidRPr="00040369">
        <w:rPr>
          <w:i w:val="0"/>
        </w:rPr>
        <w:t>)</w:t>
      </w:r>
      <w:r w:rsidR="00BC72FE">
        <w:rPr>
          <w:i w:val="0"/>
        </w:rPr>
        <w:t xml:space="preserve">) – </w:t>
      </w:r>
      <w:r w:rsidR="004A5D88" w:rsidRPr="004A5D88">
        <w:t>H. sapiens</w:t>
      </w:r>
      <w:r w:rsidR="000726C8">
        <w:t xml:space="preserve"> and E. c</w:t>
      </w:r>
      <w:r w:rsidR="00BC72FE" w:rsidRPr="00BC72FE">
        <w:t xml:space="preserve">oli </w:t>
      </w:r>
      <w:r w:rsidR="00A64E29">
        <w:t>transcripts</w:t>
      </w:r>
      <w:bookmarkEnd w:id="15"/>
    </w:p>
    <w:p w14:paraId="10BAD192" w14:textId="77777777" w:rsidR="00814D1B" w:rsidRPr="00814D1B" w:rsidRDefault="004A5D88" w:rsidP="00814D1B">
      <w:pPr>
        <w:jc w:val="both"/>
      </w:pPr>
      <w:r>
        <w:t>Native h</w:t>
      </w:r>
      <w:r w:rsidR="00814D1B">
        <w:t xml:space="preserve">uman mRNA transcripts are less accessible than </w:t>
      </w:r>
      <w:r w:rsidR="00814D1B" w:rsidRPr="000726C8">
        <w:rPr>
          <w:i/>
        </w:rPr>
        <w:t>E.</w:t>
      </w:r>
      <w:r w:rsidR="000726C8">
        <w:rPr>
          <w:i/>
        </w:rPr>
        <w:t xml:space="preserve"> c</w:t>
      </w:r>
      <w:r w:rsidR="00814D1B" w:rsidRPr="000726C8">
        <w:rPr>
          <w:i/>
        </w:rPr>
        <w:t>oli</w:t>
      </w:r>
      <w:r w:rsidR="0082214D">
        <w:t>´</w:t>
      </w:r>
      <w:r w:rsidR="00814D1B">
        <w:t xml:space="preserve">s, which is reflected in higher values of </w:t>
      </w:r>
      <w:r w:rsidR="00187F9A" w:rsidRPr="00040369">
        <w:sym w:font="Symbol" w:char="F044"/>
      </w:r>
      <w:proofErr w:type="spellStart"/>
      <w:r w:rsidR="00187F9A" w:rsidRPr="00040369">
        <w:t>E</w:t>
      </w:r>
      <w:r w:rsidR="00187F9A" w:rsidRPr="00040369">
        <w:rPr>
          <w:vertAlign w:val="subscript"/>
        </w:rPr>
        <w:t>open</w:t>
      </w:r>
      <w:proofErr w:type="spellEnd"/>
      <w:r w:rsidR="00814D1B">
        <w:t xml:space="preserve"> at the optimal location of the ribosome docking site (RDS), i.e. at </w:t>
      </w:r>
      <w:proofErr w:type="spellStart"/>
      <w:r w:rsidR="00814D1B" w:rsidRPr="00814D1B">
        <w:rPr>
          <w:i/>
        </w:rPr>
        <w:t>i</w:t>
      </w:r>
      <w:proofErr w:type="spellEnd"/>
      <w:r w:rsidR="00814D1B">
        <w:t xml:space="preserve"> = -11</w:t>
      </w:r>
      <w:r>
        <w:t xml:space="preserve"> for </w:t>
      </w:r>
      <w:r w:rsidRPr="004A5D88">
        <w:rPr>
          <w:i/>
        </w:rPr>
        <w:t>E. coli</w:t>
      </w:r>
      <w:r w:rsidR="00814D1B">
        <w:t xml:space="preserve">. The </w:t>
      </w:r>
      <w:r w:rsidR="00824149">
        <w:t>di</w:t>
      </w:r>
      <w:r w:rsidR="0078422A">
        <w:t>sparity</w:t>
      </w:r>
      <w:r w:rsidR="00824149">
        <w:t xml:space="preserve"> in</w:t>
      </w:r>
      <w:r w:rsidR="00814D1B">
        <w:t xml:space="preserve"> </w:t>
      </w:r>
      <w:r w:rsidR="00187F9A">
        <w:t xml:space="preserve">profiles </w:t>
      </w:r>
      <w:r>
        <w:t>indicates</w:t>
      </w:r>
      <w:r w:rsidR="00187F9A">
        <w:t xml:space="preserve"> the existence of structural differences </w:t>
      </w:r>
      <w:r w:rsidR="0078422A">
        <w:t>in the translation-initiation region between prokaryotes and eukaryotes</w:t>
      </w:r>
      <w:r w:rsidR="00824149">
        <w:t>.</w:t>
      </w:r>
      <w:r w:rsidR="00814D1B">
        <w:t xml:space="preserve"> </w:t>
      </w:r>
    </w:p>
    <w:p w14:paraId="6A067FA4" w14:textId="77777777" w:rsidR="00814D1B" w:rsidRDefault="00A94E0E" w:rsidP="00814D1B">
      <w:pPr>
        <w:keepNext/>
      </w:pPr>
      <w:r>
        <w:rPr>
          <w:noProof/>
          <w:lang w:val="de-AT" w:eastAsia="de-AT"/>
        </w:rPr>
        <w:drawing>
          <wp:inline distT="0" distB="0" distL="0" distR="0" wp14:anchorId="09F039F3" wp14:editId="5FEBD779">
            <wp:extent cx="5330953" cy="2837688"/>
            <wp:effectExtent l="0" t="0" r="317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s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30953" cy="2837688"/>
                    </a:xfrm>
                    <a:prstGeom prst="rect">
                      <a:avLst/>
                    </a:prstGeom>
                  </pic:spPr>
                </pic:pic>
              </a:graphicData>
            </a:graphic>
          </wp:inline>
        </w:drawing>
      </w:r>
    </w:p>
    <w:p w14:paraId="165B99DC" w14:textId="194D9214" w:rsidR="00814D1B" w:rsidRPr="00824149" w:rsidRDefault="00814D1B" w:rsidP="00B934BA">
      <w:pPr>
        <w:pStyle w:val="Beschriftung"/>
        <w:jc w:val="both"/>
        <w:rPr>
          <w:i w:val="0"/>
          <w:color w:val="auto"/>
        </w:rPr>
      </w:pPr>
      <w:r w:rsidRPr="00824149">
        <w:rPr>
          <w:i w:val="0"/>
          <w:color w:val="auto"/>
        </w:rPr>
        <w:t>Figure S</w:t>
      </w:r>
      <w:r w:rsidRPr="00824149">
        <w:rPr>
          <w:i w:val="0"/>
          <w:color w:val="auto"/>
        </w:rPr>
        <w:fldChar w:fldCharType="begin"/>
      </w:r>
      <w:r w:rsidRPr="00824149">
        <w:rPr>
          <w:i w:val="0"/>
          <w:color w:val="auto"/>
        </w:rPr>
        <w:instrText xml:space="preserve"> SEQ Figure \* ARABIC </w:instrText>
      </w:r>
      <w:r w:rsidRPr="00824149">
        <w:rPr>
          <w:i w:val="0"/>
          <w:color w:val="auto"/>
        </w:rPr>
        <w:fldChar w:fldCharType="separate"/>
      </w:r>
      <w:r w:rsidR="00843659">
        <w:rPr>
          <w:i w:val="0"/>
          <w:noProof/>
          <w:color w:val="auto"/>
        </w:rPr>
        <w:t>6</w:t>
      </w:r>
      <w:r w:rsidRPr="00824149">
        <w:rPr>
          <w:i w:val="0"/>
          <w:color w:val="auto"/>
        </w:rPr>
        <w:fldChar w:fldCharType="end"/>
      </w:r>
      <w:r w:rsidRPr="00824149">
        <w:rPr>
          <w:i w:val="0"/>
          <w:color w:val="auto"/>
        </w:rPr>
        <w:t xml:space="preserve">. Average opening energies as a function of </w:t>
      </w:r>
      <w:proofErr w:type="spellStart"/>
      <w:r w:rsidRPr="00824149">
        <w:rPr>
          <w:i w:val="0"/>
          <w:color w:val="auto"/>
        </w:rPr>
        <w:t>i</w:t>
      </w:r>
      <w:proofErr w:type="spellEnd"/>
      <w:r w:rsidRPr="00824149">
        <w:rPr>
          <w:i w:val="0"/>
          <w:color w:val="auto"/>
        </w:rPr>
        <w:t xml:space="preserve">, the RDS location for the </w:t>
      </w:r>
      <w:r w:rsidRPr="00156D9E">
        <w:rPr>
          <w:color w:val="auto"/>
        </w:rPr>
        <w:t>E.</w:t>
      </w:r>
      <w:r w:rsidR="00B934BA" w:rsidRPr="00156D9E">
        <w:rPr>
          <w:color w:val="auto"/>
        </w:rPr>
        <w:t xml:space="preserve"> c</w:t>
      </w:r>
      <w:r w:rsidRPr="00156D9E">
        <w:rPr>
          <w:color w:val="auto"/>
        </w:rPr>
        <w:t>oli</w:t>
      </w:r>
      <w:r w:rsidR="0082214D">
        <w:rPr>
          <w:i w:val="0"/>
          <w:color w:val="auto"/>
        </w:rPr>
        <w:t xml:space="preserve"> (brown curve) and the </w:t>
      </w:r>
      <w:r w:rsidR="0082214D" w:rsidRPr="0082214D">
        <w:rPr>
          <w:color w:val="auto"/>
        </w:rPr>
        <w:t>H. sapiens</w:t>
      </w:r>
      <w:r w:rsidRPr="00824149">
        <w:rPr>
          <w:i w:val="0"/>
          <w:color w:val="auto"/>
        </w:rPr>
        <w:t xml:space="preserve"> (orange curve) genomes. Note that at </w:t>
      </w:r>
      <w:proofErr w:type="spellStart"/>
      <w:r w:rsidRPr="00824149">
        <w:rPr>
          <w:i w:val="0"/>
          <w:color w:val="auto"/>
        </w:rPr>
        <w:t>i</w:t>
      </w:r>
      <w:proofErr w:type="spellEnd"/>
      <w:r w:rsidRPr="00824149">
        <w:rPr>
          <w:i w:val="0"/>
          <w:color w:val="auto"/>
        </w:rPr>
        <w:t xml:space="preserve"> = -11 the value of </w:t>
      </w:r>
      <w:r w:rsidR="00824149" w:rsidRPr="00824149">
        <w:rPr>
          <w:i w:val="0"/>
          <w:color w:val="auto"/>
        </w:rPr>
        <w:sym w:font="Symbol" w:char="F044"/>
      </w:r>
      <w:proofErr w:type="spellStart"/>
      <w:proofErr w:type="gramStart"/>
      <w:r w:rsidR="00824149" w:rsidRPr="00824149">
        <w:rPr>
          <w:i w:val="0"/>
          <w:color w:val="auto"/>
        </w:rPr>
        <w:t>E</w:t>
      </w:r>
      <w:r w:rsidR="00824149" w:rsidRPr="00824149">
        <w:rPr>
          <w:i w:val="0"/>
          <w:color w:val="auto"/>
          <w:vertAlign w:val="subscript"/>
        </w:rPr>
        <w:t>open</w:t>
      </w:r>
      <w:proofErr w:type="spellEnd"/>
      <w:r w:rsidR="00824149" w:rsidRPr="00824149">
        <w:rPr>
          <w:i w:val="0"/>
          <w:color w:val="auto"/>
          <w:vertAlign w:val="subscript"/>
        </w:rPr>
        <w:t xml:space="preserve"> </w:t>
      </w:r>
      <w:r w:rsidR="0082214D">
        <w:rPr>
          <w:i w:val="0"/>
          <w:color w:val="auto"/>
        </w:rPr>
        <w:t xml:space="preserve"> </w:t>
      </w:r>
      <w:r w:rsidRPr="00824149">
        <w:rPr>
          <w:i w:val="0"/>
          <w:color w:val="auto"/>
        </w:rPr>
        <w:t>is</w:t>
      </w:r>
      <w:proofErr w:type="gramEnd"/>
      <w:r w:rsidRPr="00824149">
        <w:rPr>
          <w:i w:val="0"/>
          <w:color w:val="auto"/>
        </w:rPr>
        <w:t xml:space="preserve"> a local minimum only in the prokaryotic case.</w:t>
      </w:r>
    </w:p>
    <w:sectPr w:rsidR="00814D1B" w:rsidRPr="00824149">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DDA4F9" w14:textId="77777777" w:rsidR="00F1350C" w:rsidRDefault="00F1350C" w:rsidP="006820DD">
      <w:pPr>
        <w:spacing w:after="0" w:line="240" w:lineRule="auto"/>
      </w:pPr>
      <w:r>
        <w:separator/>
      </w:r>
    </w:p>
  </w:endnote>
  <w:endnote w:type="continuationSeparator" w:id="0">
    <w:p w14:paraId="49A534F6" w14:textId="77777777" w:rsidR="00F1350C" w:rsidRDefault="00F1350C" w:rsidP="00682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1026408"/>
      <w:docPartObj>
        <w:docPartGallery w:val="Page Numbers (Bottom of Page)"/>
        <w:docPartUnique/>
      </w:docPartObj>
    </w:sdtPr>
    <w:sdtEndPr>
      <w:rPr>
        <w:noProof/>
      </w:rPr>
    </w:sdtEndPr>
    <w:sdtContent>
      <w:p w14:paraId="7935C75A" w14:textId="3BADC50B" w:rsidR="006820DD" w:rsidRDefault="006820DD">
        <w:pPr>
          <w:pStyle w:val="Fuzeile"/>
          <w:jc w:val="right"/>
        </w:pPr>
        <w:r>
          <w:fldChar w:fldCharType="begin"/>
        </w:r>
        <w:r>
          <w:instrText xml:space="preserve"> PAGE   \* MERGEFORMAT </w:instrText>
        </w:r>
        <w:r>
          <w:fldChar w:fldCharType="separate"/>
        </w:r>
        <w:r w:rsidR="00EB12A1">
          <w:rPr>
            <w:noProof/>
          </w:rPr>
          <w:t>2</w:t>
        </w:r>
        <w:r>
          <w:rPr>
            <w:noProof/>
          </w:rPr>
          <w:fldChar w:fldCharType="end"/>
        </w:r>
      </w:p>
    </w:sdtContent>
  </w:sdt>
  <w:p w14:paraId="7385359D" w14:textId="77777777" w:rsidR="006820DD" w:rsidRDefault="006820D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9C5D96" w14:textId="77777777" w:rsidR="00F1350C" w:rsidRDefault="00F1350C" w:rsidP="006820DD">
      <w:pPr>
        <w:spacing w:after="0" w:line="240" w:lineRule="auto"/>
      </w:pPr>
      <w:r>
        <w:separator/>
      </w:r>
    </w:p>
  </w:footnote>
  <w:footnote w:type="continuationSeparator" w:id="0">
    <w:p w14:paraId="55E3A26A" w14:textId="77777777" w:rsidR="00F1350C" w:rsidRDefault="00F1350C" w:rsidP="006820D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502"/>
    <w:rsid w:val="00011510"/>
    <w:rsid w:val="00017564"/>
    <w:rsid w:val="00023AFC"/>
    <w:rsid w:val="0002415E"/>
    <w:rsid w:val="00040369"/>
    <w:rsid w:val="0004388F"/>
    <w:rsid w:val="000726C8"/>
    <w:rsid w:val="000848DE"/>
    <w:rsid w:val="000B0D6A"/>
    <w:rsid w:val="000C3D32"/>
    <w:rsid w:val="000C7273"/>
    <w:rsid w:val="000D06A9"/>
    <w:rsid w:val="000D0BA7"/>
    <w:rsid w:val="000F293F"/>
    <w:rsid w:val="000F6502"/>
    <w:rsid w:val="00101995"/>
    <w:rsid w:val="00104CD4"/>
    <w:rsid w:val="00124885"/>
    <w:rsid w:val="00126850"/>
    <w:rsid w:val="001347F7"/>
    <w:rsid w:val="00135777"/>
    <w:rsid w:val="00141063"/>
    <w:rsid w:val="00145A1E"/>
    <w:rsid w:val="00156D9E"/>
    <w:rsid w:val="00161CCA"/>
    <w:rsid w:val="00163262"/>
    <w:rsid w:val="00174260"/>
    <w:rsid w:val="00176E7C"/>
    <w:rsid w:val="00187F9A"/>
    <w:rsid w:val="0019422F"/>
    <w:rsid w:val="00197190"/>
    <w:rsid w:val="001974A1"/>
    <w:rsid w:val="001A0CE8"/>
    <w:rsid w:val="001A2674"/>
    <w:rsid w:val="001A298D"/>
    <w:rsid w:val="001B21FC"/>
    <w:rsid w:val="001D6159"/>
    <w:rsid w:val="00200696"/>
    <w:rsid w:val="00205068"/>
    <w:rsid w:val="00211F62"/>
    <w:rsid w:val="00237B8D"/>
    <w:rsid w:val="002466B5"/>
    <w:rsid w:val="00260015"/>
    <w:rsid w:val="00263213"/>
    <w:rsid w:val="0029333C"/>
    <w:rsid w:val="00296C7F"/>
    <w:rsid w:val="002A394B"/>
    <w:rsid w:val="002B2943"/>
    <w:rsid w:val="002B48E6"/>
    <w:rsid w:val="002C68D3"/>
    <w:rsid w:val="002D7F88"/>
    <w:rsid w:val="003158F9"/>
    <w:rsid w:val="003258CD"/>
    <w:rsid w:val="00331DAF"/>
    <w:rsid w:val="003438EB"/>
    <w:rsid w:val="003677D8"/>
    <w:rsid w:val="00370E4B"/>
    <w:rsid w:val="00393A58"/>
    <w:rsid w:val="003D0840"/>
    <w:rsid w:val="003D67C9"/>
    <w:rsid w:val="003D750B"/>
    <w:rsid w:val="0040092B"/>
    <w:rsid w:val="00412D0C"/>
    <w:rsid w:val="0041400D"/>
    <w:rsid w:val="00434F3B"/>
    <w:rsid w:val="00471DDE"/>
    <w:rsid w:val="0048021D"/>
    <w:rsid w:val="004816DE"/>
    <w:rsid w:val="0048215E"/>
    <w:rsid w:val="004A5D88"/>
    <w:rsid w:val="004C4725"/>
    <w:rsid w:val="004E1598"/>
    <w:rsid w:val="004E52CA"/>
    <w:rsid w:val="005016EE"/>
    <w:rsid w:val="005127D7"/>
    <w:rsid w:val="005208C0"/>
    <w:rsid w:val="00526C77"/>
    <w:rsid w:val="0057691A"/>
    <w:rsid w:val="00593ED9"/>
    <w:rsid w:val="005C424E"/>
    <w:rsid w:val="005C7523"/>
    <w:rsid w:val="006041EA"/>
    <w:rsid w:val="006264B5"/>
    <w:rsid w:val="006511A5"/>
    <w:rsid w:val="00652665"/>
    <w:rsid w:val="0067148F"/>
    <w:rsid w:val="006820DD"/>
    <w:rsid w:val="00693E28"/>
    <w:rsid w:val="00697403"/>
    <w:rsid w:val="006A24B1"/>
    <w:rsid w:val="006D6F05"/>
    <w:rsid w:val="006E6F7E"/>
    <w:rsid w:val="006E7057"/>
    <w:rsid w:val="006F6172"/>
    <w:rsid w:val="00727819"/>
    <w:rsid w:val="0073277C"/>
    <w:rsid w:val="007347C4"/>
    <w:rsid w:val="00734E81"/>
    <w:rsid w:val="00740893"/>
    <w:rsid w:val="00744E9C"/>
    <w:rsid w:val="00757AAB"/>
    <w:rsid w:val="0077159D"/>
    <w:rsid w:val="0078422A"/>
    <w:rsid w:val="00792A7E"/>
    <w:rsid w:val="007B78B6"/>
    <w:rsid w:val="00807F09"/>
    <w:rsid w:val="00814D1B"/>
    <w:rsid w:val="0082214D"/>
    <w:rsid w:val="00824149"/>
    <w:rsid w:val="00843659"/>
    <w:rsid w:val="00856C84"/>
    <w:rsid w:val="0086045E"/>
    <w:rsid w:val="00873067"/>
    <w:rsid w:val="00885306"/>
    <w:rsid w:val="008A0777"/>
    <w:rsid w:val="008C443D"/>
    <w:rsid w:val="008E176F"/>
    <w:rsid w:val="008F3A99"/>
    <w:rsid w:val="00913909"/>
    <w:rsid w:val="0092095D"/>
    <w:rsid w:val="00920B86"/>
    <w:rsid w:val="00935501"/>
    <w:rsid w:val="00966D50"/>
    <w:rsid w:val="00974146"/>
    <w:rsid w:val="00996C9B"/>
    <w:rsid w:val="009A15BD"/>
    <w:rsid w:val="009A2E9B"/>
    <w:rsid w:val="009B4978"/>
    <w:rsid w:val="009C0DE3"/>
    <w:rsid w:val="009E4421"/>
    <w:rsid w:val="00A04290"/>
    <w:rsid w:val="00A13C2B"/>
    <w:rsid w:val="00A1769C"/>
    <w:rsid w:val="00A339E8"/>
    <w:rsid w:val="00A64E29"/>
    <w:rsid w:val="00A86181"/>
    <w:rsid w:val="00A931AD"/>
    <w:rsid w:val="00A94E0E"/>
    <w:rsid w:val="00AB2EB9"/>
    <w:rsid w:val="00AC37B2"/>
    <w:rsid w:val="00AC508A"/>
    <w:rsid w:val="00AD17B6"/>
    <w:rsid w:val="00AD3280"/>
    <w:rsid w:val="00AE2887"/>
    <w:rsid w:val="00AE2BC7"/>
    <w:rsid w:val="00AF5920"/>
    <w:rsid w:val="00B14310"/>
    <w:rsid w:val="00B3246D"/>
    <w:rsid w:val="00B334E8"/>
    <w:rsid w:val="00B417A0"/>
    <w:rsid w:val="00B4251D"/>
    <w:rsid w:val="00B47920"/>
    <w:rsid w:val="00B651BE"/>
    <w:rsid w:val="00B86D9E"/>
    <w:rsid w:val="00B934BA"/>
    <w:rsid w:val="00BA6FF6"/>
    <w:rsid w:val="00BB49AD"/>
    <w:rsid w:val="00BC1CB3"/>
    <w:rsid w:val="00BC72FE"/>
    <w:rsid w:val="00BC7791"/>
    <w:rsid w:val="00BD0659"/>
    <w:rsid w:val="00BE24AF"/>
    <w:rsid w:val="00BE39F9"/>
    <w:rsid w:val="00BF7172"/>
    <w:rsid w:val="00C01295"/>
    <w:rsid w:val="00C33CE8"/>
    <w:rsid w:val="00C61D66"/>
    <w:rsid w:val="00C94DA9"/>
    <w:rsid w:val="00CC5AFD"/>
    <w:rsid w:val="00CD2BCE"/>
    <w:rsid w:val="00CE2A3E"/>
    <w:rsid w:val="00CF3AC9"/>
    <w:rsid w:val="00CF545E"/>
    <w:rsid w:val="00D11A4B"/>
    <w:rsid w:val="00D31D51"/>
    <w:rsid w:val="00D40CFA"/>
    <w:rsid w:val="00D63674"/>
    <w:rsid w:val="00D64D84"/>
    <w:rsid w:val="00D812A8"/>
    <w:rsid w:val="00D87B6A"/>
    <w:rsid w:val="00D955E0"/>
    <w:rsid w:val="00D9734A"/>
    <w:rsid w:val="00DB2C2E"/>
    <w:rsid w:val="00DB34BB"/>
    <w:rsid w:val="00DB6ACB"/>
    <w:rsid w:val="00DD0030"/>
    <w:rsid w:val="00DD45BE"/>
    <w:rsid w:val="00E14B15"/>
    <w:rsid w:val="00E34EB3"/>
    <w:rsid w:val="00E53ECE"/>
    <w:rsid w:val="00E717F3"/>
    <w:rsid w:val="00EB12A1"/>
    <w:rsid w:val="00EB288B"/>
    <w:rsid w:val="00EE3D0F"/>
    <w:rsid w:val="00EF19B0"/>
    <w:rsid w:val="00EF7D93"/>
    <w:rsid w:val="00F000D4"/>
    <w:rsid w:val="00F03C16"/>
    <w:rsid w:val="00F05F1A"/>
    <w:rsid w:val="00F11619"/>
    <w:rsid w:val="00F1350C"/>
    <w:rsid w:val="00F1716B"/>
    <w:rsid w:val="00F26167"/>
    <w:rsid w:val="00F31421"/>
    <w:rsid w:val="00F44D2A"/>
    <w:rsid w:val="00F52CA9"/>
    <w:rsid w:val="00F63EC7"/>
    <w:rsid w:val="00F82B4C"/>
    <w:rsid w:val="00F91FB6"/>
    <w:rsid w:val="00FA1E1D"/>
    <w:rsid w:val="00FB3321"/>
    <w:rsid w:val="00FC2373"/>
    <w:rsid w:val="00FD7304"/>
    <w:rsid w:val="00FE6AF2"/>
    <w:rsid w:val="00FF30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9DE26"/>
  <w15:chartTrackingRefBased/>
  <w15:docId w15:val="{EFA2E049-6C66-4D23-A0AD-144C81E53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6502"/>
    <w:pPr>
      <w:spacing w:line="276" w:lineRule="auto"/>
    </w:pPr>
    <w:rPr>
      <w:rFonts w:ascii="Arial" w:hAnsi="Arial"/>
      <w:sz w:val="20"/>
    </w:rPr>
  </w:style>
  <w:style w:type="paragraph" w:styleId="berschrift1">
    <w:name w:val="heading 1"/>
    <w:basedOn w:val="Standard"/>
    <w:next w:val="Standard"/>
    <w:link w:val="berschrift1Zchn"/>
    <w:uiPriority w:val="9"/>
    <w:qFormat/>
    <w:rsid w:val="00B417A0"/>
    <w:pPr>
      <w:keepNext/>
      <w:keepLines/>
      <w:spacing w:before="240" w:after="120"/>
      <w:outlineLvl w:val="0"/>
    </w:pPr>
    <w:rPr>
      <w:rFonts w:eastAsiaTheme="majorEastAsia" w:cstheme="majorBidi"/>
      <w:color w:val="262626" w:themeColor="text1" w:themeTint="D9"/>
      <w:sz w:val="22"/>
      <w:szCs w:val="32"/>
    </w:rPr>
  </w:style>
  <w:style w:type="paragraph" w:styleId="berschrift2">
    <w:name w:val="heading 2"/>
    <w:basedOn w:val="Standard"/>
    <w:next w:val="Standard"/>
    <w:link w:val="berschrift2Zchn"/>
    <w:uiPriority w:val="9"/>
    <w:unhideWhenUsed/>
    <w:qFormat/>
    <w:rsid w:val="00370E4B"/>
    <w:pPr>
      <w:spacing w:before="120" w:after="120"/>
      <w:outlineLvl w:val="1"/>
    </w:pPr>
    <w:rPr>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1">
    <w:name w:val="Title1"/>
    <w:basedOn w:val="Standard"/>
    <w:next w:val="Standard"/>
    <w:qFormat/>
    <w:rsid w:val="000F6502"/>
    <w:pPr>
      <w:spacing w:before="120" w:after="0" w:line="480" w:lineRule="exact"/>
    </w:pPr>
    <w:rPr>
      <w:rFonts w:eastAsia="MS Mincho" w:cs="Times New Roman"/>
      <w:b/>
      <w:sz w:val="32"/>
      <w:szCs w:val="28"/>
      <w:lang w:val="de-DE" w:eastAsia="ja-JP"/>
    </w:rPr>
  </w:style>
  <w:style w:type="paragraph" w:customStyle="1" w:styleId="Authors">
    <w:name w:val="Authors"/>
    <w:basedOn w:val="Standard"/>
    <w:qFormat/>
    <w:rsid w:val="000F6502"/>
    <w:pPr>
      <w:spacing w:before="120" w:after="120" w:line="320" w:lineRule="exact"/>
    </w:pPr>
    <w:rPr>
      <w:rFonts w:eastAsia="MS Mincho" w:cs="Times New Roman"/>
      <w:szCs w:val="24"/>
      <w:lang w:eastAsia="ja-JP"/>
    </w:rPr>
  </w:style>
  <w:style w:type="paragraph" w:customStyle="1" w:styleId="Adress">
    <w:name w:val="Adress"/>
    <w:basedOn w:val="Standard"/>
    <w:qFormat/>
    <w:rsid w:val="000F6502"/>
    <w:pPr>
      <w:spacing w:after="0" w:line="180" w:lineRule="exact"/>
      <w:ind w:left="425" w:hanging="425"/>
    </w:pPr>
    <w:rPr>
      <w:rFonts w:eastAsia="MS Mincho" w:cs="Times New Roman"/>
      <w:sz w:val="14"/>
      <w:szCs w:val="20"/>
      <w:lang w:val="de-DE" w:eastAsia="ja-JP"/>
    </w:rPr>
  </w:style>
  <w:style w:type="paragraph" w:customStyle="1" w:styleId="Footnote">
    <w:name w:val="Footnote"/>
    <w:basedOn w:val="Adress"/>
    <w:rsid w:val="000F6502"/>
    <w:pPr>
      <w:spacing w:before="120"/>
    </w:pPr>
    <w:rPr>
      <w:szCs w:val="14"/>
      <w:lang w:val="en-GB"/>
    </w:rPr>
  </w:style>
  <w:style w:type="character" w:customStyle="1" w:styleId="berschrift1Zchn">
    <w:name w:val="Überschrift 1 Zchn"/>
    <w:basedOn w:val="Absatz-Standardschriftart"/>
    <w:link w:val="berschrift1"/>
    <w:uiPriority w:val="9"/>
    <w:rsid w:val="00B417A0"/>
    <w:rPr>
      <w:rFonts w:ascii="Arial" w:eastAsiaTheme="majorEastAsia" w:hAnsi="Arial" w:cstheme="majorBidi"/>
      <w:color w:val="262626" w:themeColor="text1" w:themeTint="D9"/>
      <w:szCs w:val="32"/>
    </w:rPr>
  </w:style>
  <w:style w:type="table" w:styleId="Tabellenraster">
    <w:name w:val="Table Grid"/>
    <w:basedOn w:val="NormaleTabelle"/>
    <w:uiPriority w:val="39"/>
    <w:rsid w:val="006F61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chriftung">
    <w:name w:val="caption"/>
    <w:basedOn w:val="Standard"/>
    <w:next w:val="Standard"/>
    <w:uiPriority w:val="35"/>
    <w:unhideWhenUsed/>
    <w:qFormat/>
    <w:rsid w:val="00135777"/>
    <w:pPr>
      <w:spacing w:after="200" w:line="240" w:lineRule="auto"/>
    </w:pPr>
    <w:rPr>
      <w:i/>
      <w:iCs/>
      <w:color w:val="44546A" w:themeColor="text2"/>
      <w:sz w:val="18"/>
      <w:szCs w:val="18"/>
    </w:rPr>
  </w:style>
  <w:style w:type="character" w:customStyle="1" w:styleId="berschrift2Zchn">
    <w:name w:val="Überschrift 2 Zchn"/>
    <w:basedOn w:val="Absatz-Standardschriftart"/>
    <w:link w:val="berschrift2"/>
    <w:uiPriority w:val="9"/>
    <w:rsid w:val="00370E4B"/>
    <w:rPr>
      <w:rFonts w:ascii="Arial" w:hAnsi="Arial"/>
      <w:i/>
      <w:sz w:val="20"/>
    </w:rPr>
  </w:style>
  <w:style w:type="paragraph" w:styleId="Inhaltsverzeichnisberschrift">
    <w:name w:val="TOC Heading"/>
    <w:basedOn w:val="berschrift1"/>
    <w:next w:val="Standard"/>
    <w:uiPriority w:val="39"/>
    <w:unhideWhenUsed/>
    <w:qFormat/>
    <w:rsid w:val="00BC1CB3"/>
    <w:pPr>
      <w:spacing w:line="259" w:lineRule="auto"/>
      <w:outlineLvl w:val="9"/>
    </w:pPr>
    <w:rPr>
      <w:b/>
      <w:color w:val="000000" w:themeColor="text1"/>
      <w:sz w:val="20"/>
      <w:lang w:val="en-US"/>
    </w:rPr>
  </w:style>
  <w:style w:type="paragraph" w:styleId="Verzeichnis1">
    <w:name w:val="toc 1"/>
    <w:basedOn w:val="Standard"/>
    <w:next w:val="Standard"/>
    <w:autoRedefine/>
    <w:uiPriority w:val="39"/>
    <w:unhideWhenUsed/>
    <w:rsid w:val="00BC1CB3"/>
    <w:pPr>
      <w:spacing w:after="100"/>
    </w:pPr>
  </w:style>
  <w:style w:type="paragraph" w:styleId="Verzeichnis2">
    <w:name w:val="toc 2"/>
    <w:basedOn w:val="Standard"/>
    <w:next w:val="Standard"/>
    <w:autoRedefine/>
    <w:uiPriority w:val="39"/>
    <w:unhideWhenUsed/>
    <w:rsid w:val="00BC1CB3"/>
    <w:pPr>
      <w:spacing w:after="100"/>
      <w:ind w:left="200"/>
    </w:pPr>
  </w:style>
  <w:style w:type="character" w:styleId="Hyperlink">
    <w:name w:val="Hyperlink"/>
    <w:basedOn w:val="Absatz-Standardschriftart"/>
    <w:uiPriority w:val="99"/>
    <w:unhideWhenUsed/>
    <w:rsid w:val="00BC1CB3"/>
    <w:rPr>
      <w:color w:val="0563C1" w:themeColor="hyperlink"/>
      <w:u w:val="single"/>
    </w:rPr>
  </w:style>
  <w:style w:type="paragraph" w:customStyle="1" w:styleId="HAcknowledgements">
    <w:name w:val="HAcknowledgements"/>
    <w:basedOn w:val="Standard"/>
    <w:qFormat/>
    <w:rsid w:val="00434F3B"/>
    <w:pPr>
      <w:spacing w:before="480" w:after="230" w:line="230" w:lineRule="atLeast"/>
    </w:pPr>
    <w:rPr>
      <w:rFonts w:eastAsia="MS Mincho" w:cs="Times New Roman"/>
      <w:b/>
      <w:sz w:val="22"/>
      <w:szCs w:val="24"/>
      <w:lang w:eastAsia="ja-JP"/>
    </w:rPr>
  </w:style>
  <w:style w:type="character" w:styleId="Platzhaltertext">
    <w:name w:val="Placeholder Text"/>
    <w:basedOn w:val="Absatz-Standardschriftart"/>
    <w:uiPriority w:val="99"/>
    <w:semiHidden/>
    <w:rsid w:val="000D0BA7"/>
    <w:rPr>
      <w:color w:val="808080"/>
    </w:rPr>
  </w:style>
  <w:style w:type="paragraph" w:customStyle="1" w:styleId="P1">
    <w:name w:val="P1"/>
    <w:basedOn w:val="Standard"/>
    <w:qFormat/>
    <w:rsid w:val="007B78B6"/>
    <w:pPr>
      <w:spacing w:after="0" w:line="225" w:lineRule="exact"/>
      <w:jc w:val="both"/>
    </w:pPr>
    <w:rPr>
      <w:rFonts w:eastAsia="MS Mincho" w:cs="Times New Roman"/>
      <w:sz w:val="17"/>
      <w:szCs w:val="24"/>
      <w:lang w:val="en-US" w:eastAsia="ja-JP"/>
    </w:rPr>
  </w:style>
  <w:style w:type="paragraph" w:styleId="Literaturverzeichnis">
    <w:name w:val="Bibliography"/>
    <w:basedOn w:val="Standard"/>
    <w:next w:val="Standard"/>
    <w:uiPriority w:val="37"/>
    <w:unhideWhenUsed/>
    <w:rsid w:val="007B78B6"/>
    <w:pPr>
      <w:spacing w:after="0" w:line="240" w:lineRule="auto"/>
    </w:pPr>
    <w:rPr>
      <w:rFonts w:ascii="Times New Roman" w:eastAsia="MS Mincho" w:hAnsi="Times New Roman" w:cs="Times New Roman"/>
      <w:sz w:val="24"/>
      <w:szCs w:val="24"/>
      <w:lang w:val="de-DE" w:eastAsia="ja-JP"/>
    </w:rPr>
  </w:style>
  <w:style w:type="paragraph" w:styleId="Kopfzeile">
    <w:name w:val="header"/>
    <w:basedOn w:val="Standard"/>
    <w:link w:val="KopfzeileZchn"/>
    <w:uiPriority w:val="99"/>
    <w:unhideWhenUsed/>
    <w:rsid w:val="006820DD"/>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6820DD"/>
    <w:rPr>
      <w:rFonts w:ascii="Arial" w:hAnsi="Arial"/>
      <w:sz w:val="20"/>
    </w:rPr>
  </w:style>
  <w:style w:type="paragraph" w:styleId="Fuzeile">
    <w:name w:val="footer"/>
    <w:basedOn w:val="Standard"/>
    <w:link w:val="FuzeileZchn"/>
    <w:uiPriority w:val="99"/>
    <w:unhideWhenUsed/>
    <w:rsid w:val="006820DD"/>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6820DD"/>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8536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6.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_backup.xsl" StyleName="IEEE" Version="2006">
  <b:Source>
    <b:Tag>Ars10</b:Tag>
    <b:SourceType>Book</b:SourceType>
    <b:Guid>{034FABA1-C68F-4A96-B1C2-E89A669D41AD}</b:Guid>
    <b:Title>In-vitro synthesis and reconstitution of cytochrome bo3 ubiquinol oxidase in artificial membranes</b:Title>
    <b:Year>2010</b:Year>
    <b:Publisher>PhD Disssertation</b:Publisher>
    <b:Author>
      <b:Author>
        <b:NameList>
          <b:Person>
            <b:Last>Arslan Yildiz</b:Last>
            <b:First>A.</b:First>
          </b:Person>
        </b:NameList>
      </b:Author>
    </b:Author>
    <b:RefOrder>18</b:RefOrder>
  </b:Source>
  <b:Source>
    <b:Tag>BoS18</b:Tag>
    <b:SourceType>JournalArticle</b:SourceType>
    <b:Guid>{D53E107A-0D62-4117-AF7D-AC59C4AE25D0}</b:Guid>
    <b:JournalName>Nature Comm.</b:JournalName>
    <b:Year>2018</b:Year>
    <b:Pages>2306-2314</b:Pages>
    <b:Volume>9</b:Volume>
    <b:Author>
      <b:Author>
        <b:NameList>
          <b:Person>
            <b:Last>Bo</b:Last>
            <b:First>S.</b:First>
          </b:Person>
          <b:Person>
            <b:Last>Singh</b:Last>
            <b:First>A.</b:First>
          </b:Person>
          <b:Person>
            <b:Last>Sultana</b:Last>
            <b:First>S.</b:First>
          </b:Person>
          <b:Person>
            <b:Last>Inman</b:Last>
            <b:First>J. T.</b:First>
          </b:Person>
          <b:Person>
            <b:Last>Patel</b:Last>
            <b:First>S. S.</b:First>
          </b:Person>
          <b:Person>
            <b:Last>Wang</b:Last>
            <b:First>M. D.</b:First>
          </b:Person>
        </b:NameList>
      </b:Author>
    </b:Author>
    <b:RefOrder>19</b:RefOrder>
  </b:Source>
</b:Sources>
</file>

<file path=customXml/itemProps1.xml><?xml version="1.0" encoding="utf-8"?>
<ds:datastoreItem xmlns:ds="http://schemas.openxmlformats.org/officeDocument/2006/customXml" ds:itemID="{7AA6FC36-17C9-4D39-ABEA-D9AD6248C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2374</Words>
  <Characters>14960</Characters>
  <Application>Microsoft Office Word</Application>
  <DocSecurity>0</DocSecurity>
  <Lines>124</Lines>
  <Paragraphs>34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Moreno-Flores</dc:creator>
  <cp:keywords/>
  <dc:description/>
  <cp:lastModifiedBy>Sonja</cp:lastModifiedBy>
  <cp:revision>3</cp:revision>
  <cp:lastPrinted>2018-08-23T12:58:00Z</cp:lastPrinted>
  <dcterms:created xsi:type="dcterms:W3CDTF">2021-06-02T12:03:00Z</dcterms:created>
  <dcterms:modified xsi:type="dcterms:W3CDTF">2021-06-02T12:09:00Z</dcterms:modified>
</cp:coreProperties>
</file>