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FF403" w14:textId="19B6E567" w:rsidR="00B45E5B" w:rsidRPr="00741EF7" w:rsidRDefault="00741EF7" w:rsidP="00B45E5B">
      <w:pPr>
        <w:jc w:val="center"/>
        <w:rPr>
          <w:rFonts w:ascii="Palatino Linotype" w:eastAsia="Times New Roman" w:hAnsi="Palatino Linotype" w:cs="Times New Roman"/>
          <w:b/>
          <w:i/>
          <w:snapToGrid w:val="0"/>
          <w:color w:val="000000"/>
          <w:sz w:val="36"/>
          <w:szCs w:val="20"/>
          <w:lang w:val="en-GB" w:eastAsia="de-DE" w:bidi="en-US"/>
        </w:rPr>
      </w:pPr>
      <w:bookmarkStart w:id="0" w:name="_GoBack"/>
      <w:bookmarkEnd w:id="0"/>
      <w:r w:rsidRPr="00741EF7">
        <w:rPr>
          <w:rFonts w:ascii="Palatino Linotype" w:eastAsia="Times New Roman" w:hAnsi="Palatino Linotype" w:cs="Times New Roman"/>
          <w:b/>
          <w:i/>
          <w:snapToGrid w:val="0"/>
          <w:color w:val="000000"/>
          <w:sz w:val="36"/>
          <w:szCs w:val="20"/>
          <w:lang w:val="en-GB" w:eastAsia="de-DE" w:bidi="en-US"/>
        </w:rPr>
        <w:t>Microorganisms</w:t>
      </w:r>
    </w:p>
    <w:p w14:paraId="05710038" w14:textId="77777777" w:rsidR="00F05AD3" w:rsidRPr="00741EF7" w:rsidRDefault="00B45E5B" w:rsidP="00B45E5B">
      <w:pPr>
        <w:jc w:val="center"/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</w:pPr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Electronic Supplementary Material for </w:t>
      </w:r>
    </w:p>
    <w:p w14:paraId="4DE0CCD0" w14:textId="77777777" w:rsidR="00741EF7" w:rsidRDefault="00741EF7" w:rsidP="00B45E5B">
      <w:pPr>
        <w:jc w:val="center"/>
        <w:rPr>
          <w:rFonts w:ascii="Times New Roman" w:hAnsi="Times New Roman"/>
          <w:sz w:val="24"/>
          <w:szCs w:val="21"/>
          <w:lang w:val="en-US"/>
        </w:rPr>
      </w:pPr>
      <w:r w:rsidRPr="00741EF7">
        <w:rPr>
          <w:rFonts w:ascii="Palatino Linotype" w:eastAsia="SimSun" w:hAnsi="Palatino Linotype" w:cs="Times New Roman"/>
          <w:b/>
          <w:noProof/>
          <w:color w:val="000000"/>
          <w:sz w:val="24"/>
          <w:szCs w:val="24"/>
          <w:lang w:val="en-GB" w:eastAsia="zh-CN"/>
        </w:rPr>
        <w:t xml:space="preserve">Shifts in sodic soil bacterial communities associated with different </w:t>
      </w:r>
      <w:bookmarkStart w:id="1" w:name="_Hlk37851458"/>
      <w:r w:rsidRPr="00741EF7">
        <w:rPr>
          <w:rFonts w:ascii="Palatino Linotype" w:eastAsia="SimSun" w:hAnsi="Palatino Linotype" w:cs="Times New Roman"/>
          <w:b/>
          <w:noProof/>
          <w:color w:val="000000"/>
          <w:sz w:val="24"/>
          <w:szCs w:val="24"/>
          <w:lang w:val="en-GB" w:eastAsia="zh-CN"/>
        </w:rPr>
        <w:t>alkali vegetation types</w:t>
      </w:r>
      <w:bookmarkEnd w:id="1"/>
      <w:r w:rsidRPr="000A0D17">
        <w:rPr>
          <w:rFonts w:ascii="Times New Roman" w:hAnsi="Times New Roman"/>
          <w:sz w:val="24"/>
          <w:szCs w:val="21"/>
          <w:lang w:val="en-US"/>
        </w:rPr>
        <w:t xml:space="preserve"> </w:t>
      </w:r>
    </w:p>
    <w:p w14:paraId="536738EA" w14:textId="77777777" w:rsidR="00741EF7" w:rsidRDefault="00741EF7" w:rsidP="00B45E5B">
      <w:pPr>
        <w:jc w:val="center"/>
        <w:rPr>
          <w:rFonts w:ascii="Times New Roman" w:hAnsi="Times New Roman"/>
          <w:sz w:val="24"/>
          <w:szCs w:val="21"/>
          <w:lang w:val="en-US"/>
        </w:rPr>
      </w:pPr>
    </w:p>
    <w:p w14:paraId="4AF7668F" w14:textId="4B2564B3" w:rsidR="00741EF7" w:rsidRPr="00741EF7" w:rsidRDefault="00741EF7" w:rsidP="00741EF7">
      <w:pPr>
        <w:adjustRightInd w:val="0"/>
        <w:snapToGrid w:val="0"/>
        <w:spacing w:after="360" w:line="260" w:lineRule="atLeast"/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</w:pPr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>Andrea K. Borsodi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GB" w:eastAsia="de-DE" w:bidi="en-US"/>
        </w:rPr>
        <w:t>1*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, </w:t>
      </w:r>
      <w:proofErr w:type="spellStart"/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>Márton</w:t>
      </w:r>
      <w:proofErr w:type="spellEnd"/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 Mucsi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GB" w:eastAsia="de-DE" w:bidi="en-US"/>
        </w:rPr>
        <w:t>1</w:t>
      </w:r>
      <w:proofErr w:type="gramStart"/>
      <w:r w:rsidRPr="00741EF7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GB" w:eastAsia="de-DE" w:bidi="en-US"/>
        </w:rPr>
        <w:t>,2</w:t>
      </w:r>
      <w:proofErr w:type="gramEnd"/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, </w:t>
      </w:r>
      <w:proofErr w:type="spellStart"/>
      <w:r w:rsidR="00241F91"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>Gergely</w:t>
      </w:r>
      <w:proofErr w:type="spellEnd"/>
      <w:r w:rsidR="00241F91"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 Krett</w:t>
      </w:r>
      <w:r w:rsidR="00241F91" w:rsidRPr="00741EF7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GB" w:eastAsia="de-DE" w:bidi="en-US"/>
        </w:rPr>
        <w:t>1</w:t>
      </w:r>
      <w:r w:rsidR="00241F91"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, 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>Attila Szabó</w:t>
      </w:r>
      <w:r w:rsidR="00241F91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GB" w:eastAsia="de-DE" w:bidi="en-US"/>
        </w:rPr>
        <w:t>3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, </w:t>
      </w:r>
      <w:proofErr w:type="spellStart"/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>Tamás</w:t>
      </w:r>
      <w:proofErr w:type="spellEnd"/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 xml:space="preserve"> Felföldi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GB" w:eastAsia="de-DE" w:bidi="en-US"/>
        </w:rPr>
        <w:t>1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GB" w:eastAsia="de-DE" w:bidi="en-US"/>
        </w:rPr>
        <w:t>, Tibor Szili-Kovács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GB" w:eastAsia="de-DE" w:bidi="en-US"/>
        </w:rPr>
        <w:t>2,*</w:t>
      </w:r>
      <w:r w:rsidRPr="00741EF7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</w:p>
    <w:p w14:paraId="400A72F0" w14:textId="77777777" w:rsidR="00241F91" w:rsidRPr="00241F91" w:rsidRDefault="00741EF7" w:rsidP="00241F91">
      <w:pPr>
        <w:adjustRightInd w:val="0"/>
        <w:snapToGrid w:val="0"/>
        <w:spacing w:after="0" w:line="200" w:lineRule="atLeast"/>
        <w:ind w:left="1418" w:hanging="284"/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</w:pPr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vertAlign w:val="superscript"/>
          <w:lang w:val="en-US" w:eastAsia="de-DE" w:bidi="en-US"/>
        </w:rPr>
        <w:t>1</w:t>
      </w:r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de-DE" w:bidi="en-US"/>
        </w:rPr>
        <w:tab/>
      </w:r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Department of Microbiology, ELTE </w:t>
      </w:r>
      <w:proofErr w:type="spellStart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Eötvös</w:t>
      </w:r>
      <w:proofErr w:type="spellEnd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</w:t>
      </w:r>
      <w:proofErr w:type="spellStart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Loránd</w:t>
      </w:r>
      <w:proofErr w:type="spellEnd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University, </w:t>
      </w:r>
      <w:proofErr w:type="spellStart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Pázmány</w:t>
      </w:r>
      <w:proofErr w:type="spellEnd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P. </w:t>
      </w:r>
      <w:proofErr w:type="spellStart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sétány</w:t>
      </w:r>
      <w:proofErr w:type="spellEnd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1/C</w:t>
      </w:r>
      <w:proofErr w:type="gramStart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,H</w:t>
      </w:r>
      <w:proofErr w:type="gramEnd"/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-1117 Budapest, Hungary; </w:t>
      </w:r>
      <w:r w:rsidR="00241F91" w:rsidRPr="00241F91">
        <w:rPr>
          <w:rFonts w:ascii="Palatino Linotype" w:eastAsia="Times New Roman" w:hAnsi="Palatino Linotype" w:cs="Times New Roman"/>
          <w:color w:val="0000FF"/>
          <w:sz w:val="20"/>
          <w:szCs w:val="20"/>
          <w:u w:val="single"/>
          <w:lang w:val="en-GB" w:eastAsia="de-DE" w:bidi="en-US"/>
        </w:rPr>
        <w:t>borsodi.andrea@ttk.elte.hu</w:t>
      </w:r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; </w:t>
      </w:r>
      <w:r w:rsidR="00241F91" w:rsidRPr="00241F91">
        <w:rPr>
          <w:rFonts w:ascii="Palatino Linotype" w:eastAsia="Times New Roman" w:hAnsi="Palatino Linotype" w:cs="Times New Roman"/>
          <w:color w:val="0000FF"/>
          <w:sz w:val="20"/>
          <w:szCs w:val="20"/>
          <w:u w:val="single"/>
          <w:lang w:val="en-GB" w:eastAsia="de-DE" w:bidi="en-US"/>
        </w:rPr>
        <w:t>tamas.felfoldi@ttk.elte.hu</w:t>
      </w:r>
      <w:r w:rsidR="00241F91"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; </w:t>
      </w:r>
      <w:r w:rsidR="00241F91" w:rsidRPr="00241F91">
        <w:rPr>
          <w:rFonts w:ascii="Palatino Linotype" w:eastAsia="Times New Roman" w:hAnsi="Palatino Linotype" w:cs="Times New Roman"/>
          <w:color w:val="0000FF"/>
          <w:sz w:val="20"/>
          <w:szCs w:val="20"/>
          <w:u w:val="single"/>
          <w:lang w:val="en-GB" w:eastAsia="de-DE" w:bidi="en-US"/>
        </w:rPr>
        <w:t>gergely.krett@ttk.elte.hu</w:t>
      </w:r>
    </w:p>
    <w:p w14:paraId="6BE82A51" w14:textId="080EF436" w:rsidR="00241F91" w:rsidRPr="00241F91" w:rsidRDefault="00241F91" w:rsidP="00241F91">
      <w:pPr>
        <w:adjustRightInd w:val="0"/>
        <w:snapToGrid w:val="0"/>
        <w:spacing w:after="0" w:line="200" w:lineRule="atLeast"/>
        <w:ind w:left="1418" w:hanging="284"/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</w:pPr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2</w:t>
      </w:r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ab/>
        <w:t xml:space="preserve">Institute for Soil Sciences, Centre for Agricultural Research, Herman </w:t>
      </w:r>
      <w:proofErr w:type="spellStart"/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Ottó</w:t>
      </w:r>
      <w:proofErr w:type="spellEnd"/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</w:t>
      </w:r>
      <w:proofErr w:type="spellStart"/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út</w:t>
      </w:r>
      <w:proofErr w:type="spellEnd"/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15, H-1022 Budapest, Hungary; </w:t>
      </w:r>
      <w:r w:rsidRPr="00241F91">
        <w:rPr>
          <w:rFonts w:ascii="Palatino Linotype" w:eastAsia="Times New Roman" w:hAnsi="Palatino Linotype" w:cs="Times New Roman"/>
          <w:color w:val="0000FF"/>
          <w:sz w:val="20"/>
          <w:szCs w:val="20"/>
          <w:u w:val="single"/>
          <w:lang w:val="en-GB" w:eastAsia="de-DE" w:bidi="en-US"/>
        </w:rPr>
        <w:t>mucsi.marton@atk.hu</w:t>
      </w:r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; </w:t>
      </w:r>
      <w:r w:rsidRPr="00241F91">
        <w:rPr>
          <w:rFonts w:ascii="Palatino Linotype" w:eastAsia="Times New Roman" w:hAnsi="Palatino Linotype" w:cs="Times New Roman"/>
          <w:color w:val="0000FF"/>
          <w:sz w:val="20"/>
          <w:szCs w:val="20"/>
          <w:u w:val="single"/>
          <w:lang w:val="en-GB" w:eastAsia="de-DE" w:bidi="en-US"/>
        </w:rPr>
        <w:t>szili-kovacs.tibor@atk.hu</w:t>
      </w:r>
    </w:p>
    <w:p w14:paraId="3C619E9E" w14:textId="77777777" w:rsidR="00241F91" w:rsidRDefault="00241F91" w:rsidP="00241F91">
      <w:pPr>
        <w:adjustRightInd w:val="0"/>
        <w:snapToGrid w:val="0"/>
        <w:spacing w:after="0" w:line="200" w:lineRule="atLeast"/>
        <w:ind w:left="1418" w:hanging="284"/>
        <w:rPr>
          <w:rFonts w:ascii="Palatino Linotype" w:eastAsia="Times New Roman" w:hAnsi="Palatino Linotype" w:cs="Times New Roman"/>
          <w:color w:val="0000FF"/>
          <w:sz w:val="20"/>
          <w:szCs w:val="20"/>
          <w:u w:val="single"/>
          <w:lang w:val="en-GB" w:eastAsia="de-DE" w:bidi="en-US"/>
        </w:rPr>
      </w:pPr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3</w:t>
      </w:r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ab/>
        <w:t xml:space="preserve">Institute of Aquatic Ecology, Centre for Ecological Research, Karolina </w:t>
      </w:r>
      <w:proofErr w:type="spellStart"/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út</w:t>
      </w:r>
      <w:proofErr w:type="spellEnd"/>
      <w:r w:rsidRPr="00241F91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29, H-1113 Budapest, Hungary; </w:t>
      </w:r>
      <w:r w:rsidRPr="00241F91">
        <w:rPr>
          <w:rFonts w:ascii="Palatino Linotype" w:eastAsia="Times New Roman" w:hAnsi="Palatino Linotype" w:cs="Times New Roman"/>
          <w:color w:val="0000FF"/>
          <w:sz w:val="20"/>
          <w:szCs w:val="20"/>
          <w:u w:val="single"/>
          <w:lang w:val="en-GB" w:eastAsia="de-DE" w:bidi="en-US"/>
        </w:rPr>
        <w:t>szabo.attila@ecolres.hu</w:t>
      </w:r>
    </w:p>
    <w:p w14:paraId="1787F583" w14:textId="4AFF3A05" w:rsidR="00741EF7" w:rsidRPr="00741EF7" w:rsidRDefault="00741EF7" w:rsidP="00241F91">
      <w:pPr>
        <w:adjustRightInd w:val="0"/>
        <w:snapToGrid w:val="0"/>
        <w:spacing w:after="0" w:line="200" w:lineRule="atLeast"/>
        <w:ind w:left="1418" w:hanging="284"/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de-DE" w:bidi="en-US"/>
        </w:rPr>
      </w:pPr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de-DE" w:bidi="en-US"/>
        </w:rPr>
        <w:t>*</w:t>
      </w:r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de-DE" w:bidi="en-US"/>
        </w:rPr>
        <w:tab/>
        <w:t xml:space="preserve">Correspondence: </w:t>
      </w:r>
      <w:hyperlink r:id="rId5" w:history="1">
        <w:r w:rsidRPr="00741EF7">
          <w:rPr>
            <w:rFonts w:ascii="Palatino Linotype" w:eastAsia="Times New Roman" w:hAnsi="Palatino Linotype" w:cs="Times New Roman"/>
            <w:color w:val="0000FF"/>
            <w:sz w:val="20"/>
            <w:szCs w:val="20"/>
            <w:u w:val="single"/>
            <w:lang w:val="en-GB" w:eastAsia="de-DE" w:bidi="en-US"/>
          </w:rPr>
          <w:t>borsodi.andrea@ttk.elte.hu</w:t>
        </w:r>
      </w:hyperlink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de-DE" w:bidi="en-US"/>
        </w:rPr>
        <w:t xml:space="preserve"> (AK.B.); Tel.: (</w:t>
      </w:r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+3613812177); </w:t>
      </w:r>
      <w:hyperlink r:id="rId6" w:history="1">
        <w:r w:rsidRPr="00741EF7">
          <w:rPr>
            <w:rFonts w:ascii="Palatino Linotype" w:eastAsia="Times New Roman" w:hAnsi="Palatino Linotype" w:cs="Times New Roman"/>
            <w:color w:val="0000FF"/>
            <w:sz w:val="20"/>
            <w:szCs w:val="20"/>
            <w:u w:val="single"/>
            <w:lang w:val="en-GB" w:eastAsia="de-DE" w:bidi="en-US"/>
          </w:rPr>
          <w:t>szili-kovacs.tibor@atk.hu</w:t>
        </w:r>
      </w:hyperlink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 (T. </w:t>
      </w:r>
      <w:proofErr w:type="spellStart"/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>Sz</w:t>
      </w:r>
      <w:proofErr w:type="spellEnd"/>
      <w:r w:rsidRPr="00741EF7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 w:bidi="en-US"/>
        </w:rPr>
        <w:t xml:space="preserve">-K.); Tel: (+36309617452) </w:t>
      </w:r>
    </w:p>
    <w:p w14:paraId="6F2FE5C8" w14:textId="77777777" w:rsidR="00B45E5B" w:rsidRDefault="00B45E5B" w:rsidP="00B45E5B">
      <w:pPr>
        <w:jc w:val="center"/>
        <w:rPr>
          <w:rFonts w:ascii="Times New Roman" w:hAnsi="Times New Roman"/>
          <w:sz w:val="24"/>
          <w:szCs w:val="21"/>
          <w:vertAlign w:val="superscript"/>
          <w:lang w:val="en-US"/>
        </w:rPr>
      </w:pPr>
    </w:p>
    <w:p w14:paraId="637891C5" w14:textId="77777777" w:rsidR="00B45E5B" w:rsidRPr="000A0D17" w:rsidRDefault="00B45E5B" w:rsidP="00B45E5B">
      <w:pPr>
        <w:spacing w:after="0" w:line="480" w:lineRule="auto"/>
        <w:rPr>
          <w:rFonts w:ascii="Times New Roman" w:hAnsi="Times New Roman"/>
          <w:sz w:val="24"/>
          <w:szCs w:val="21"/>
          <w:lang w:val="en-US"/>
        </w:rPr>
      </w:pPr>
    </w:p>
    <w:p w14:paraId="237D0CA2" w14:textId="77777777" w:rsidR="00B45E5B" w:rsidRPr="000A0D17" w:rsidRDefault="00B45E5B" w:rsidP="00B45E5B">
      <w:pPr>
        <w:spacing w:after="0" w:line="480" w:lineRule="auto"/>
        <w:rPr>
          <w:rFonts w:ascii="Times New Roman" w:hAnsi="Times New Roman"/>
          <w:sz w:val="24"/>
          <w:szCs w:val="21"/>
          <w:lang w:val="en-US"/>
        </w:rPr>
      </w:pPr>
    </w:p>
    <w:p w14:paraId="0F5A6E88" w14:textId="77777777" w:rsidR="00B45E5B" w:rsidRPr="000A0D17" w:rsidRDefault="00B45E5B" w:rsidP="00B45E5B">
      <w:pPr>
        <w:spacing w:after="0" w:line="480" w:lineRule="auto"/>
        <w:rPr>
          <w:rFonts w:ascii="Times New Roman" w:hAnsi="Times New Roman"/>
          <w:sz w:val="24"/>
          <w:szCs w:val="21"/>
          <w:lang w:val="en-US"/>
        </w:rPr>
      </w:pPr>
    </w:p>
    <w:p w14:paraId="4581FBB3" w14:textId="77777777" w:rsidR="00B45E5B" w:rsidRDefault="00B45E5B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br w:type="page"/>
      </w:r>
    </w:p>
    <w:p w14:paraId="74D23A19" w14:textId="77777777" w:rsidR="00B45E5B" w:rsidRDefault="00B45E5B" w:rsidP="00B45E5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 wp14:anchorId="3B6AD729" wp14:editId="0CCD24E7">
            <wp:extent cx="5760720" cy="5881370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rsodietal_ESM_Fig.2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8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E4877" w14:textId="40BC53A1" w:rsidR="00B90F02" w:rsidRPr="00D32663" w:rsidRDefault="00B90F02" w:rsidP="00B90F0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</w:pP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Figure 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S</w:t>
      </w: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1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 xml:space="preserve">. 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Mean basal respiration rates (± S.D., n = 3; µg CO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bscript"/>
          <w:lang w:val="en-GB" w:eastAsia="de-DE" w:bidi="en-US"/>
        </w:rPr>
        <w:t>2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-C*g soil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*h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 of the soil samples from the four sites. Sample</w:t>
      </w:r>
      <w:r w:rsidR="00EC6971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s are bare spot (AL), </w:t>
      </w:r>
      <w:proofErr w:type="spellStart"/>
      <w:r w:rsidR="00EC6971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Puccinellia</w:t>
      </w:r>
      <w:proofErr w:type="spellEnd"/>
      <w:r w:rsidR="00EC6971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sward (AP), Artemisia alkali steppe (AA) and Achillea alkali steppe (AF), with June (-06) and September (-09) sampling are presented. Basal soil respiration was assessed from </w:t>
      </w:r>
      <w:proofErr w:type="spellStart"/>
      <w:r w:rsidR="00EC6971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MicroResp</w:t>
      </w:r>
      <w:proofErr w:type="spellEnd"/>
      <w:r w:rsidR="00EC6971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short term incubation (5-hours) without substrate addition, only distilled water was added in the same volume as the other wells with substrate solutions. 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6</w:t>
      </w:r>
      <w:r w:rsidR="00EC6971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parallel wells per sample 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was used.</w:t>
      </w:r>
    </w:p>
    <w:p w14:paraId="400BD315" w14:textId="77777777" w:rsidR="00B45E5B" w:rsidRDefault="00B45E5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14:paraId="7A8248C8" w14:textId="6821E303" w:rsidR="00B45E5B" w:rsidRDefault="00400F18" w:rsidP="00B45E5B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 wp14:anchorId="770EEAD0" wp14:editId="67521066">
            <wp:extent cx="5760720" cy="4150360"/>
            <wp:effectExtent l="0" t="0" r="0" b="254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SM_Fig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31303" w14:textId="7E8BB431" w:rsidR="00B90F02" w:rsidRPr="00D32663" w:rsidRDefault="00B90F02" w:rsidP="00741EF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</w:pP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Figure 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S</w:t>
      </w: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 xml:space="preserve">2. 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Means (± S.D., n = 3) of the summarized substrate induced respiration rates (µg CO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bscript"/>
          <w:lang w:val="en-GB" w:eastAsia="de-DE" w:bidi="en-US"/>
        </w:rPr>
        <w:t>2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-C*g soil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*h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 of the soil samples after addition of 15 different substrates from the four sites in two samplings, June and September.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</w:t>
      </w:r>
      <w:r w:rsidR="00C67784"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Sample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s are bare spot (AL), </w:t>
      </w:r>
      <w:proofErr w:type="spellStart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Puccinellia</w:t>
      </w:r>
      <w:proofErr w:type="spellEnd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sward (AP), Artemisia alkali steppe (AA) and Achillea alkali steppe (AF) in June and September. Substrate induced respiration was assessed by </w:t>
      </w:r>
      <w:proofErr w:type="spellStart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MicroResp</w:t>
      </w:r>
      <w:proofErr w:type="spellEnd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short term incubation (5-hours) with 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15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different substrate addition.</w:t>
      </w:r>
    </w:p>
    <w:p w14:paraId="22F4271C" w14:textId="0196719D" w:rsidR="004B06A6" w:rsidRPr="00741EF7" w:rsidRDefault="00B45E5B" w:rsidP="00741EF7">
      <w:pPr>
        <w:autoSpaceDE w:val="0"/>
        <w:autoSpaceDN w:val="0"/>
        <w:adjustRightInd w:val="0"/>
        <w:spacing w:after="0" w:line="360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14:paraId="0B8D2D59" w14:textId="36CA87ED" w:rsidR="004B06A6" w:rsidRDefault="00400F18" w:rsidP="004B06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 wp14:anchorId="12CD6E56" wp14:editId="127EFD14">
            <wp:extent cx="5760720" cy="4150360"/>
            <wp:effectExtent l="0" t="0" r="0" b="254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SM_Fig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F4CAA" w14:textId="7D2E1DA4" w:rsidR="00741EF7" w:rsidRPr="00D32663" w:rsidRDefault="00741EF7" w:rsidP="00741EF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</w:pP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Figure 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S</w:t>
      </w: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3.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 xml:space="preserve"> 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Mean substrate induced respiration (SIR) rates (± S.D., n = 3; µg CO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bscript"/>
          <w:lang w:val="en-GB" w:eastAsia="de-DE" w:bidi="en-US"/>
        </w:rPr>
        <w:t>2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-C*g soil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*h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 of the soil samples after addition of the various carbon sources.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</w:t>
      </w:r>
      <w:r w:rsidR="00C67784"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Sample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s are bare spot (AL), </w:t>
      </w:r>
      <w:proofErr w:type="spellStart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Puccinellia</w:t>
      </w:r>
      <w:proofErr w:type="spellEnd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sward (AP), Artemisia alkali steppe (AA) and Achillea alkali steppe (AF) in June and September. Substrate induced respiration was assessed by </w:t>
      </w:r>
      <w:proofErr w:type="spellStart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MicroResp</w:t>
      </w:r>
      <w:proofErr w:type="spellEnd"/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short term incubation (5-hours) with 15 different substrate addition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(25 </w:t>
      </w:r>
      <w:r w:rsidR="00B12B28"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µ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L/well, 6 replicate wells in each plate)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.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Added s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ubstrates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were</w:t>
      </w:r>
      <w:r w:rsid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</w:t>
      </w:r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D-galactose (Gal), trehalose (Tre), L-arabinose (Ara), D-glucose (</w:t>
      </w:r>
      <w:proofErr w:type="spellStart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Glc</w:t>
      </w:r>
      <w:proofErr w:type="spellEnd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 and D-fructose (</w:t>
      </w:r>
      <w:proofErr w:type="spellStart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Fru</w:t>
      </w:r>
      <w:proofErr w:type="spellEnd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 in 80 mg mL</w:t>
      </w:r>
      <w:r w:rsidR="00C67784" w:rsidRPr="00B12B28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, citric acid (</w:t>
      </w:r>
      <w:proofErr w:type="spellStart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Cit</w:t>
      </w:r>
      <w:proofErr w:type="spellEnd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), DL-malic acid (Mal), Na-succinate (</w:t>
      </w:r>
      <w:proofErr w:type="spellStart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Suc</w:t>
      </w:r>
      <w:proofErr w:type="spellEnd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), L-alanine (Ala) and L-lysine (Lys) in 40 mg mL</w:t>
      </w:r>
      <w:r w:rsidR="00C67784" w:rsidRPr="00B12B28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, L-glutamine (Gln) in 20 mg mL</w:t>
      </w:r>
      <w:r w:rsidR="00C67784" w:rsidRPr="00B12B28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, and L-leucine (</w:t>
      </w:r>
      <w:proofErr w:type="spellStart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Leu</w:t>
      </w:r>
      <w:proofErr w:type="spellEnd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), L-arginine (</w:t>
      </w:r>
      <w:proofErr w:type="spellStart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Arg</w:t>
      </w:r>
      <w:proofErr w:type="spellEnd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) </w:t>
      </w:r>
      <w:proofErr w:type="spellStart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protocatechuic</w:t>
      </w:r>
      <w:proofErr w:type="spellEnd"/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acid (Proc) and L-glutamic acid (Glu) in 12 mg mL</w:t>
      </w:r>
      <w:r w:rsidR="00C67784" w:rsidRPr="00B12B28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perscript"/>
          <w:lang w:val="en-GB" w:eastAsia="de-DE" w:bidi="en-US"/>
        </w:rPr>
        <w:t>-1</w:t>
      </w:r>
      <w:r w:rsidR="00C67784" w:rsidRPr="00C67784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.</w:t>
      </w:r>
    </w:p>
    <w:p w14:paraId="732F0B5A" w14:textId="77777777" w:rsidR="00B45E5B" w:rsidRDefault="00B45E5B">
      <w:pPr>
        <w:rPr>
          <w:rFonts w:ascii="Times New Roman" w:hAnsi="Times New Roman"/>
          <w:sz w:val="24"/>
          <w:szCs w:val="24"/>
          <w:lang w:val="en-US"/>
        </w:rPr>
      </w:pPr>
    </w:p>
    <w:p w14:paraId="5FDDE219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5E37C055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1BDA6242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23F84E9A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07EC2E82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0AC0EC6C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263AB1BE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34C19CF1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02AE9801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7F0A18A7" w14:textId="77777777" w:rsidR="002E6D65" w:rsidRDefault="002E6D65">
      <w:pPr>
        <w:rPr>
          <w:rFonts w:ascii="Times New Roman" w:hAnsi="Times New Roman"/>
          <w:sz w:val="24"/>
          <w:szCs w:val="24"/>
          <w:lang w:val="en-US"/>
        </w:rPr>
      </w:pPr>
    </w:p>
    <w:p w14:paraId="395904BD" w14:textId="750196B3" w:rsidR="002E6D65" w:rsidRPr="00741EF7" w:rsidRDefault="002E6D65" w:rsidP="00741EF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</w:pPr>
    </w:p>
    <w:p w14:paraId="392BB0DB" w14:textId="77777777" w:rsidR="00346A14" w:rsidRDefault="00346A14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C2C9BC5" w14:textId="3A0EEF6A" w:rsidR="00346A14" w:rsidRDefault="00346A1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 wp14:anchorId="6A03859B" wp14:editId="2DDBC764">
            <wp:extent cx="5760720" cy="4964430"/>
            <wp:effectExtent l="0" t="0" r="0" b="762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x_NGS_residual_varianc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6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809" w14:textId="4D2F6893" w:rsidR="00741EF7" w:rsidRPr="00D32663" w:rsidRDefault="00741EF7" w:rsidP="00741EF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</w:pP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Figure 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S</w:t>
      </w:r>
      <w:r w:rsidRPr="00D3266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4.</w:t>
      </w:r>
      <w: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 xml:space="preserve"> 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Plot of the first two axis of residual variance (PCA) from the RDA model of the bacterial phylogenetic (NGS) and environmental data (CaCO</w:t>
      </w:r>
      <w:r w:rsidRPr="00741EF7">
        <w:rPr>
          <w:rFonts w:ascii="Palatino Linotype" w:eastAsia="Times New Roman" w:hAnsi="Palatino Linotype" w:cs="Times New Roman"/>
          <w:snapToGrid w:val="0"/>
          <w:color w:val="000000"/>
          <w:sz w:val="20"/>
          <w:vertAlign w:val="subscript"/>
          <w:lang w:val="en-GB" w:eastAsia="de-DE" w:bidi="en-US"/>
        </w:rPr>
        <w:t>3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) 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with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</w:t>
      </w:r>
      <w:r w:rsidRPr="00B12B28">
        <w:rPr>
          <w:rFonts w:ascii="Palatino Linotype" w:eastAsia="Times New Roman" w:hAnsi="Palatino Linotype" w:cs="Times New Roman"/>
          <w:i/>
          <w:snapToGrid w:val="0"/>
          <w:color w:val="000000"/>
          <w:sz w:val="20"/>
          <w:lang w:val="en-GB" w:eastAsia="de-DE" w:bidi="en-US"/>
        </w:rPr>
        <w:t>ggplot2 package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v.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3.3.0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(Wickham, 2016</w:t>
      </w:r>
      <w:r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).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</w:t>
      </w:r>
      <w:r w:rsidR="00B12B28" w:rsidRPr="00D32663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Sample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s are bare spot (AL), </w:t>
      </w:r>
      <w:proofErr w:type="spellStart"/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Puccinellia</w:t>
      </w:r>
      <w:proofErr w:type="spellEnd"/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sward (AP), Artemisia alkali steppe (AA) and Achillea alkali steppe (AF) in June and September</w:t>
      </w:r>
      <w:r w:rsidR="00E3060B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 xml:space="preserve"> sampling</w:t>
      </w:r>
      <w:r w:rsidR="00B12B28">
        <w:rPr>
          <w:rFonts w:ascii="Palatino Linotype" w:eastAsia="Times New Roman" w:hAnsi="Palatino Linotype" w:cs="Times New Roman"/>
          <w:snapToGrid w:val="0"/>
          <w:color w:val="000000"/>
          <w:sz w:val="20"/>
          <w:lang w:val="en-GB" w:eastAsia="de-DE" w:bidi="en-US"/>
        </w:rPr>
        <w:t>.</w:t>
      </w:r>
    </w:p>
    <w:p w14:paraId="3D28E9E2" w14:textId="77777777" w:rsidR="00741EF7" w:rsidRDefault="00741EF7">
      <w:pPr>
        <w:rPr>
          <w:rFonts w:ascii="Times New Roman" w:hAnsi="Times New Roman"/>
          <w:sz w:val="24"/>
          <w:szCs w:val="24"/>
          <w:lang w:val="en-US"/>
        </w:rPr>
      </w:pPr>
    </w:p>
    <w:p w14:paraId="3958A240" w14:textId="7C225BF9" w:rsidR="00B12B28" w:rsidRPr="00E3060B" w:rsidRDefault="00E3060B">
      <w:pPr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</w:pPr>
      <w:r w:rsidRPr="00E3060B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zh-CN" w:bidi="en-US"/>
        </w:rPr>
        <w:t>Reference</w:t>
      </w:r>
    </w:p>
    <w:p w14:paraId="18553523" w14:textId="3533FCE5" w:rsidR="00B12B28" w:rsidRDefault="00B12B28">
      <w:pPr>
        <w:rPr>
          <w:rFonts w:ascii="Times New Roman" w:hAnsi="Times New Roman"/>
          <w:sz w:val="24"/>
          <w:szCs w:val="24"/>
          <w:lang w:val="en-US"/>
        </w:rPr>
      </w:pPr>
      <w:r w:rsidRPr="00B12B28"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GB" w:eastAsia="zh-CN"/>
        </w:rPr>
        <w:t xml:space="preserve">Wickham, H. </w:t>
      </w:r>
      <w:r w:rsidRPr="00B12B28">
        <w:rPr>
          <w:rFonts w:ascii="Palatino Linotype" w:eastAsia="SimSun" w:hAnsi="Palatino Linotype" w:cs="Times New Roman"/>
          <w:i/>
          <w:noProof/>
          <w:color w:val="000000"/>
          <w:sz w:val="20"/>
          <w:szCs w:val="20"/>
          <w:lang w:val="en-GB" w:eastAsia="zh-CN"/>
        </w:rPr>
        <w:t>ggplot2: Elegant Graphics for Data Analysis.</w:t>
      </w:r>
      <w:r w:rsidRPr="00B12B28"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GB" w:eastAsia="zh-CN"/>
        </w:rPr>
        <w:t xml:space="preserve"> Springer-Verlag, New York, USA, 2016. </w:t>
      </w:r>
      <w:hyperlink r:id="rId11" w:history="1">
        <w:r w:rsidRPr="00B12B28">
          <w:rPr>
            <w:rFonts w:ascii="Palatino Linotype" w:eastAsia="SimSun" w:hAnsi="Palatino Linotype" w:cs="Times New Roman"/>
            <w:noProof/>
            <w:color w:val="0000FF"/>
            <w:sz w:val="20"/>
            <w:szCs w:val="20"/>
            <w:u w:val="single"/>
            <w:lang w:val="en-GB" w:eastAsia="zh-CN"/>
          </w:rPr>
          <w:t>https://ggplot2.tidyverse.org</w:t>
        </w:r>
      </w:hyperlink>
      <w:r w:rsidRPr="00B12B28"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GB" w:eastAsia="zh-CN"/>
        </w:rPr>
        <w:t>.</w:t>
      </w:r>
    </w:p>
    <w:p w14:paraId="65A15F09" w14:textId="77777777" w:rsidR="00741EF7" w:rsidRDefault="00741EF7">
      <w:pPr>
        <w:rPr>
          <w:rFonts w:ascii="Times New Roman" w:hAnsi="Times New Roman"/>
          <w:sz w:val="24"/>
          <w:szCs w:val="24"/>
          <w:lang w:val="en-US"/>
        </w:rPr>
      </w:pPr>
    </w:p>
    <w:sectPr w:rsidR="00741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5B"/>
    <w:rsid w:val="0004397B"/>
    <w:rsid w:val="000B12F1"/>
    <w:rsid w:val="0013774E"/>
    <w:rsid w:val="00241F91"/>
    <w:rsid w:val="0027707A"/>
    <w:rsid w:val="002E6D65"/>
    <w:rsid w:val="00346A14"/>
    <w:rsid w:val="00393866"/>
    <w:rsid w:val="00400F18"/>
    <w:rsid w:val="004B06A6"/>
    <w:rsid w:val="00507A64"/>
    <w:rsid w:val="00515B60"/>
    <w:rsid w:val="005A5AEE"/>
    <w:rsid w:val="0061247D"/>
    <w:rsid w:val="00695151"/>
    <w:rsid w:val="00741EF7"/>
    <w:rsid w:val="007B0EB5"/>
    <w:rsid w:val="007D1081"/>
    <w:rsid w:val="007D5EF9"/>
    <w:rsid w:val="008D2F50"/>
    <w:rsid w:val="00910DDD"/>
    <w:rsid w:val="00AE66E9"/>
    <w:rsid w:val="00B12B28"/>
    <w:rsid w:val="00B21595"/>
    <w:rsid w:val="00B25057"/>
    <w:rsid w:val="00B27897"/>
    <w:rsid w:val="00B45E5B"/>
    <w:rsid w:val="00B90F02"/>
    <w:rsid w:val="00C53003"/>
    <w:rsid w:val="00C67784"/>
    <w:rsid w:val="00D21229"/>
    <w:rsid w:val="00E3060B"/>
    <w:rsid w:val="00E97534"/>
    <w:rsid w:val="00EC6971"/>
    <w:rsid w:val="00F0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DE89"/>
  <w15:chartTrackingRefBased/>
  <w15:docId w15:val="{3BF8D7E3-3435-419B-9C68-BCD325F8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B45E5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6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66E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241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9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zili-kovacs.tibor@atk.hu" TargetMode="External"/><Relationship Id="rId11" Type="http://schemas.openxmlformats.org/officeDocument/2006/relationships/hyperlink" Target="https://ggplot2.tidyverse.org" TargetMode="External"/><Relationship Id="rId5" Type="http://schemas.openxmlformats.org/officeDocument/2006/relationships/hyperlink" Target="mailto:borsodi.andrea@ttk.elte.h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6F0D6-131C-4859-90D9-96F095DD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Anonymus</dc:creator>
  <cp:keywords/>
  <dc:description/>
  <cp:lastModifiedBy>Szili Kovács Tibor</cp:lastModifiedBy>
  <cp:revision>2</cp:revision>
  <cp:lastPrinted>2019-07-12T12:58:00Z</cp:lastPrinted>
  <dcterms:created xsi:type="dcterms:W3CDTF">2021-06-13T19:45:00Z</dcterms:created>
  <dcterms:modified xsi:type="dcterms:W3CDTF">2021-06-13T19:45:00Z</dcterms:modified>
</cp:coreProperties>
</file>