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926FC" w14:textId="77777777" w:rsidR="00A779C0" w:rsidRDefault="00714E8B">
      <w:pPr>
        <w:rPr>
          <w:b/>
          <w:sz w:val="28"/>
          <w:szCs w:val="28"/>
        </w:rPr>
      </w:pPr>
      <w:r>
        <w:rPr>
          <w:b/>
          <w:sz w:val="28"/>
          <w:szCs w:val="28"/>
        </w:rPr>
        <w:t>Supplemental Files: Building-level wastewater monitoring using passive samplers and RT-LAMP for SARS-CoV-2 RNA detection</w:t>
      </w:r>
    </w:p>
    <w:p w14:paraId="468995DF" w14:textId="77777777" w:rsidR="00A779C0" w:rsidRDefault="00A779C0">
      <w:pPr>
        <w:rPr>
          <w:sz w:val="28"/>
          <w:szCs w:val="28"/>
        </w:rPr>
      </w:pPr>
    </w:p>
    <w:p w14:paraId="27475D76" w14:textId="77777777" w:rsidR="00A779C0" w:rsidRDefault="00714E8B">
      <w:pPr>
        <w:rPr>
          <w:vertAlign w:val="superscript"/>
        </w:rPr>
      </w:pPr>
      <w:r>
        <w:t>Aaron Bivins</w:t>
      </w:r>
      <w:r>
        <w:rPr>
          <w:vertAlign w:val="superscript"/>
        </w:rPr>
        <w:t>1,2</w:t>
      </w:r>
      <w:r>
        <w:t>, Megan Lott</w:t>
      </w:r>
      <w:r>
        <w:rPr>
          <w:vertAlign w:val="superscript"/>
        </w:rPr>
        <w:t>3</w:t>
      </w:r>
      <w:r>
        <w:t xml:space="preserve">, </w:t>
      </w:r>
      <w:proofErr w:type="spellStart"/>
      <w:r>
        <w:t>Marlee</w:t>
      </w:r>
      <w:proofErr w:type="spellEnd"/>
      <w:r>
        <w:t xml:space="preserve"> Shaffer</w:t>
      </w:r>
      <w:r>
        <w:rPr>
          <w:vertAlign w:val="superscript"/>
        </w:rPr>
        <w:t>1</w:t>
      </w:r>
      <w:r>
        <w:t xml:space="preserve">, </w:t>
      </w:r>
      <w:proofErr w:type="spellStart"/>
      <w:r>
        <w:t>Zhenyu</w:t>
      </w:r>
      <w:proofErr w:type="spellEnd"/>
      <w:r>
        <w:t xml:space="preserve"> Wu</w:t>
      </w:r>
      <w:r>
        <w:rPr>
          <w:vertAlign w:val="superscript"/>
        </w:rPr>
        <w:t>1</w:t>
      </w:r>
      <w:r>
        <w:t>, Devin North</w:t>
      </w:r>
      <w:r>
        <w:rPr>
          <w:vertAlign w:val="superscript"/>
        </w:rPr>
        <w:t>1</w:t>
      </w:r>
      <w:r>
        <w:t>, Erin K. Lipp</w:t>
      </w:r>
      <w:r>
        <w:rPr>
          <w:vertAlign w:val="superscript"/>
        </w:rPr>
        <w:t>3</w:t>
      </w:r>
      <w:r>
        <w:t>, Kyle Bibby</w:t>
      </w:r>
      <w:r>
        <w:rPr>
          <w:vertAlign w:val="superscript"/>
        </w:rPr>
        <w:t>1,2*</w:t>
      </w:r>
    </w:p>
    <w:p w14:paraId="77D93C59" w14:textId="77777777" w:rsidR="00A779C0" w:rsidRDefault="00A779C0"/>
    <w:p w14:paraId="63ED2348" w14:textId="77777777" w:rsidR="00A779C0" w:rsidRDefault="00714E8B">
      <w:r>
        <w:rPr>
          <w:vertAlign w:val="superscript"/>
        </w:rPr>
        <w:t>1</w:t>
      </w:r>
      <w:r>
        <w:t xml:space="preserve"> Department of Civil &amp; Environmental Engineering &amp; Earth Sciences, University of Notre Dame, 156 Fitzpatrick Hall, Notre Dame, IN 46556</w:t>
      </w:r>
    </w:p>
    <w:p w14:paraId="1B6F723A" w14:textId="77777777" w:rsidR="00A779C0" w:rsidRDefault="00714E8B">
      <w:r>
        <w:rPr>
          <w:vertAlign w:val="superscript"/>
        </w:rPr>
        <w:t>2</w:t>
      </w:r>
      <w:r>
        <w:t xml:space="preserve"> Environmental Change Initiative, University of Notre Dame, 721 Flanner Hall, Notre Dame, IN 46556</w:t>
      </w:r>
    </w:p>
    <w:p w14:paraId="1D7DD238" w14:textId="77777777" w:rsidR="00A779C0" w:rsidRDefault="00714E8B">
      <w:r>
        <w:rPr>
          <w:vertAlign w:val="superscript"/>
        </w:rPr>
        <w:t>3</w:t>
      </w:r>
      <w:r>
        <w:t xml:space="preserve"> Department of Environmental Health Science, University of Georgia, 150 East Green Street, Athens, GA 30602</w:t>
      </w:r>
    </w:p>
    <w:p w14:paraId="7EF67C31" w14:textId="77777777" w:rsidR="00A779C0" w:rsidRDefault="00A779C0"/>
    <w:p w14:paraId="51075970" w14:textId="77777777" w:rsidR="00A779C0" w:rsidRDefault="00714E8B">
      <w:r>
        <w:t>*</w:t>
      </w:r>
      <w:hyperlink r:id="rId4">
        <w:r>
          <w:rPr>
            <w:color w:val="1155CC"/>
            <w:u w:val="single"/>
          </w:rPr>
          <w:t>kbibby@nd.edu</w:t>
        </w:r>
      </w:hyperlink>
    </w:p>
    <w:p w14:paraId="21FEFE6C" w14:textId="77777777" w:rsidR="00A779C0" w:rsidRDefault="00A779C0"/>
    <w:p w14:paraId="4E733BD1" w14:textId="6C16B200" w:rsidR="00A779C0" w:rsidRDefault="00714E8B">
      <w:r>
        <w:t>Table S1 RT-LAMP Primers</w:t>
      </w:r>
    </w:p>
    <w:p w14:paraId="35CA9ED0" w14:textId="7EEFB417" w:rsidR="00A779C0" w:rsidRDefault="00714E8B">
      <w:r>
        <w:t>Figure S1 RT-LAMP 95%</w:t>
      </w:r>
      <w:r w:rsidR="00FF502F">
        <w:t xml:space="preserve"> and 67%</w:t>
      </w:r>
      <w:r>
        <w:t xml:space="preserve"> LOD</w:t>
      </w:r>
      <w:r w:rsidR="00FF502F">
        <w:t>s</w:t>
      </w:r>
    </w:p>
    <w:p w14:paraId="393B5BE4" w14:textId="3649F372" w:rsidR="00A779C0" w:rsidRDefault="00714E8B">
      <w:r>
        <w:t xml:space="preserve">Figure S2 RT-LAMP </w:t>
      </w:r>
      <w:r w:rsidR="00203419">
        <w:t>t</w:t>
      </w:r>
      <w:r>
        <w:t>rue positive rate</w:t>
      </w:r>
    </w:p>
    <w:p w14:paraId="35411ADC" w14:textId="77777777" w:rsidR="00A779C0" w:rsidRDefault="00714E8B">
      <w:r>
        <w:t>Figure S3 Composite versus passive inhibition rates by extraction kit</w:t>
      </w:r>
    </w:p>
    <w:p w14:paraId="1DB04C61" w14:textId="77777777" w:rsidR="00A779C0" w:rsidRDefault="00714E8B">
      <w:r>
        <w:t>Figure S4 Viral RNA Mini versus Power Viral inhibition rates by sample type</w:t>
      </w:r>
    </w:p>
    <w:p w14:paraId="0F6EF2A4" w14:textId="4043AD22" w:rsidR="00A779C0" w:rsidRDefault="00714E8B">
      <w:r>
        <w:t>Figure S5 Inhibition rate and positivity of tampon</w:t>
      </w:r>
      <w:r w:rsidR="001E0F3C">
        <w:t xml:space="preserve"> swab</w:t>
      </w:r>
      <w:r>
        <w:t xml:space="preserve"> sorbate fractions</w:t>
      </w:r>
    </w:p>
    <w:p w14:paraId="2E5F4968" w14:textId="660D7E9C" w:rsidR="00A779C0" w:rsidRDefault="00714E8B">
      <w:r>
        <w:t xml:space="preserve">Figure S6 </w:t>
      </w:r>
      <w:r w:rsidR="001E0F3C">
        <w:t>WW</w:t>
      </w:r>
      <w:r>
        <w:t xml:space="preserve"> proportion positive by RT-LAMP and campus-wide COVID-19 clinical metrics</w:t>
      </w:r>
    </w:p>
    <w:p w14:paraId="188FEDBB" w14:textId="44EFD771" w:rsidR="00A779C0" w:rsidRDefault="00714E8B">
      <w:r>
        <w:t>Figure S7 W</w:t>
      </w:r>
      <w:r w:rsidR="001E0F3C">
        <w:t>W</w:t>
      </w:r>
      <w:r>
        <w:t xml:space="preserve"> proportion positive by RT-LAMP and COVID-19 clinical metrics aggregated for all residence halls included in wastewater monitoring</w:t>
      </w:r>
    </w:p>
    <w:p w14:paraId="649FD554" w14:textId="4A43A345" w:rsidR="00A779C0" w:rsidRDefault="00714E8B">
      <w:r>
        <w:t xml:space="preserve">Figure S8 Hourly domestic water </w:t>
      </w:r>
      <w:proofErr w:type="gramStart"/>
      <w:r>
        <w:t>use</w:t>
      </w:r>
      <w:proofErr w:type="gramEnd"/>
      <w:r>
        <w:t xml:space="preserve"> </w:t>
      </w:r>
      <w:r w:rsidR="00E238B4">
        <w:t>in</w:t>
      </w:r>
      <w:r>
        <w:t xml:space="preserve"> three </w:t>
      </w:r>
      <w:r w:rsidR="00E238B4">
        <w:t>RHs</w:t>
      </w:r>
    </w:p>
    <w:p w14:paraId="62C7F2C5" w14:textId="77777777" w:rsidR="00A779C0" w:rsidRDefault="00714E8B">
      <w:r>
        <w:t>Figure S9 RT-LAMP COVID-19 case PPV and NPV stratified by residence halls and weeks of monitoring</w:t>
      </w:r>
    </w:p>
    <w:p w14:paraId="2BB9680D" w14:textId="77777777" w:rsidR="00A779C0" w:rsidRDefault="00714E8B">
      <w:r>
        <w:t>Figure S10 RT-LAMP results frequency distribution for convalescent COVID-19 cases returning to residence halls from quarantine</w:t>
      </w:r>
    </w:p>
    <w:p w14:paraId="17C90D91" w14:textId="6605A138" w:rsidR="00A779C0" w:rsidRDefault="00714E8B">
      <w:r>
        <w:t xml:space="preserve">Figure S11 RT-LAMP COVID-19 case PPV and NPV after correction for detection of convalescent COVID-19 cases returning to residence halls from quarantine </w:t>
      </w:r>
      <w:r>
        <w:br w:type="page"/>
      </w:r>
    </w:p>
    <w:p w14:paraId="171A4187" w14:textId="77777777" w:rsidR="00A779C0" w:rsidRDefault="00714E8B">
      <w:r>
        <w:lastRenderedPageBreak/>
        <w:t>Table S1 | SARS-CoV-2 (N2 and E1) and internal control (ACTB) primers used in the NEB SARS-CoV-2 Rapid Colorimetric LAMP Assay Kit (E2019S).</w:t>
      </w:r>
    </w:p>
    <w:p w14:paraId="6550A751" w14:textId="018CD483" w:rsidR="00A779C0" w:rsidRDefault="00A779C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8"/>
        <w:gridCol w:w="6792"/>
      </w:tblGrid>
      <w:tr w:rsidR="00FF502F" w:rsidRPr="004C2801" w14:paraId="23C0B9AE" w14:textId="77777777" w:rsidTr="00FF502F">
        <w:tc>
          <w:tcPr>
            <w:tcW w:w="4675" w:type="dxa"/>
          </w:tcPr>
          <w:p w14:paraId="360CB355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NEB_N2-F3</w:t>
            </w:r>
          </w:p>
          <w:p w14:paraId="20489B9F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NEB_N2-B3</w:t>
            </w:r>
          </w:p>
          <w:p w14:paraId="1C86F124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NEB_N2-FIP</w:t>
            </w:r>
          </w:p>
          <w:p w14:paraId="7FDDA567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NEB_N2-BIP</w:t>
            </w:r>
          </w:p>
          <w:p w14:paraId="751F4A83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NEB_N2-LF</w:t>
            </w:r>
          </w:p>
          <w:p w14:paraId="045BB2C4" w14:textId="4C7A8B96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NEB_N2-LB</w:t>
            </w:r>
          </w:p>
        </w:tc>
        <w:tc>
          <w:tcPr>
            <w:tcW w:w="4675" w:type="dxa"/>
          </w:tcPr>
          <w:p w14:paraId="75259883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ACCAGGAACTAATCAGACAAG</w:t>
            </w:r>
          </w:p>
          <w:p w14:paraId="3E58D9CB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GACTTGATCTTTGAAATTTGGATCT</w:t>
            </w:r>
          </w:p>
          <w:p w14:paraId="71A8127D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TTCCGAAGAACGCTGAAGCGGAACTGATTACAAACATTGGCC</w:t>
            </w:r>
          </w:p>
          <w:p w14:paraId="57DA4C21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CGCATTGGCATGGAAGTCACAATTTGATGGCACCTGTGTA</w:t>
            </w:r>
          </w:p>
          <w:p w14:paraId="6CA77E9A" w14:textId="77777777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GGGGGCAAATTGTGCAATTTG</w:t>
            </w:r>
          </w:p>
          <w:p w14:paraId="4CE5B795" w14:textId="70B0DA5F" w:rsidR="00FF502F" w:rsidRPr="004C2801" w:rsidRDefault="00FF502F" w:rsidP="00FF502F">
            <w:pPr>
              <w:rPr>
                <w:lang w:val="pt-BR"/>
              </w:rPr>
            </w:pPr>
            <w:r w:rsidRPr="004C2801">
              <w:rPr>
                <w:lang w:val="pt-BR"/>
              </w:rPr>
              <w:t>CTTCGGGAACGTGGTTGACC</w:t>
            </w:r>
          </w:p>
        </w:tc>
      </w:tr>
      <w:tr w:rsidR="00FF502F" w14:paraId="50D425A9" w14:textId="77777777" w:rsidTr="00FF502F">
        <w:tc>
          <w:tcPr>
            <w:tcW w:w="4675" w:type="dxa"/>
          </w:tcPr>
          <w:p w14:paraId="0F7E4741" w14:textId="77777777" w:rsidR="00FF502F" w:rsidRPr="004C2801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pt-BR"/>
              </w:rPr>
            </w:pPr>
            <w:r w:rsidRPr="004C2801">
              <w:rPr>
                <w:lang w:val="pt-BR"/>
              </w:rPr>
              <w:t>NEB_E1-F3</w:t>
            </w:r>
          </w:p>
          <w:p w14:paraId="7A80400F" w14:textId="77777777" w:rsidR="00FF502F" w:rsidRPr="004C2801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pt-BR"/>
              </w:rPr>
            </w:pPr>
            <w:r w:rsidRPr="004C2801">
              <w:rPr>
                <w:lang w:val="pt-BR"/>
              </w:rPr>
              <w:t>NEB_E1-B3</w:t>
            </w:r>
          </w:p>
          <w:p w14:paraId="2526692D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NEB_E1-FIP</w:t>
            </w:r>
          </w:p>
          <w:p w14:paraId="4D9DA236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NEB_E1-BIP</w:t>
            </w:r>
          </w:p>
          <w:p w14:paraId="3364DAAB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NEB_E1-LB</w:t>
            </w:r>
          </w:p>
          <w:p w14:paraId="33A006ED" w14:textId="3F259EEC" w:rsidR="00FF502F" w:rsidRDefault="00FF502F" w:rsidP="00FF502F">
            <w:r>
              <w:t>NEB_E1-LF</w:t>
            </w:r>
          </w:p>
        </w:tc>
        <w:tc>
          <w:tcPr>
            <w:tcW w:w="4675" w:type="dxa"/>
          </w:tcPr>
          <w:p w14:paraId="244A6113" w14:textId="77777777" w:rsidR="00FF502F" w:rsidRDefault="00FF502F" w:rsidP="00FF502F">
            <w:r>
              <w:t>TGAGTACGAACTTATGTACTCAT</w:t>
            </w:r>
          </w:p>
          <w:p w14:paraId="547AD5AA" w14:textId="77777777" w:rsidR="00FF502F" w:rsidRDefault="00FF502F" w:rsidP="00FF502F">
            <w:r>
              <w:t>TTCAGATTTTTAACACGAGAGT</w:t>
            </w:r>
          </w:p>
          <w:p w14:paraId="0763CAB4" w14:textId="77777777" w:rsidR="00FF502F" w:rsidRDefault="00FF502F" w:rsidP="00FF502F">
            <w:r>
              <w:t>ACCACGAAAGCAAGAAAAAGAAGTTCGTTTCGGAAGAGACAG</w:t>
            </w:r>
          </w:p>
          <w:p w14:paraId="1A641D1B" w14:textId="77777777" w:rsidR="00FF502F" w:rsidRDefault="00FF502F" w:rsidP="00FF502F">
            <w:r>
              <w:t>TTGCTAGTTACACTAGCCATCCTTAGGTTTTACAAGACTCACGT</w:t>
            </w:r>
          </w:p>
          <w:p w14:paraId="0DBD53C0" w14:textId="77777777" w:rsidR="00FF502F" w:rsidRDefault="00FF502F" w:rsidP="00FF502F">
            <w:r>
              <w:t>GCGCTTCGATTGTGTGCGT</w:t>
            </w:r>
          </w:p>
          <w:p w14:paraId="1D368D37" w14:textId="3342B668" w:rsidR="00FF502F" w:rsidRDefault="00FF502F" w:rsidP="00FF502F">
            <w:r>
              <w:t>CGCTATTAACTATTAACG</w:t>
            </w:r>
          </w:p>
        </w:tc>
      </w:tr>
      <w:tr w:rsidR="00FF502F" w14:paraId="52D86AFB" w14:textId="77777777" w:rsidTr="00FF502F">
        <w:tc>
          <w:tcPr>
            <w:tcW w:w="4675" w:type="dxa"/>
          </w:tcPr>
          <w:p w14:paraId="398C4516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ACTB-F3</w:t>
            </w:r>
          </w:p>
          <w:p w14:paraId="55433D59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ACTB-B3</w:t>
            </w:r>
          </w:p>
          <w:p w14:paraId="0F956FCD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ACTB-FIP</w:t>
            </w:r>
          </w:p>
          <w:p w14:paraId="72EED799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ACTB-BIP</w:t>
            </w:r>
          </w:p>
          <w:p w14:paraId="4FD1F766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ACTB-LF</w:t>
            </w:r>
          </w:p>
          <w:p w14:paraId="75B5A473" w14:textId="450CF6C5" w:rsidR="00FF502F" w:rsidRDefault="00FF502F" w:rsidP="00FF502F">
            <w:r>
              <w:t>ACTB-LB</w:t>
            </w:r>
          </w:p>
        </w:tc>
        <w:tc>
          <w:tcPr>
            <w:tcW w:w="4675" w:type="dxa"/>
          </w:tcPr>
          <w:p w14:paraId="026373D0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AGTACCCCATCGAGCACG</w:t>
            </w:r>
          </w:p>
          <w:p w14:paraId="3C5EA969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AGCCTGGATAGCAACGTACA</w:t>
            </w:r>
          </w:p>
          <w:p w14:paraId="1695F97D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GAGCCACACGCAGCTCATTGTATCACCAACTGGGACGACA</w:t>
            </w:r>
          </w:p>
          <w:p w14:paraId="129100D0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CTGAACCCCAAGGCCAACCGGCTGGGGTGTTGAAGGTC</w:t>
            </w:r>
          </w:p>
          <w:p w14:paraId="5FD8DB37" w14:textId="77777777" w:rsidR="00FF502F" w:rsidRDefault="00FF502F" w:rsidP="00FF50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TGTGGTGCCAGATTTTCTCCA</w:t>
            </w:r>
          </w:p>
          <w:p w14:paraId="5472CABC" w14:textId="1D5EBAE7" w:rsidR="00FF502F" w:rsidRDefault="00FF502F" w:rsidP="00FF502F">
            <w:r>
              <w:t>CGAGAAGATGACCCAGATCATGT</w:t>
            </w:r>
          </w:p>
        </w:tc>
      </w:tr>
    </w:tbl>
    <w:p w14:paraId="5E881BB1" w14:textId="77777777" w:rsidR="00A779C0" w:rsidRDefault="00714E8B">
      <w:r>
        <w:br w:type="page"/>
      </w:r>
    </w:p>
    <w:p w14:paraId="2ED8D6CC" w14:textId="0B3C0CCA" w:rsidR="00A779C0" w:rsidRDefault="003E67B7">
      <w:pPr>
        <w:jc w:val="center"/>
      </w:pPr>
      <w:r>
        <w:rPr>
          <w:noProof/>
        </w:rPr>
        <w:lastRenderedPageBreak/>
        <w:drawing>
          <wp:inline distT="0" distB="0" distL="0" distR="0" wp14:anchorId="19C34DF8" wp14:editId="1021587F">
            <wp:extent cx="2266950" cy="2115597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328" cy="211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1D0F" w14:textId="77777777" w:rsidR="00A779C0" w:rsidRDefault="00A779C0">
      <w:pPr>
        <w:jc w:val="center"/>
      </w:pPr>
    </w:p>
    <w:p w14:paraId="7228B731" w14:textId="17939F81" w:rsidR="00A779C0" w:rsidRDefault="00714E8B">
      <w:pPr>
        <w:jc w:val="both"/>
      </w:pPr>
      <w:r>
        <w:t xml:space="preserve">Figure S1 | </w:t>
      </w:r>
      <w:r w:rsidR="00FF502F">
        <w:t xml:space="preserve">The </w:t>
      </w:r>
      <w:r>
        <w:t>95%</w:t>
      </w:r>
      <w:r w:rsidR="00FF502F">
        <w:t xml:space="preserve"> and 67%</w:t>
      </w:r>
      <w:r>
        <w:t xml:space="preserve"> limit</w:t>
      </w:r>
      <w:r w:rsidR="00FF502F">
        <w:t>s</w:t>
      </w:r>
      <w:r>
        <w:t xml:space="preserve"> of detection</w:t>
      </w:r>
      <w:r w:rsidR="00FF502F">
        <w:t xml:space="preserve"> (LODs)</w:t>
      </w:r>
      <w:r>
        <w:t xml:space="preserve"> for a single RT-LAMP reaction as measured </w:t>
      </w:r>
      <w:r w:rsidR="00FF502F">
        <w:t>along a concentration gradient of</w:t>
      </w:r>
      <w:r>
        <w:t xml:space="preserve"> N1 gene copies per reaction</w:t>
      </w:r>
      <w:r w:rsidR="00FF502F">
        <w:t xml:space="preserve"> (</w:t>
      </w:r>
      <w:proofErr w:type="spellStart"/>
      <w:r w:rsidR="00FF502F">
        <w:t>rxn</w:t>
      </w:r>
      <w:proofErr w:type="spellEnd"/>
      <w:r w:rsidR="00FF502F">
        <w:t>)</w:t>
      </w:r>
      <w:r>
        <w:t xml:space="preserve"> quantified by RT-</w:t>
      </w:r>
      <w:proofErr w:type="spellStart"/>
      <w:r>
        <w:t>ddPCR</w:t>
      </w:r>
      <w:proofErr w:type="spellEnd"/>
      <w:r w:rsidR="00FF502F">
        <w:t xml:space="preserve"> (x-axis). The percentage of technical replicates positive (TR PP; y-axis) was best fit (R</w:t>
      </w:r>
      <w:r w:rsidR="00FF502F">
        <w:rPr>
          <w:vertAlign w:val="superscript"/>
        </w:rPr>
        <w:t>2</w:t>
      </w:r>
      <w:r w:rsidR="00FF502F">
        <w:t xml:space="preserve"> = 0.997) by a Gaussian distribution with a mean of 44.2 and standard deviation of 19.6.</w:t>
      </w:r>
    </w:p>
    <w:p w14:paraId="155AE26B" w14:textId="77777777" w:rsidR="008C664E" w:rsidRDefault="008C664E">
      <w:pPr>
        <w:jc w:val="both"/>
      </w:pPr>
    </w:p>
    <w:p w14:paraId="5A3F663C" w14:textId="4D4202B5" w:rsidR="00FF502F" w:rsidRDefault="00FF502F">
      <w:pPr>
        <w:jc w:val="both"/>
      </w:pPr>
    </w:p>
    <w:p w14:paraId="786EBDB5" w14:textId="77777777" w:rsidR="00FF502F" w:rsidRDefault="00FF502F">
      <w:pPr>
        <w:jc w:val="both"/>
      </w:pPr>
    </w:p>
    <w:p w14:paraId="1F08BE7A" w14:textId="08D332F2" w:rsidR="00A779C0" w:rsidRDefault="003E67B7">
      <w:r>
        <w:rPr>
          <w:noProof/>
        </w:rPr>
        <w:drawing>
          <wp:inline distT="0" distB="0" distL="0" distR="0" wp14:anchorId="2956164D" wp14:editId="4651BE44">
            <wp:extent cx="5943600" cy="1988185"/>
            <wp:effectExtent l="0" t="0" r="0" b="0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B4F4" w14:textId="4BE6FF0F" w:rsidR="00A779C0" w:rsidRDefault="00714E8B">
      <w:pPr>
        <w:jc w:val="both"/>
      </w:pPr>
      <w:r>
        <w:t xml:space="preserve">Figure S2 | </w:t>
      </w:r>
      <w:r w:rsidR="009E4A05">
        <w:t xml:space="preserve">(A) </w:t>
      </w:r>
      <w:r>
        <w:t>RT-L</w:t>
      </w:r>
      <w:r w:rsidR="009E4A05">
        <w:t>AMP</w:t>
      </w:r>
      <w:r>
        <w:t xml:space="preserve"> cumulative true positive rate (sensitivity</w:t>
      </w:r>
      <w:r w:rsidR="009E4A05">
        <w:t>; y-axis</w:t>
      </w:r>
      <w:r>
        <w:t>) among individual reactions along an N1 gene copy (GC) per reaction gradient</w:t>
      </w:r>
      <w:r w:rsidR="009E4A05">
        <w:t xml:space="preserve"> (x-axis)</w:t>
      </w:r>
      <w:r>
        <w:t xml:space="preserve">; </w:t>
      </w:r>
      <w:r w:rsidR="009E4A05">
        <w:t xml:space="preserve">(B) </w:t>
      </w:r>
      <w:r>
        <w:t xml:space="preserve">SARS-CoV-2 RNA </w:t>
      </w:r>
      <w:r w:rsidR="009E4A05">
        <w:t xml:space="preserve">probability of </w:t>
      </w:r>
      <w:r>
        <w:t>detection among RT-LAMP triplicates</w:t>
      </w:r>
      <w:r w:rsidR="009E4A05">
        <w:t xml:space="preserve"> (y-axis)</w:t>
      </w:r>
      <w:r>
        <w:t xml:space="preserve"> </w:t>
      </w:r>
      <w:r w:rsidR="009E4A05">
        <w:t>as estimated by a</w:t>
      </w:r>
      <w:r>
        <w:t xml:space="preserve"> logistic regression model (p = 0.0034; R</w:t>
      </w:r>
      <w:r>
        <w:rPr>
          <w:vertAlign w:val="superscript"/>
        </w:rPr>
        <w:t>2</w:t>
      </w:r>
      <w:r>
        <w:t xml:space="preserve"> = 0.24) along the same</w:t>
      </w:r>
      <w:r w:rsidR="009E4A05">
        <w:t xml:space="preserve"> N1 GC</w:t>
      </w:r>
      <w:r>
        <w:t xml:space="preserve"> gradient</w:t>
      </w:r>
      <w:r w:rsidR="009E4A05">
        <w:t xml:space="preserve"> (x-axis)</w:t>
      </w:r>
      <w:r w:rsidR="006E36FD">
        <w:t>; (C)</w:t>
      </w:r>
      <w:r>
        <w:t xml:space="preserve"> the receiver operating characteristic curve for RT-LAMP performed in triplicate compared to RT-ddPCR detection of SARS-CoV-2 RNA (area under curve = 0.81 95%CI: 0.65 - 0.97; p = 0.0047)</w:t>
      </w:r>
      <w:r w:rsidR="006E36FD">
        <w:t>.</w:t>
      </w:r>
    </w:p>
    <w:p w14:paraId="485743EF" w14:textId="42158DD7" w:rsidR="00A779C0" w:rsidRDefault="00454D3A" w:rsidP="008C664E">
      <w:pPr>
        <w:jc w:val="center"/>
      </w:pPr>
      <w:r>
        <w:rPr>
          <w:noProof/>
        </w:rPr>
        <w:lastRenderedPageBreak/>
        <w:drawing>
          <wp:inline distT="0" distB="0" distL="0" distR="0" wp14:anchorId="4FEF4F97" wp14:editId="6075D63E">
            <wp:extent cx="3037370" cy="2565400"/>
            <wp:effectExtent l="0" t="0" r="0" b="6350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985" cy="256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A30A" w14:textId="77777777" w:rsidR="008C664E" w:rsidRDefault="008C664E" w:rsidP="008C664E">
      <w:pPr>
        <w:jc w:val="center"/>
      </w:pPr>
    </w:p>
    <w:p w14:paraId="169B0860" w14:textId="5A28E78B" w:rsidR="00A779C0" w:rsidRDefault="00714E8B">
      <w:pPr>
        <w:jc w:val="both"/>
      </w:pPr>
      <w:r>
        <w:t>Figure S3 | RT-LAMP inhibition rates among primary influent composite samples</w:t>
      </w:r>
      <w:r w:rsidR="003748BC">
        <w:t xml:space="preserve"> (black)</w:t>
      </w:r>
      <w:r>
        <w:t xml:space="preserve"> and </w:t>
      </w:r>
      <w:r w:rsidR="008C664E">
        <w:t>tampon swab</w:t>
      </w:r>
      <w:r>
        <w:t xml:space="preserve"> sorbate samples</w:t>
      </w:r>
      <w:r w:rsidR="003748BC">
        <w:t xml:space="preserve"> (pink)</w:t>
      </w:r>
      <w:r>
        <w:t xml:space="preserve"> extracted via</w:t>
      </w:r>
      <w:r w:rsidR="008C664E">
        <w:t xml:space="preserve"> (A)</w:t>
      </w:r>
      <w:r>
        <w:t xml:space="preserve"> the Viral RNA Mini Kit and</w:t>
      </w:r>
      <w:r w:rsidR="008C664E">
        <w:t xml:space="preserve"> (B)</w:t>
      </w:r>
      <w:r>
        <w:t xml:space="preserve"> the </w:t>
      </w:r>
      <w:proofErr w:type="spellStart"/>
      <w:r>
        <w:t>AllPrep</w:t>
      </w:r>
      <w:proofErr w:type="spellEnd"/>
      <w:r>
        <w:t xml:space="preserve"> </w:t>
      </w:r>
      <w:proofErr w:type="spellStart"/>
      <w:r>
        <w:t>PowerViral</w:t>
      </w:r>
      <w:proofErr w:type="spellEnd"/>
      <w:r>
        <w:t xml:space="preserve"> DNA/RNA Kit</w:t>
      </w:r>
      <w:r w:rsidR="008C664E">
        <w:t>.</w:t>
      </w:r>
    </w:p>
    <w:p w14:paraId="1DED84CA" w14:textId="752F3910" w:rsidR="008C664E" w:rsidRDefault="008C664E">
      <w:pPr>
        <w:jc w:val="both"/>
      </w:pPr>
    </w:p>
    <w:p w14:paraId="2FAD1D6A" w14:textId="0A6EEA0F" w:rsidR="008C664E" w:rsidRDefault="008C664E">
      <w:pPr>
        <w:jc w:val="both"/>
      </w:pPr>
    </w:p>
    <w:p w14:paraId="5C15F287" w14:textId="77777777" w:rsidR="008C664E" w:rsidRDefault="008C664E">
      <w:pPr>
        <w:jc w:val="both"/>
      </w:pPr>
    </w:p>
    <w:p w14:paraId="549CFFD9" w14:textId="1679C543" w:rsidR="00A779C0" w:rsidRDefault="00454D3A">
      <w:pPr>
        <w:jc w:val="center"/>
      </w:pPr>
      <w:r>
        <w:rPr>
          <w:noProof/>
        </w:rPr>
        <w:drawing>
          <wp:inline distT="0" distB="0" distL="0" distR="0" wp14:anchorId="58915A0E" wp14:editId="00B939E7">
            <wp:extent cx="4489450" cy="3079957"/>
            <wp:effectExtent l="0" t="0" r="6350" b="6350"/>
            <wp:docPr id="17" name="Picture 17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waterfall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84" cy="30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0130" w14:textId="77777777" w:rsidR="003E67B7" w:rsidRDefault="003E67B7">
      <w:pPr>
        <w:jc w:val="both"/>
      </w:pPr>
    </w:p>
    <w:p w14:paraId="4218C76A" w14:textId="1E314DA2" w:rsidR="00A779C0" w:rsidRDefault="00714E8B">
      <w:pPr>
        <w:jc w:val="both"/>
      </w:pPr>
      <w:r>
        <w:t xml:space="preserve">Figure S4 | RT-LAMP inhibition rates among </w:t>
      </w:r>
      <w:r w:rsidR="008C664E">
        <w:t xml:space="preserve">(A) </w:t>
      </w:r>
      <w:r>
        <w:t xml:space="preserve">primary influent composite samples, </w:t>
      </w:r>
      <w:r w:rsidR="003748BC">
        <w:t xml:space="preserve">(B) </w:t>
      </w:r>
      <w:r w:rsidR="008C664E">
        <w:t xml:space="preserve">tampon swab </w:t>
      </w:r>
      <w:r>
        <w:t>sorbate samples</w:t>
      </w:r>
      <w:r w:rsidR="003748BC">
        <w:t>,</w:t>
      </w:r>
      <w:r>
        <w:t xml:space="preserve"> and</w:t>
      </w:r>
      <w:r w:rsidR="003748BC">
        <w:t xml:space="preserve"> (C)</w:t>
      </w:r>
      <w:r>
        <w:t xml:space="preserve"> all wastewater samples extracted via the Viral RNA Mini Kit</w:t>
      </w:r>
      <w:r w:rsidR="003748BC">
        <w:t xml:space="preserve"> (black)</w:t>
      </w:r>
      <w:r>
        <w:t xml:space="preserve"> and the </w:t>
      </w:r>
      <w:proofErr w:type="spellStart"/>
      <w:r>
        <w:t>AllPrep</w:t>
      </w:r>
      <w:proofErr w:type="spellEnd"/>
      <w:r>
        <w:t xml:space="preserve"> </w:t>
      </w:r>
      <w:proofErr w:type="spellStart"/>
      <w:r>
        <w:t>PowerViral</w:t>
      </w:r>
      <w:proofErr w:type="spellEnd"/>
      <w:r>
        <w:t xml:space="preserve"> DNA/RNA Kit</w:t>
      </w:r>
      <w:r w:rsidR="003748BC">
        <w:t xml:space="preserve"> (pink).</w:t>
      </w:r>
    </w:p>
    <w:p w14:paraId="4BA6FF8E" w14:textId="778F39DC" w:rsidR="00A779C0" w:rsidRDefault="00454D3A">
      <w:pPr>
        <w:jc w:val="center"/>
      </w:pPr>
      <w:r>
        <w:rPr>
          <w:noProof/>
        </w:rPr>
        <w:lastRenderedPageBreak/>
        <w:drawing>
          <wp:inline distT="0" distB="0" distL="0" distR="0" wp14:anchorId="4CABB19F" wp14:editId="19F07410">
            <wp:extent cx="3637280" cy="2876550"/>
            <wp:effectExtent l="0" t="0" r="1270" b="0"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351" cy="28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18E0" w14:textId="77777777" w:rsidR="003E67B7" w:rsidRDefault="003E67B7">
      <w:pPr>
        <w:jc w:val="both"/>
      </w:pPr>
    </w:p>
    <w:p w14:paraId="60A6C074" w14:textId="0922F48E" w:rsidR="00A779C0" w:rsidRDefault="00714E8B">
      <w:pPr>
        <w:jc w:val="both"/>
      </w:pPr>
      <w:r>
        <w:t xml:space="preserve">Figure S5 | </w:t>
      </w:r>
      <w:r w:rsidR="00454D3A">
        <w:t xml:space="preserve">(A) </w:t>
      </w:r>
      <w:r>
        <w:t xml:space="preserve">RT-LAMP inhibition rates among </w:t>
      </w:r>
      <w:r w:rsidR="00454D3A">
        <w:t>tampon swab</w:t>
      </w:r>
      <w:r>
        <w:t xml:space="preserve"> sorbate processed by Amicon ultrafiltration, liquid faction only processed by Amicon ultrafiltration, and solid fraction (A), and </w:t>
      </w:r>
      <w:r w:rsidR="00454D3A">
        <w:t xml:space="preserve">(B) </w:t>
      </w:r>
      <w:r>
        <w:t>SARS-CoV-2 RNA positivity by RT-LAMP among the same.</w:t>
      </w:r>
      <w:r>
        <w:br w:type="page"/>
      </w:r>
    </w:p>
    <w:p w14:paraId="7832021F" w14:textId="4E896AEC" w:rsidR="00A779C0" w:rsidRDefault="00B55DB8">
      <w:pPr>
        <w:jc w:val="both"/>
      </w:pPr>
      <w:r>
        <w:rPr>
          <w:noProof/>
        </w:rPr>
        <w:lastRenderedPageBreak/>
        <w:drawing>
          <wp:inline distT="0" distB="0" distL="0" distR="0" wp14:anchorId="08D7BDA9" wp14:editId="30531441">
            <wp:extent cx="5943600" cy="5935980"/>
            <wp:effectExtent l="0" t="0" r="0" b="7620"/>
            <wp:docPr id="19" name="Picture 19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0D899" w14:textId="77777777" w:rsidR="00B55DB8" w:rsidRDefault="00B55DB8">
      <w:pPr>
        <w:jc w:val="both"/>
      </w:pPr>
    </w:p>
    <w:p w14:paraId="31885340" w14:textId="7442754A" w:rsidR="00A779C0" w:rsidRDefault="00714E8B">
      <w:pPr>
        <w:jc w:val="both"/>
      </w:pPr>
      <w:r>
        <w:t>Figure S6 | (A)</w:t>
      </w:r>
      <w:r w:rsidR="00B55DB8">
        <w:t xml:space="preserve"> COVID-19 clinical testing positivity and average 7-day positivity (left y-axis) and wastewater (WW) SARS-CoV-2 proportion positive</w:t>
      </w:r>
      <w:r w:rsidR="000801C3">
        <w:t xml:space="preserve"> (right y-axis) during the study period from 0 to 73 days (x-axis);</w:t>
      </w:r>
      <w:r>
        <w:t xml:space="preserve"> (B)</w:t>
      </w:r>
      <w:r w:rsidR="000801C3" w:rsidRPr="000801C3">
        <w:t xml:space="preserve"> </w:t>
      </w:r>
      <w:r w:rsidR="000801C3">
        <w:t>COVID-19 clinical positives and average 7-day positives (left y-axis) and wastewater (WW) SARS-CoV-2 proportion positive (right y-axis) during the study period from 0 to 73 days (x-axis).</w:t>
      </w:r>
      <w:r>
        <w:br w:type="page"/>
      </w:r>
    </w:p>
    <w:p w14:paraId="55EE9EFB" w14:textId="77777777" w:rsidR="00A779C0" w:rsidRDefault="00714E8B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C48F5D4" wp14:editId="460BBB48">
            <wp:extent cx="5379098" cy="5491163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9098" cy="5491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58E22A" w14:textId="77777777" w:rsidR="00E03C70" w:rsidRDefault="00E03C70">
      <w:pPr>
        <w:jc w:val="both"/>
      </w:pPr>
    </w:p>
    <w:p w14:paraId="3E55F021" w14:textId="20E8739D" w:rsidR="00A779C0" w:rsidRDefault="00714E8B">
      <w:pPr>
        <w:jc w:val="both"/>
      </w:pPr>
      <w:r>
        <w:t>Figure S7</w:t>
      </w:r>
      <w:r w:rsidR="00E03C70">
        <w:t xml:space="preserve"> |</w:t>
      </w:r>
      <w:r w:rsidR="003046E7">
        <w:t xml:space="preserve"> </w:t>
      </w:r>
      <w:r w:rsidR="00E03C70">
        <w:t>(</w:t>
      </w:r>
      <w:r w:rsidR="003046E7">
        <w:t>A</w:t>
      </w:r>
      <w:r w:rsidR="00E03C70">
        <w:t>)</w:t>
      </w:r>
      <w:r w:rsidR="003046E7">
        <w:t xml:space="preserve"> </w:t>
      </w:r>
      <w:r w:rsidR="00E03C70">
        <w:t xml:space="preserve">COVID-19 clinical positives and average 7-day </w:t>
      </w:r>
      <w:r w:rsidR="003046E7">
        <w:t xml:space="preserve">number of </w:t>
      </w:r>
      <w:r w:rsidR="00E03C70">
        <w:t>positives (left y-axis) and wastewater (WW) SARS-CoV-2 proportion positive (right y-axis)</w:t>
      </w:r>
      <w:r w:rsidR="003046E7">
        <w:t xml:space="preserve"> in the nine residence halls included in wastewater monitoring</w:t>
      </w:r>
      <w:r w:rsidR="00E03C70">
        <w:t xml:space="preserve"> during the study period from 0 to 73 days (x-axis)</w:t>
      </w:r>
      <w:r w:rsidR="003046E7">
        <w:t>; (B) COVID-19 clinical testing weekly positivity (left y-axis) and wastewater (WW) SARS-CoV-2 proportion positive (right y-axis) in the nine residence halls included in wastewater monitoring during the study period from 0 to 73 days (x-axis)</w:t>
      </w:r>
      <w:r w:rsidR="00E03C70">
        <w:t>.</w:t>
      </w:r>
      <w:r w:rsidR="003046E7">
        <w:t xml:space="preserve"> </w:t>
      </w:r>
      <w:r>
        <w:br w:type="page"/>
      </w:r>
    </w:p>
    <w:p w14:paraId="01E9FFE1" w14:textId="502427C2" w:rsidR="00A779C0" w:rsidRDefault="00E93E78">
      <w:pPr>
        <w:jc w:val="both"/>
      </w:pPr>
      <w:r>
        <w:rPr>
          <w:noProof/>
        </w:rPr>
        <w:lastRenderedPageBreak/>
        <w:drawing>
          <wp:inline distT="0" distB="0" distL="0" distR="0" wp14:anchorId="16161D63" wp14:editId="04680AA1">
            <wp:extent cx="5943600" cy="2152650"/>
            <wp:effectExtent l="0" t="0" r="0" b="0"/>
            <wp:docPr id="20" name="Picture 20" descr="Chart, histo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histogram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97E8" w14:textId="77777777" w:rsidR="00E93E78" w:rsidRDefault="00E93E78">
      <w:pPr>
        <w:jc w:val="both"/>
      </w:pPr>
    </w:p>
    <w:p w14:paraId="0909FEB5" w14:textId="23AFD0E7" w:rsidR="00A779C0" w:rsidRDefault="00714E8B">
      <w:pPr>
        <w:jc w:val="both"/>
      </w:pPr>
      <w:r>
        <w:t xml:space="preserve">Figure S8 | </w:t>
      </w:r>
      <w:r w:rsidR="00E93E78">
        <w:t>Hourly domestic water use (y-axis) in RH2, 6, and 7 during weeks 3 (black) and 4 (pink) of wastewater monitoring.</w:t>
      </w:r>
      <w:r>
        <w:br w:type="page"/>
      </w:r>
    </w:p>
    <w:p w14:paraId="5F7D206C" w14:textId="611832A6" w:rsidR="00A779C0" w:rsidRDefault="004720C4">
      <w:pPr>
        <w:jc w:val="both"/>
      </w:pPr>
      <w:r>
        <w:rPr>
          <w:noProof/>
        </w:rPr>
        <w:lastRenderedPageBreak/>
        <w:drawing>
          <wp:inline distT="0" distB="0" distL="0" distR="0" wp14:anchorId="785BF30D" wp14:editId="2525C597">
            <wp:extent cx="5943600" cy="4869815"/>
            <wp:effectExtent l="0" t="0" r="0" b="6985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EC57" w14:textId="77777777" w:rsidR="004720C4" w:rsidRDefault="004720C4">
      <w:pPr>
        <w:jc w:val="both"/>
      </w:pPr>
    </w:p>
    <w:p w14:paraId="028CBCFE" w14:textId="36B66B82" w:rsidR="00A779C0" w:rsidRDefault="00714E8B">
      <w:pPr>
        <w:jc w:val="both"/>
      </w:pPr>
      <w:r>
        <w:t xml:space="preserve">Figure S9 | Positive predictive value (PPV) of RT-LAMP wastewater monitoring for incident COVID-19 cases from 1 to 7 days post wastewater testing </w:t>
      </w:r>
      <w:r w:rsidR="004720C4">
        <w:t xml:space="preserve">(A) </w:t>
      </w:r>
      <w:r>
        <w:t>as observed during 6 weeks of monitoring among nine residence halls and</w:t>
      </w:r>
      <w:r w:rsidR="004720C4">
        <w:t xml:space="preserve"> (C)</w:t>
      </w:r>
      <w:r>
        <w:t xml:space="preserve"> as observed among nine residence halls each week for six weeks. Negative predictive value (NPV) of RT-LAMP wastewater monitoring for incident COVID-19 cases from 1 to 7 days post wastewater testing</w:t>
      </w:r>
      <w:r w:rsidR="004720C4">
        <w:t xml:space="preserve"> (B)</w:t>
      </w:r>
      <w:r>
        <w:t xml:space="preserve"> as observed during 6 weeks of monitoring among nine residence halls and</w:t>
      </w:r>
      <w:r w:rsidR="004720C4">
        <w:t xml:space="preserve"> (D)</w:t>
      </w:r>
      <w:r>
        <w:t xml:space="preserve"> as observed among nine residence halls each week for six weeks.</w:t>
      </w:r>
      <w:r>
        <w:br w:type="page"/>
      </w:r>
    </w:p>
    <w:p w14:paraId="6C3B0076" w14:textId="44F033C3" w:rsidR="00A779C0" w:rsidRDefault="00160A94">
      <w:pPr>
        <w:jc w:val="center"/>
      </w:pPr>
      <w:r>
        <w:rPr>
          <w:noProof/>
        </w:rPr>
        <w:lastRenderedPageBreak/>
        <w:drawing>
          <wp:inline distT="0" distB="0" distL="0" distR="0" wp14:anchorId="4DFEA1FF" wp14:editId="09901B74">
            <wp:extent cx="3251200" cy="3085864"/>
            <wp:effectExtent l="0" t="0" r="6350" b="635"/>
            <wp:docPr id="22" name="Picture 2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histo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606" cy="30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0A54" w14:textId="77777777" w:rsidR="00160A94" w:rsidRDefault="00160A94" w:rsidP="00160A94">
      <w:pPr>
        <w:jc w:val="both"/>
      </w:pPr>
    </w:p>
    <w:p w14:paraId="0AF86003" w14:textId="1CDB43EC" w:rsidR="00A779C0" w:rsidRDefault="00714E8B" w:rsidP="00160A94">
      <w:pPr>
        <w:jc w:val="both"/>
      </w:pPr>
      <w:r>
        <w:t>Figure S10 | Cumulative convalescent COVID-19 cases returning from isolation to residence halls in the seven days prior to RT-LAMP wastewater testing when there were no incident COVID-19 cases observed in the seven days following wastewater testing color coded by LAMP positivity cutoffs (1 of 3, 2 of 3, and 3 of 3 reactions positive for SARS-CoV-2 RNA).</w:t>
      </w:r>
      <w:r>
        <w:br w:type="page"/>
      </w:r>
    </w:p>
    <w:p w14:paraId="7587F927" w14:textId="31DF7DE1" w:rsidR="00A779C0" w:rsidRDefault="00B3294D">
      <w:pPr>
        <w:jc w:val="center"/>
      </w:pPr>
      <w:r>
        <w:rPr>
          <w:noProof/>
        </w:rPr>
        <w:lastRenderedPageBreak/>
        <w:drawing>
          <wp:inline distT="0" distB="0" distL="0" distR="0" wp14:anchorId="65ECF7E1" wp14:editId="0ACD5DF7">
            <wp:extent cx="2870200" cy="2545291"/>
            <wp:effectExtent l="0" t="0" r="6350" b="7620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07" cy="254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9D08" w14:textId="77777777" w:rsidR="00B3294D" w:rsidRDefault="00B3294D">
      <w:pPr>
        <w:jc w:val="center"/>
      </w:pPr>
    </w:p>
    <w:p w14:paraId="7C6E317E" w14:textId="1EF8408D" w:rsidR="00A779C0" w:rsidRDefault="00714E8B" w:rsidP="00B3294D">
      <w:pPr>
        <w:jc w:val="both"/>
      </w:pPr>
      <w:r>
        <w:t xml:space="preserve">Figure S11 | </w:t>
      </w:r>
      <w:r w:rsidR="00B3294D">
        <w:t>Negative predictive value (</w:t>
      </w:r>
      <w:r>
        <w:t>NPV</w:t>
      </w:r>
      <w:r w:rsidR="00B3294D">
        <w:t>)</w:t>
      </w:r>
      <w:r>
        <w:t xml:space="preserve"> and</w:t>
      </w:r>
      <w:r w:rsidR="00B3294D">
        <w:t xml:space="preserve"> positive predictive value</w:t>
      </w:r>
      <w:r>
        <w:t xml:space="preserve"> </w:t>
      </w:r>
      <w:r w:rsidR="00B3294D">
        <w:t>(</w:t>
      </w:r>
      <w:r>
        <w:t>PPV</w:t>
      </w:r>
      <w:r w:rsidR="00B3294D">
        <w:t>) of tampon swab and RT-LAMP wastewater monitoring</w:t>
      </w:r>
      <w:r>
        <w:t xml:space="preserve"> with correction for</w:t>
      </w:r>
      <w:r w:rsidR="00B3294D">
        <w:t xml:space="preserve"> false positives attributable to the</w:t>
      </w:r>
      <w:r>
        <w:t xml:space="preserve"> detection of convalescent COVID-19 cases.</w:t>
      </w:r>
    </w:p>
    <w:sectPr w:rsidR="00A779C0" w:rsidSect="008C664E">
      <w:pgSz w:w="12240" w:h="15840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9C0"/>
    <w:rsid w:val="000801C3"/>
    <w:rsid w:val="000D4F30"/>
    <w:rsid w:val="000F0B72"/>
    <w:rsid w:val="00123504"/>
    <w:rsid w:val="00160A94"/>
    <w:rsid w:val="001E0F3C"/>
    <w:rsid w:val="00203419"/>
    <w:rsid w:val="003046E7"/>
    <w:rsid w:val="003748BC"/>
    <w:rsid w:val="003E67B7"/>
    <w:rsid w:val="00454D3A"/>
    <w:rsid w:val="004720C4"/>
    <w:rsid w:val="004B2D76"/>
    <w:rsid w:val="004C2801"/>
    <w:rsid w:val="004F1CE4"/>
    <w:rsid w:val="005C3E80"/>
    <w:rsid w:val="006E36FD"/>
    <w:rsid w:val="00714E8B"/>
    <w:rsid w:val="00892C54"/>
    <w:rsid w:val="008C664E"/>
    <w:rsid w:val="009E4A05"/>
    <w:rsid w:val="00A779C0"/>
    <w:rsid w:val="00AB31DA"/>
    <w:rsid w:val="00B3294D"/>
    <w:rsid w:val="00B55DB8"/>
    <w:rsid w:val="00BF4CE1"/>
    <w:rsid w:val="00CD35B7"/>
    <w:rsid w:val="00E03C70"/>
    <w:rsid w:val="00E238B4"/>
    <w:rsid w:val="00E93E78"/>
    <w:rsid w:val="00F73815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0BE4B"/>
  <w15:docId w15:val="{7A120EEA-7AE7-4837-AEB0-82254449B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FF5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8C6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g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hyperlink" Target="mailto:kbibby@nd.edu" TargetMode="Externa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Kyle Bibby</cp:lastModifiedBy>
  <cp:revision>2</cp:revision>
  <dcterms:created xsi:type="dcterms:W3CDTF">2021-05-13T18:46:00Z</dcterms:created>
  <dcterms:modified xsi:type="dcterms:W3CDTF">2021-05-13T18:46:00Z</dcterms:modified>
</cp:coreProperties>
</file>