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4C51" w14:textId="4C62B72E" w:rsidR="00662A77" w:rsidRDefault="002B58EE" w:rsidP="002B58EE">
      <w:pPr>
        <w:spacing w:after="0"/>
        <w:jc w:val="center"/>
        <w:rPr>
          <w:rFonts w:ascii="Palatino Linotype" w:hAnsi="Palatino Linotype" w:cs="Times New Roman"/>
          <w:color w:val="000000" w:themeColor="text1"/>
          <w:szCs w:val="28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Cs w:val="28"/>
          <w:lang w:val="en-US"/>
        </w:rPr>
        <w:t>Supplementary Materials</w:t>
      </w:r>
      <w:r w:rsidR="00662A77" w:rsidRPr="002B58EE">
        <w:rPr>
          <w:rFonts w:ascii="Palatino Linotype" w:hAnsi="Palatino Linotype" w:cs="Times New Roman"/>
          <w:color w:val="000000" w:themeColor="text1"/>
          <w:szCs w:val="28"/>
          <w:lang w:val="en-US"/>
        </w:rPr>
        <w:t xml:space="preserve"> of </w:t>
      </w:r>
    </w:p>
    <w:p w14:paraId="021A3788" w14:textId="77777777" w:rsidR="002B58EE" w:rsidRPr="002B58EE" w:rsidRDefault="002B58EE" w:rsidP="002B58EE">
      <w:pPr>
        <w:spacing w:after="0"/>
        <w:jc w:val="center"/>
        <w:rPr>
          <w:rFonts w:ascii="Palatino Linotype" w:hAnsi="Palatino Linotype" w:cs="Times New Roman"/>
          <w:color w:val="000000" w:themeColor="text1"/>
          <w:szCs w:val="28"/>
          <w:lang w:val="en-US"/>
        </w:rPr>
      </w:pPr>
    </w:p>
    <w:p w14:paraId="0C424A74" w14:textId="270CB3F4" w:rsidR="00662A77" w:rsidRPr="002B58EE" w:rsidRDefault="00662A77" w:rsidP="002B58EE">
      <w:pPr>
        <w:spacing w:after="0"/>
        <w:jc w:val="center"/>
        <w:rPr>
          <w:rFonts w:ascii="Palatino Linotype" w:hAnsi="Palatino Linotype" w:cs="Times New Roman"/>
          <w:b/>
          <w:bCs/>
          <w:color w:val="000000" w:themeColor="text1"/>
          <w:szCs w:val="28"/>
          <w:lang w:val="en-US"/>
        </w:rPr>
      </w:pPr>
      <w:r w:rsidRPr="002B58EE">
        <w:rPr>
          <w:rFonts w:ascii="Palatino Linotype" w:hAnsi="Palatino Linotype" w:cs="Times New Roman"/>
          <w:b/>
          <w:bCs/>
          <w:i/>
          <w:iCs/>
          <w:color w:val="000000" w:themeColor="text1"/>
          <w:szCs w:val="28"/>
          <w:lang w:val="en-US"/>
        </w:rPr>
        <w:t>In vitro</w:t>
      </w:r>
      <w:r w:rsidRPr="002B58EE">
        <w:rPr>
          <w:rFonts w:ascii="Palatino Linotype" w:hAnsi="Palatino Linotype" w:cs="Times New Roman"/>
          <w:b/>
          <w:bCs/>
          <w:color w:val="000000" w:themeColor="text1"/>
          <w:szCs w:val="28"/>
          <w:lang w:val="en-US"/>
        </w:rPr>
        <w:t xml:space="preserve"> Antioxidant Potential Evaluation of </w:t>
      </w:r>
      <w:r w:rsidRPr="002B58EE">
        <w:rPr>
          <w:rFonts w:ascii="Palatino Linotype" w:hAnsi="Palatino Linotype" w:cs="Times New Roman"/>
          <w:b/>
          <w:bCs/>
          <w:color w:val="000000" w:themeColor="text1"/>
          <w:szCs w:val="28"/>
          <w:lang w:val="en-US"/>
        </w:rPr>
        <w:br/>
        <w:t>Non-Functionalized Fullerenes and Endofullerenes</w:t>
      </w:r>
    </w:p>
    <w:p w14:paraId="5EC7F3E6" w14:textId="77777777" w:rsidR="002B58EE" w:rsidRDefault="002B58EE" w:rsidP="002B58EE">
      <w:pPr>
        <w:spacing w:after="0"/>
        <w:ind w:firstLine="709"/>
        <w:jc w:val="center"/>
        <w:rPr>
          <w:rFonts w:ascii="Palatino Linotype" w:hAnsi="Palatino Linotype" w:cs="Times New Roman"/>
          <w:color w:val="000000" w:themeColor="text1"/>
          <w:szCs w:val="28"/>
          <w:lang w:val="en-US"/>
        </w:rPr>
      </w:pPr>
    </w:p>
    <w:p w14:paraId="662F01E1" w14:textId="59271BCF" w:rsidR="00662A77" w:rsidRDefault="002B58EE" w:rsidP="002B58EE">
      <w:pPr>
        <w:spacing w:after="0"/>
        <w:ind w:firstLine="709"/>
        <w:jc w:val="center"/>
        <w:rPr>
          <w:rFonts w:ascii="Palatino Linotype" w:hAnsi="Palatino Linotype" w:cs="Times New Roman"/>
          <w:color w:val="000000" w:themeColor="text1"/>
          <w:szCs w:val="28"/>
          <w:lang w:val="en-US"/>
        </w:rPr>
      </w:pPr>
      <w:r>
        <w:rPr>
          <w:rFonts w:ascii="Palatino Linotype" w:hAnsi="Palatino Linotype" w:cs="Times New Roman"/>
          <w:color w:val="000000" w:themeColor="text1"/>
          <w:szCs w:val="28"/>
          <w:lang w:val="en-US"/>
        </w:rPr>
        <w:t>b</w:t>
      </w:r>
      <w:r w:rsidR="00662A77" w:rsidRPr="002B58EE">
        <w:rPr>
          <w:rFonts w:ascii="Palatino Linotype" w:hAnsi="Palatino Linotype" w:cs="Times New Roman"/>
          <w:color w:val="000000" w:themeColor="text1"/>
          <w:szCs w:val="28"/>
          <w:lang w:val="en-US"/>
        </w:rPr>
        <w:t>y</w:t>
      </w:r>
    </w:p>
    <w:p w14:paraId="571F48E5" w14:textId="77777777" w:rsidR="002B58EE" w:rsidRPr="002B58EE" w:rsidRDefault="002B58EE" w:rsidP="002B58EE">
      <w:pPr>
        <w:spacing w:after="0"/>
        <w:ind w:firstLine="709"/>
        <w:jc w:val="center"/>
        <w:rPr>
          <w:rFonts w:ascii="Palatino Linotype" w:hAnsi="Palatino Linotype" w:cs="Times New Roman"/>
          <w:color w:val="000000" w:themeColor="text1"/>
          <w:szCs w:val="28"/>
          <w:lang w:val="en-US"/>
        </w:rPr>
      </w:pPr>
    </w:p>
    <w:p w14:paraId="74302395" w14:textId="1BB1C935" w:rsidR="002B58EE" w:rsidRPr="002B58EE" w:rsidRDefault="002B58EE" w:rsidP="002B58EE">
      <w:pPr>
        <w:pStyle w:val="MDPI13authornames"/>
        <w:rPr>
          <w:sz w:val="24"/>
          <w:szCs w:val="24"/>
        </w:rPr>
      </w:pPr>
      <w:r w:rsidRPr="002B58EE">
        <w:rPr>
          <w:sz w:val="24"/>
          <w:szCs w:val="24"/>
        </w:rPr>
        <w:t xml:space="preserve">Ivan V. Mikheev </w:t>
      </w:r>
      <w:proofErr w:type="gramStart"/>
      <w:r w:rsidRPr="002B58EE">
        <w:rPr>
          <w:sz w:val="24"/>
          <w:szCs w:val="24"/>
          <w:vertAlign w:val="superscript"/>
        </w:rPr>
        <w:t>1,</w:t>
      </w:r>
      <w:r w:rsidRPr="002B58EE">
        <w:rPr>
          <w:sz w:val="24"/>
          <w:szCs w:val="24"/>
        </w:rPr>
        <w:t>*</w:t>
      </w:r>
      <w:proofErr w:type="gramEnd"/>
      <w:r w:rsidRPr="002B58EE">
        <w:rPr>
          <w:sz w:val="24"/>
          <w:szCs w:val="24"/>
        </w:rPr>
        <w:t xml:space="preserve">, </w:t>
      </w:r>
      <w:proofErr w:type="spellStart"/>
      <w:r w:rsidRPr="002B58EE">
        <w:rPr>
          <w:sz w:val="24"/>
          <w:szCs w:val="24"/>
        </w:rPr>
        <w:t>Madina</w:t>
      </w:r>
      <w:proofErr w:type="spellEnd"/>
      <w:r w:rsidRPr="002B58EE">
        <w:rPr>
          <w:sz w:val="24"/>
          <w:szCs w:val="24"/>
        </w:rPr>
        <w:t xml:space="preserve"> M. </w:t>
      </w:r>
      <w:proofErr w:type="spellStart"/>
      <w:r w:rsidRPr="002B58EE">
        <w:rPr>
          <w:sz w:val="24"/>
          <w:szCs w:val="24"/>
        </w:rPr>
        <w:t>Sozarukova</w:t>
      </w:r>
      <w:proofErr w:type="spellEnd"/>
      <w:r w:rsidRPr="002B58EE">
        <w:rPr>
          <w:sz w:val="24"/>
          <w:szCs w:val="24"/>
        </w:rPr>
        <w:t xml:space="preserve"> </w:t>
      </w:r>
      <w:r w:rsidRPr="002B58EE">
        <w:rPr>
          <w:sz w:val="24"/>
          <w:szCs w:val="24"/>
          <w:vertAlign w:val="superscript"/>
        </w:rPr>
        <w:t>1,2</w:t>
      </w:r>
      <w:r w:rsidRPr="002B58EE">
        <w:rPr>
          <w:sz w:val="24"/>
          <w:szCs w:val="24"/>
        </w:rPr>
        <w:t xml:space="preserve">, Dmitry Yu. </w:t>
      </w:r>
      <w:proofErr w:type="spellStart"/>
      <w:r w:rsidRPr="002B58EE">
        <w:rPr>
          <w:sz w:val="24"/>
          <w:szCs w:val="24"/>
        </w:rPr>
        <w:t>Izmailov</w:t>
      </w:r>
      <w:proofErr w:type="spellEnd"/>
      <w:r w:rsidRPr="002B58EE">
        <w:rPr>
          <w:sz w:val="24"/>
          <w:szCs w:val="24"/>
        </w:rPr>
        <w:t xml:space="preserve"> </w:t>
      </w:r>
      <w:r w:rsidRPr="002B58EE">
        <w:rPr>
          <w:sz w:val="24"/>
          <w:szCs w:val="24"/>
          <w:vertAlign w:val="superscript"/>
        </w:rPr>
        <w:t>3</w:t>
      </w:r>
      <w:r w:rsidRPr="002B58EE">
        <w:rPr>
          <w:sz w:val="24"/>
          <w:szCs w:val="24"/>
        </w:rPr>
        <w:t xml:space="preserve">, Ivan E. </w:t>
      </w:r>
      <w:proofErr w:type="spellStart"/>
      <w:r w:rsidRPr="002B58EE">
        <w:rPr>
          <w:sz w:val="24"/>
          <w:szCs w:val="24"/>
        </w:rPr>
        <w:t>Kareev</w:t>
      </w:r>
      <w:proofErr w:type="spellEnd"/>
      <w:r w:rsidRPr="002B58EE">
        <w:rPr>
          <w:sz w:val="24"/>
          <w:szCs w:val="24"/>
        </w:rPr>
        <w:t xml:space="preserve"> </w:t>
      </w:r>
      <w:r w:rsidRPr="002B58EE">
        <w:rPr>
          <w:sz w:val="24"/>
          <w:szCs w:val="24"/>
          <w:vertAlign w:val="superscript"/>
        </w:rPr>
        <w:t>4</w:t>
      </w:r>
      <w:r w:rsidRPr="002B58EE">
        <w:rPr>
          <w:sz w:val="24"/>
          <w:szCs w:val="24"/>
        </w:rPr>
        <w:t xml:space="preserve">, Elena V. Proskurnina </w:t>
      </w:r>
      <w:r w:rsidRPr="002B58EE">
        <w:rPr>
          <w:sz w:val="24"/>
          <w:szCs w:val="24"/>
          <w:vertAlign w:val="superscript"/>
        </w:rPr>
        <w:t>5</w:t>
      </w:r>
      <w:r w:rsidRPr="002B58EE">
        <w:rPr>
          <w:sz w:val="24"/>
          <w:szCs w:val="24"/>
        </w:rPr>
        <w:t>, and Mikhail A. Proskurnin</w:t>
      </w:r>
      <w:r w:rsidRPr="002B58EE">
        <w:rPr>
          <w:sz w:val="24"/>
          <w:szCs w:val="24"/>
          <w:vertAlign w:val="superscript"/>
        </w:rPr>
        <w:t xml:space="preserve"> 1</w:t>
      </w:r>
      <w:r w:rsidRPr="002B58EE">
        <w:rPr>
          <w:sz w:val="24"/>
          <w:szCs w:val="24"/>
        </w:rPr>
        <w:t xml:space="preserve"> </w:t>
      </w:r>
    </w:p>
    <w:p w14:paraId="75D1F380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  <w:vertAlign w:val="superscript"/>
        </w:rPr>
        <w:t>1</w:t>
      </w:r>
      <w:r w:rsidRPr="002B58EE">
        <w:rPr>
          <w:sz w:val="20"/>
          <w:szCs w:val="20"/>
        </w:rPr>
        <w:tab/>
        <w:t>Chemistry Department Analytical Chemistry Division of Lomonosov Moscow State University, Moscow 119991, Russia; mikheev.ivan@gmail.com</w:t>
      </w:r>
    </w:p>
    <w:p w14:paraId="127776C1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  <w:vertAlign w:val="superscript"/>
        </w:rPr>
        <w:t>2</w:t>
      </w:r>
      <w:r w:rsidRPr="002B58EE">
        <w:rPr>
          <w:sz w:val="20"/>
          <w:szCs w:val="20"/>
        </w:rPr>
        <w:tab/>
      </w:r>
      <w:proofErr w:type="spellStart"/>
      <w:r w:rsidRPr="002B58EE">
        <w:rPr>
          <w:sz w:val="20"/>
          <w:szCs w:val="20"/>
        </w:rPr>
        <w:t>Kurnakov</w:t>
      </w:r>
      <w:proofErr w:type="spellEnd"/>
      <w:r w:rsidRPr="002B58EE">
        <w:rPr>
          <w:sz w:val="20"/>
          <w:szCs w:val="20"/>
        </w:rPr>
        <w:t xml:space="preserve"> Institute of General and Inorganic Chemistry, Russian Academy of Sciences, Moscow 119991, Russia; s_madinam@bk.ru</w:t>
      </w:r>
    </w:p>
    <w:p w14:paraId="0C138A55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  <w:vertAlign w:val="superscript"/>
        </w:rPr>
        <w:t>3</w:t>
      </w:r>
      <w:r w:rsidRPr="002B58EE">
        <w:rPr>
          <w:sz w:val="20"/>
          <w:szCs w:val="20"/>
        </w:rPr>
        <w:tab/>
        <w:t>Faculty of Fundamental Medicine, Lomonosov Moscow State University, Moscow 119234, Russia; dizm@mail.ru</w:t>
      </w:r>
    </w:p>
    <w:p w14:paraId="64AE858A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  <w:vertAlign w:val="superscript"/>
        </w:rPr>
        <w:t>4</w:t>
      </w:r>
      <w:r w:rsidRPr="002B58EE">
        <w:rPr>
          <w:sz w:val="20"/>
          <w:szCs w:val="20"/>
        </w:rPr>
        <w:tab/>
        <w:t xml:space="preserve">Institute of Problems of Chemical Physics of the Russian Academy of Sciences, 142432 </w:t>
      </w:r>
      <w:proofErr w:type="spellStart"/>
      <w:r w:rsidRPr="002B58EE">
        <w:rPr>
          <w:sz w:val="20"/>
          <w:szCs w:val="20"/>
        </w:rPr>
        <w:t>Chernogolovka</w:t>
      </w:r>
      <w:proofErr w:type="spellEnd"/>
      <w:r w:rsidRPr="002B58EE">
        <w:rPr>
          <w:sz w:val="20"/>
          <w:szCs w:val="20"/>
        </w:rPr>
        <w:t>, Moscow Region, Russia; kareev@icp.ac.ru</w:t>
      </w:r>
    </w:p>
    <w:p w14:paraId="277DDF85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  <w:vertAlign w:val="superscript"/>
        </w:rPr>
        <w:t>5</w:t>
      </w:r>
      <w:r w:rsidRPr="002B58EE">
        <w:rPr>
          <w:sz w:val="20"/>
          <w:szCs w:val="20"/>
        </w:rPr>
        <w:tab/>
        <w:t>Research Centre for Medical Genetics, Moscow 115522, Russia; proskurnina@gmail.com</w:t>
      </w:r>
    </w:p>
    <w:p w14:paraId="22F4A8FD" w14:textId="77777777" w:rsidR="002B58EE" w:rsidRPr="002B58EE" w:rsidRDefault="002B58EE" w:rsidP="002B58EE">
      <w:pPr>
        <w:pStyle w:val="MDPI16affiliation"/>
        <w:ind w:left="284"/>
        <w:jc w:val="both"/>
        <w:rPr>
          <w:sz w:val="20"/>
          <w:szCs w:val="20"/>
        </w:rPr>
      </w:pPr>
      <w:r w:rsidRPr="002B58EE">
        <w:rPr>
          <w:sz w:val="20"/>
          <w:szCs w:val="20"/>
        </w:rPr>
        <w:t>*</w:t>
      </w:r>
      <w:r w:rsidRPr="002B58EE">
        <w:rPr>
          <w:sz w:val="20"/>
          <w:szCs w:val="20"/>
        </w:rPr>
        <w:tab/>
        <w:t xml:space="preserve">Correspondence: mikheev.ivan@gmail.com; Tel.: +7(495)939-15-68 ext.101 </w:t>
      </w:r>
    </w:p>
    <w:p w14:paraId="40EECEA1" w14:textId="4BA06EA0" w:rsidR="0079116F" w:rsidRPr="002B58EE" w:rsidRDefault="0079116F" w:rsidP="002B58EE">
      <w:pPr>
        <w:rPr>
          <w:rFonts w:ascii="Palatino Linotype" w:hAnsi="Palatino Linotype" w:cs="Times New Roman"/>
          <w:color w:val="000000" w:themeColor="text1"/>
          <w:szCs w:val="28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Cs w:val="28"/>
          <w:lang w:val="en-US"/>
        </w:rPr>
        <w:br w:type="page"/>
      </w:r>
    </w:p>
    <w:sdt>
      <w:sdtPr>
        <w:rPr>
          <w:rFonts w:ascii="Palatino Linotype" w:eastAsiaTheme="minorHAnsi" w:hAnsi="Palatino Linotype" w:cs="Times New Roman"/>
          <w:color w:val="000000" w:themeColor="text1"/>
          <w:sz w:val="28"/>
          <w:szCs w:val="28"/>
          <w:lang w:eastAsia="en-US"/>
        </w:rPr>
        <w:id w:val="-5614855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DA05A2" w14:textId="16ACF99F" w:rsidR="00424906" w:rsidRPr="002B58EE" w:rsidRDefault="00424906" w:rsidP="002B58EE">
          <w:pPr>
            <w:pStyle w:val="a6"/>
            <w:spacing w:line="240" w:lineRule="auto"/>
            <w:rPr>
              <w:rFonts w:ascii="Palatino Linotype" w:hAnsi="Palatino Linotype" w:cs="Times New Roman"/>
              <w:color w:val="000000" w:themeColor="text1"/>
              <w:sz w:val="28"/>
              <w:szCs w:val="28"/>
            </w:rPr>
          </w:pPr>
        </w:p>
        <w:p w14:paraId="0FFC99EF" w14:textId="72D4E41E" w:rsidR="00424906" w:rsidRPr="002B58EE" w:rsidRDefault="00424906" w:rsidP="002B58EE">
          <w:pPr>
            <w:pStyle w:val="11"/>
            <w:tabs>
              <w:tab w:val="left" w:pos="440"/>
              <w:tab w:val="right" w:leader="dot" w:pos="9628"/>
            </w:tabs>
            <w:rPr>
              <w:rFonts w:ascii="Palatino Linotype" w:hAnsi="Palatino Linotype" w:cs="Times New Roman"/>
              <w:noProof/>
              <w:color w:val="000000" w:themeColor="text1"/>
              <w:szCs w:val="28"/>
            </w:rPr>
          </w:pPr>
          <w:r w:rsidRPr="002B58EE">
            <w:rPr>
              <w:rFonts w:ascii="Palatino Linotype" w:hAnsi="Palatino Linotype" w:cs="Times New Roman"/>
              <w:color w:val="000000" w:themeColor="text1"/>
              <w:szCs w:val="28"/>
            </w:rPr>
            <w:fldChar w:fldCharType="begin"/>
          </w:r>
          <w:r w:rsidRPr="002B58EE">
            <w:rPr>
              <w:rFonts w:ascii="Palatino Linotype" w:hAnsi="Palatino Linotype" w:cs="Times New Roman"/>
              <w:color w:val="000000" w:themeColor="text1"/>
              <w:szCs w:val="28"/>
            </w:rPr>
            <w:instrText xml:space="preserve"> TOC \o "1-3" \h \z \u </w:instrText>
          </w:r>
          <w:r w:rsidRPr="002B58EE">
            <w:rPr>
              <w:rFonts w:ascii="Palatino Linotype" w:hAnsi="Palatino Linotype" w:cs="Times New Roman"/>
              <w:color w:val="000000" w:themeColor="text1"/>
              <w:szCs w:val="28"/>
            </w:rPr>
            <w:fldChar w:fldCharType="separate"/>
          </w:r>
          <w:hyperlink w:anchor="_Toc70087959" w:history="1">
            <w:r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1.</w:t>
            </w:r>
            <w:r w:rsidRPr="002B58EE">
              <w:rPr>
                <w:rFonts w:ascii="Palatino Linotype" w:hAnsi="Palatino Linotype" w:cs="Times New Roman"/>
                <w:noProof/>
                <w:color w:val="000000" w:themeColor="text1"/>
                <w:szCs w:val="28"/>
              </w:rPr>
              <w:tab/>
            </w:r>
            <w:r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Quenching fullerene ability in aqueous media</w:t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instrText xml:space="preserve"> PAGEREF _Toc70087959 \h </w:instrText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>3</w:t>
            </w:r>
            <w:r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14:paraId="68AA2EA7" w14:textId="72B66413" w:rsidR="00424906" w:rsidRPr="002B58EE" w:rsidRDefault="00AD2448" w:rsidP="002B58EE">
          <w:pPr>
            <w:pStyle w:val="21"/>
            <w:tabs>
              <w:tab w:val="left" w:pos="880"/>
              <w:tab w:val="right" w:leader="dot" w:pos="9628"/>
            </w:tabs>
            <w:rPr>
              <w:rFonts w:ascii="Palatino Linotype" w:hAnsi="Palatino Linotype" w:cs="Times New Roman"/>
              <w:noProof/>
              <w:color w:val="000000" w:themeColor="text1"/>
              <w:szCs w:val="28"/>
            </w:rPr>
          </w:pPr>
          <w:hyperlink w:anchor="_Toc70087960" w:history="1">
            <w:r w:rsidR="00424906"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1.1.</w:t>
            </w:r>
            <w:r w:rsidR="00424906" w:rsidRPr="002B58EE">
              <w:rPr>
                <w:rFonts w:ascii="Palatino Linotype" w:hAnsi="Palatino Linotype" w:cs="Times New Roman"/>
                <w:noProof/>
                <w:color w:val="000000" w:themeColor="text1"/>
                <w:szCs w:val="28"/>
              </w:rPr>
              <w:tab/>
            </w:r>
            <w:r w:rsidR="00424906"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ABAP-Luminol system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ab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instrText xml:space="preserve"> PAGEREF _Toc70087960 \h </w:instrTex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>3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14:paraId="63CCABC9" w14:textId="6A66988B" w:rsidR="00424906" w:rsidRPr="002B58EE" w:rsidRDefault="00AD2448" w:rsidP="002B58EE">
          <w:pPr>
            <w:pStyle w:val="21"/>
            <w:tabs>
              <w:tab w:val="left" w:pos="880"/>
              <w:tab w:val="right" w:leader="dot" w:pos="9628"/>
            </w:tabs>
            <w:rPr>
              <w:rFonts w:ascii="Palatino Linotype" w:hAnsi="Palatino Linotype" w:cs="Times New Roman"/>
              <w:noProof/>
              <w:color w:val="000000" w:themeColor="text1"/>
              <w:szCs w:val="28"/>
            </w:rPr>
          </w:pPr>
          <w:hyperlink w:anchor="_Toc70087961" w:history="1">
            <w:r w:rsidR="00424906"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1.2.</w:t>
            </w:r>
            <w:r w:rsidR="00424906" w:rsidRPr="002B58EE">
              <w:rPr>
                <w:rFonts w:ascii="Palatino Linotype" w:hAnsi="Palatino Linotype" w:cs="Times New Roman"/>
                <w:noProof/>
                <w:color w:val="000000" w:themeColor="text1"/>
                <w:szCs w:val="28"/>
              </w:rPr>
              <w:tab/>
            </w:r>
            <w:r w:rsidR="00424906"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Luminol system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ab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instrText xml:space="preserve"> PAGEREF _Toc70087961 \h </w:instrTex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>5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14:paraId="3DE7262C" w14:textId="2D5F68F4" w:rsidR="00424906" w:rsidRPr="002B58EE" w:rsidRDefault="00AD2448" w:rsidP="002B58EE">
          <w:pPr>
            <w:pStyle w:val="11"/>
            <w:tabs>
              <w:tab w:val="right" w:leader="dot" w:pos="9628"/>
            </w:tabs>
            <w:rPr>
              <w:rFonts w:ascii="Palatino Linotype" w:hAnsi="Palatino Linotype" w:cs="Times New Roman"/>
              <w:noProof/>
              <w:color w:val="000000" w:themeColor="text1"/>
              <w:szCs w:val="28"/>
            </w:rPr>
          </w:pPr>
          <w:hyperlink w:anchor="_Toc70087962" w:history="1">
            <w:r w:rsidR="00424906" w:rsidRPr="002B58EE">
              <w:rPr>
                <w:rStyle w:val="a7"/>
                <w:rFonts w:ascii="Palatino Linotype" w:hAnsi="Palatino Linotype" w:cs="Times New Roman"/>
                <w:noProof/>
                <w:color w:val="000000" w:themeColor="text1"/>
                <w:szCs w:val="28"/>
                <w:lang w:val="en-US"/>
              </w:rPr>
              <w:t>Reference list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ab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instrText xml:space="preserve"> PAGEREF _Toc70087962 \h </w:instrTex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t>7</w:t>
            </w:r>
            <w:r w:rsidR="00424906" w:rsidRPr="002B58EE">
              <w:rPr>
                <w:rFonts w:ascii="Palatino Linotype" w:hAnsi="Palatino Linotype"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14:paraId="5216DEBC" w14:textId="404A2871" w:rsidR="00424906" w:rsidRPr="002B58EE" w:rsidRDefault="00424906" w:rsidP="002B58EE">
          <w:pPr>
            <w:rPr>
              <w:rFonts w:ascii="Palatino Linotype" w:hAnsi="Palatino Linotype" w:cs="Times New Roman"/>
              <w:color w:val="000000" w:themeColor="text1"/>
              <w:szCs w:val="28"/>
            </w:rPr>
          </w:pPr>
          <w:r w:rsidRPr="002B58EE">
            <w:rPr>
              <w:rFonts w:ascii="Palatino Linotype" w:hAnsi="Palatino Linotype" w:cs="Times New Roman"/>
              <w:b/>
              <w:bCs/>
              <w:color w:val="000000" w:themeColor="text1"/>
              <w:szCs w:val="28"/>
            </w:rPr>
            <w:fldChar w:fldCharType="end"/>
          </w:r>
        </w:p>
      </w:sdtContent>
    </w:sdt>
    <w:p w14:paraId="74611795" w14:textId="4BD2AE0F" w:rsidR="00424906" w:rsidRPr="002B58EE" w:rsidRDefault="00424906" w:rsidP="002B58EE">
      <w:pPr>
        <w:rPr>
          <w:rFonts w:ascii="Palatino Linotype" w:eastAsiaTheme="majorEastAsia" w:hAnsi="Palatino Linotype" w:cs="Times New Roman"/>
          <w:color w:val="000000" w:themeColor="text1"/>
          <w:szCs w:val="28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Cs w:val="28"/>
          <w:lang w:val="en-US"/>
        </w:rPr>
        <w:br w:type="page"/>
      </w:r>
    </w:p>
    <w:p w14:paraId="166F01FC" w14:textId="0BDE90AE" w:rsidR="0099026D" w:rsidRPr="002B58EE" w:rsidRDefault="0099026D" w:rsidP="002B58EE">
      <w:pPr>
        <w:pStyle w:val="1"/>
        <w:numPr>
          <w:ilvl w:val="0"/>
          <w:numId w:val="1"/>
        </w:numPr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bookmarkStart w:id="0" w:name="_Toc70087959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lastRenderedPageBreak/>
        <w:t>Quenching fullerene ability in aqueous media</w:t>
      </w:r>
      <w:bookmarkEnd w:id="0"/>
    </w:p>
    <w:p w14:paraId="5D087F9C" w14:textId="57453AFC" w:rsidR="00424906" w:rsidRPr="002B58EE" w:rsidRDefault="00151B0A" w:rsidP="002B58EE">
      <w:pPr>
        <w:pStyle w:val="2"/>
        <w:numPr>
          <w:ilvl w:val="1"/>
          <w:numId w:val="1"/>
        </w:numPr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bookmarkStart w:id="1" w:name="_Toc70087960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Quenching of </w:t>
      </w:r>
      <w:r w:rsidR="0042490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ABAP-Luminol system</w:t>
      </w:r>
      <w:bookmarkEnd w:id="1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in</w:t>
      </w:r>
      <w:r w:rsidR="0007272A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the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presence </w:t>
      </w:r>
      <w:r w:rsidR="0007272A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of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fullerene </w:t>
      </w:r>
    </w:p>
    <w:p w14:paraId="6040B997" w14:textId="1919BA77" w:rsidR="00E3697E" w:rsidRPr="002B58EE" w:rsidRDefault="00E3697E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Interactions between </w:t>
      </w:r>
      <w:r w:rsidR="00B83DC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the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component</w:t>
      </w:r>
      <w:r w:rsidR="00B83DC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s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of free-radical systems (ABAP, luminol) and aqueous fullerene dispersions</w:t>
      </w:r>
      <w:r w:rsidR="009435D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(AFD)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70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and Gd@C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ha</w:t>
      </w:r>
      <w:r w:rsidR="0007272A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ve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been studied by fluorescent spectroscopy.</w:t>
      </w:r>
      <w:r w:rsidR="009435D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Stern-Volmer approach </w:t>
      </w:r>
      <w:r w:rsidR="0081055F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(K</w:t>
      </w:r>
      <w:r w:rsidR="0081055F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SV</w:t>
      </w:r>
      <w:r w:rsidR="0081055F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) </w:t>
      </w:r>
      <w:r w:rsidR="009435D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for quenching fluorescence analysis has been applied.</w:t>
      </w:r>
      <w:r w:rsidR="00797BED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Quenching </w:t>
      </w:r>
      <w:r w:rsidR="00193E0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occurs in static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(with constant K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S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)</w:t>
      </w:r>
      <w:r w:rsidR="00193E0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or dynamic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(with constant K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D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) </w:t>
      </w:r>
      <w:r w:rsidR="00193E0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interactions mechanism. To more speciation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</w:t>
      </w:r>
      <w:r w:rsidR="00193E0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fluorescence lifetime measurement should be applied. </w:t>
      </w:r>
      <w:r w:rsidR="0007272A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The m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agnitude of K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S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demonstrate</w:t>
      </w:r>
      <w:r w:rsidR="0007272A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s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that dynamic quenching cannot account for the decrease in intensity 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&lt;EndNote&gt;&lt;Cite&gt;&lt;Author&gt;Lakowicz&lt;/Author&gt;&lt;Year&gt;2007&lt;/Year&gt;&lt;RecNum&gt;55&lt;/RecNum&gt;&lt;DisplayText&gt;[1]&lt;/DisplayText&gt;&lt;record&gt;&lt;rec-number&gt;55&lt;/rec-number&gt;&lt;foreign-keys&gt;&lt;key app="EN" db-id="te5eszts5wz5ahepve95exxpxaad5tpaf2p9" timestamp="1618981546"&gt;55&lt;/key&gt;&lt;/foreign-keys&gt;&lt;ref-type name="Book"&gt;6&lt;/ref-type&gt;&lt;contributors&gt;&lt;authors&gt;&lt;author&gt;Lakowicz, J.R.&lt;/author&gt;&lt;/authors&gt;&lt;/contributors&gt;&lt;titles&gt;&lt;title&gt;Principles of Fluorescence Spectroscopy&lt;/title&gt;&lt;/titles&gt;&lt;dates&gt;&lt;year&gt;2007&lt;/year&gt;&lt;/dates&gt;&lt;publisher&gt;Springer US&lt;/publisher&gt;&lt;isbn&gt;9780387463124&lt;/isbn&gt;&lt;urls&gt;&lt;related-urls&gt;&lt;url&gt;https://books.google.ru/books?id=-PSybuLNxcAC&lt;/url&gt;&lt;/related-urls&gt;&lt;/urls&gt;&lt;/record&gt;&lt;/Cite&gt;&lt;/EndNote&gt;</w:instrTex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AC5C95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[1]</w:t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AC5C9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</w:p>
    <w:p w14:paraId="53C51FA7" w14:textId="77777777" w:rsidR="00865749" w:rsidRPr="002B58EE" w:rsidRDefault="00865749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Normalization of fluorescence data at excitation 350 nm in Stern-Volmer coordinates</w:t>
      </w:r>
    </w:p>
    <w:p w14:paraId="28CA0FAA" w14:textId="4C5C327E" w:rsidR="009435D3" w:rsidRPr="002B58EE" w:rsidRDefault="00AD2448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=1+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/>
                </w:rPr>
                <m:t>SV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[Q]</m:t>
          </m:r>
        </m:oMath>
      </m:oMathPara>
    </w:p>
    <w:p w14:paraId="69AC4108" w14:textId="77777777" w:rsidR="00E2542F" w:rsidRPr="002B58EE" w:rsidRDefault="00865749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w:proofErr w:type="gramStart"/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where</w:t>
      </w:r>
      <w:proofErr w:type="gramEnd"/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9BE7F50" w14:textId="3CB3963F" w:rsidR="00E2542F" w:rsidRPr="002B58EE" w:rsidRDefault="00AD2448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0</m:t>
            </m:r>
          </m:sub>
        </m:sSub>
      </m:oMath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is</w:t>
      </w:r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the </w:t>
      </w:r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fluorescence intensity without </w:t>
      </w:r>
      <w:proofErr w:type="gramStart"/>
      <w:r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a </w:t>
      </w:r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quencher</w:t>
      </w:r>
      <w:r w:rsidR="00E2542F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;</w:t>
      </w:r>
      <w:proofErr w:type="gramEnd"/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E12A4A7" w14:textId="5C087A7A" w:rsidR="00E2542F" w:rsidRPr="002B58EE" w:rsidRDefault="00865749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eastAsiaTheme="minorEastAsia" w:hAnsi="Palatino Linotype" w:cs="Times New Roman"/>
          <w:i/>
          <w:iCs/>
          <w:color w:val="000000" w:themeColor="text1"/>
          <w:sz w:val="24"/>
          <w:szCs w:val="24"/>
          <w:lang w:val="en-US"/>
        </w:rPr>
        <w:t>I</w:t>
      </w:r>
      <w:r w:rsid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is</w:t>
      </w:r>
      <w:proofErr w:type="gramEnd"/>
      <w:r w:rsidR="00AD2448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the</w:t>
      </w:r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fluorescence intensity with quencher</w:t>
      </w:r>
      <w:r w:rsidR="00E2542F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addition;</w:t>
      </w:r>
    </w:p>
    <w:p w14:paraId="6B364177" w14:textId="7D58345F" w:rsidR="00865749" w:rsidRPr="002B58EE" w:rsidRDefault="00E2542F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eastAsiaTheme="minorEastAsia" w:hAnsi="Palatino Linotype" w:cs="Times New Roman"/>
          <w:i/>
          <w:iCs/>
          <w:color w:val="000000" w:themeColor="text1"/>
          <w:sz w:val="24"/>
          <w:szCs w:val="24"/>
          <w:lang w:val="en-US"/>
        </w:rPr>
        <w:t>Q</w:t>
      </w:r>
      <w:r w:rsidR="00865749"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>is</w:t>
      </w:r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t xml:space="preserve"> quencher concentration (M).</w:t>
      </w:r>
    </w:p>
    <w:p w14:paraId="7412D7C5" w14:textId="11EC8E31" w:rsidR="00865749" w:rsidRPr="002B58EE" w:rsidRDefault="00865749" w:rsidP="002B58EE">
      <w:pPr>
        <w:spacing w:after="0"/>
        <w:ind w:firstLine="709"/>
        <w:jc w:val="both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</w:p>
    <w:p w14:paraId="22D2090A" w14:textId="15DE2F25" w:rsidR="00365B28" w:rsidRPr="002B58EE" w:rsidRDefault="00984BAC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All known data are presented for 293K. 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Quenching of 1-pyrenencarboxilic acid by tris(malonate)-</w:t>
      </w:r>
      <w:r w:rsidR="005A045D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substituted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C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were K</w:t>
      </w:r>
      <w:r w:rsidR="0081055F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SV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~4.4÷3.4)×10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&lt;EndNote&gt;&lt;Cite&gt;&lt;Author&gt;Wang&lt;/Author&gt;&lt;Year&gt;1999&lt;/Year&gt;&lt;RecNum&gt;56&lt;/RecNum&gt;&lt;DisplayText&gt;[2]&lt;/DisplayText&gt;&lt;record&gt;&lt;rec-number&gt;56&lt;/rec-number&gt;&lt;foreign-keys&gt;&lt;key app="EN" db-id="te5eszts5wz5ahepve95exxpxaad5tpaf2p9" timestamp="1618991509"&gt;56&lt;/key&gt;&lt;/foreign-keys&gt;&lt;ref-type name="Journal Article"&gt;17&lt;/ref-type&gt;&lt;contributors&gt;&lt;authors&gt;&lt;author&gt;Wang, I. Chen&lt;/author&gt;&lt;author&gt;Tai, Lin Ai&lt;/author&gt;&lt;author&gt;Lee, Don Dar&lt;/author&gt;&lt;author&gt;Kanakamma, P. P.&lt;/author&gt;&lt;author&gt;Shen, Clifton K. F.&lt;/author&gt;&lt;author&gt;Luh, Tien-Yau&lt;/author&gt;&lt;author&gt;Cheng, Chien Hong&lt;/author&gt;&lt;author&gt;Hwang, Kuo Chu&lt;/author&gt;&lt;/authors&gt;&lt;/contributors&gt;&lt;titles&gt;&lt;title&gt;C60 and Water-Soluble Fullerene Derivatives as Antioxidants Against Radical-Initiated Lipid Peroxidation&lt;/title&gt;&lt;secondary-title&gt;Journal of Medicinal Chemistry&lt;/secondary-title&gt;&lt;/titles&gt;&lt;periodical&gt;&lt;full-title&gt;Journal of Medicinal Chemistry&lt;/full-title&gt;&lt;/periodical&gt;&lt;pages&gt;4614-4620&lt;/pages&gt;&lt;volume&gt;42&lt;/volume&gt;&lt;number&gt;22&lt;/number&gt;&lt;dates&gt;&lt;year&gt;1999&lt;/year&gt;&lt;pub-dates&gt;&lt;date&gt;1999/11/01&lt;/date&gt;&lt;/pub-dates&gt;&lt;/dates&gt;&lt;publisher&gt;American Chemical Society&lt;/publisher&gt;&lt;isbn&gt;0022-2623&lt;/isbn&gt;&lt;urls&gt;&lt;related-urls&gt;&lt;url&gt;https://doi.org/10.1021/jm990144s&lt;/url&gt;&lt;/related-urls&gt;&lt;/urls&gt;&lt;electronic-resource-num&gt;10.1021/jm990144s&lt;/electronic-resource-num&gt;&lt;/record&gt;&lt;/Cite&gt;&lt;/EndNote&gt;</w:instrTex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8E5B76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[2]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; for pristine C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fullerenol</w:t>
      </w:r>
      <w:proofErr w:type="spellEnd"/>
      <w:r w:rsidR="005A045D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C</w:t>
      </w:r>
      <w:r w:rsidR="005A045D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="005A045D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(OH)</w:t>
      </w:r>
      <w:r w:rsidR="005A045D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with RNase A were 8.2×10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and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1.7×10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="00365B2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accordingly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&lt;EndNote&gt;&lt;Cite&gt;&lt;Author&gt;Roy&lt;/Author&gt;&lt;Year&gt;2018&lt;/Year&gt;&lt;RecNum&gt;57&lt;/RecNum&gt;&lt;DisplayText&gt;[3]&lt;/DisplayText&gt;&lt;record&gt;&lt;rec-number&gt;57&lt;/rec-number&gt;&lt;foreign-keys&gt;&lt;key app="EN" db-id="te5eszts5wz5ahepve95exxpxaad5tpaf2p9" timestamp="1618991616"&gt;57&lt;/key&gt;&lt;/foreign-keys&gt;&lt;ref-type name="Journal Article"&gt;17&lt;/ref-type&gt;&lt;contributors&gt;&lt;authors&gt;&lt;author&gt;Roy, Pritam&lt;/author&gt;&lt;author&gt;Bag, Sudipta&lt;/author&gt;&lt;author&gt;Chakraborty, Debanjana&lt;/author&gt;&lt;author&gt;Dasgupta, Swagata&lt;/author&gt;&lt;/authors&gt;&lt;/contributors&gt;&lt;titles&gt;&lt;title&gt;Exploring the Inhibitory and Antioxidant Effects of Fullerene and Fullerenol on Ribonuclease A&lt;/title&gt;&lt;secondary-title&gt;ACS Omega&lt;/secondary-title&gt;&lt;/titles&gt;&lt;periodical&gt;&lt;full-title&gt;ACS Omega&lt;/full-title&gt;&lt;/periodical&gt;&lt;pages&gt;12270-12283&lt;/pages&gt;&lt;volume&gt;3&lt;/volume&gt;&lt;number&gt;9&lt;/number&gt;&lt;dates&gt;&lt;year&gt;2018&lt;/year&gt;&lt;pub-dates&gt;&lt;date&gt;2018/09/30&lt;/date&gt;&lt;/pub-dates&gt;&lt;/dates&gt;&lt;publisher&gt;American Chemical Society&lt;/publisher&gt;&lt;isbn&gt;2470-1343&lt;/isbn&gt;&lt;urls&gt;&lt;related-urls&gt;&lt;url&gt;https://doi.org/10.1021/acsomega.8b01584&lt;/url&gt;&lt;/related-urls&gt;&lt;/urls&gt;&lt;electronic-resource-num&gt;10.1021/acsomega.8b01584&lt;/electronic-resource-num&gt;&lt;/record&gt;&lt;/Cite&gt;&lt;/EndNote&gt;</w:instrTex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8E5B76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[3]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81055F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; bovine (BSA) and human (HSA) serum albumins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interaction between Gd@C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(OH)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22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2.3 and 2.5×10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accordingly</w:t>
      </w:r>
      <w:r w:rsidR="002637AD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by a dynamic mechanism</w:t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&lt;EndNote&gt;&lt;Cite&gt;&lt;Author&gt;Liu&lt;/Author&gt;&lt;Year&gt;2018&lt;/Year&gt;&lt;RecNum&gt;58&lt;/RecNum&gt;&lt;DisplayText&gt;[4]&lt;/DisplayText&gt;&lt;record&gt;&lt;rec-number&gt;58&lt;/rec-number&gt;&lt;foreign-keys&gt;&lt;key app="EN" db-id="te5eszts5wz5ahepve95exxpxaad5tpaf2p9" timestamp="1619000534"&gt;58&lt;/key&gt;&lt;/foreign-keys&gt;&lt;ref-type name="Journal Article"&gt;17&lt;/ref-type&gt;&lt;contributors&gt;&lt;authors&gt;&lt;author&gt;Liu, Xing&lt;/author&gt;&lt;author&gt;Ying, Xiangxian&lt;/author&gt;&lt;author&gt;Li, Yanli&lt;/author&gt;&lt;author&gt;Yang, Hua&lt;/author&gt;&lt;author&gt;Hao, Wanshan&lt;/author&gt;&lt;author&gt;Yu, Meilan&lt;/author&gt;&lt;/authors&gt;&lt;/contributors&gt;&lt;titles&gt;&lt;title&gt;Identification differential behavior of Gd@C82(OH)22 upon interaction with serum albumin using spectroscopic analysis&lt;/title&gt;&lt;secondary-title&gt;Spectrochimica Acta Part A: Molecular and Biomolecular Spectroscopy&lt;/secondary-title&gt;&lt;/titles&gt;&lt;periodical&gt;&lt;full-title&gt;Spectrochimica Acta Part A: Molecular and Biomolecular Spectroscopy&lt;/full-title&gt;&lt;/periodical&gt;&lt;pages&gt;383-396&lt;/pages&gt;&lt;volume&gt;203&lt;/volume&gt;&lt;keywords&gt;&lt;keyword&gt;Fullerenols&lt;/keyword&gt;&lt;keyword&gt;Serum albumin&lt;/keyword&gt;&lt;keyword&gt;Synchronous fluorescence&lt;/keyword&gt;&lt;keyword&gt;UV–Vis absorption&lt;/keyword&gt;&lt;keyword&gt;Three-dimensional fluorescence&lt;/keyword&gt;&lt;/keywords&gt;&lt;dates&gt;&lt;year&gt;2018&lt;/year&gt;&lt;pub-dates&gt;&lt;date&gt;2018/10/05/&lt;/date&gt;&lt;/pub-dates&gt;&lt;/dates&gt;&lt;isbn&gt;1386-1425&lt;/isbn&gt;&lt;urls&gt;&lt;related-urls&gt;&lt;url&gt;https://www.sciencedirect.com/science/article/pii/S1386142518305316&lt;/url&gt;&lt;/related-urls&gt;&lt;/urls&gt;&lt;electronic-resource-num&gt;https://doi.org/10.1016/j.saa.2018.05.125&lt;/electronic-resource-num&gt;&lt;/record&gt;&lt;/Cite&gt;&lt;/EndNote&gt;</w:instrText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8F6043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[4]</w:t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8F604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</w:p>
    <w:p w14:paraId="2DF706B1" w14:textId="77777777" w:rsidR="00365B28" w:rsidRPr="002B58EE" w:rsidRDefault="00365B28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</w:p>
    <w:p w14:paraId="0E7D0F05" w14:textId="4C4F7A74" w:rsidR="00065BB8" w:rsidRPr="002B58EE" w:rsidRDefault="00365B28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In this work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we conducted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an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estimation of quenching fullerene ability for AFD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70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and Gd@C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="005D7C9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in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the </w:t>
      </w:r>
      <w:r w:rsidR="005D7C9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ABAP, luminol system</w:t>
      </w:r>
      <w:r w:rsidR="008E5B7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The magnitude of constant value w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as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C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~ C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70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&gt; Gd@C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(3.7 ± 0.1, 3.8 ± 0.1, and 2.9 ± </w:t>
      </w:r>
      <w:proofErr w:type="gramStart"/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0.1)×</w:t>
      </w:r>
      <w:proofErr w:type="gramEnd"/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10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="009A21A5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which have good accordance with </w:t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PEVuZE5vdGU+PENpdGU+PEF1dGhvcj5Sb3k8L0F1dGhvcj48WWVhcj4yMDE4PC9ZZWFyPjxSZWNO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</w:fldData>
        </w:fldChar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</w:instrText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PEVuZE5vdGU+PENpdGU+PEF1dGhvcj5Sb3k8L0F1dGhvcj48WWVhcj4yMDE4PC9ZZWFyPjxSZWNO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</w:fldData>
        </w:fldChar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984BAC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[2-4]</w:t>
      </w:r>
      <w:r w:rsidR="00984BAC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4953A0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. </w:t>
      </w:r>
      <w:r w:rsidR="00A2613E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The fluorescence spectra are presented below</w:t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(</w:t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REF _Ref69900632 \h </w:instrText>
      </w:r>
      <w:r w:rsidR="00ED4535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Figure S. </w:t>
      </w:r>
      <w:r w:rsidR="007B152B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1</w:t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7B152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)</w:t>
      </w:r>
      <w:r w:rsidR="00A2613E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The different values of the Stern-Volmer constants for Gd@C</w: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are due to the different nature of the interactions</w:t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&lt;EndNote&gt;&lt;Cite&gt;&lt;Author&gt;Sharoyko&lt;/Author&gt;&lt;Year&gt;2021&lt;/Year&gt;&lt;RecNum&gt;60&lt;/RecNum&gt;&lt;DisplayText&gt;[5]&lt;/DisplayText&gt;&lt;record&gt;&lt;rec-number&gt;60&lt;/rec-number&gt;&lt;foreign-keys&gt;&lt;key app="EN" db-id="te5eszts5wz5ahepve95exxpxaad5tpaf2p9" timestamp="1619001980"&gt;60&lt;/key&gt;&lt;/foreign-keys&gt;&lt;ref-type name="Journal Article"&gt;17&lt;/ref-type&gt;&lt;contributors&gt;&lt;authors&gt;&lt;author&gt;Sharoyko, Vladimir V.&lt;/author&gt;&lt;author&gt;Ageev, Sergei V.&lt;/author&gt;&lt;author&gt;Podolsky, Nikita E.&lt;/author&gt;&lt;author&gt;Petrov, Andrey V.&lt;/author&gt;&lt;author&gt;Litasova, Elena V.&lt;/author&gt;&lt;author&gt;Vlasov, Timur D.&lt;/author&gt;&lt;author&gt;Vasina, Lubov V.&lt;/author&gt;&lt;author&gt;Murin, Igor V.&lt;/author&gt;&lt;author&gt;Piotrovskiy, Levon B.&lt;/author&gt;&lt;author&gt;Semenov, Konstantin N.&lt;/author&gt;&lt;/authors&gt;&lt;/contributors&gt;&lt;titles&gt;&lt;title&gt;Biologically active water-soluble fullerene adducts: Das Glasperlenspiel (by H. Hesse)?&lt;/title&gt;&lt;secondary-title&gt;Journal of Molecular Liquids&lt;/secondary-title&gt;&lt;/titles&gt;&lt;periodical&gt;&lt;full-title&gt;Journal of Molecular Liquids&lt;/full-title&gt;&lt;/periodical&gt;&lt;pages&gt;114990&lt;/pages&gt;&lt;volume&gt;323&lt;/volume&gt;&lt;keywords&gt;&lt;keyword&gt;Fullerene&lt;/keyword&gt;&lt;keyword&gt;Nanobiomedicine&lt;/keyword&gt;&lt;keyword&gt;Fullerenol&lt;/keyword&gt;&lt;keyword&gt;Carboxyfullerene&lt;/keyword&gt;&lt;keyword&gt;Amino acid&lt;/keyword&gt;&lt;/keywords&gt;&lt;dates&gt;&lt;year&gt;2021&lt;/year&gt;&lt;pub-dates&gt;&lt;date&gt;2021/02/01/&lt;/date&gt;&lt;/pub-dates&gt;&lt;/dates&gt;&lt;isbn&gt;0167-7322&lt;/isbn&gt;&lt;urls&gt;&lt;related-urls&gt;&lt;url&gt;https://www.sciencedirect.com/science/article/pii/S0167732220372329&lt;/url&gt;&lt;/related-urls&gt;&lt;/urls&gt;&lt;electronic-resource-num&gt;https://doi.org/10.1016/j.molliq.2020.114990&lt;/electronic-resource-num&gt;&lt;/record&gt;&lt;/Cite&gt;&lt;/EndNote&gt;</w:instrText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5F0AD4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[5]</w:t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. It can be electrostatic interaction prevails and hydrogen bonds and van der Waals interactions </w: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5F0AD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&lt;EndNote&gt;&lt;Cite&gt;&lt;Author&gt;Yang&lt;/Author&gt;&lt;Year&gt;2017&lt;/Year&gt;&lt;RecNum&gt;59&lt;/RecNum&gt;&lt;DisplayText&gt;[6]&lt;/DisplayText&gt;&lt;record&gt;&lt;rec-number&gt;59&lt;/rec-number&gt;&lt;foreign-keys&gt;&lt;key app="EN" db-id="te5eszts5wz5ahepve95exxpxaad5tpaf2p9" timestamp="1619001908"&gt;59&lt;/key&gt;&lt;/foreign-keys&gt;&lt;ref-type name="Journal Article"&gt;17&lt;/ref-type&gt;&lt;contributors&gt;&lt;authors&gt;&lt;author&gt;Yang, Li-Yun&lt;/author&gt;&lt;author&gt;Hua, Si-Yu&lt;/author&gt;&lt;author&gt;Zhou, Zhi-Qiang&lt;/author&gt;&lt;author&gt;Wang, Guan-Chao&lt;/author&gt;&lt;author&gt;Jiang, Feng-Lei&lt;/author&gt;&lt;author&gt;Liu, Yi&lt;/author&gt;&lt;/authors&gt;&lt;/contributors&gt;&lt;titles&gt;&lt;title&gt;Characterization of fullerenol-protein interactions and an extended investigation on cytotoxicity&lt;/title&gt;&lt;secondary-title&gt;Colloids and Surfaces B: Biointerfaces&lt;/secondary-title&gt;&lt;/titles&gt;&lt;periodical&gt;&lt;full-title&gt;Colloids and Surfaces B: Biointerfaces&lt;/full-title&gt;&lt;/periodical&gt;&lt;pages&gt;261-267&lt;/pages&gt;&lt;volume&gt;157&lt;/volume&gt;&lt;keywords&gt;&lt;keyword&gt;Fullerenol&lt;/keyword&gt;&lt;keyword&gt;Serum proteins&lt;/keyword&gt;&lt;keyword&gt;Thermodynamic parameters&lt;/keyword&gt;&lt;keyword&gt;Cytotoxicity&lt;/keyword&gt;&lt;/keywords&gt;&lt;dates&gt;&lt;year&gt;2017&lt;/year&gt;&lt;pub-dates&gt;&lt;date&gt;2017/09/01/&lt;/date&gt;&lt;/pub-dates&gt;&lt;/dates&gt;&lt;isbn&gt;0927-7765&lt;/isbn&gt;&lt;urls&gt;&lt;related-urls&gt;&lt;url&gt;https://www.sciencedirect.com/science/article/pii/S0927776517303326&lt;/url&gt;&lt;/related-urls&gt;&lt;/urls&gt;&lt;electronic-resource-num&gt;https://doi.org/10.1016/j.colsurfb.2017.05.065&lt;/electronic-resource-num&gt;&lt;/record&gt;&lt;/Cite&gt;&lt;/EndNote&gt;</w:instrTex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5F0AD4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[6]</w:t>
      </w:r>
      <w:r w:rsidR="00065BB8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6D2D30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compared to</w:t>
      </w:r>
      <w:r w:rsidR="006D2D30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non-endohedral fullerenes. </w:t>
      </w:r>
    </w:p>
    <w:p w14:paraId="02F7C02E" w14:textId="77777777" w:rsidR="00065BB8" w:rsidRPr="002B58EE" w:rsidRDefault="00065BB8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</w:p>
    <w:p w14:paraId="6B6AB4DF" w14:textId="1AAECB98" w:rsidR="00A2613E" w:rsidRPr="002B58EE" w:rsidRDefault="007B152B" w:rsidP="002B58EE">
      <w:pPr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br w:type="page"/>
      </w:r>
    </w:p>
    <w:p w14:paraId="3A7FD4FD" w14:textId="77777777" w:rsidR="00D33C86" w:rsidRPr="002B58EE" w:rsidRDefault="00D33C86" w:rsidP="002B58EE">
      <w:pPr>
        <w:pStyle w:val="a4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sectPr w:rsidR="00D33C86" w:rsidRPr="002B58EE" w:rsidSect="00A956E7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_Ref69900632"/>
    </w:p>
    <w:p w14:paraId="56446ADD" w14:textId="77777777" w:rsidR="00B967B9" w:rsidRPr="002B58EE" w:rsidRDefault="00DE4CAF" w:rsidP="002B58EE">
      <w:pPr>
        <w:pStyle w:val="a4"/>
        <w:spacing w:after="0"/>
        <w:jc w:val="both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i w:val="0"/>
          <w:iCs w:val="0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6742236" wp14:editId="27950BC2">
            <wp:simplePos x="0" y="0"/>
            <wp:positionH relativeFrom="column">
              <wp:posOffset>-313690</wp:posOffset>
            </wp:positionH>
            <wp:positionV relativeFrom="paragraph">
              <wp:posOffset>0</wp:posOffset>
            </wp:positionV>
            <wp:extent cx="7175500" cy="4997450"/>
            <wp:effectExtent l="0" t="0" r="6350" b="0"/>
            <wp:wrapTight wrapText="bothSides">
              <wp:wrapPolygon edited="0">
                <wp:start x="2236" y="0"/>
                <wp:lineTo x="115" y="823"/>
                <wp:lineTo x="57" y="2635"/>
                <wp:lineTo x="115" y="3623"/>
                <wp:lineTo x="2179" y="4117"/>
                <wp:lineTo x="1147" y="5270"/>
                <wp:lineTo x="1147" y="5681"/>
                <wp:lineTo x="3097" y="6752"/>
                <wp:lineTo x="172" y="6834"/>
                <wp:lineTo x="115" y="8069"/>
                <wp:lineTo x="2179" y="8069"/>
                <wp:lineTo x="57" y="8481"/>
                <wp:lineTo x="115" y="10292"/>
                <wp:lineTo x="2179" y="10704"/>
                <wp:lineTo x="1147" y="11939"/>
                <wp:lineTo x="1147" y="12351"/>
                <wp:lineTo x="2982" y="13339"/>
                <wp:lineTo x="172" y="13421"/>
                <wp:lineTo x="115" y="14656"/>
                <wp:lineTo x="2179" y="14656"/>
                <wp:lineTo x="0" y="14986"/>
                <wp:lineTo x="0" y="15974"/>
                <wp:lineTo x="115" y="16879"/>
                <wp:lineTo x="2179" y="17291"/>
                <wp:lineTo x="1147" y="18526"/>
                <wp:lineTo x="1147" y="19432"/>
                <wp:lineTo x="4989" y="19926"/>
                <wp:lineTo x="10781" y="19926"/>
                <wp:lineTo x="18981" y="21243"/>
                <wp:lineTo x="18981" y="21490"/>
                <wp:lineTo x="19841" y="21490"/>
                <wp:lineTo x="21275" y="21161"/>
                <wp:lineTo x="21103" y="20502"/>
                <wp:lineTo x="10781" y="19926"/>
                <wp:lineTo x="18867" y="19926"/>
                <wp:lineTo x="21504" y="19596"/>
                <wp:lineTo x="21562" y="13421"/>
                <wp:lineTo x="21046" y="13339"/>
                <wp:lineTo x="16515" y="13339"/>
                <wp:lineTo x="21447" y="12268"/>
                <wp:lineTo x="21562" y="6834"/>
                <wp:lineTo x="21046" y="6752"/>
                <wp:lineTo x="16515" y="6752"/>
                <wp:lineTo x="21447" y="5681"/>
                <wp:lineTo x="21390" y="0"/>
                <wp:lineTo x="22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" t="9099" r="9315" b="4626"/>
                    <a:stretch/>
                  </pic:blipFill>
                  <pic:spPr bwMode="auto">
                    <a:xfrm>
                      <a:off x="0" y="0"/>
                      <a:ext cx="717550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Figure S. </w:t>
      </w:r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instrText xml:space="preserve"> SEQ Figure_S. \* ARABIC </w:instrText>
      </w:r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 w:rsidR="007B152B" w:rsidRPr="002B58EE">
        <w:rPr>
          <w:rFonts w:ascii="Palatino Linotype" w:hAnsi="Palatino Linotype" w:cs="Times New Roman"/>
          <w:i w:val="0"/>
          <w:iCs w:val="0"/>
          <w:noProof/>
          <w:color w:val="000000" w:themeColor="text1"/>
          <w:sz w:val="24"/>
          <w:szCs w:val="24"/>
          <w:lang w:val="en-US"/>
        </w:rPr>
        <w:t>1</w:t>
      </w:r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bookmarkEnd w:id="2"/>
      <w:r w:rsidR="007B152B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. 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The fluorescent spectra of aqueous fullerene dispersions C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60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, C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70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, and Gd@C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82</w:t>
      </w:r>
      <w:r w:rsidR="00680CB8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act as a quencher at 350 nm excitation wavelength, emission spectra registered 400–700 nm</w:t>
      </w:r>
      <w:r w:rsidR="009B283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with maxima</w:t>
      </w:r>
      <w:r w:rsidR="00B967B9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signal</w:t>
      </w:r>
      <w:r w:rsidR="009B283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at 494 nm</w:t>
      </w:r>
      <w:r w:rsidR="00F1296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. </w:t>
      </w:r>
      <w:r w:rsidR="00B967B9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Main areas: </w:t>
      </w:r>
    </w:p>
    <w:p w14:paraId="204BFDC9" w14:textId="77777777" w:rsidR="00B967B9" w:rsidRPr="002B58EE" w:rsidRDefault="00B967B9" w:rsidP="002B58EE">
      <w:pPr>
        <w:pStyle w:val="a4"/>
        <w:spacing w:after="0"/>
        <w:jc w:val="both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(1) R</w:t>
      </w:r>
      <w:r w:rsidR="00DE4CAF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aman scattering peak of water at 497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 </w:t>
      </w:r>
      <w:proofErr w:type="gramStart"/>
      <w:r w:rsidR="00DE4CAF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nm;</w:t>
      </w:r>
      <w:proofErr w:type="gramEnd"/>
      <w:r w:rsidR="00DE4CAF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</w:p>
    <w:p w14:paraId="0D698785" w14:textId="76F33F1B" w:rsidR="00B967B9" w:rsidRPr="002B58EE" w:rsidRDefault="00B967B9" w:rsidP="002B58EE">
      <w:pPr>
        <w:pStyle w:val="a4"/>
        <w:spacing w:after="0"/>
        <w:jc w:val="both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(2) </w:t>
      </w:r>
      <w:r w:rsidR="00D33C8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transparent blue area is luminol signal</w:t>
      </w:r>
      <w:r w:rsidR="00BE1DE0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(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=</w:t>
      </w:r>
      <w:r w:rsidR="00BE1DE0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2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.0 mM</w:t>
      </w:r>
      <w:proofErr w:type="gramStart"/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);</w:t>
      </w:r>
      <w:proofErr w:type="gramEnd"/>
      <w:r w:rsidR="00D33C8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</w:p>
    <w:p w14:paraId="24EFEB71" w14:textId="00AE3ED1" w:rsidR="00B967B9" w:rsidRPr="002B58EE" w:rsidRDefault="00B967B9" w:rsidP="002B58EE">
      <w:pPr>
        <w:pStyle w:val="a4"/>
        <w:spacing w:after="0"/>
        <w:jc w:val="both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(3) </w:t>
      </w:r>
      <w:r w:rsidR="00D33C8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transparent green area is ABAP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signal (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=2.5 mM)</w:t>
      </w:r>
      <w:r w:rsidR="00D33C8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. </w:t>
      </w:r>
    </w:p>
    <w:p w14:paraId="37AC869B" w14:textId="77777777" w:rsidR="00B967B9" w:rsidRPr="002B58EE" w:rsidRDefault="00B967B9" w:rsidP="002B58EE">
      <w:pPr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</w:p>
    <w:p w14:paraId="031F6A8C" w14:textId="4974E7DD" w:rsidR="004953A0" w:rsidRPr="002B58EE" w:rsidRDefault="004F2FF4" w:rsidP="002B58EE">
      <w:pPr>
        <w:pStyle w:val="a4"/>
        <w:spacing w:after="0"/>
        <w:jc w:val="both"/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Registration conditions </w:t>
      </w:r>
      <w:proofErr w:type="gramStart"/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were:</w:t>
      </w:r>
      <w:proofErr w:type="gramEnd"/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e</w:t>
      </w:r>
      <w:r w:rsidR="00F12966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xcitation and emission slits 5 nm, </w:t>
      </w:r>
      <w:r w:rsidR="0079116F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scanning pitch 1 nm, integration time 0.1s, detector voltage 950 V</w:t>
      </w:r>
      <w:r w:rsidR="008F6043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, pH</w:t>
      </w:r>
      <w:r w:rsidR="008F6043" w:rsidRPr="002B58EE">
        <w:rPr>
          <w:rFonts w:cs="Times New Roman"/>
          <w:i w:val="0"/>
          <w:iCs w:val="0"/>
          <w:color w:val="000000" w:themeColor="text1"/>
          <w:sz w:val="24"/>
          <w:szCs w:val="24"/>
          <w:lang w:val="en-US"/>
        </w:rPr>
        <w:t> </w:t>
      </w:r>
      <w:r w:rsidR="008F6043"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7.4 (phosphate buffer)</w:t>
      </w:r>
      <w:r w:rsidRPr="002B58EE">
        <w:rPr>
          <w:rFonts w:ascii="Palatino Linotype" w:hAnsi="Palatino Linotype" w:cs="Times New Roman"/>
          <w:i w:val="0"/>
          <w:iCs w:val="0"/>
          <w:color w:val="000000" w:themeColor="text1"/>
          <w:sz w:val="24"/>
          <w:szCs w:val="24"/>
          <w:lang w:val="en-US"/>
        </w:rPr>
        <w:t>, at 293K.</w:t>
      </w:r>
    </w:p>
    <w:p w14:paraId="0136EDDD" w14:textId="77777777" w:rsidR="00D33C86" w:rsidRPr="002B58EE" w:rsidRDefault="00D33C86" w:rsidP="002B58EE">
      <w:pPr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sectPr w:rsidR="00D33C86" w:rsidRPr="002B58EE" w:rsidSect="00D33C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87A9EF3" w14:textId="2C8A1F74" w:rsidR="00424906" w:rsidRPr="002B58EE" w:rsidRDefault="00151B0A" w:rsidP="002B58EE">
      <w:pPr>
        <w:pStyle w:val="2"/>
        <w:numPr>
          <w:ilvl w:val="1"/>
          <w:numId w:val="1"/>
        </w:numPr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bookmarkStart w:id="3" w:name="_Toc70087961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lastRenderedPageBreak/>
        <w:t xml:space="preserve">Quenching of </w:t>
      </w:r>
      <w:r w:rsidR="00424906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Luminol system</w:t>
      </w:r>
      <w:bookmarkEnd w:id="3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in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the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presence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of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fullerene</w:t>
      </w:r>
    </w:p>
    <w:p w14:paraId="0527CF78" w14:textId="34B24DF4" w:rsidR="006442C4" w:rsidRPr="002B58EE" w:rsidRDefault="005D7C9B" w:rsidP="002B58EE">
      <w:pPr>
        <w:ind w:firstLine="708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In addition, we have estimated of quenching fullerene ability for AFD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70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and Gd@C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in only 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the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luminol added system. </w:t>
      </w:r>
      <w:r w:rsidR="00E5525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The linearity of the Stern-Volmer plot indicates that only one quenching mechanism is possible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;</w:t>
      </w:r>
      <w:r w:rsidR="00E5525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it could be either dynamic or static for more speciation lifetime measurements is needed. </w:t>
      </w:r>
      <w:r w:rsidR="00DE783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L</w:t>
      </w:r>
      <w:r w:rsidR="005B06E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uminol quenching </w:t>
      </w:r>
      <w:r w:rsidR="00D30AC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(</w:t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begin"/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REF _Ref70075733 \h </w:instrText>
      </w:r>
      <w:r w:rsidR="00E5525B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instrText xml:space="preserve"> \* MERGEFORMAT </w:instrText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separate"/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Figure S. </w:t>
      </w:r>
      <w:r w:rsidR="00881F13" w:rsidRPr="002B58EE">
        <w:rPr>
          <w:rFonts w:ascii="Palatino Linotype" w:hAnsi="Palatino Linotype" w:cs="Times New Roman"/>
          <w:noProof/>
          <w:color w:val="000000" w:themeColor="text1"/>
          <w:sz w:val="24"/>
          <w:szCs w:val="24"/>
          <w:lang w:val="en-US"/>
        </w:rPr>
        <w:t>2</w:t>
      </w:r>
      <w:r w:rsidR="00881F13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  <w:r w:rsidR="00D30AC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) 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t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he magnitude of constant value w</w:t>
      </w:r>
      <w:r w:rsidR="00AD2448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as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bookmarkStart w:id="4" w:name="_Hlk70097558"/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 xml:space="preserve">70 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&gt; 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60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&gt; Gd@C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bookmarkEnd w:id="4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(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7.4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 ± 0.1, 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5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7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 ± 0.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3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and 2.9 ± </w:t>
      </w:r>
      <w:proofErr w:type="gramStart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0.1)×</w:t>
      </w:r>
      <w:proofErr w:type="gramEnd"/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10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 M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  <w:lang w:val="en-US"/>
        </w:rPr>
        <w:t>–1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which have good accordance with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ABAP</w:t>
      </w:r>
      <w:r w:rsidR="00475FBA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behavior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, fullerene systems only for Gd@C</w:t>
      </w:r>
      <w:r w:rsidR="00AE3D71" w:rsidRPr="002B58EE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  <w:lang w:val="en-US"/>
        </w:rPr>
        <w:t>82</w:t>
      </w: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>.</w:t>
      </w:r>
      <w:r w:rsidR="0056347A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t xml:space="preserve"> </w:t>
      </w:r>
      <w:r w:rsidR="006442C4"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3552"/>
      </w:tblGrid>
      <w:tr w:rsidR="00B235D2" w:rsidRPr="0007272A" w14:paraId="5B152E39" w14:textId="77777777" w:rsidTr="006442C4">
        <w:tc>
          <w:tcPr>
            <w:tcW w:w="6076" w:type="dxa"/>
          </w:tcPr>
          <w:p w14:paraId="67C5308C" w14:textId="3732BD21" w:rsidR="00E14152" w:rsidRPr="002B58EE" w:rsidRDefault="00D30AC1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  <w:r w:rsidRPr="002B58EE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br w:type="column"/>
            </w:r>
            <w:r w:rsidR="00E14152" w:rsidRPr="002B58EE">
              <w:rPr>
                <w:rFonts w:ascii="Palatino Linotype" w:eastAsiaTheme="minorEastAsia" w:hAnsi="Palatino Linotype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C383373" wp14:editId="2121FED4">
                  <wp:extent cx="3708400" cy="27178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" t="9690" r="13101" b="7364"/>
                          <a:stretch/>
                        </pic:blipFill>
                        <pic:spPr bwMode="auto">
                          <a:xfrm>
                            <a:off x="0" y="0"/>
                            <a:ext cx="37084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Merge w:val="restart"/>
            <w:vAlign w:val="center"/>
          </w:tcPr>
          <w:p w14:paraId="6E436D1A" w14:textId="77777777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5" w:name="_Ref70075733"/>
            <w:r w:rsidRPr="002B58EE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  <w:t xml:space="preserve">Figure S. </w:t>
            </w:r>
            <w:r w:rsidRPr="002B58EE">
              <w:rPr>
                <w:rFonts w:ascii="Palatino Linotype" w:hAnsi="Palatino Linotype" w:cs="Times New Roman"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2B58EE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  <w:instrText xml:space="preserve"> SEQ Figure_S. \* ARABIC </w:instrText>
            </w:r>
            <w:r w:rsidRPr="002B58EE">
              <w:rPr>
                <w:rFonts w:ascii="Palatino Linotype" w:hAnsi="Palatino Linotype" w:cs="Times New Roman"/>
                <w:i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Pr="002B58EE">
              <w:rPr>
                <w:rFonts w:ascii="Palatino Linotype" w:hAnsi="Palatino Linotype" w:cs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  <w:r w:rsidRPr="002B58EE">
              <w:rPr>
                <w:rFonts w:ascii="Palatino Linotype" w:hAnsi="Palatino Linotype" w:cs="Times New Roman"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2B58EE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0E77952" w14:textId="69157092" w:rsidR="00E14152" w:rsidRPr="002B58EE" w:rsidRDefault="00E14152" w:rsidP="002B58EE">
            <w:pPr>
              <w:pStyle w:val="a4"/>
              <w:spacing w:after="0"/>
              <w:jc w:val="both"/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</w:pP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The fluorescent spectra of aqueous fullerene dispersions C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vertAlign w:val="subscript"/>
                <w:lang w:val="en-US"/>
              </w:rPr>
              <w:t>60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, C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vertAlign w:val="subscript"/>
                <w:lang w:val="en-US"/>
              </w:rPr>
              <w:t>70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, and Gd@C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vertAlign w:val="subscript"/>
                <w:lang w:val="en-US"/>
              </w:rPr>
              <w:t>82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 act as a quencher at 350 nm excitation wavelength, emission spectra registered 400–700 nm with maxima signal at 4</w:t>
            </w:r>
            <w:r w:rsidR="006442C4"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28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 nm. </w:t>
            </w:r>
          </w:p>
          <w:p w14:paraId="768C71FE" w14:textId="77777777" w:rsidR="006442C4" w:rsidRPr="002B58EE" w:rsidRDefault="006442C4" w:rsidP="002B58EE">
            <w:pPr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B260033" w14:textId="414E7E2D" w:rsidR="00E14152" w:rsidRPr="002B58EE" w:rsidRDefault="00E14152" w:rsidP="002B58EE">
            <w:pPr>
              <w:pStyle w:val="a4"/>
              <w:spacing w:after="0"/>
              <w:jc w:val="both"/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</w:pP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Registration conditions </w:t>
            </w:r>
            <w:proofErr w:type="gramStart"/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were:</w:t>
            </w:r>
            <w:proofErr w:type="gramEnd"/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 excitation and emission slits 5 nm, scanning pitch 1 nm, integration time 0.1s, detector voltage 950 V, pH</w:t>
            </w:r>
            <w:r w:rsidRPr="002B58EE">
              <w:rPr>
                <w:rFonts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 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7.4 (phosphate buffer), </w:t>
            </w:r>
            <w:r w:rsidR="006442C4"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luminol </w:t>
            </w:r>
            <w:r w:rsidR="006442C4" w:rsidRPr="002B58EE"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442C4"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=2.0 mM; </w:t>
            </w:r>
            <w:r w:rsidRPr="002B58EE">
              <w:rPr>
                <w:rFonts w:ascii="Palatino Linotype" w:hAnsi="Palatino Linotype" w:cs="Times New Roman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>at 293K.</w:t>
            </w:r>
          </w:p>
          <w:p w14:paraId="12E44AC5" w14:textId="77777777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35D2" w:rsidRPr="002B58EE" w14:paraId="35188EB9" w14:textId="77777777" w:rsidTr="006442C4">
        <w:tc>
          <w:tcPr>
            <w:tcW w:w="6076" w:type="dxa"/>
          </w:tcPr>
          <w:p w14:paraId="569B258F" w14:textId="270BD469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  <w:r w:rsidRPr="002B58EE">
              <w:rPr>
                <w:rFonts w:ascii="Palatino Linotype" w:eastAsiaTheme="minorEastAsia" w:hAnsi="Palatino Linotype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0BE08E4C" wp14:editId="1DB0B72A">
                  <wp:extent cx="3689350" cy="27114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4" t="10077" r="12954" b="7171"/>
                          <a:stretch/>
                        </pic:blipFill>
                        <pic:spPr bwMode="auto">
                          <a:xfrm>
                            <a:off x="0" y="0"/>
                            <a:ext cx="3689350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Merge/>
          </w:tcPr>
          <w:p w14:paraId="18FCCB86" w14:textId="77777777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35D2" w:rsidRPr="002B58EE" w14:paraId="1C52C3DD" w14:textId="77777777" w:rsidTr="006442C4">
        <w:tc>
          <w:tcPr>
            <w:tcW w:w="6076" w:type="dxa"/>
          </w:tcPr>
          <w:p w14:paraId="0A282E25" w14:textId="40956B5C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  <w:r w:rsidRPr="002B58EE">
              <w:rPr>
                <w:rFonts w:ascii="Palatino Linotype" w:eastAsiaTheme="minorEastAsia" w:hAnsi="Palatino Linotype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F446D35" wp14:editId="4604615E">
                  <wp:extent cx="3657600" cy="27151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8915" r="11937" b="6783"/>
                          <a:stretch/>
                        </pic:blipFill>
                        <pic:spPr bwMode="auto">
                          <a:xfrm>
                            <a:off x="0" y="0"/>
                            <a:ext cx="3669274" cy="272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Merge/>
          </w:tcPr>
          <w:p w14:paraId="427EFA3D" w14:textId="77777777" w:rsidR="00E14152" w:rsidRPr="002B58EE" w:rsidRDefault="00E14152" w:rsidP="002B58EE">
            <w:pPr>
              <w:jc w:val="both"/>
              <w:rPr>
                <w:rFonts w:ascii="Palatino Linotype" w:hAnsi="Palatino Linotype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7342A2D" w14:textId="36B1A181" w:rsidR="006442C4" w:rsidRPr="002B58EE" w:rsidRDefault="006442C4" w:rsidP="002B58EE">
      <w:pPr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br w:type="page"/>
      </w:r>
    </w:p>
    <w:p w14:paraId="7C4115F0" w14:textId="17E89B90" w:rsidR="00865749" w:rsidRPr="002B58EE" w:rsidRDefault="007B152B" w:rsidP="002B58EE">
      <w:pPr>
        <w:pStyle w:val="1"/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</w:pPr>
      <w:bookmarkStart w:id="6" w:name="_Toc70087962"/>
      <w:r w:rsidRPr="002B58EE">
        <w:rPr>
          <w:rFonts w:ascii="Palatino Linotype" w:eastAsiaTheme="minorEastAsia" w:hAnsi="Palatino Linotype" w:cs="Times New Roman"/>
          <w:color w:val="000000" w:themeColor="text1"/>
          <w:sz w:val="24"/>
          <w:szCs w:val="24"/>
          <w:lang w:val="en-US"/>
        </w:rPr>
        <w:lastRenderedPageBreak/>
        <w:t>Reference list</w:t>
      </w:r>
      <w:bookmarkEnd w:id="6"/>
    </w:p>
    <w:p w14:paraId="2FF6534B" w14:textId="77777777" w:rsidR="0056347A" w:rsidRPr="002B58EE" w:rsidRDefault="009435D3" w:rsidP="002B58EE">
      <w:pPr>
        <w:pStyle w:val="EndNoteBibliography"/>
        <w:spacing w:after="0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color w:val="000000" w:themeColor="text1"/>
          <w:sz w:val="24"/>
          <w:szCs w:val="24"/>
        </w:rPr>
        <w:fldChar w:fldCharType="begin"/>
      </w:r>
      <w:r w:rsidRPr="002B58EE">
        <w:rPr>
          <w:rFonts w:ascii="Palatino Linotype" w:hAnsi="Palatino Linotype"/>
          <w:color w:val="000000" w:themeColor="text1"/>
          <w:sz w:val="24"/>
          <w:szCs w:val="24"/>
        </w:rPr>
        <w:instrText xml:space="preserve"> ADDIN EN.REFLIST </w:instrText>
      </w:r>
      <w:r w:rsidRPr="002B58EE">
        <w:rPr>
          <w:rFonts w:ascii="Palatino Linotype" w:hAnsi="Palatino Linotype"/>
          <w:color w:val="000000" w:themeColor="text1"/>
          <w:sz w:val="24"/>
          <w:szCs w:val="24"/>
        </w:rPr>
        <w:fldChar w:fldCharType="separate"/>
      </w:r>
      <w:r w:rsidR="0056347A" w:rsidRPr="002B58EE">
        <w:rPr>
          <w:rFonts w:ascii="Palatino Linotype" w:hAnsi="Palatino Linotype"/>
          <w:sz w:val="24"/>
          <w:szCs w:val="24"/>
        </w:rPr>
        <w:t>[1] J.R. Lakowicz, Principles of Fluorescence Spectroscopy, Springer US2007.</w:t>
      </w:r>
    </w:p>
    <w:p w14:paraId="071B673F" w14:textId="77777777" w:rsidR="0056347A" w:rsidRPr="002B58EE" w:rsidRDefault="0056347A" w:rsidP="002B58EE">
      <w:pPr>
        <w:pStyle w:val="EndNoteBibliography"/>
        <w:spacing w:after="0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sz w:val="24"/>
          <w:szCs w:val="24"/>
        </w:rPr>
        <w:t>[2] I.C. Wang, L.A. Tai, D.D. Lee, P.P. Kanakamma, C.K.F. Shen, T.-Y. Luh, C.H. Cheng, K.C. Hwang, C60 and Water-Soluble Fullerene Derivatives as Antioxidants Against Radical-Initiated Lipid Peroxidation, Journal of Medicinal Chemistry 42(22) (1999) 4614-4620.</w:t>
      </w:r>
    </w:p>
    <w:p w14:paraId="76576432" w14:textId="77777777" w:rsidR="0056347A" w:rsidRPr="002B58EE" w:rsidRDefault="0056347A" w:rsidP="002B58EE">
      <w:pPr>
        <w:pStyle w:val="EndNoteBibliography"/>
        <w:spacing w:after="0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sz w:val="24"/>
          <w:szCs w:val="24"/>
        </w:rPr>
        <w:t>[3] P. Roy, S. Bag, D. Chakraborty, S. Dasgupta, Exploring the Inhibitory and Antioxidant Effects of Fullerene and Fullerenol on Ribonuclease A, ACS Omega 3(9) (2018) 12270-12283.</w:t>
      </w:r>
    </w:p>
    <w:p w14:paraId="4EA5A930" w14:textId="77777777" w:rsidR="0056347A" w:rsidRPr="002B58EE" w:rsidRDefault="0056347A" w:rsidP="002B58EE">
      <w:pPr>
        <w:pStyle w:val="EndNoteBibliography"/>
        <w:spacing w:after="0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sz w:val="24"/>
          <w:szCs w:val="24"/>
        </w:rPr>
        <w:t>[4] X. Liu, X. Ying, Y. Li, H. Yang, W. Hao, M. Yu, Identification differential behavior of Gd@C82(OH)22 upon interaction with serum albumin using spectroscopic analysis, Spectrochimica Acta Part A: Molecular and Biomolecular Spectroscopy 203 (2018) 383-396.</w:t>
      </w:r>
    </w:p>
    <w:p w14:paraId="0D7D4729" w14:textId="77777777" w:rsidR="0056347A" w:rsidRPr="002B58EE" w:rsidRDefault="0056347A" w:rsidP="002B58EE">
      <w:pPr>
        <w:pStyle w:val="EndNoteBibliography"/>
        <w:spacing w:after="0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sz w:val="24"/>
          <w:szCs w:val="24"/>
        </w:rPr>
        <w:t>[5] V.V. Sharoyko, S.V. Ageev, N.E. Podolsky, A.V. Petrov, E.V. Litasova, T.D. Vlasov, L.V. Vasina, I.V. Murin, L.B. Piotrovskiy, K.N. Semenov, Biologically active water-soluble fullerene adducts: Das Glasperlenspiel (by H. Hesse)?, Journal of Molecular Liquids 323 (2021) 114990.</w:t>
      </w:r>
    </w:p>
    <w:p w14:paraId="2A7BD612" w14:textId="77777777" w:rsidR="0056347A" w:rsidRPr="002B58EE" w:rsidRDefault="0056347A" w:rsidP="002B58EE">
      <w:pPr>
        <w:pStyle w:val="EndNoteBibliography"/>
        <w:rPr>
          <w:rFonts w:ascii="Palatino Linotype" w:hAnsi="Palatino Linotype"/>
          <w:sz w:val="24"/>
          <w:szCs w:val="24"/>
        </w:rPr>
      </w:pPr>
      <w:r w:rsidRPr="002B58EE">
        <w:rPr>
          <w:rFonts w:ascii="Palatino Linotype" w:hAnsi="Palatino Linotype"/>
          <w:sz w:val="24"/>
          <w:szCs w:val="24"/>
        </w:rPr>
        <w:t>[6] L.-Y. Yang, S.-Y. Hua, Z.-Q. Zhou, G.-C. Wang, F.-L. Jiang, Y. Liu, Characterization of fullerenol-protein interactions and an extended investigation on cytotoxicity, Colloids and Surfaces B: Biointerfaces 157 (2017) 261-267.</w:t>
      </w:r>
    </w:p>
    <w:p w14:paraId="481F23B4" w14:textId="49B471BA" w:rsidR="00E3697E" w:rsidRPr="002B58EE" w:rsidRDefault="009435D3" w:rsidP="002B58EE">
      <w:pPr>
        <w:spacing w:after="0"/>
        <w:ind w:firstLine="709"/>
        <w:jc w:val="both"/>
        <w:rPr>
          <w:rFonts w:ascii="Palatino Linotype" w:hAnsi="Palatino Linotype" w:cs="Times New Roman"/>
          <w:color w:val="000000" w:themeColor="text1"/>
          <w:szCs w:val="28"/>
          <w:lang w:val="en-US"/>
        </w:rPr>
      </w:pPr>
      <w:r w:rsidRPr="002B58EE">
        <w:rPr>
          <w:rFonts w:ascii="Palatino Linotype" w:hAnsi="Palatino Linotype" w:cs="Times New Roman"/>
          <w:color w:val="000000" w:themeColor="text1"/>
          <w:sz w:val="24"/>
          <w:szCs w:val="24"/>
          <w:lang w:val="en-US"/>
        </w:rPr>
        <w:fldChar w:fldCharType="end"/>
      </w:r>
    </w:p>
    <w:sectPr w:rsidR="00E3697E" w:rsidRPr="002B58EE" w:rsidSect="00A95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D1F" w14:textId="77777777" w:rsidR="00B235D2" w:rsidRDefault="00B235D2" w:rsidP="00B235D2">
      <w:pPr>
        <w:spacing w:after="0"/>
      </w:pPr>
      <w:r>
        <w:separator/>
      </w:r>
    </w:p>
  </w:endnote>
  <w:endnote w:type="continuationSeparator" w:id="0">
    <w:p w14:paraId="64FA908B" w14:textId="77777777" w:rsidR="00B235D2" w:rsidRDefault="00B235D2" w:rsidP="00B23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575222"/>
      <w:docPartObj>
        <w:docPartGallery w:val="Page Numbers (Bottom of Page)"/>
        <w:docPartUnique/>
      </w:docPartObj>
    </w:sdtPr>
    <w:sdtEndPr/>
    <w:sdtContent>
      <w:p w14:paraId="24D4E51A" w14:textId="3D3F5DEC" w:rsidR="00B235D2" w:rsidRDefault="00B235D2">
        <w:pPr>
          <w:pStyle w:val="aa"/>
          <w:jc w:val="right"/>
        </w:pPr>
        <w:r>
          <w:rPr>
            <w:lang w:val="en-US"/>
          </w:rP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BE90C" w14:textId="77777777" w:rsidR="00B235D2" w:rsidRDefault="00B23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DE9A" w14:textId="77777777" w:rsidR="00B235D2" w:rsidRDefault="00B235D2" w:rsidP="00B235D2">
      <w:pPr>
        <w:spacing w:after="0"/>
      </w:pPr>
      <w:r>
        <w:separator/>
      </w:r>
    </w:p>
  </w:footnote>
  <w:footnote w:type="continuationSeparator" w:id="0">
    <w:p w14:paraId="777E35EA" w14:textId="77777777" w:rsidR="00B235D2" w:rsidRDefault="00B235D2" w:rsidP="00B23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2718"/>
    <w:multiLevelType w:val="multilevel"/>
    <w:tmpl w:val="C54E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NTEzMjQyN7MwNzRW0lEKTi0uzszPAykwrwUAww9n9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bon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5eszts5wz5ahepve95exxpxaad5tpaf2p9&quot;&gt;29032021&lt;record-ids&gt;&lt;item&gt;55&lt;/item&gt;&lt;item&gt;56&lt;/item&gt;&lt;item&gt;57&lt;/item&gt;&lt;item&gt;58&lt;/item&gt;&lt;item&gt;59&lt;/item&gt;&lt;item&gt;60&lt;/item&gt;&lt;/record-ids&gt;&lt;/item&gt;&lt;/Libraries&gt;"/>
  </w:docVars>
  <w:rsids>
    <w:rsidRoot w:val="00E3697E"/>
    <w:rsid w:val="00065BB8"/>
    <w:rsid w:val="0007272A"/>
    <w:rsid w:val="00151B0A"/>
    <w:rsid w:val="00193E0B"/>
    <w:rsid w:val="001A3E73"/>
    <w:rsid w:val="001C426C"/>
    <w:rsid w:val="001E1707"/>
    <w:rsid w:val="002046DA"/>
    <w:rsid w:val="00215DCF"/>
    <w:rsid w:val="002637AD"/>
    <w:rsid w:val="002B58EE"/>
    <w:rsid w:val="00365B28"/>
    <w:rsid w:val="003E5350"/>
    <w:rsid w:val="003F346F"/>
    <w:rsid w:val="00424906"/>
    <w:rsid w:val="00430DD7"/>
    <w:rsid w:val="00475FBA"/>
    <w:rsid w:val="004953A0"/>
    <w:rsid w:val="004F2FF4"/>
    <w:rsid w:val="0053121A"/>
    <w:rsid w:val="005430EF"/>
    <w:rsid w:val="00544E6C"/>
    <w:rsid w:val="0056347A"/>
    <w:rsid w:val="005A045D"/>
    <w:rsid w:val="005B06E1"/>
    <w:rsid w:val="005D7C9B"/>
    <w:rsid w:val="005F0AD4"/>
    <w:rsid w:val="006442C4"/>
    <w:rsid w:val="00662A77"/>
    <w:rsid w:val="006800D6"/>
    <w:rsid w:val="00680CB8"/>
    <w:rsid w:val="006C0B77"/>
    <w:rsid w:val="006D2D30"/>
    <w:rsid w:val="0077122F"/>
    <w:rsid w:val="007853F5"/>
    <w:rsid w:val="0079116F"/>
    <w:rsid w:val="00797BED"/>
    <w:rsid w:val="007B152B"/>
    <w:rsid w:val="007B7065"/>
    <w:rsid w:val="00802B60"/>
    <w:rsid w:val="0081055F"/>
    <w:rsid w:val="008242FF"/>
    <w:rsid w:val="00865749"/>
    <w:rsid w:val="00870751"/>
    <w:rsid w:val="00881F13"/>
    <w:rsid w:val="008926B6"/>
    <w:rsid w:val="00894FBB"/>
    <w:rsid w:val="008E5B76"/>
    <w:rsid w:val="008F6043"/>
    <w:rsid w:val="00905164"/>
    <w:rsid w:val="00922C48"/>
    <w:rsid w:val="009370B7"/>
    <w:rsid w:val="009435D3"/>
    <w:rsid w:val="009527FE"/>
    <w:rsid w:val="00984BAC"/>
    <w:rsid w:val="00986443"/>
    <w:rsid w:val="0099026D"/>
    <w:rsid w:val="009A21A5"/>
    <w:rsid w:val="009B2836"/>
    <w:rsid w:val="009D465C"/>
    <w:rsid w:val="00A249ED"/>
    <w:rsid w:val="00A2613E"/>
    <w:rsid w:val="00A7496D"/>
    <w:rsid w:val="00A956E7"/>
    <w:rsid w:val="00AC5C95"/>
    <w:rsid w:val="00AD2448"/>
    <w:rsid w:val="00AE3D71"/>
    <w:rsid w:val="00B235D2"/>
    <w:rsid w:val="00B83DC4"/>
    <w:rsid w:val="00B915B7"/>
    <w:rsid w:val="00B967B9"/>
    <w:rsid w:val="00BE1DE0"/>
    <w:rsid w:val="00BF59EA"/>
    <w:rsid w:val="00D025F1"/>
    <w:rsid w:val="00D16F9F"/>
    <w:rsid w:val="00D30AC1"/>
    <w:rsid w:val="00D33C86"/>
    <w:rsid w:val="00DE4CAF"/>
    <w:rsid w:val="00DE7831"/>
    <w:rsid w:val="00E12E50"/>
    <w:rsid w:val="00E14152"/>
    <w:rsid w:val="00E2542F"/>
    <w:rsid w:val="00E3697E"/>
    <w:rsid w:val="00E5525B"/>
    <w:rsid w:val="00EA59DF"/>
    <w:rsid w:val="00ED4535"/>
    <w:rsid w:val="00EE4070"/>
    <w:rsid w:val="00F12966"/>
    <w:rsid w:val="00F12C76"/>
    <w:rsid w:val="00F22E46"/>
    <w:rsid w:val="00FB7D14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36182"/>
  <w15:chartTrackingRefBased/>
  <w15:docId w15:val="{904966B6-450F-4F20-B50D-8D7BA60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5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0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9435D3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9435D3"/>
    <w:rPr>
      <w:rFonts w:ascii="Times New Roman" w:hAnsi="Times New Roman" w:cs="Times New Roman"/>
      <w:noProof/>
      <w:sz w:val="28"/>
      <w:lang w:val="en-US"/>
    </w:rPr>
  </w:style>
  <w:style w:type="paragraph" w:customStyle="1" w:styleId="EndNoteBibliography">
    <w:name w:val="EndNote Bibliography"/>
    <w:basedOn w:val="a"/>
    <w:link w:val="EndNoteBibliography0"/>
    <w:rsid w:val="009435D3"/>
    <w:pPr>
      <w:jc w:val="both"/>
    </w:pPr>
    <w:rPr>
      <w:rFonts w:cs="Times New Roman"/>
      <w:noProof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9435D3"/>
    <w:rPr>
      <w:rFonts w:ascii="Times New Roman" w:hAnsi="Times New Roman" w:cs="Times New Roman"/>
      <w:noProof/>
      <w:sz w:val="28"/>
      <w:lang w:val="en-US"/>
    </w:rPr>
  </w:style>
  <w:style w:type="character" w:styleId="a3">
    <w:name w:val="Placeholder Text"/>
    <w:basedOn w:val="a0"/>
    <w:uiPriority w:val="99"/>
    <w:semiHidden/>
    <w:rsid w:val="00865749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7B152B"/>
    <w:pPr>
      <w:spacing w:after="200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E1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0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42490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490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24906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42490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235D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235D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235D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235D2"/>
    <w:rPr>
      <w:rFonts w:ascii="Times New Roman" w:hAnsi="Times New Roman"/>
      <w:sz w:val="28"/>
    </w:rPr>
  </w:style>
  <w:style w:type="paragraph" w:customStyle="1" w:styleId="MDPI13authornames">
    <w:name w:val="MDPI_1.3_authornames"/>
    <w:next w:val="a"/>
    <w:qFormat/>
    <w:rsid w:val="002B58E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2B58EE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2B58E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2B58EE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2B58EE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31D6-17BF-410B-ACA3-23F761A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Mikheev</dc:creator>
  <cp:keywords/>
  <dc:description/>
  <cp:lastModifiedBy>Mikhail Proskurnin</cp:lastModifiedBy>
  <cp:revision>72</cp:revision>
  <dcterms:created xsi:type="dcterms:W3CDTF">2021-04-21T04:56:00Z</dcterms:created>
  <dcterms:modified xsi:type="dcterms:W3CDTF">2021-04-29T09:09:00Z</dcterms:modified>
</cp:coreProperties>
</file>