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61" w:rsidRPr="006453D9" w:rsidRDefault="00D70261" w:rsidP="00D70261">
      <w:pPr>
        <w:pStyle w:val="MDPI11articletype"/>
      </w:pPr>
      <w:r w:rsidRPr="006453D9">
        <w:t>Article</w:t>
      </w:r>
    </w:p>
    <w:p w:rsidR="00D70261" w:rsidRPr="003B1AF1" w:rsidRDefault="00D70261" w:rsidP="00D70261">
      <w:pPr>
        <w:pStyle w:val="MDPI12title"/>
      </w:pPr>
      <w:r w:rsidRPr="00442730">
        <w:t>Development of Phosphodiesterase-Protein Kinase complexes as novel targets for discovery of inhibitors with enhanced specificity</w:t>
      </w:r>
    </w:p>
    <w:p w:rsidR="00D70261" w:rsidRDefault="00D70261" w:rsidP="00D70261">
      <w:pPr>
        <w:pStyle w:val="MDPI13authornames"/>
      </w:pPr>
      <w:r>
        <w:t>Nikhil K. Tulsian</w:t>
      </w:r>
      <w:r w:rsidRPr="00442730">
        <w:rPr>
          <w:vertAlign w:val="superscript"/>
        </w:rPr>
        <w:t>1,2</w:t>
      </w:r>
      <w:r w:rsidR="00BF6114">
        <w:t xml:space="preserve">, </w:t>
      </w:r>
      <w:r w:rsidR="00BF6114" w:rsidRPr="006C09AE">
        <w:t>Valerie Jia-En</w:t>
      </w:r>
      <w:r w:rsidRPr="006C09AE">
        <w:t xml:space="preserve"> Sin</w:t>
      </w:r>
      <w:r w:rsidRPr="006C09AE">
        <w:rPr>
          <w:vertAlign w:val="superscript"/>
        </w:rPr>
        <w:t>3</w:t>
      </w:r>
      <w:r w:rsidRPr="006C09AE">
        <w:t>, Hwe</w:t>
      </w:r>
      <w:r w:rsidRPr="00442730">
        <w:t>e-Ling Koh</w:t>
      </w:r>
      <w:r w:rsidRPr="00442730">
        <w:rPr>
          <w:vertAlign w:val="superscript"/>
        </w:rPr>
        <w:t>3*</w:t>
      </w:r>
      <w:r w:rsidRPr="00442730">
        <w:t>, Ganesh S. Anand</w:t>
      </w:r>
      <w:r w:rsidRPr="00442730">
        <w:rPr>
          <w:vertAlign w:val="superscript"/>
        </w:rPr>
        <w:t>1,4*</w:t>
      </w:r>
    </w:p>
    <w:p w:rsidR="00D70261" w:rsidRPr="00D945EC" w:rsidRDefault="00D70261" w:rsidP="00D70261">
      <w:pPr>
        <w:pStyle w:val="MDPI16affiliation"/>
        <w:ind w:left="450" w:hanging="360"/>
      </w:pPr>
      <w:r w:rsidRPr="00035FC3">
        <w:rPr>
          <w:vertAlign w:val="superscript"/>
        </w:rPr>
        <w:t>1</w:t>
      </w:r>
      <w:r w:rsidRPr="00D945EC">
        <w:tab/>
      </w:r>
      <w:r w:rsidRPr="00442730">
        <w:t>Department of Biological Sciences, 14 Science Drive 4, National University of Singapore, Singapore – 117543</w:t>
      </w:r>
    </w:p>
    <w:p w:rsidR="00D70261" w:rsidRDefault="00D70261" w:rsidP="00D70261">
      <w:pPr>
        <w:pStyle w:val="MDPI16affiliation"/>
        <w:ind w:left="450" w:hanging="360"/>
      </w:pPr>
      <w:r w:rsidRPr="00D945EC">
        <w:rPr>
          <w:vertAlign w:val="superscript"/>
        </w:rPr>
        <w:t>2</w:t>
      </w:r>
      <w:r w:rsidRPr="00D945EC">
        <w:tab/>
      </w:r>
      <w:r w:rsidRPr="00442730">
        <w:t>Department of Biochemistry, 28 Medical Drive, National University of Singapore, Singapore – 117546</w:t>
      </w:r>
    </w:p>
    <w:p w:rsidR="00D70261" w:rsidRPr="00D945EC" w:rsidRDefault="00D70261" w:rsidP="00D70261">
      <w:pPr>
        <w:pStyle w:val="MDPI16affiliation"/>
        <w:ind w:left="450" w:hanging="360"/>
      </w:pPr>
      <w:r>
        <w:rPr>
          <w:vertAlign w:val="superscript"/>
        </w:rPr>
        <w:t>3</w:t>
      </w:r>
      <w:r w:rsidRPr="00D945EC">
        <w:tab/>
      </w:r>
      <w:r w:rsidRPr="00442730">
        <w:t xml:space="preserve">Department of </w:t>
      </w:r>
      <w:r>
        <w:t>Pharmacy</w:t>
      </w:r>
      <w:r w:rsidRPr="00442730">
        <w:t>, 1</w:t>
      </w:r>
      <w:r>
        <w:t>8</w:t>
      </w:r>
      <w:r w:rsidRPr="00442730">
        <w:t xml:space="preserve"> Science Drive 4, National University of Singapore, Singapore – 117543</w:t>
      </w:r>
    </w:p>
    <w:p w:rsidR="00D70261" w:rsidRDefault="00D70261" w:rsidP="00D70261">
      <w:pPr>
        <w:pStyle w:val="MDPI16affiliation"/>
        <w:ind w:left="450" w:hanging="360"/>
      </w:pPr>
      <w:r>
        <w:rPr>
          <w:vertAlign w:val="superscript"/>
        </w:rPr>
        <w:t>4</w:t>
      </w:r>
      <w:r w:rsidRPr="00D945EC">
        <w:tab/>
      </w:r>
      <w:r w:rsidRPr="00442730">
        <w:t>Department of Chemistry, The Pennsylvania State University, Philadelphia, United States of America</w:t>
      </w:r>
      <w:r>
        <w:t xml:space="preserve"> - 16801</w:t>
      </w:r>
    </w:p>
    <w:p w:rsidR="00D70261" w:rsidRDefault="00D70261" w:rsidP="00D70261">
      <w:pPr>
        <w:pStyle w:val="MDPI16affiliation"/>
        <w:ind w:left="450" w:hanging="360"/>
      </w:pPr>
      <w:r w:rsidRPr="00331633">
        <w:t>*</w:t>
      </w:r>
      <w:r w:rsidRPr="00D945EC">
        <w:tab/>
        <w:t xml:space="preserve">Correspondence: </w:t>
      </w:r>
      <w:r>
        <w:t>KHL: phakohhl@nus.edu.sg</w:t>
      </w:r>
      <w:r w:rsidRPr="00D945EC">
        <w:t>; Tel.:</w:t>
      </w:r>
      <w:r>
        <w:t xml:space="preserve"> +6565167962; GSA: gsa5089@psu.edu; Tel.:</w:t>
      </w:r>
      <w:r w:rsidRPr="00D945EC">
        <w:t xml:space="preserve"> </w:t>
      </w:r>
      <w:r>
        <w:t>814-867-1944</w:t>
      </w:r>
    </w:p>
    <w:p w:rsidR="00D70261" w:rsidRDefault="00D70261" w:rsidP="00D70261">
      <w:pPr>
        <w:pStyle w:val="MDPI16affiliation"/>
        <w:ind w:left="450" w:hanging="360"/>
      </w:pPr>
    </w:p>
    <w:p w:rsidR="00D70261" w:rsidRDefault="00D70261" w:rsidP="00D70261">
      <w:pPr>
        <w:pStyle w:val="MDPI16affiliation"/>
        <w:ind w:left="450" w:hanging="360"/>
        <w:jc w:val="center"/>
        <w:rPr>
          <w:b/>
          <w:sz w:val="20"/>
        </w:rPr>
      </w:pPr>
    </w:p>
    <w:p w:rsidR="00D70261" w:rsidRPr="00D70261" w:rsidRDefault="00D70261" w:rsidP="00D70261">
      <w:pPr>
        <w:pStyle w:val="MDPI16affiliation"/>
        <w:ind w:left="450" w:hanging="360"/>
        <w:jc w:val="center"/>
        <w:rPr>
          <w:b/>
          <w:sz w:val="20"/>
        </w:rPr>
      </w:pPr>
      <w:r w:rsidRPr="00D70261">
        <w:rPr>
          <w:b/>
          <w:sz w:val="20"/>
        </w:rPr>
        <w:t>SUPPLEMENTARY INFORMATION</w:t>
      </w:r>
    </w:p>
    <w:p w:rsidR="00D70261" w:rsidRDefault="00D70261" w:rsidP="00D702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70261" w:rsidRDefault="006C09AE" w:rsidP="00D702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drawing>
          <wp:inline distT="0" distB="0" distL="0" distR="0" wp14:anchorId="0BFD41EC">
            <wp:extent cx="5938774" cy="241457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82" cy="2435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261" w:rsidRPr="00D70261" w:rsidRDefault="00D70261" w:rsidP="00D70261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0"/>
          <w:szCs w:val="20"/>
          <w:shd w:val="clear" w:color="auto" w:fill="FFFFFF"/>
        </w:rPr>
      </w:pPr>
      <w:r w:rsidRPr="00D70261">
        <w:rPr>
          <w:rFonts w:ascii="Palatino Linotype" w:hAnsi="Palatino Linotype" w:cs="Times New Roman"/>
          <w:b/>
          <w:bCs/>
          <w:sz w:val="20"/>
          <w:szCs w:val="20"/>
          <w:shd w:val="clear" w:color="auto" w:fill="FFFFFF"/>
        </w:rPr>
        <w:t>Supplementary Figure S1: Activity-guided fractionation of plant extracts.</w:t>
      </w:r>
    </w:p>
    <w:p w:rsidR="00D70261" w:rsidRPr="00D70261" w:rsidRDefault="00D70261" w:rsidP="00D70261">
      <w:pPr>
        <w:spacing w:after="0" w:line="240" w:lineRule="auto"/>
        <w:jc w:val="both"/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</w:pPr>
      <w:r w:rsidRPr="00D70261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>Schematic of extraction of compounds/fractions from two species of medicinal plants</w:t>
      </w:r>
      <w:r w:rsidR="006C09AE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 xml:space="preserve"> - </w:t>
      </w:r>
      <w:proofErr w:type="spellStart"/>
      <w:r w:rsidR="006C09AE">
        <w:rPr>
          <w:rFonts w:ascii="Palatino Linotype" w:hAnsi="Palatino Linotype" w:cs="Times New Roman"/>
          <w:bCs/>
          <w:i/>
          <w:sz w:val="20"/>
          <w:szCs w:val="20"/>
          <w:shd w:val="clear" w:color="auto" w:fill="FFFFFF"/>
        </w:rPr>
        <w:t>S</w:t>
      </w:r>
      <w:r w:rsidR="006C09AE" w:rsidRPr="006C09AE">
        <w:rPr>
          <w:rFonts w:ascii="Palatino Linotype" w:hAnsi="Palatino Linotype" w:cs="Times New Roman"/>
          <w:bCs/>
          <w:i/>
          <w:sz w:val="20"/>
          <w:szCs w:val="20"/>
          <w:shd w:val="clear" w:color="auto" w:fill="FFFFFF"/>
        </w:rPr>
        <w:t>wietenia</w:t>
      </w:r>
      <w:proofErr w:type="spellEnd"/>
      <w:r w:rsidR="006C09AE" w:rsidRPr="006C09AE">
        <w:rPr>
          <w:rFonts w:ascii="Palatino Linotype" w:hAnsi="Palatino Linotype" w:cs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="006C09AE" w:rsidRPr="006C09AE">
        <w:rPr>
          <w:rFonts w:ascii="Palatino Linotype" w:hAnsi="Palatino Linotype" w:cs="Times New Roman"/>
          <w:bCs/>
          <w:i/>
          <w:sz w:val="20"/>
          <w:szCs w:val="20"/>
          <w:shd w:val="clear" w:color="auto" w:fill="FFFFFF"/>
        </w:rPr>
        <w:t>macrophylla</w:t>
      </w:r>
      <w:proofErr w:type="spellEnd"/>
      <w:r w:rsidR="006C09AE">
        <w:rPr>
          <w:rFonts w:ascii="Palatino Linotype" w:hAnsi="Palatino Linotype" w:cs="Times New Roman"/>
          <w:bCs/>
          <w:i/>
          <w:sz w:val="20"/>
          <w:szCs w:val="20"/>
          <w:shd w:val="clear" w:color="auto" w:fill="FFFFFF"/>
        </w:rPr>
        <w:t xml:space="preserve"> </w:t>
      </w:r>
      <w:r w:rsidR="006C09AE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 xml:space="preserve">and </w:t>
      </w:r>
      <w:proofErr w:type="spellStart"/>
      <w:r w:rsidR="006C09AE">
        <w:rPr>
          <w:rFonts w:ascii="Palatino Linotype" w:hAnsi="Palatino Linotype" w:cs="Times New Roman"/>
          <w:bCs/>
          <w:i/>
          <w:sz w:val="20"/>
          <w:szCs w:val="20"/>
          <w:shd w:val="clear" w:color="auto" w:fill="FFFFFF"/>
        </w:rPr>
        <w:t>Vitex</w:t>
      </w:r>
      <w:proofErr w:type="spellEnd"/>
      <w:r w:rsidR="006C09AE">
        <w:rPr>
          <w:rFonts w:ascii="Palatino Linotype" w:hAnsi="Palatino Linotype" w:cs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="006C09AE">
        <w:rPr>
          <w:rFonts w:ascii="Palatino Linotype" w:hAnsi="Palatino Linotype" w:cs="Times New Roman"/>
          <w:bCs/>
          <w:i/>
          <w:sz w:val="20"/>
          <w:szCs w:val="20"/>
          <w:shd w:val="clear" w:color="auto" w:fill="FFFFFF"/>
        </w:rPr>
        <w:t>trifolia</w:t>
      </w:r>
      <w:proofErr w:type="spellEnd"/>
      <w:r w:rsidRPr="00D70261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 xml:space="preserve">. </w:t>
      </w:r>
      <w:r w:rsidR="006C09AE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>From each plant, t</w:t>
      </w:r>
      <w:r w:rsidRPr="00D70261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 xml:space="preserve">hree </w:t>
      </w:r>
      <w:r w:rsidR="006C09AE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 xml:space="preserve">crude </w:t>
      </w:r>
      <w:r w:rsidRPr="00D70261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 xml:space="preserve">extracts were </w:t>
      </w:r>
      <w:r w:rsidR="006C09AE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>isola</w:t>
      </w:r>
      <w:r w:rsidRPr="00D70261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>ted and their PDE inhibition was tested by PDE-Glo</w:t>
      </w:r>
      <w:r w:rsidR="006C09AE" w:rsidRPr="006C09AE">
        <w:rPr>
          <w:rFonts w:ascii="Palatino Linotype" w:hAnsi="Palatino Linotype" w:cs="Times New Roman"/>
          <w:bCs/>
          <w:sz w:val="20"/>
          <w:szCs w:val="20"/>
          <w:shd w:val="clear" w:color="auto" w:fill="FFFFFF"/>
          <w:vertAlign w:val="superscript"/>
        </w:rPr>
        <w:t>TM</w:t>
      </w:r>
      <w:r w:rsidRPr="00D70261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 xml:space="preserve"> and FP assays. Each of the active/inhibitory </w:t>
      </w:r>
      <w:bookmarkStart w:id="0" w:name="_GoBack"/>
      <w:bookmarkEnd w:id="0"/>
      <w:r w:rsidRPr="00D70261"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  <w:t>fractions were then subjected to another round of fractionation and activity measurement. Qualitative results of activity assay are shown and the extracts/fractions selected for sub-fractionation are underlined.</w:t>
      </w:r>
    </w:p>
    <w:p w:rsidR="00D70261" w:rsidRPr="00D70261" w:rsidRDefault="00D70261" w:rsidP="00D70261">
      <w:pPr>
        <w:spacing w:after="0" w:line="240" w:lineRule="auto"/>
        <w:jc w:val="both"/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</w:pPr>
    </w:p>
    <w:p w:rsidR="00D70261" w:rsidRDefault="00D70261" w:rsidP="00D70261">
      <w:pPr>
        <w:spacing w:line="240" w:lineRule="auto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  <w:r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br w:type="page"/>
      </w:r>
    </w:p>
    <w:p w:rsidR="00D70261" w:rsidRDefault="00D70261" w:rsidP="00D70261">
      <w:pPr>
        <w:spacing w:after="0" w:line="240" w:lineRule="auto"/>
        <w:jc w:val="both"/>
        <w:rPr>
          <w:rFonts w:ascii="Palatino Linotype" w:eastAsia="Times New Roman" w:hAnsi="Palatino Linotype" w:cs="Calibri"/>
          <w:bCs/>
          <w:color w:val="000000"/>
          <w:sz w:val="20"/>
          <w:szCs w:val="20"/>
        </w:rPr>
      </w:pPr>
      <w:r w:rsidRPr="00D7026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lastRenderedPageBreak/>
        <w:t xml:space="preserve">Supplementary Table S1: </w:t>
      </w:r>
      <w:r w:rsidRPr="00D70261">
        <w:rPr>
          <w:rFonts w:ascii="Palatino Linotype" w:eastAsia="Times New Roman" w:hAnsi="Palatino Linotype" w:cs="Calibri"/>
          <w:bCs/>
          <w:color w:val="000000"/>
          <w:sz w:val="20"/>
          <w:szCs w:val="20"/>
        </w:rPr>
        <w:t>Inhibition values for various extracts and fractions inhibiting PDE8 and PDE5, as determined by fluorescence polarization (FP) and PDE-Glo</w:t>
      </w:r>
      <w:r w:rsidRPr="00D70261">
        <w:rPr>
          <w:rFonts w:ascii="Palatino Linotype" w:eastAsia="Times New Roman" w:hAnsi="Palatino Linotype" w:cs="Calibri"/>
          <w:bCs/>
          <w:color w:val="000000"/>
          <w:sz w:val="20"/>
          <w:szCs w:val="20"/>
          <w:vertAlign w:val="superscript"/>
        </w:rPr>
        <w:t>TM</w:t>
      </w:r>
      <w:r w:rsidRPr="00D70261">
        <w:rPr>
          <w:rFonts w:ascii="Palatino Linotype" w:eastAsia="Times New Roman" w:hAnsi="Palatino Linotype" w:cs="Calibri"/>
          <w:bCs/>
          <w:color w:val="000000"/>
          <w:sz w:val="20"/>
          <w:szCs w:val="20"/>
        </w:rPr>
        <w:t xml:space="preserve"> assays</w:t>
      </w:r>
      <w:r>
        <w:rPr>
          <w:rFonts w:ascii="Palatino Linotype" w:eastAsia="Times New Roman" w:hAnsi="Palatino Linotype" w:cs="Calibri"/>
          <w:bCs/>
          <w:color w:val="000000"/>
          <w:sz w:val="20"/>
          <w:szCs w:val="20"/>
        </w:rPr>
        <w:t xml:space="preserve">. Average values (n = 6) were calculated as described in methods and their standard deviations (SD) are indicated. </w:t>
      </w:r>
    </w:p>
    <w:p w:rsidR="00D70261" w:rsidRPr="00D70261" w:rsidRDefault="00D70261" w:rsidP="00D70261">
      <w:pPr>
        <w:spacing w:after="0" w:line="240" w:lineRule="auto"/>
        <w:jc w:val="both"/>
        <w:rPr>
          <w:rFonts w:ascii="Palatino Linotype" w:hAnsi="Palatino Linotype" w:cs="Times New Roman"/>
          <w:bCs/>
          <w:sz w:val="20"/>
          <w:szCs w:val="20"/>
          <w:shd w:val="clear" w:color="auto" w:fill="FFFFFF"/>
        </w:rPr>
      </w:pPr>
    </w:p>
    <w:tbl>
      <w:tblPr>
        <w:tblW w:w="8070" w:type="dxa"/>
        <w:jc w:val="center"/>
        <w:tblLook w:val="04A0" w:firstRow="1" w:lastRow="0" w:firstColumn="1" w:lastColumn="0" w:noHBand="0" w:noVBand="1"/>
      </w:tblPr>
      <w:tblGrid>
        <w:gridCol w:w="800"/>
        <w:gridCol w:w="1320"/>
        <w:gridCol w:w="1900"/>
        <w:gridCol w:w="620"/>
        <w:gridCol w:w="2470"/>
        <w:gridCol w:w="960"/>
      </w:tblGrid>
      <w:tr w:rsidR="00D70261" w:rsidRPr="00D70261" w:rsidTr="00D70261">
        <w:trPr>
          <w:trHeight w:val="315"/>
          <w:jc w:val="center"/>
        </w:trPr>
        <w:tc>
          <w:tcPr>
            <w:tcW w:w="8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(</w:t>
            </w:r>
            <w:proofErr w:type="spellStart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i</w:t>
            </w:r>
            <w:proofErr w:type="spellEnd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) PDE8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Sample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%FP inhibition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%PDE-</w:t>
            </w:r>
            <w:proofErr w:type="spellStart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Glo</w:t>
            </w:r>
            <w:proofErr w:type="spellEnd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 xml:space="preserve"> inhibition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SD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No PDE8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99.95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PF-04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95.6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99.6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0.65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IBMX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0.24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92.3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6.4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6.56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24.7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6.1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32.58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9.6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40.2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99.7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2.3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88.56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</w:rPr>
              <w:t>99.71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2.60</w:t>
            </w:r>
          </w:p>
        </w:tc>
      </w:tr>
      <w:tr w:rsidR="00D70261" w:rsidRPr="00D70261" w:rsidTr="00D70261">
        <w:trPr>
          <w:trHeight w:val="74"/>
          <w:jc w:val="center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(ii) PDE5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Sample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%FP inhibition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%PDE-</w:t>
            </w:r>
            <w:proofErr w:type="spellStart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Glo</w:t>
            </w:r>
            <w:proofErr w:type="spellEnd"/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 xml:space="preserve"> inhibition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SD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No PDE5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0.00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Sildenafil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96.50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2.30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99.83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6.40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6.10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C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99.10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96.80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1.95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75.50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9.60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85.37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85.30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2.30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99.83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0.65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90.90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5.76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82.60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98.53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1.26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8.15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44.67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8.54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-12.70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3.70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C5 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95.80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2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95.65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1.30</w:t>
            </w:r>
          </w:p>
        </w:tc>
      </w:tr>
      <w:tr w:rsidR="00D70261" w:rsidRPr="00D70261" w:rsidTr="00D70261">
        <w:trPr>
          <w:trHeight w:val="315"/>
          <w:jc w:val="center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C5-3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99.10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94.40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261" w:rsidRPr="00D70261" w:rsidRDefault="00D70261" w:rsidP="00D7026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7026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1.74</w:t>
            </w:r>
          </w:p>
        </w:tc>
      </w:tr>
    </w:tbl>
    <w:p w:rsidR="00D70261" w:rsidRDefault="00D70261" w:rsidP="00D702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C52C5" w:rsidRDefault="001C52C5" w:rsidP="00D70261">
      <w:pPr>
        <w:spacing w:line="240" w:lineRule="auto"/>
      </w:pPr>
    </w:p>
    <w:sectPr w:rsidR="001C5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1"/>
    <w:rsid w:val="000D2FA1"/>
    <w:rsid w:val="001C52C5"/>
    <w:rsid w:val="00245594"/>
    <w:rsid w:val="003A41B8"/>
    <w:rsid w:val="006C09AE"/>
    <w:rsid w:val="00BB1991"/>
    <w:rsid w:val="00BF6114"/>
    <w:rsid w:val="00D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517A-DF7B-4B04-BDAF-07D41A5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D70261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D7026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D7026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D70261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Kumar Tulsian</dc:creator>
  <cp:keywords/>
  <dc:description/>
  <cp:lastModifiedBy>Nikhil Kumar Tulsian</cp:lastModifiedBy>
  <cp:revision>3</cp:revision>
  <dcterms:created xsi:type="dcterms:W3CDTF">2021-03-31T06:56:00Z</dcterms:created>
  <dcterms:modified xsi:type="dcterms:W3CDTF">2021-04-05T06:26:00Z</dcterms:modified>
</cp:coreProperties>
</file>