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29489" w14:textId="77777777" w:rsidR="00FF3503" w:rsidRPr="00CE6EAA" w:rsidRDefault="00FF3503" w:rsidP="00FF3503">
      <w:pPr>
        <w:spacing w:before="100" w:beforeAutospacing="1" w:after="100" w:afterAutospacing="1"/>
        <w:jc w:val="center"/>
        <w:rPr>
          <w:rFonts w:ascii="Myriad Pro" w:hAnsi="Myriad Pro"/>
          <w:sz w:val="22"/>
          <w:szCs w:val="22"/>
        </w:rPr>
      </w:pPr>
      <w:r w:rsidRPr="00CE6EAA">
        <w:rPr>
          <w:rFonts w:ascii="Myriad Pro" w:hAnsi="Myriad Pro"/>
          <w:sz w:val="22"/>
          <w:szCs w:val="22"/>
        </w:rPr>
        <w:t>Supporting Information for</w:t>
      </w:r>
    </w:p>
    <w:p w14:paraId="59F910A1" w14:textId="4E470F12" w:rsidR="00FF3503" w:rsidRPr="00B06D82" w:rsidRDefault="00B06D82" w:rsidP="00FF3503">
      <w:pPr>
        <w:spacing w:before="100" w:beforeAutospacing="1" w:after="100" w:afterAutospacing="1"/>
        <w:jc w:val="center"/>
        <w:rPr>
          <w:rFonts w:ascii="Myriad Pro" w:hAnsi="Myriad Pro"/>
          <w:bCs/>
          <w:sz w:val="22"/>
          <w:szCs w:val="22"/>
        </w:rPr>
      </w:pPr>
      <w:r>
        <w:rPr>
          <w:rFonts w:ascii="Myriad Pro" w:hAnsi="Myriad Pro"/>
          <w:bCs/>
          <w:sz w:val="22"/>
          <w:szCs w:val="22"/>
        </w:rPr>
        <w:t>“</w:t>
      </w:r>
      <w:r w:rsidR="00002CC8" w:rsidRPr="00B06D82">
        <w:rPr>
          <w:rFonts w:ascii="Myriad Pro" w:hAnsi="Myriad Pro"/>
          <w:bCs/>
          <w:sz w:val="22"/>
          <w:szCs w:val="22"/>
        </w:rPr>
        <w:t>Analysis of Arctic spring ozone anomaly in the phases of QBO</w:t>
      </w:r>
      <w:r w:rsidR="00002CC8" w:rsidRPr="00B06D82">
        <w:rPr>
          <w:rFonts w:ascii="Myriad Pro" w:hAnsi="Myriad Pro" w:hint="eastAsia"/>
          <w:bCs/>
          <w:sz w:val="22"/>
          <w:szCs w:val="22"/>
        </w:rPr>
        <w:t xml:space="preserve"> </w:t>
      </w:r>
      <w:r w:rsidR="00002CC8" w:rsidRPr="00B06D82">
        <w:rPr>
          <w:rFonts w:ascii="Myriad Pro" w:hAnsi="Myriad Pro"/>
          <w:bCs/>
          <w:sz w:val="22"/>
          <w:szCs w:val="22"/>
        </w:rPr>
        <w:t xml:space="preserve">and </w:t>
      </w:r>
      <w:bookmarkStart w:id="0" w:name="_Hlk63266039"/>
      <w:r w:rsidR="00002CC8" w:rsidRPr="00B06D82">
        <w:rPr>
          <w:rFonts w:ascii="Myriad Pro" w:hAnsi="Myriad Pro"/>
          <w:bCs/>
          <w:sz w:val="22"/>
          <w:szCs w:val="22"/>
        </w:rPr>
        <w:t>11-year solar cycle</w:t>
      </w:r>
      <w:bookmarkEnd w:id="0"/>
      <w:r w:rsidR="00002CC8" w:rsidRPr="00B06D82">
        <w:rPr>
          <w:rFonts w:ascii="Myriad Pro" w:hAnsi="Myriad Pro"/>
          <w:bCs/>
          <w:sz w:val="22"/>
          <w:szCs w:val="22"/>
        </w:rPr>
        <w:t xml:space="preserve"> for 1979–2011</w:t>
      </w:r>
      <w:r>
        <w:rPr>
          <w:rFonts w:ascii="Myriad Pro" w:hAnsi="Myriad Pro"/>
          <w:bCs/>
          <w:sz w:val="22"/>
          <w:szCs w:val="22"/>
        </w:rPr>
        <w:t>” by</w:t>
      </w:r>
    </w:p>
    <w:p w14:paraId="42FFC78E" w14:textId="55C1445B" w:rsidR="00FF3503" w:rsidRDefault="00A47B6A" w:rsidP="00FF3503">
      <w:pPr>
        <w:spacing w:before="100" w:beforeAutospacing="1" w:after="100" w:afterAutospacing="1"/>
        <w:jc w:val="center"/>
        <w:rPr>
          <w:rFonts w:ascii="Myriad Pro" w:hAnsi="Myriad Pro"/>
          <w:sz w:val="22"/>
          <w:szCs w:val="22"/>
        </w:rPr>
      </w:pPr>
      <w:bookmarkStart w:id="1" w:name="_Hlk68012730"/>
      <w:r>
        <w:rPr>
          <w:rFonts w:ascii="Myriad Pro" w:hAnsi="Myriad Pro"/>
          <w:sz w:val="22"/>
          <w:szCs w:val="22"/>
        </w:rPr>
        <w:t>Yousuke Yamashita</w:t>
      </w:r>
      <w:r w:rsidRPr="00A47B6A">
        <w:rPr>
          <w:rFonts w:ascii="Myriad Pro" w:hAnsi="Myriad Pro"/>
          <w:sz w:val="22"/>
          <w:szCs w:val="22"/>
          <w:vertAlign w:val="superscript"/>
        </w:rPr>
        <w:t>1,2</w:t>
      </w:r>
      <w:r>
        <w:rPr>
          <w:rFonts w:ascii="Myriad Pro" w:hAnsi="Myriad Pro"/>
          <w:sz w:val="22"/>
          <w:szCs w:val="22"/>
        </w:rPr>
        <w:t xml:space="preserve">, </w:t>
      </w:r>
      <w:r w:rsidR="00B01008">
        <w:rPr>
          <w:rFonts w:ascii="Myriad Pro" w:hAnsi="Myriad Pro"/>
          <w:sz w:val="22"/>
          <w:szCs w:val="22"/>
        </w:rPr>
        <w:t>Hideharu Akiyoshi</w:t>
      </w:r>
      <w:r w:rsidR="00B01008" w:rsidRPr="00B01008">
        <w:rPr>
          <w:rFonts w:ascii="Myriad Pro" w:hAnsi="Myriad Pro"/>
          <w:sz w:val="22"/>
          <w:szCs w:val="22"/>
          <w:vertAlign w:val="superscript"/>
        </w:rPr>
        <w:t>1</w:t>
      </w:r>
      <w:r w:rsidR="00B01008">
        <w:rPr>
          <w:rFonts w:ascii="Myriad Pro" w:hAnsi="Myriad Pro"/>
          <w:sz w:val="22"/>
          <w:szCs w:val="22"/>
        </w:rPr>
        <w:t xml:space="preserve">, and </w:t>
      </w:r>
      <w:r>
        <w:rPr>
          <w:rFonts w:ascii="Myriad Pro" w:hAnsi="Myriad Pro"/>
          <w:sz w:val="22"/>
          <w:szCs w:val="22"/>
        </w:rPr>
        <w:t>Masaaki</w:t>
      </w:r>
      <w:r w:rsidR="00B01008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>Takahashi</w:t>
      </w:r>
      <w:bookmarkEnd w:id="1"/>
      <w:r>
        <w:rPr>
          <w:rFonts w:ascii="Myriad Pro" w:hAnsi="Myriad Pro"/>
          <w:sz w:val="22"/>
          <w:szCs w:val="22"/>
          <w:vertAlign w:val="superscript"/>
        </w:rPr>
        <w:t>1,3</w:t>
      </w:r>
    </w:p>
    <w:p w14:paraId="69976EF8" w14:textId="0D8BB87B" w:rsidR="00B77E40" w:rsidRDefault="00C87964" w:rsidP="00FF3503">
      <w:pPr>
        <w:spacing w:before="100" w:beforeAutospacing="1" w:after="100" w:afterAutospacing="1"/>
        <w:jc w:val="center"/>
        <w:rPr>
          <w:rFonts w:ascii="Myriad Pro" w:hAnsi="Myriad Pro"/>
          <w:sz w:val="18"/>
          <w:szCs w:val="18"/>
        </w:rPr>
      </w:pPr>
      <w:r w:rsidRPr="00C87964">
        <w:rPr>
          <w:rFonts w:ascii="Myriad Pro" w:hAnsi="Myriad Pro"/>
          <w:sz w:val="18"/>
          <w:szCs w:val="18"/>
          <w:vertAlign w:val="superscript"/>
        </w:rPr>
        <w:t>1</w:t>
      </w:r>
      <w:r w:rsidR="000D2568">
        <w:rPr>
          <w:rFonts w:ascii="Myriad Pro" w:hAnsi="Myriad Pro"/>
          <w:sz w:val="18"/>
          <w:szCs w:val="18"/>
        </w:rPr>
        <w:t>National Institute for Environmental Studies</w:t>
      </w:r>
    </w:p>
    <w:p w14:paraId="680FCD96" w14:textId="2B2C40B8" w:rsidR="000D2568" w:rsidRDefault="00C87964" w:rsidP="00FF3503">
      <w:pPr>
        <w:spacing w:before="100" w:beforeAutospacing="1" w:after="100" w:afterAutospacing="1"/>
        <w:jc w:val="center"/>
        <w:rPr>
          <w:rFonts w:ascii="Myriad Pro" w:hAnsi="Myriad Pro"/>
          <w:sz w:val="18"/>
          <w:szCs w:val="18"/>
          <w:lang w:eastAsia="ja-JP"/>
        </w:rPr>
      </w:pPr>
      <w:r w:rsidRPr="00C87964">
        <w:rPr>
          <w:rFonts w:ascii="Myriad Pro" w:hAnsi="Myriad Pro"/>
          <w:sz w:val="18"/>
          <w:szCs w:val="18"/>
          <w:vertAlign w:val="superscript"/>
          <w:lang w:eastAsia="ja-JP"/>
        </w:rPr>
        <w:t>2</w:t>
      </w:r>
      <w:r w:rsidR="000D2568">
        <w:rPr>
          <w:rFonts w:ascii="Myriad Pro" w:hAnsi="Myriad Pro" w:hint="eastAsia"/>
          <w:sz w:val="18"/>
          <w:szCs w:val="18"/>
          <w:lang w:eastAsia="ja-JP"/>
        </w:rPr>
        <w:t>Japan A</w:t>
      </w:r>
      <w:r w:rsidR="00A47B6A">
        <w:rPr>
          <w:rFonts w:ascii="Myriad Pro" w:hAnsi="Myriad Pro"/>
          <w:sz w:val="18"/>
          <w:szCs w:val="18"/>
          <w:lang w:eastAsia="ja-JP"/>
        </w:rPr>
        <w:t>gency for Marine-Earth Science and Technology</w:t>
      </w:r>
    </w:p>
    <w:p w14:paraId="3566D94F" w14:textId="04D54B7B" w:rsidR="000D2568" w:rsidRDefault="00C87964" w:rsidP="00FF3503">
      <w:pPr>
        <w:spacing w:before="100" w:beforeAutospacing="1" w:after="100" w:afterAutospacing="1"/>
        <w:jc w:val="center"/>
        <w:rPr>
          <w:rFonts w:ascii="Myriad Pro" w:hAnsi="Myriad Pro"/>
          <w:sz w:val="18"/>
          <w:szCs w:val="18"/>
          <w:lang w:eastAsia="ja-JP"/>
        </w:rPr>
      </w:pPr>
      <w:r w:rsidRPr="00C87964">
        <w:rPr>
          <w:rFonts w:ascii="Myriad Pro" w:hAnsi="Myriad Pro"/>
          <w:sz w:val="18"/>
          <w:szCs w:val="18"/>
          <w:vertAlign w:val="superscript"/>
          <w:lang w:eastAsia="ja-JP"/>
        </w:rPr>
        <w:t>3</w:t>
      </w:r>
      <w:r w:rsidR="00A47B6A">
        <w:rPr>
          <w:rFonts w:ascii="Myriad Pro" w:hAnsi="Myriad Pro"/>
          <w:sz w:val="18"/>
          <w:szCs w:val="18"/>
          <w:lang w:eastAsia="ja-JP"/>
        </w:rPr>
        <w:t>Atmosphere and Ocean Research Institute, The University of Tokyo</w:t>
      </w:r>
    </w:p>
    <w:p w14:paraId="0DC85C4A" w14:textId="05BD5A92" w:rsidR="00C87964" w:rsidRPr="00B77E40" w:rsidRDefault="00C87964" w:rsidP="00FF3503">
      <w:pPr>
        <w:spacing w:before="100" w:beforeAutospacing="1" w:after="100" w:afterAutospacing="1"/>
        <w:jc w:val="center"/>
        <w:rPr>
          <w:rFonts w:ascii="Myriad Pro" w:hAnsi="Myriad Pro"/>
          <w:sz w:val="18"/>
          <w:szCs w:val="18"/>
          <w:lang w:eastAsia="ja-JP"/>
        </w:rPr>
      </w:pPr>
    </w:p>
    <w:p w14:paraId="71891EDF" w14:textId="10DE8CDB" w:rsidR="00094365" w:rsidRPr="00CE6EAA" w:rsidRDefault="00A50033" w:rsidP="00825950">
      <w:pPr>
        <w:spacing w:before="100" w:beforeAutospacing="1" w:after="100" w:afterAutospacing="1"/>
        <w:jc w:val="center"/>
        <w:rPr>
          <w:rFonts w:ascii="Myriad Pro" w:hAnsi="Myriad Pro"/>
          <w:sz w:val="22"/>
          <w:szCs w:val="22"/>
        </w:rPr>
      </w:pPr>
      <w:r w:rsidRPr="00CE6EAA" w:rsidDel="00A50033">
        <w:rPr>
          <w:rFonts w:ascii="Myriad Pro" w:hAnsi="Myriad Pro"/>
          <w:sz w:val="22"/>
          <w:szCs w:val="22"/>
        </w:rPr>
        <w:t xml:space="preserve"> </w:t>
      </w:r>
    </w:p>
    <w:p w14:paraId="347237BD" w14:textId="77777777" w:rsidR="00094365" w:rsidRPr="00CE6EAA" w:rsidRDefault="00094365" w:rsidP="000B2E64">
      <w:pPr>
        <w:spacing w:before="100" w:beforeAutospacing="1" w:after="100" w:afterAutospacing="1"/>
        <w:jc w:val="center"/>
        <w:rPr>
          <w:rFonts w:ascii="Myriad Pro" w:hAnsi="Myriad Pro"/>
          <w:sz w:val="22"/>
          <w:szCs w:val="22"/>
        </w:rPr>
      </w:pPr>
    </w:p>
    <w:p w14:paraId="1CD128B3" w14:textId="77777777" w:rsidR="00111843" w:rsidRDefault="00111843" w:rsidP="00111843">
      <w:pPr>
        <w:rPr>
          <w:rFonts w:ascii="Myriad Pro" w:hAnsi="Myriad Pro"/>
          <w:b/>
        </w:rPr>
      </w:pPr>
      <w:r w:rsidRPr="00CE6EAA">
        <w:rPr>
          <w:rFonts w:ascii="Myriad Pro" w:hAnsi="Myriad Pro"/>
          <w:b/>
        </w:rPr>
        <w:t>Contents of this file</w:t>
      </w:r>
      <w:r w:rsidR="00E43D2D">
        <w:rPr>
          <w:rFonts w:ascii="Myriad Pro" w:hAnsi="Myriad Pro"/>
          <w:b/>
        </w:rPr>
        <w:t xml:space="preserve"> </w:t>
      </w:r>
    </w:p>
    <w:p w14:paraId="1F13291B" w14:textId="77777777" w:rsidR="00E43D2D" w:rsidRPr="00E40896" w:rsidRDefault="00E43D2D" w:rsidP="00111843">
      <w:pPr>
        <w:rPr>
          <w:rFonts w:ascii="Myriad Pro" w:hAnsi="Myriad Pro"/>
        </w:rPr>
      </w:pPr>
    </w:p>
    <w:p w14:paraId="6807841A" w14:textId="2E31E1C9" w:rsidR="00111843" w:rsidRDefault="00B01008" w:rsidP="00B01008">
      <w:pPr>
        <w:ind w:left="72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Figure S1</w:t>
      </w:r>
    </w:p>
    <w:p w14:paraId="4AAFB1C6" w14:textId="298A1425" w:rsidR="00C96209" w:rsidRDefault="00C96209" w:rsidP="00B01008">
      <w:pPr>
        <w:ind w:left="72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Figure S2</w:t>
      </w:r>
    </w:p>
    <w:p w14:paraId="795CD27E" w14:textId="56320CF4" w:rsidR="00111843" w:rsidRDefault="0058689A" w:rsidP="00A47B6A">
      <w:pPr>
        <w:ind w:left="72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Figure S3</w:t>
      </w:r>
    </w:p>
    <w:p w14:paraId="79042C92" w14:textId="77777777" w:rsidR="00FF3503" w:rsidRPr="00CE6EAA" w:rsidRDefault="00FF3503" w:rsidP="00FF3503">
      <w:pPr>
        <w:spacing w:before="100" w:beforeAutospacing="1" w:after="100" w:afterAutospacing="1"/>
        <w:rPr>
          <w:rFonts w:ascii="Myriad Pro" w:hAnsi="Myriad Pro"/>
          <w:b/>
          <w:szCs w:val="24"/>
        </w:rPr>
      </w:pPr>
      <w:r w:rsidRPr="00CE6EAA">
        <w:rPr>
          <w:rFonts w:ascii="Myriad Pro" w:hAnsi="Myriad Pro"/>
          <w:b/>
          <w:bCs/>
          <w:szCs w:val="24"/>
        </w:rPr>
        <w:t>Introduction</w:t>
      </w:r>
      <w:r w:rsidRPr="00CE6EAA">
        <w:rPr>
          <w:rFonts w:ascii="Myriad Pro" w:hAnsi="Myriad Pro"/>
          <w:b/>
          <w:szCs w:val="24"/>
        </w:rPr>
        <w:t xml:space="preserve"> </w:t>
      </w:r>
    </w:p>
    <w:p w14:paraId="69866D22" w14:textId="1181409F" w:rsidR="00F334A6" w:rsidRDefault="00514BB9" w:rsidP="00A47B6A">
      <w:pPr>
        <w:spacing w:before="100" w:beforeAutospacing="1" w:after="100" w:afterAutospacing="1"/>
        <w:rPr>
          <w:rFonts w:ascii="Myriad Pro" w:hAnsi="Myriad Pro"/>
          <w:sz w:val="22"/>
          <w:szCs w:val="22"/>
          <w:lang w:eastAsia="ja-JP"/>
        </w:rPr>
      </w:pPr>
      <w:r>
        <w:rPr>
          <w:rFonts w:ascii="Myriad Pro" w:hAnsi="Myriad Pro"/>
          <w:sz w:val="22"/>
          <w:szCs w:val="22"/>
        </w:rPr>
        <w:t>Figure</w:t>
      </w:r>
      <w:r w:rsidR="0058689A">
        <w:rPr>
          <w:rFonts w:ascii="Myriad Pro" w:hAnsi="Myriad Pro"/>
          <w:sz w:val="22"/>
          <w:szCs w:val="22"/>
        </w:rPr>
        <w:t>s</w:t>
      </w:r>
      <w:r>
        <w:rPr>
          <w:rFonts w:ascii="Myriad Pro" w:hAnsi="Myriad Pro"/>
          <w:sz w:val="22"/>
          <w:szCs w:val="22"/>
        </w:rPr>
        <w:t xml:space="preserve"> </w:t>
      </w:r>
      <w:r w:rsidR="009A405E">
        <w:rPr>
          <w:rFonts w:ascii="Myriad Pro" w:hAnsi="Myriad Pro"/>
          <w:sz w:val="22"/>
          <w:szCs w:val="22"/>
        </w:rPr>
        <w:t xml:space="preserve">S1, </w:t>
      </w:r>
      <w:r>
        <w:rPr>
          <w:rFonts w:ascii="Myriad Pro" w:hAnsi="Myriad Pro"/>
          <w:sz w:val="22"/>
          <w:szCs w:val="22"/>
        </w:rPr>
        <w:t>S</w:t>
      </w:r>
      <w:r w:rsidR="009A405E">
        <w:rPr>
          <w:rFonts w:ascii="Myriad Pro" w:hAnsi="Myriad Pro"/>
          <w:sz w:val="22"/>
          <w:szCs w:val="22"/>
        </w:rPr>
        <w:t>2</w:t>
      </w:r>
      <w:r w:rsidR="000C258A">
        <w:rPr>
          <w:rFonts w:ascii="Myriad Pro" w:hAnsi="Myriad Pro"/>
          <w:sz w:val="22"/>
          <w:szCs w:val="22"/>
        </w:rPr>
        <w:t xml:space="preserve">, </w:t>
      </w:r>
      <w:r w:rsidR="00002CC8">
        <w:rPr>
          <w:rFonts w:ascii="Myriad Pro" w:hAnsi="Myriad Pro"/>
          <w:sz w:val="22"/>
          <w:szCs w:val="22"/>
        </w:rPr>
        <w:t xml:space="preserve">and </w:t>
      </w:r>
      <w:r w:rsidR="000C258A">
        <w:rPr>
          <w:rFonts w:ascii="Myriad Pro" w:hAnsi="Myriad Pro"/>
          <w:sz w:val="22"/>
          <w:szCs w:val="22"/>
        </w:rPr>
        <w:t>S</w:t>
      </w:r>
      <w:r w:rsidR="009A405E">
        <w:rPr>
          <w:rFonts w:ascii="Myriad Pro" w:hAnsi="Myriad Pro"/>
          <w:sz w:val="22"/>
          <w:szCs w:val="22"/>
        </w:rPr>
        <w:t>3</w:t>
      </w:r>
      <w:r w:rsidR="000C258A">
        <w:rPr>
          <w:rFonts w:ascii="Myriad Pro" w:hAnsi="Myriad Pro"/>
          <w:sz w:val="22"/>
          <w:szCs w:val="22"/>
        </w:rPr>
        <w:t>,</w:t>
      </w:r>
      <w:r w:rsidR="0058689A">
        <w:rPr>
          <w:rFonts w:ascii="Myriad Pro" w:hAnsi="Myriad Pro"/>
          <w:sz w:val="22"/>
          <w:szCs w:val="22"/>
        </w:rPr>
        <w:t xml:space="preserve"> are</w:t>
      </w:r>
      <w:r w:rsidR="00001595">
        <w:rPr>
          <w:rFonts w:ascii="Myriad Pro" w:hAnsi="Myriad Pro"/>
          <w:sz w:val="22"/>
          <w:szCs w:val="22"/>
        </w:rPr>
        <w:t xml:space="preserve"> supplied to </w:t>
      </w:r>
      <w:r w:rsidR="009F1E19">
        <w:rPr>
          <w:rFonts w:ascii="Myriad Pro" w:hAnsi="Myriad Pro"/>
          <w:sz w:val="22"/>
          <w:szCs w:val="22"/>
          <w:lang w:eastAsia="ja-JP"/>
        </w:rPr>
        <w:t>support</w:t>
      </w:r>
      <w:r w:rsidR="00F8446C">
        <w:rPr>
          <w:rFonts w:ascii="Myriad Pro" w:hAnsi="Myriad Pro"/>
          <w:sz w:val="22"/>
          <w:szCs w:val="22"/>
        </w:rPr>
        <w:t xml:space="preserve"> Figures </w:t>
      </w:r>
      <w:r w:rsidR="00002CC8">
        <w:rPr>
          <w:rFonts w:ascii="Myriad Pro" w:hAnsi="Myriad Pro"/>
          <w:sz w:val="22"/>
          <w:szCs w:val="22"/>
        </w:rPr>
        <w:t>7</w:t>
      </w:r>
      <w:r w:rsidR="00A47B6A">
        <w:rPr>
          <w:rFonts w:ascii="Myriad Pro" w:hAnsi="Myriad Pro"/>
          <w:sz w:val="22"/>
          <w:szCs w:val="22"/>
        </w:rPr>
        <w:t xml:space="preserve">, </w:t>
      </w:r>
      <w:r w:rsidR="00002CC8">
        <w:rPr>
          <w:rFonts w:ascii="Myriad Pro" w:hAnsi="Myriad Pro"/>
          <w:sz w:val="22"/>
          <w:szCs w:val="22"/>
        </w:rPr>
        <w:t>8</w:t>
      </w:r>
      <w:r w:rsidR="0091603D">
        <w:rPr>
          <w:rFonts w:ascii="Myriad Pro" w:hAnsi="Myriad Pro"/>
          <w:sz w:val="22"/>
          <w:szCs w:val="22"/>
        </w:rPr>
        <w:t xml:space="preserve">, </w:t>
      </w:r>
      <w:r w:rsidR="009A405E">
        <w:rPr>
          <w:rFonts w:ascii="Myriad Pro" w:hAnsi="Myriad Pro"/>
          <w:sz w:val="22"/>
          <w:szCs w:val="22"/>
        </w:rPr>
        <w:t xml:space="preserve">and </w:t>
      </w:r>
      <w:r w:rsidR="00002CC8">
        <w:rPr>
          <w:rFonts w:ascii="Myriad Pro" w:hAnsi="Myriad Pro"/>
          <w:sz w:val="22"/>
          <w:szCs w:val="22"/>
        </w:rPr>
        <w:t>1</w:t>
      </w:r>
      <w:r w:rsidR="00B06D82">
        <w:rPr>
          <w:rFonts w:ascii="Myriad Pro" w:hAnsi="Myriad Pro"/>
          <w:sz w:val="22"/>
          <w:szCs w:val="22"/>
        </w:rPr>
        <w:t>2</w:t>
      </w:r>
      <w:r w:rsidR="00A47B6A">
        <w:rPr>
          <w:rFonts w:ascii="Myriad Pro" w:hAnsi="Myriad Pro"/>
          <w:sz w:val="22"/>
          <w:szCs w:val="22"/>
        </w:rPr>
        <w:t>, respectively.</w:t>
      </w:r>
      <w:r w:rsidR="000B6535">
        <w:rPr>
          <w:rFonts w:ascii="Myriad Pro" w:hAnsi="Myriad Pro"/>
          <w:sz w:val="22"/>
          <w:szCs w:val="22"/>
          <w:lang w:eastAsia="ja-JP"/>
        </w:rPr>
        <w:t xml:space="preserve"> </w:t>
      </w:r>
    </w:p>
    <w:p w14:paraId="080805B0" w14:textId="1FBFDA33" w:rsidR="00410DE8" w:rsidRPr="00CB717D" w:rsidRDefault="00342E6D" w:rsidP="00FF3503">
      <w:pPr>
        <w:spacing w:before="100" w:beforeAutospacing="1" w:after="100" w:afterAutospacing="1"/>
        <w:rPr>
          <w:rFonts w:ascii="Myriad Pro" w:hAnsi="Myriad Pro"/>
          <w:sz w:val="22"/>
          <w:szCs w:val="22"/>
          <w:lang w:eastAsia="ja-JP"/>
        </w:rPr>
      </w:pPr>
      <w:r>
        <w:rPr>
          <w:rFonts w:ascii="Myriad Pro" w:hAnsi="Myriad Pro" w:hint="eastAsia"/>
          <w:sz w:val="22"/>
          <w:szCs w:val="22"/>
          <w:lang w:eastAsia="ja-JP"/>
        </w:rPr>
        <w:t xml:space="preserve"> </w:t>
      </w:r>
    </w:p>
    <w:p w14:paraId="31CB04FC" w14:textId="77777777" w:rsidR="009A405E" w:rsidRPr="001A5E18" w:rsidRDefault="009A405E" w:rsidP="009A405E">
      <w:pPr>
        <w:rPr>
          <w:rFonts w:ascii="Myriad Pro" w:eastAsia="IPAPMincho" w:hAnsi="Myriad Pro"/>
          <w:bCs/>
          <w:kern w:val="32"/>
          <w:sz w:val="22"/>
          <w:szCs w:val="22"/>
        </w:rPr>
      </w:pPr>
      <w:r>
        <w:rPr>
          <w:rFonts w:ascii="Myriad Pro" w:eastAsia="IPAPMincho" w:hAnsi="Myriad Pro"/>
          <w:b/>
          <w:sz w:val="22"/>
          <w:szCs w:val="22"/>
        </w:rPr>
        <w:br w:type="page"/>
      </w:r>
    </w:p>
    <w:p w14:paraId="2BEF26C8" w14:textId="10AF9BB4" w:rsidR="00350BA3" w:rsidRDefault="00350BA3" w:rsidP="00350BA3">
      <w:pPr>
        <w:pStyle w:val="SMHeading"/>
        <w:jc w:val="center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noProof/>
          <w:sz w:val="22"/>
          <w:szCs w:val="22"/>
        </w:rPr>
        <w:lastRenderedPageBreak/>
        <w:drawing>
          <wp:inline distT="0" distB="0" distL="0" distR="0" wp14:anchorId="6D20990F" wp14:editId="718570CF">
            <wp:extent cx="5486400" cy="37211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EC93A" w14:textId="7B428139" w:rsidR="00734060" w:rsidRPr="00734060" w:rsidRDefault="00734060" w:rsidP="00734060">
      <w:pPr>
        <w:pStyle w:val="SMHeading"/>
        <w:rPr>
          <w:rFonts w:ascii="Myriad Pro" w:hAnsi="Myriad Pro"/>
          <w:sz w:val="22"/>
          <w:szCs w:val="22"/>
        </w:rPr>
      </w:pPr>
      <w:r w:rsidRPr="005314B5">
        <w:rPr>
          <w:rFonts w:ascii="Myriad Pro" w:hAnsi="Myriad Pro"/>
          <w:sz w:val="22"/>
          <w:szCs w:val="22"/>
        </w:rPr>
        <w:t>Figure S</w:t>
      </w:r>
      <w:r w:rsidR="00002CC8">
        <w:rPr>
          <w:rFonts w:ascii="Myriad Pro" w:hAnsi="Myriad Pro"/>
          <w:sz w:val="22"/>
          <w:szCs w:val="22"/>
        </w:rPr>
        <w:t>1</w:t>
      </w:r>
      <w:r w:rsidRPr="005314B5">
        <w:rPr>
          <w:rFonts w:ascii="Myriad Pro" w:hAnsi="Myriad Pro"/>
          <w:sz w:val="22"/>
          <w:szCs w:val="22"/>
        </w:rPr>
        <w:t xml:space="preserve">. </w:t>
      </w:r>
      <w:r w:rsidR="00350BA3" w:rsidRPr="00350BA3">
        <w:rPr>
          <w:rFonts w:ascii="Myriad Pro" w:hAnsi="Myriad Pro"/>
          <w:b w:val="0"/>
          <w:sz w:val="22"/>
          <w:szCs w:val="22"/>
        </w:rPr>
        <w:t xml:space="preserve">Same as Figure </w:t>
      </w:r>
      <w:r w:rsidR="00002CC8">
        <w:rPr>
          <w:rFonts w:ascii="Myriad Pro" w:hAnsi="Myriad Pro"/>
          <w:b w:val="0"/>
          <w:sz w:val="22"/>
          <w:szCs w:val="22"/>
          <w:lang w:eastAsia="ja-JP"/>
        </w:rPr>
        <w:t>7</w:t>
      </w:r>
      <w:r w:rsidR="00350BA3" w:rsidRPr="00350BA3">
        <w:rPr>
          <w:rFonts w:ascii="Myriad Pro" w:hAnsi="Myriad Pro"/>
          <w:b w:val="0"/>
          <w:sz w:val="22"/>
          <w:szCs w:val="22"/>
        </w:rPr>
        <w:t>, but for the anomalies without 2009.</w:t>
      </w:r>
    </w:p>
    <w:p w14:paraId="3B96FC8A" w14:textId="72392974" w:rsidR="00B15755" w:rsidRDefault="00B15755">
      <w:pPr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14:paraId="15F84639" w14:textId="77777777" w:rsidR="003E1980" w:rsidRPr="00514BB9" w:rsidRDefault="003E1980" w:rsidP="004E41A6">
      <w:pPr>
        <w:pStyle w:val="SMcaption"/>
        <w:rPr>
          <w:rFonts w:ascii="Myriad Pro" w:hAnsi="Myriad Pro"/>
        </w:rPr>
      </w:pPr>
    </w:p>
    <w:p w14:paraId="5B1E9FB4" w14:textId="4897891A" w:rsidR="004E41A6" w:rsidRDefault="00350BA3" w:rsidP="00350BA3">
      <w:pPr>
        <w:pStyle w:val="SMHeading"/>
        <w:jc w:val="center"/>
        <w:rPr>
          <w:rFonts w:ascii="Myriad Pro" w:eastAsia="IPAPMincho" w:hAnsi="Myriad Pro"/>
          <w:b w:val="0"/>
          <w:sz w:val="22"/>
          <w:szCs w:val="22"/>
        </w:rPr>
      </w:pPr>
      <w:r>
        <w:rPr>
          <w:rFonts w:ascii="Myriad Pro" w:eastAsia="IPAPMincho" w:hAnsi="Myriad Pro"/>
          <w:b w:val="0"/>
          <w:noProof/>
          <w:sz w:val="22"/>
          <w:szCs w:val="22"/>
        </w:rPr>
        <w:drawing>
          <wp:inline distT="0" distB="0" distL="0" distR="0" wp14:anchorId="787397C3" wp14:editId="0E643D05">
            <wp:extent cx="5486400" cy="5958205"/>
            <wp:effectExtent l="0" t="0" r="0" b="444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1B5A1" w14:textId="410BBE3F" w:rsidR="004E41A6" w:rsidRPr="004E41A6" w:rsidRDefault="004E41A6" w:rsidP="003E1980">
      <w:pPr>
        <w:pStyle w:val="SMHeading"/>
        <w:rPr>
          <w:rFonts w:ascii="Myriad Pro" w:hAnsi="Myriad Pro"/>
          <w:b w:val="0"/>
          <w:sz w:val="22"/>
          <w:szCs w:val="22"/>
          <w:lang w:eastAsia="ja-JP"/>
        </w:rPr>
      </w:pPr>
      <w:bookmarkStart w:id="2" w:name="_Hlk31298315"/>
      <w:r>
        <w:rPr>
          <w:rFonts w:ascii="Myriad Pro" w:eastAsia="IPAPMincho" w:hAnsi="Myriad Pro"/>
          <w:sz w:val="22"/>
          <w:szCs w:val="22"/>
        </w:rPr>
        <w:t>Figure S</w:t>
      </w:r>
      <w:r w:rsidR="00002CC8">
        <w:rPr>
          <w:rFonts w:ascii="Myriad Pro" w:eastAsia="IPAPMincho" w:hAnsi="Myriad Pro"/>
          <w:sz w:val="22"/>
          <w:szCs w:val="22"/>
        </w:rPr>
        <w:t>2</w:t>
      </w:r>
      <w:r w:rsidRPr="00DE5A8D">
        <w:rPr>
          <w:rFonts w:ascii="Myriad Pro" w:eastAsia="IPAPMincho" w:hAnsi="Myriad Pro"/>
          <w:sz w:val="22"/>
          <w:szCs w:val="22"/>
        </w:rPr>
        <w:t>.</w:t>
      </w:r>
      <w:r>
        <w:rPr>
          <w:rFonts w:ascii="Myriad Pro" w:eastAsia="IPAPMincho" w:hAnsi="Myriad Pro"/>
          <w:b w:val="0"/>
          <w:sz w:val="22"/>
          <w:szCs w:val="22"/>
        </w:rPr>
        <w:t xml:space="preserve"> </w:t>
      </w:r>
      <w:r w:rsidR="00350BA3" w:rsidRPr="00350BA3">
        <w:rPr>
          <w:rFonts w:ascii="Myriad Pro" w:eastAsia="IPAPMincho" w:hAnsi="Myriad Pro"/>
          <w:b w:val="0"/>
          <w:sz w:val="22"/>
          <w:szCs w:val="22"/>
        </w:rPr>
        <w:t xml:space="preserve">Same as Figure </w:t>
      </w:r>
      <w:r w:rsidR="00002CC8">
        <w:rPr>
          <w:rFonts w:ascii="Myriad Pro" w:eastAsia="IPAPMincho" w:hAnsi="Myriad Pro"/>
          <w:b w:val="0"/>
          <w:sz w:val="22"/>
          <w:szCs w:val="22"/>
        </w:rPr>
        <w:t>8</w:t>
      </w:r>
      <w:r w:rsidR="00350BA3" w:rsidRPr="00350BA3">
        <w:rPr>
          <w:rFonts w:ascii="Myriad Pro" w:eastAsia="IPAPMincho" w:hAnsi="Myriad Pro"/>
          <w:b w:val="0"/>
          <w:sz w:val="22"/>
          <w:szCs w:val="22"/>
        </w:rPr>
        <w:t>, but for the partial column mean anomaly without 2009.</w:t>
      </w:r>
    </w:p>
    <w:bookmarkEnd w:id="2"/>
    <w:p w14:paraId="1A56752D" w14:textId="77777777" w:rsidR="0026150B" w:rsidRDefault="0026150B">
      <w:pPr>
        <w:rPr>
          <w:rFonts w:ascii="Myriad Pro" w:eastAsia="IPAPMincho" w:hAnsi="Myriad Pro"/>
          <w:bCs/>
          <w:kern w:val="32"/>
          <w:sz w:val="22"/>
          <w:szCs w:val="22"/>
        </w:rPr>
      </w:pPr>
      <w:r>
        <w:rPr>
          <w:rFonts w:ascii="Myriad Pro" w:eastAsia="IPAPMincho" w:hAnsi="Myriad Pro"/>
          <w:b/>
          <w:sz w:val="22"/>
          <w:szCs w:val="22"/>
        </w:rPr>
        <w:br w:type="page"/>
      </w:r>
    </w:p>
    <w:p w14:paraId="3A356471" w14:textId="0374B438" w:rsidR="0026150B" w:rsidRDefault="00350BA3" w:rsidP="00350BA3">
      <w:pPr>
        <w:pStyle w:val="SMHeading"/>
        <w:jc w:val="center"/>
        <w:rPr>
          <w:rFonts w:ascii="Myriad Pro" w:eastAsia="IPAPMincho" w:hAnsi="Myriad Pro"/>
          <w:b w:val="0"/>
          <w:sz w:val="22"/>
          <w:szCs w:val="22"/>
        </w:rPr>
      </w:pPr>
      <w:r>
        <w:rPr>
          <w:rFonts w:ascii="Myriad Pro" w:eastAsia="IPAPMincho" w:hAnsi="Myriad Pro"/>
          <w:b w:val="0"/>
          <w:noProof/>
          <w:sz w:val="22"/>
          <w:szCs w:val="22"/>
        </w:rPr>
        <w:lastRenderedPageBreak/>
        <w:drawing>
          <wp:inline distT="0" distB="0" distL="0" distR="0" wp14:anchorId="2F327215" wp14:editId="25CE08F9">
            <wp:extent cx="1962912" cy="547116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S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912" cy="547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84E42" w14:textId="38210D75" w:rsidR="001A5E18" w:rsidRDefault="004E41A6" w:rsidP="00565E8A">
      <w:pPr>
        <w:pStyle w:val="SMHeading"/>
        <w:rPr>
          <w:rFonts w:ascii="Myriad Pro" w:eastAsia="IPAPMincho" w:hAnsi="Myriad Pro"/>
          <w:b w:val="0"/>
          <w:sz w:val="22"/>
          <w:szCs w:val="22"/>
        </w:rPr>
      </w:pPr>
      <w:r>
        <w:rPr>
          <w:rFonts w:ascii="Myriad Pro" w:eastAsia="IPAPMincho" w:hAnsi="Myriad Pro"/>
          <w:sz w:val="22"/>
          <w:szCs w:val="22"/>
        </w:rPr>
        <w:t xml:space="preserve">Figure </w:t>
      </w:r>
      <w:r w:rsidR="006720E0">
        <w:rPr>
          <w:rFonts w:ascii="Myriad Pro" w:eastAsia="IPAPMincho" w:hAnsi="Myriad Pro"/>
          <w:sz w:val="22"/>
          <w:szCs w:val="22"/>
        </w:rPr>
        <w:t>S</w:t>
      </w:r>
      <w:r w:rsidR="00002CC8">
        <w:rPr>
          <w:rFonts w:ascii="Myriad Pro" w:eastAsia="IPAPMincho" w:hAnsi="Myriad Pro"/>
          <w:sz w:val="22"/>
          <w:szCs w:val="22"/>
        </w:rPr>
        <w:t>3</w:t>
      </w:r>
      <w:r w:rsidR="0026150B" w:rsidRPr="0026150B">
        <w:rPr>
          <w:rFonts w:ascii="Myriad Pro" w:eastAsia="IPAPMincho" w:hAnsi="Myriad Pro"/>
          <w:sz w:val="22"/>
          <w:szCs w:val="22"/>
        </w:rPr>
        <w:t>.</w:t>
      </w:r>
      <w:r w:rsidR="0026150B">
        <w:rPr>
          <w:rFonts w:ascii="Myriad Pro" w:eastAsia="IPAPMincho" w:hAnsi="Myriad Pro"/>
          <w:b w:val="0"/>
          <w:sz w:val="22"/>
          <w:szCs w:val="22"/>
        </w:rPr>
        <w:t xml:space="preserve"> </w:t>
      </w:r>
      <w:r w:rsidR="00350BA3" w:rsidRPr="00350BA3">
        <w:rPr>
          <w:rFonts w:ascii="Myriad Pro" w:eastAsia="IPAPMincho" w:hAnsi="Myriad Pro"/>
          <w:b w:val="0"/>
          <w:sz w:val="22"/>
          <w:szCs w:val="22"/>
        </w:rPr>
        <w:t xml:space="preserve">(a) The residual </w:t>
      </w:r>
      <w:proofErr w:type="gramStart"/>
      <w:r w:rsidR="00350BA3" w:rsidRPr="00350BA3">
        <w:rPr>
          <w:rFonts w:ascii="Myriad Pro" w:eastAsia="IPAPMincho" w:hAnsi="Myriad Pro"/>
          <w:b w:val="0"/>
          <w:sz w:val="22"/>
          <w:szCs w:val="22"/>
        </w:rPr>
        <w:t>mean</w:t>
      </w:r>
      <w:proofErr w:type="gramEnd"/>
      <w:r w:rsidR="00350BA3" w:rsidRPr="00350BA3">
        <w:rPr>
          <w:rFonts w:ascii="Myriad Pro" w:eastAsia="IPAPMincho" w:hAnsi="Myriad Pro"/>
          <w:b w:val="0"/>
          <w:sz w:val="22"/>
          <w:szCs w:val="22"/>
        </w:rPr>
        <w:t xml:space="preserve"> meridional circulation anomaly for QBO-W/</w:t>
      </w:r>
      <w:proofErr w:type="spellStart"/>
      <w:r w:rsidR="00350BA3" w:rsidRPr="00350BA3">
        <w:rPr>
          <w:rFonts w:ascii="Myriad Pro" w:eastAsia="IPAPMincho" w:hAnsi="Myriad Pro"/>
          <w:b w:val="0"/>
          <w:sz w:val="22"/>
          <w:szCs w:val="22"/>
        </w:rPr>
        <w:t>S</w:t>
      </w:r>
      <w:r w:rsidR="00350BA3" w:rsidRPr="00350BA3">
        <w:rPr>
          <w:rFonts w:ascii="Myriad Pro" w:eastAsia="IPAPMincho" w:hAnsi="Myriad Pro"/>
          <w:b w:val="0"/>
          <w:sz w:val="22"/>
          <w:szCs w:val="22"/>
          <w:vertAlign w:val="subscript"/>
        </w:rPr>
        <w:t>min</w:t>
      </w:r>
      <w:proofErr w:type="spellEnd"/>
      <w:r w:rsidR="00350BA3" w:rsidRPr="00350BA3">
        <w:rPr>
          <w:rFonts w:ascii="Myriad Pro" w:eastAsia="IPAPMincho" w:hAnsi="Myriad Pro"/>
          <w:b w:val="0"/>
          <w:sz w:val="22"/>
          <w:szCs w:val="22"/>
        </w:rPr>
        <w:t xml:space="preserve"> in January, but for</w:t>
      </w:r>
      <w:r w:rsidR="00350BA3" w:rsidRPr="00350BA3">
        <w:rPr>
          <w:rFonts w:ascii="Myriad Pro" w:eastAsia="IPAPMincho" w:hAnsi="Myriad Pro" w:hint="eastAsia"/>
          <w:b w:val="0"/>
          <w:sz w:val="22"/>
          <w:szCs w:val="22"/>
        </w:rPr>
        <w:t xml:space="preserve"> </w:t>
      </w:r>
      <w:r w:rsidR="00350BA3" w:rsidRPr="00350BA3">
        <w:rPr>
          <w:rFonts w:ascii="Myriad Pro" w:eastAsia="IPAPMincho" w:hAnsi="Myriad Pro"/>
          <w:b w:val="0"/>
          <w:sz w:val="22"/>
          <w:szCs w:val="22"/>
        </w:rPr>
        <w:t>anomalies without 2009. The vertical component of the residual circulation is magnified 200 times</w:t>
      </w:r>
      <w:r w:rsidR="00350BA3" w:rsidRPr="00350BA3">
        <w:rPr>
          <w:rFonts w:ascii="Myriad Pro" w:eastAsia="IPAPMincho" w:hAnsi="Myriad Pro" w:hint="eastAsia"/>
          <w:b w:val="0"/>
          <w:sz w:val="22"/>
          <w:szCs w:val="22"/>
        </w:rPr>
        <w:t xml:space="preserve"> </w:t>
      </w:r>
      <w:r w:rsidR="00350BA3" w:rsidRPr="00350BA3">
        <w:rPr>
          <w:rFonts w:ascii="Myriad Pro" w:eastAsia="IPAPMincho" w:hAnsi="Myriad Pro"/>
          <w:b w:val="0"/>
          <w:sz w:val="22"/>
          <w:szCs w:val="22"/>
        </w:rPr>
        <w:t>relative to the horizontal component, and the scale for the horizontal vector is shown at the bottom right</w:t>
      </w:r>
      <w:r w:rsidR="00350BA3" w:rsidRPr="00350BA3">
        <w:rPr>
          <w:rFonts w:ascii="Myriad Pro" w:eastAsia="IPAPMincho" w:hAnsi="Myriad Pro" w:hint="eastAsia"/>
          <w:b w:val="0"/>
          <w:sz w:val="22"/>
          <w:szCs w:val="22"/>
        </w:rPr>
        <w:t xml:space="preserve"> </w:t>
      </w:r>
      <w:r w:rsidR="00350BA3" w:rsidRPr="00350BA3">
        <w:rPr>
          <w:rFonts w:ascii="Myriad Pro" w:eastAsia="IPAPMincho" w:hAnsi="Myriad Pro"/>
          <w:b w:val="0"/>
          <w:sz w:val="22"/>
          <w:szCs w:val="22"/>
        </w:rPr>
        <w:t>of the panel in units of m/s. The contours/shadings indicate ozone mixing ratio averaged for 1979–2011 with units</w:t>
      </w:r>
      <w:r w:rsidR="00350BA3" w:rsidRPr="00350BA3">
        <w:rPr>
          <w:rFonts w:ascii="Myriad Pro" w:eastAsia="IPAPMincho" w:hAnsi="Myriad Pro" w:hint="eastAsia"/>
          <w:b w:val="0"/>
          <w:sz w:val="22"/>
          <w:szCs w:val="22"/>
        </w:rPr>
        <w:t xml:space="preserve"> </w:t>
      </w:r>
      <w:r w:rsidR="00350BA3" w:rsidRPr="00350BA3">
        <w:rPr>
          <w:rFonts w:ascii="Myriad Pro" w:eastAsia="IPAPMincho" w:hAnsi="Myriad Pro"/>
          <w:b w:val="0"/>
          <w:sz w:val="22"/>
          <w:szCs w:val="22"/>
        </w:rPr>
        <w:t xml:space="preserve">of DU. (b) </w:t>
      </w:r>
      <w:r w:rsidR="00350BA3" w:rsidRPr="00350BA3">
        <w:rPr>
          <w:rFonts w:ascii="Myriad Pro" w:eastAsia="IPAPMincho" w:hAnsi="Myriad Pro" w:hint="eastAsia"/>
          <w:b w:val="0"/>
          <w:sz w:val="22"/>
          <w:szCs w:val="22"/>
        </w:rPr>
        <w:t>S</w:t>
      </w:r>
      <w:r w:rsidR="00350BA3" w:rsidRPr="00350BA3">
        <w:rPr>
          <w:rFonts w:ascii="Myriad Pro" w:eastAsia="IPAPMincho" w:hAnsi="Myriad Pro"/>
          <w:b w:val="0"/>
          <w:sz w:val="22"/>
          <w:szCs w:val="22"/>
        </w:rPr>
        <w:t>ame as (a), but for February. (c) Same as (a), but for March.</w:t>
      </w:r>
    </w:p>
    <w:p w14:paraId="5431002F" w14:textId="067C372D" w:rsidR="0026150B" w:rsidRPr="009A405E" w:rsidRDefault="0026150B" w:rsidP="009A405E">
      <w:pPr>
        <w:rPr>
          <w:rFonts w:ascii="Myriad Pro" w:eastAsia="IPAPMincho" w:hAnsi="Myriad Pro"/>
          <w:bCs/>
          <w:kern w:val="32"/>
          <w:sz w:val="22"/>
          <w:szCs w:val="22"/>
        </w:rPr>
      </w:pPr>
    </w:p>
    <w:sectPr w:rsidR="0026150B" w:rsidRPr="009A405E" w:rsidSect="00461BE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55718" w14:textId="77777777" w:rsidR="00331951" w:rsidRDefault="00331951">
      <w:r>
        <w:separator/>
      </w:r>
    </w:p>
  </w:endnote>
  <w:endnote w:type="continuationSeparator" w:id="0">
    <w:p w14:paraId="1DCCA8CA" w14:textId="77777777" w:rsidR="00331951" w:rsidRDefault="0033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IPAPMincho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8E7ED" w14:textId="5A3D5936" w:rsidR="000B29EC" w:rsidRDefault="000B29E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86656F3" w14:textId="77777777" w:rsidR="000B29EC" w:rsidRDefault="000B2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E02E9" w14:textId="77777777" w:rsidR="00331951" w:rsidRDefault="00331951">
      <w:r>
        <w:separator/>
      </w:r>
    </w:p>
  </w:footnote>
  <w:footnote w:type="continuationSeparator" w:id="0">
    <w:p w14:paraId="6C95C852" w14:textId="77777777" w:rsidR="00331951" w:rsidRDefault="0033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23C1C" w14:textId="77777777" w:rsidR="000B29EC" w:rsidRPr="005001AC" w:rsidRDefault="000B29EC" w:rsidP="005001AC">
    <w:pPr>
      <w:jc w:val="right"/>
      <w:rPr>
        <w:sz w:val="20"/>
      </w:rPr>
    </w:pPr>
  </w:p>
  <w:p w14:paraId="18F8F636" w14:textId="77777777" w:rsidR="000B29EC" w:rsidRDefault="000B29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901DB9"/>
    <w:multiLevelType w:val="hybridMultilevel"/>
    <w:tmpl w:val="00B686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4332"/>
    <w:multiLevelType w:val="multilevel"/>
    <w:tmpl w:val="4ECE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D37AC4"/>
    <w:multiLevelType w:val="hybridMultilevel"/>
    <w:tmpl w:val="F894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1595"/>
    <w:rsid w:val="00002870"/>
    <w:rsid w:val="00002CC8"/>
    <w:rsid w:val="00015F74"/>
    <w:rsid w:val="00043571"/>
    <w:rsid w:val="00060A8B"/>
    <w:rsid w:val="00065EBD"/>
    <w:rsid w:val="0007304A"/>
    <w:rsid w:val="00083B44"/>
    <w:rsid w:val="000850DC"/>
    <w:rsid w:val="00094365"/>
    <w:rsid w:val="000B29EC"/>
    <w:rsid w:val="000B2E64"/>
    <w:rsid w:val="000B6535"/>
    <w:rsid w:val="000C258A"/>
    <w:rsid w:val="000C2771"/>
    <w:rsid w:val="000D2568"/>
    <w:rsid w:val="000D68BD"/>
    <w:rsid w:val="000F0DCE"/>
    <w:rsid w:val="00111843"/>
    <w:rsid w:val="00112C5B"/>
    <w:rsid w:val="00113908"/>
    <w:rsid w:val="00114193"/>
    <w:rsid w:val="001154E6"/>
    <w:rsid w:val="00115A38"/>
    <w:rsid w:val="0011687B"/>
    <w:rsid w:val="0012219B"/>
    <w:rsid w:val="00124F82"/>
    <w:rsid w:val="001278E3"/>
    <w:rsid w:val="00130743"/>
    <w:rsid w:val="00130B50"/>
    <w:rsid w:val="00132F21"/>
    <w:rsid w:val="00134109"/>
    <w:rsid w:val="0016337A"/>
    <w:rsid w:val="00164269"/>
    <w:rsid w:val="00195890"/>
    <w:rsid w:val="001966FD"/>
    <w:rsid w:val="00197826"/>
    <w:rsid w:val="001A1BDE"/>
    <w:rsid w:val="001A5E18"/>
    <w:rsid w:val="001B0592"/>
    <w:rsid w:val="001C7B4E"/>
    <w:rsid w:val="001E2F82"/>
    <w:rsid w:val="001F0876"/>
    <w:rsid w:val="001F167C"/>
    <w:rsid w:val="001F5E91"/>
    <w:rsid w:val="0020183F"/>
    <w:rsid w:val="002077B9"/>
    <w:rsid w:val="00207BD1"/>
    <w:rsid w:val="00211733"/>
    <w:rsid w:val="00221C70"/>
    <w:rsid w:val="002227AD"/>
    <w:rsid w:val="002251AF"/>
    <w:rsid w:val="002264BC"/>
    <w:rsid w:val="00227D86"/>
    <w:rsid w:val="00243B68"/>
    <w:rsid w:val="0026150B"/>
    <w:rsid w:val="00262D72"/>
    <w:rsid w:val="002800B6"/>
    <w:rsid w:val="002914C3"/>
    <w:rsid w:val="00291ADE"/>
    <w:rsid w:val="00294D56"/>
    <w:rsid w:val="002A097E"/>
    <w:rsid w:val="002B35D4"/>
    <w:rsid w:val="002C030F"/>
    <w:rsid w:val="002D7C32"/>
    <w:rsid w:val="002E50E5"/>
    <w:rsid w:val="002F3966"/>
    <w:rsid w:val="00320E2C"/>
    <w:rsid w:val="00331951"/>
    <w:rsid w:val="00331D75"/>
    <w:rsid w:val="00342E6D"/>
    <w:rsid w:val="00350BA3"/>
    <w:rsid w:val="00355362"/>
    <w:rsid w:val="00361989"/>
    <w:rsid w:val="00363E44"/>
    <w:rsid w:val="00395E86"/>
    <w:rsid w:val="003A1909"/>
    <w:rsid w:val="003A2FD8"/>
    <w:rsid w:val="003B40E6"/>
    <w:rsid w:val="003C007A"/>
    <w:rsid w:val="003E1980"/>
    <w:rsid w:val="003E30FF"/>
    <w:rsid w:val="003F6E14"/>
    <w:rsid w:val="0040496A"/>
    <w:rsid w:val="00405336"/>
    <w:rsid w:val="00410DE8"/>
    <w:rsid w:val="00434428"/>
    <w:rsid w:val="004568BC"/>
    <w:rsid w:val="004571D5"/>
    <w:rsid w:val="00461BEC"/>
    <w:rsid w:val="00462F1B"/>
    <w:rsid w:val="0046356B"/>
    <w:rsid w:val="00477182"/>
    <w:rsid w:val="004779CB"/>
    <w:rsid w:val="00481118"/>
    <w:rsid w:val="004B2481"/>
    <w:rsid w:val="004D2A8C"/>
    <w:rsid w:val="004D77A9"/>
    <w:rsid w:val="004E24D0"/>
    <w:rsid w:val="004E41A6"/>
    <w:rsid w:val="004E42D8"/>
    <w:rsid w:val="004E7BA2"/>
    <w:rsid w:val="004F7EDF"/>
    <w:rsid w:val="005001AC"/>
    <w:rsid w:val="00514BB9"/>
    <w:rsid w:val="00517016"/>
    <w:rsid w:val="005222F2"/>
    <w:rsid w:val="005234B1"/>
    <w:rsid w:val="00527D71"/>
    <w:rsid w:val="00527D84"/>
    <w:rsid w:val="005314B5"/>
    <w:rsid w:val="0054432F"/>
    <w:rsid w:val="00552C23"/>
    <w:rsid w:val="005607DD"/>
    <w:rsid w:val="00565E8A"/>
    <w:rsid w:val="00572DFF"/>
    <w:rsid w:val="0058689A"/>
    <w:rsid w:val="005A558C"/>
    <w:rsid w:val="005B0E05"/>
    <w:rsid w:val="005B186E"/>
    <w:rsid w:val="005B5C82"/>
    <w:rsid w:val="005C1899"/>
    <w:rsid w:val="005C6651"/>
    <w:rsid w:val="005D6D71"/>
    <w:rsid w:val="005E28F8"/>
    <w:rsid w:val="005E2DAB"/>
    <w:rsid w:val="005E6513"/>
    <w:rsid w:val="00611F9E"/>
    <w:rsid w:val="006237D4"/>
    <w:rsid w:val="00651114"/>
    <w:rsid w:val="00653829"/>
    <w:rsid w:val="006622CF"/>
    <w:rsid w:val="00664A12"/>
    <w:rsid w:val="0066722B"/>
    <w:rsid w:val="00670299"/>
    <w:rsid w:val="006720E0"/>
    <w:rsid w:val="0068469F"/>
    <w:rsid w:val="00691985"/>
    <w:rsid w:val="006962C1"/>
    <w:rsid w:val="006A1B64"/>
    <w:rsid w:val="006B03AD"/>
    <w:rsid w:val="006D4E74"/>
    <w:rsid w:val="006D6DE7"/>
    <w:rsid w:val="006F602A"/>
    <w:rsid w:val="00707386"/>
    <w:rsid w:val="007108F5"/>
    <w:rsid w:val="00713AF2"/>
    <w:rsid w:val="00713E5B"/>
    <w:rsid w:val="00727882"/>
    <w:rsid w:val="00734060"/>
    <w:rsid w:val="007402FC"/>
    <w:rsid w:val="007411A1"/>
    <w:rsid w:val="007563F2"/>
    <w:rsid w:val="00764008"/>
    <w:rsid w:val="0079017E"/>
    <w:rsid w:val="007D59D6"/>
    <w:rsid w:val="00807D35"/>
    <w:rsid w:val="008115D9"/>
    <w:rsid w:val="00825950"/>
    <w:rsid w:val="00882501"/>
    <w:rsid w:val="00885C9B"/>
    <w:rsid w:val="008927D0"/>
    <w:rsid w:val="008A4159"/>
    <w:rsid w:val="008D5D2A"/>
    <w:rsid w:val="008E2CF1"/>
    <w:rsid w:val="008F08DC"/>
    <w:rsid w:val="008F5A8A"/>
    <w:rsid w:val="009055D1"/>
    <w:rsid w:val="00914B63"/>
    <w:rsid w:val="0091603D"/>
    <w:rsid w:val="00922705"/>
    <w:rsid w:val="00924546"/>
    <w:rsid w:val="009260ED"/>
    <w:rsid w:val="00932FE5"/>
    <w:rsid w:val="009354F3"/>
    <w:rsid w:val="009447DC"/>
    <w:rsid w:val="00944B99"/>
    <w:rsid w:val="00947B91"/>
    <w:rsid w:val="00961BA5"/>
    <w:rsid w:val="009743A9"/>
    <w:rsid w:val="00975720"/>
    <w:rsid w:val="00980134"/>
    <w:rsid w:val="009859A7"/>
    <w:rsid w:val="009A405E"/>
    <w:rsid w:val="009A5287"/>
    <w:rsid w:val="009B2AC5"/>
    <w:rsid w:val="009B7984"/>
    <w:rsid w:val="009C3F97"/>
    <w:rsid w:val="009F1E19"/>
    <w:rsid w:val="009F4BED"/>
    <w:rsid w:val="009F7D93"/>
    <w:rsid w:val="00A276DF"/>
    <w:rsid w:val="00A3084A"/>
    <w:rsid w:val="00A3403B"/>
    <w:rsid w:val="00A47B6A"/>
    <w:rsid w:val="00A50033"/>
    <w:rsid w:val="00A51A12"/>
    <w:rsid w:val="00A627D4"/>
    <w:rsid w:val="00A74DA2"/>
    <w:rsid w:val="00A848B7"/>
    <w:rsid w:val="00A92733"/>
    <w:rsid w:val="00AA76F3"/>
    <w:rsid w:val="00AC7DA6"/>
    <w:rsid w:val="00AD499C"/>
    <w:rsid w:val="00B01008"/>
    <w:rsid w:val="00B06D82"/>
    <w:rsid w:val="00B15755"/>
    <w:rsid w:val="00B27054"/>
    <w:rsid w:val="00B30334"/>
    <w:rsid w:val="00B3147F"/>
    <w:rsid w:val="00B36869"/>
    <w:rsid w:val="00B43B31"/>
    <w:rsid w:val="00B47CFA"/>
    <w:rsid w:val="00B57F00"/>
    <w:rsid w:val="00B626CB"/>
    <w:rsid w:val="00B7560C"/>
    <w:rsid w:val="00B77E40"/>
    <w:rsid w:val="00B82C22"/>
    <w:rsid w:val="00B93DBA"/>
    <w:rsid w:val="00B9440A"/>
    <w:rsid w:val="00B952C1"/>
    <w:rsid w:val="00B968D7"/>
    <w:rsid w:val="00BA3953"/>
    <w:rsid w:val="00BA57F7"/>
    <w:rsid w:val="00BB2D2A"/>
    <w:rsid w:val="00BD58CF"/>
    <w:rsid w:val="00BE065A"/>
    <w:rsid w:val="00BF1BEB"/>
    <w:rsid w:val="00BF1BF9"/>
    <w:rsid w:val="00BF6987"/>
    <w:rsid w:val="00C04CC1"/>
    <w:rsid w:val="00C071FC"/>
    <w:rsid w:val="00C17D1F"/>
    <w:rsid w:val="00C226C1"/>
    <w:rsid w:val="00C22C02"/>
    <w:rsid w:val="00C27F6F"/>
    <w:rsid w:val="00C30E83"/>
    <w:rsid w:val="00C3639D"/>
    <w:rsid w:val="00C50C6D"/>
    <w:rsid w:val="00C600D9"/>
    <w:rsid w:val="00C634D7"/>
    <w:rsid w:val="00C73E09"/>
    <w:rsid w:val="00C87964"/>
    <w:rsid w:val="00C96209"/>
    <w:rsid w:val="00CB5F5F"/>
    <w:rsid w:val="00CB717D"/>
    <w:rsid w:val="00CC1384"/>
    <w:rsid w:val="00CC697A"/>
    <w:rsid w:val="00CD3720"/>
    <w:rsid w:val="00CE6EAA"/>
    <w:rsid w:val="00CF1848"/>
    <w:rsid w:val="00CF3E1C"/>
    <w:rsid w:val="00CF5C2F"/>
    <w:rsid w:val="00D04BCF"/>
    <w:rsid w:val="00D10134"/>
    <w:rsid w:val="00D143D9"/>
    <w:rsid w:val="00D4272B"/>
    <w:rsid w:val="00D433E8"/>
    <w:rsid w:val="00D4372A"/>
    <w:rsid w:val="00D60BB0"/>
    <w:rsid w:val="00D65708"/>
    <w:rsid w:val="00D8159F"/>
    <w:rsid w:val="00D92D57"/>
    <w:rsid w:val="00DC27DB"/>
    <w:rsid w:val="00DC4DE9"/>
    <w:rsid w:val="00DC7846"/>
    <w:rsid w:val="00DD140B"/>
    <w:rsid w:val="00DD1D04"/>
    <w:rsid w:val="00DD79D7"/>
    <w:rsid w:val="00DE5A8D"/>
    <w:rsid w:val="00DF365D"/>
    <w:rsid w:val="00E20431"/>
    <w:rsid w:val="00E257C8"/>
    <w:rsid w:val="00E40896"/>
    <w:rsid w:val="00E43D2D"/>
    <w:rsid w:val="00E449CB"/>
    <w:rsid w:val="00E5595C"/>
    <w:rsid w:val="00E63760"/>
    <w:rsid w:val="00E64049"/>
    <w:rsid w:val="00E91889"/>
    <w:rsid w:val="00E9773B"/>
    <w:rsid w:val="00EA0E89"/>
    <w:rsid w:val="00EC13A3"/>
    <w:rsid w:val="00EC4606"/>
    <w:rsid w:val="00EC7C85"/>
    <w:rsid w:val="00ED69CA"/>
    <w:rsid w:val="00EE35AB"/>
    <w:rsid w:val="00EF25A3"/>
    <w:rsid w:val="00F125EE"/>
    <w:rsid w:val="00F12E98"/>
    <w:rsid w:val="00F22029"/>
    <w:rsid w:val="00F23E46"/>
    <w:rsid w:val="00F24FB6"/>
    <w:rsid w:val="00F334A6"/>
    <w:rsid w:val="00F3515C"/>
    <w:rsid w:val="00F443C1"/>
    <w:rsid w:val="00F449B8"/>
    <w:rsid w:val="00F47BA3"/>
    <w:rsid w:val="00F557E2"/>
    <w:rsid w:val="00F56E67"/>
    <w:rsid w:val="00F630EA"/>
    <w:rsid w:val="00F6474F"/>
    <w:rsid w:val="00F7007E"/>
    <w:rsid w:val="00F73193"/>
    <w:rsid w:val="00F74F95"/>
    <w:rsid w:val="00F80705"/>
    <w:rsid w:val="00F8446C"/>
    <w:rsid w:val="00F864B2"/>
    <w:rsid w:val="00FA1481"/>
    <w:rsid w:val="00FB1C42"/>
    <w:rsid w:val="00FB32EC"/>
    <w:rsid w:val="00FD745F"/>
    <w:rsid w:val="00FF04E3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CD9FF7"/>
  <w15:chartTrackingRefBased/>
  <w15:docId w15:val="{70801E18-7CCF-4C88-A79C-4DFA6FFF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Title" w:qFormat="1"/>
    <w:lsdException w:name="Subtitle" w:qFormat="1"/>
    <w:lsdException w:name="FollowedHyperlink" w:semiHidden="1"/>
    <w:lsdException w:name="Strong" w:semiHidden="1" w:uiPriority="22" w:qFormat="1"/>
    <w:lsdException w:name="Emphasis" w:semiHidden="1" w:qFormat="1"/>
    <w:lsdException w:name="Normal (Web)" w:uiPriority="99"/>
    <w:lsdException w:name="HTML Acronym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paragraph" w:customStyle="1" w:styleId="body-copy-normal">
    <w:name w:val="body-copy-normal"/>
    <w:basedOn w:val="Normal"/>
    <w:rsid w:val="00FF3503"/>
    <w:pPr>
      <w:spacing w:before="100" w:beforeAutospacing="1" w:after="100" w:afterAutospacing="1"/>
    </w:pPr>
    <w:rPr>
      <w:szCs w:val="24"/>
    </w:rPr>
  </w:style>
  <w:style w:type="paragraph" w:customStyle="1" w:styleId="body-copy-ndent">
    <w:name w:val="body-copy-ndent"/>
    <w:basedOn w:val="Normal"/>
    <w:rsid w:val="00FF3503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FF3503"/>
    <w:rPr>
      <w:b/>
      <w:bCs/>
    </w:rPr>
  </w:style>
  <w:style w:type="character" w:styleId="CommentReference">
    <w:name w:val="annotation reference"/>
    <w:semiHidden/>
    <w:rsid w:val="002800B6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0DE8"/>
    <w:rPr>
      <w:color w:val="808080"/>
    </w:rPr>
  </w:style>
  <w:style w:type="character" w:styleId="LineNumber">
    <w:name w:val="line number"/>
    <w:basedOn w:val="DefaultParagraphFont"/>
    <w:semiHidden/>
    <w:rsid w:val="00DC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185</Words>
  <Characters>970</Characters>
  <Application>Microsoft Office Word</Application>
  <DocSecurity>0</DocSecurity>
  <Lines>33</Lines>
  <Paragraphs>15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>Supporting Online Material for</vt:lpstr>
      <vt:lpstr>/</vt:lpstr>
      <vt:lpstr/>
      <vt:lpstr>Figure S1. Equivalent latitude–height section of the NAT surface area anomaly (1</vt:lpstr>
      <vt:lpstr>/</vt:lpstr>
      <vt:lpstr>Figure S2. Same as Figure 5, but for the anomalies without 2009.</vt:lpstr>
      <vt:lpstr>/</vt:lpstr>
      <vt:lpstr>Figure S3. Same as Figure 6, but for the partial column mean anomaly without 200</vt:lpstr>
      <vt:lpstr>/</vt:lpstr>
      <vt:lpstr>Figure S4. (a) The residual mean meridional circulation anomaly for QBO-W/Smin i</vt:lpstr>
      <vt:lpstr>Supporting Online Material for</vt:lpstr>
    </vt:vector>
  </TitlesOfParts>
  <Company>AAAS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Hanson;Dawit Tegbaru;Brian Sedora</dc:creator>
  <cp:keywords/>
  <cp:lastModifiedBy>MDPI-09</cp:lastModifiedBy>
  <cp:revision>8</cp:revision>
  <cp:lastPrinted>2014-09-30T16:49:00Z</cp:lastPrinted>
  <dcterms:created xsi:type="dcterms:W3CDTF">2020-07-03T09:37:00Z</dcterms:created>
  <dcterms:modified xsi:type="dcterms:W3CDTF">2021-04-01T10:09:00Z</dcterms:modified>
</cp:coreProperties>
</file>