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A2E8E" w14:textId="77777777" w:rsidR="0007743A" w:rsidRPr="00134603" w:rsidRDefault="0007743A" w:rsidP="0007743A">
      <w:pPr>
        <w:pStyle w:val="MDPI13authornames"/>
        <w:ind w:left="-270"/>
        <w:rPr>
          <w:rFonts w:cs="Lucida Grande"/>
          <w:sz w:val="24"/>
          <w:szCs w:val="24"/>
        </w:rPr>
      </w:pPr>
      <w:r w:rsidRPr="00134603">
        <w:rPr>
          <w:rFonts w:cs="Lucida Grande"/>
          <w:sz w:val="24"/>
          <w:szCs w:val="24"/>
        </w:rPr>
        <w:t>Formulation, Stability, Pharmacokinetic and Modeling Studies for Tests of Synergistic Combinations of Orally Available Approved Drugs Against Ebola Virus In Vivo</w:t>
      </w:r>
    </w:p>
    <w:p w14:paraId="37B8E177" w14:textId="663DBD8D" w:rsidR="0007743A" w:rsidRDefault="0007743A" w:rsidP="0007743A">
      <w:pPr>
        <w:pStyle w:val="MDPI13authornames"/>
        <w:ind w:hanging="270"/>
      </w:pPr>
      <w:r>
        <w:t>Finch et al</w:t>
      </w:r>
      <w:r w:rsidR="00106976">
        <w:t>. 2021</w:t>
      </w:r>
    </w:p>
    <w:p w14:paraId="4AAE7104" w14:textId="0199CA85" w:rsidR="0007743A" w:rsidRPr="00006A8D" w:rsidRDefault="0007743A" w:rsidP="0007743A">
      <w:pPr>
        <w:ind w:left="-270"/>
        <w:rPr>
          <w:sz w:val="18"/>
          <w:szCs w:val="18"/>
        </w:rPr>
      </w:pPr>
      <w:r>
        <w:t>Supplemental Tables</w:t>
      </w:r>
      <w:r w:rsidR="00006A8D">
        <w:t xml:space="preserve"> </w:t>
      </w:r>
      <w:r w:rsidR="00006A8D" w:rsidRPr="00006A8D">
        <w:rPr>
          <w:sz w:val="18"/>
          <w:szCs w:val="18"/>
        </w:rPr>
        <w:t>(see end of document for References</w:t>
      </w:r>
      <w:r w:rsidR="00D74F69">
        <w:rPr>
          <w:sz w:val="18"/>
          <w:szCs w:val="18"/>
        </w:rPr>
        <w:t xml:space="preserve"> to </w:t>
      </w:r>
      <w:r w:rsidR="00D74F69" w:rsidRPr="00006A8D">
        <w:rPr>
          <w:sz w:val="18"/>
          <w:szCs w:val="18"/>
        </w:rPr>
        <w:t>Supplemental Table</w:t>
      </w:r>
      <w:r w:rsidR="00D74F69">
        <w:rPr>
          <w:sz w:val="18"/>
          <w:szCs w:val="18"/>
        </w:rPr>
        <w:t>s</w:t>
      </w:r>
      <w:r w:rsidR="00006A8D" w:rsidRPr="00006A8D">
        <w:rPr>
          <w:sz w:val="18"/>
          <w:szCs w:val="18"/>
        </w:rPr>
        <w:t>)</w:t>
      </w:r>
    </w:p>
    <w:p w14:paraId="213277AD" w14:textId="77777777" w:rsidR="009718D3" w:rsidRDefault="009718D3" w:rsidP="0007743A">
      <w:pPr>
        <w:ind w:left="-270"/>
      </w:pPr>
    </w:p>
    <w:tbl>
      <w:tblPr>
        <w:tblStyle w:val="TableGrid"/>
        <w:tblW w:w="0" w:type="auto"/>
        <w:tblLook w:val="04A0" w:firstRow="1" w:lastRow="0" w:firstColumn="1" w:lastColumn="0" w:noHBand="0" w:noVBand="1"/>
      </w:tblPr>
      <w:tblGrid>
        <w:gridCol w:w="1749"/>
        <w:gridCol w:w="1749"/>
      </w:tblGrid>
      <w:tr w:rsidR="009718D3" w:rsidRPr="00DC7ED8" w14:paraId="36ED4DBF" w14:textId="77777777" w:rsidTr="00916CCB">
        <w:trPr>
          <w:trHeight w:val="349"/>
        </w:trPr>
        <w:tc>
          <w:tcPr>
            <w:tcW w:w="1749" w:type="dxa"/>
          </w:tcPr>
          <w:p w14:paraId="2825FDCB" w14:textId="77777777" w:rsidR="009718D3" w:rsidRPr="00DC7ED8" w:rsidRDefault="009718D3"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T</w:t>
            </w:r>
            <w:r w:rsidRPr="00DC7ED8">
              <w:rPr>
                <w:rFonts w:ascii="Palatino Linotype" w:hAnsi="Palatino Linotype" w:cs="Times New Roman"/>
                <w:b/>
                <w:bCs/>
                <w:i/>
                <w:iCs/>
                <w:sz w:val="20"/>
                <w:szCs w:val="20"/>
                <w:vertAlign w:val="subscript"/>
              </w:rPr>
              <w:t xml:space="preserve">k0 </w:t>
            </w:r>
            <w:r w:rsidRPr="00DC7ED8">
              <w:rPr>
                <w:rFonts w:ascii="Palatino Linotype" w:hAnsi="Palatino Linotype" w:cs="Times New Roman"/>
                <w:sz w:val="20"/>
                <w:szCs w:val="20"/>
              </w:rPr>
              <w:t>(day)</w:t>
            </w:r>
          </w:p>
        </w:tc>
        <w:tc>
          <w:tcPr>
            <w:tcW w:w="1749" w:type="dxa"/>
          </w:tcPr>
          <w:p w14:paraId="54861555" w14:textId="77777777" w:rsidR="009718D3" w:rsidRPr="00DC7ED8" w:rsidRDefault="009718D3"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0.0873</w:t>
            </w:r>
          </w:p>
        </w:tc>
      </w:tr>
      <w:tr w:rsidR="009718D3" w:rsidRPr="00DC7ED8" w14:paraId="12A32DCF" w14:textId="77777777" w:rsidTr="00916CCB">
        <w:trPr>
          <w:trHeight w:val="362"/>
        </w:trPr>
        <w:tc>
          <w:tcPr>
            <w:tcW w:w="1749" w:type="dxa"/>
          </w:tcPr>
          <w:p w14:paraId="48CC797E" w14:textId="77777777" w:rsidR="009718D3" w:rsidRPr="00DC7ED8" w:rsidRDefault="009718D3"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V</w:t>
            </w:r>
          </w:p>
        </w:tc>
        <w:tc>
          <w:tcPr>
            <w:tcW w:w="1749" w:type="dxa"/>
          </w:tcPr>
          <w:p w14:paraId="675DC032" w14:textId="77777777" w:rsidR="009718D3" w:rsidRPr="00DC7ED8" w:rsidRDefault="009718D3"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25.2</w:t>
            </w:r>
          </w:p>
        </w:tc>
      </w:tr>
      <w:tr w:rsidR="009718D3" w:rsidRPr="00DC7ED8" w14:paraId="32AFA6A0" w14:textId="77777777" w:rsidTr="00916CCB">
        <w:trPr>
          <w:trHeight w:val="349"/>
        </w:trPr>
        <w:tc>
          <w:tcPr>
            <w:tcW w:w="1749" w:type="dxa"/>
          </w:tcPr>
          <w:p w14:paraId="19212A67" w14:textId="77777777" w:rsidR="009718D3" w:rsidRPr="00DC7ED8" w:rsidRDefault="009718D3"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 xml:space="preserve">12 </w:t>
            </w:r>
            <w:r w:rsidRPr="00DC7ED8">
              <w:rPr>
                <w:rFonts w:ascii="Palatino Linotype" w:hAnsi="Palatino Linotype" w:cs="Times New Roman"/>
                <w:sz w:val="20"/>
                <w:szCs w:val="20"/>
              </w:rPr>
              <w:t>(per day)</w:t>
            </w:r>
          </w:p>
        </w:tc>
        <w:tc>
          <w:tcPr>
            <w:tcW w:w="1749" w:type="dxa"/>
          </w:tcPr>
          <w:p w14:paraId="286480D8" w14:textId="77777777" w:rsidR="009718D3" w:rsidRPr="00DC7ED8" w:rsidRDefault="009718D3"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6.71</w:t>
            </w:r>
          </w:p>
        </w:tc>
      </w:tr>
      <w:tr w:rsidR="009718D3" w:rsidRPr="00DC7ED8" w14:paraId="2E5C9D4B" w14:textId="77777777" w:rsidTr="00916CCB">
        <w:trPr>
          <w:trHeight w:val="362"/>
        </w:trPr>
        <w:tc>
          <w:tcPr>
            <w:tcW w:w="1749" w:type="dxa"/>
          </w:tcPr>
          <w:p w14:paraId="17981EE5" w14:textId="77777777" w:rsidR="009718D3" w:rsidRPr="00DC7ED8" w:rsidRDefault="009718D3"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 xml:space="preserve">21 </w:t>
            </w:r>
            <w:r w:rsidRPr="00DC7ED8">
              <w:rPr>
                <w:rFonts w:ascii="Palatino Linotype" w:hAnsi="Palatino Linotype" w:cs="Times New Roman"/>
                <w:sz w:val="20"/>
                <w:szCs w:val="20"/>
              </w:rPr>
              <w:t>(per day)</w:t>
            </w:r>
          </w:p>
        </w:tc>
        <w:tc>
          <w:tcPr>
            <w:tcW w:w="1749" w:type="dxa"/>
          </w:tcPr>
          <w:p w14:paraId="41E5F7B4" w14:textId="77777777" w:rsidR="009718D3" w:rsidRPr="00DC7ED8" w:rsidRDefault="009718D3"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1.61</w:t>
            </w:r>
          </w:p>
        </w:tc>
      </w:tr>
      <w:tr w:rsidR="009718D3" w:rsidRPr="00DC7ED8" w14:paraId="22A61383" w14:textId="77777777" w:rsidTr="00916CCB">
        <w:trPr>
          <w:trHeight w:val="362"/>
        </w:trPr>
        <w:tc>
          <w:tcPr>
            <w:tcW w:w="1749" w:type="dxa"/>
          </w:tcPr>
          <w:p w14:paraId="320B051D" w14:textId="77777777" w:rsidR="009718D3" w:rsidRPr="00DC7ED8" w:rsidRDefault="009718D3"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 xml:space="preserve">k </w:t>
            </w:r>
            <w:r w:rsidRPr="00DC7ED8">
              <w:rPr>
                <w:rFonts w:ascii="Palatino Linotype" w:hAnsi="Palatino Linotype" w:cs="Times New Roman"/>
                <w:sz w:val="20"/>
                <w:szCs w:val="20"/>
              </w:rPr>
              <w:t>(per day)</w:t>
            </w:r>
          </w:p>
        </w:tc>
        <w:tc>
          <w:tcPr>
            <w:tcW w:w="1749" w:type="dxa"/>
          </w:tcPr>
          <w:p w14:paraId="6BCFEC38" w14:textId="77777777" w:rsidR="009718D3" w:rsidRPr="00DC7ED8" w:rsidRDefault="009718D3"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0.348</w:t>
            </w:r>
          </w:p>
        </w:tc>
      </w:tr>
    </w:tbl>
    <w:p w14:paraId="5847431C" w14:textId="77777777" w:rsidR="009718D3" w:rsidRDefault="009718D3" w:rsidP="009718D3">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Supp</w:t>
      </w:r>
      <w:r>
        <w:rPr>
          <w:rFonts w:ascii="Palatino Linotype" w:hAnsi="Palatino Linotype" w:cs="Times New Roman"/>
          <w:b/>
          <w:bCs/>
          <w:sz w:val="20"/>
          <w:szCs w:val="20"/>
        </w:rPr>
        <w:t>lemental</w:t>
      </w:r>
      <w:r w:rsidRPr="00DC7ED8">
        <w:rPr>
          <w:rFonts w:ascii="Palatino Linotype" w:hAnsi="Palatino Linotype" w:cs="Times New Roman"/>
          <w:b/>
          <w:bCs/>
          <w:sz w:val="20"/>
          <w:szCs w:val="20"/>
        </w:rPr>
        <w:t xml:space="preserve"> Table </w:t>
      </w:r>
      <w:r>
        <w:rPr>
          <w:rFonts w:ascii="Palatino Linotype" w:hAnsi="Palatino Linotype" w:cs="Times New Roman"/>
          <w:b/>
          <w:bCs/>
          <w:sz w:val="20"/>
          <w:szCs w:val="20"/>
        </w:rPr>
        <w:t>1.</w:t>
      </w:r>
      <w:r w:rsidRPr="00DC7ED8">
        <w:rPr>
          <w:rFonts w:ascii="Palatino Linotype" w:hAnsi="Palatino Linotype" w:cs="Times New Roman"/>
          <w:b/>
          <w:bCs/>
          <w:sz w:val="20"/>
          <w:szCs w:val="20"/>
        </w:rPr>
        <w:t xml:space="preserve"> PK parameters for bepridil</w:t>
      </w:r>
    </w:p>
    <w:p w14:paraId="40E65DB1" w14:textId="77777777" w:rsidR="009718D3" w:rsidRDefault="009718D3" w:rsidP="0007743A">
      <w:pPr>
        <w:ind w:left="-270"/>
      </w:pPr>
    </w:p>
    <w:tbl>
      <w:tblPr>
        <w:tblStyle w:val="TableGrid"/>
        <w:tblW w:w="0" w:type="auto"/>
        <w:tblLook w:val="04A0" w:firstRow="1" w:lastRow="0" w:firstColumn="1" w:lastColumn="0" w:noHBand="0" w:noVBand="1"/>
      </w:tblPr>
      <w:tblGrid>
        <w:gridCol w:w="1749"/>
        <w:gridCol w:w="1749"/>
      </w:tblGrid>
      <w:tr w:rsidR="00920965" w:rsidRPr="00DC7ED8" w14:paraId="05FD74E7" w14:textId="77777777" w:rsidTr="00916CCB">
        <w:trPr>
          <w:trHeight w:val="349"/>
        </w:trPr>
        <w:tc>
          <w:tcPr>
            <w:tcW w:w="1749" w:type="dxa"/>
          </w:tcPr>
          <w:p w14:paraId="616456F3" w14:textId="77777777" w:rsidR="00920965" w:rsidRPr="00DC7ED8" w:rsidRDefault="0092096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T</w:t>
            </w:r>
            <w:r w:rsidRPr="00DC7ED8">
              <w:rPr>
                <w:rFonts w:ascii="Palatino Linotype" w:hAnsi="Palatino Linotype" w:cs="Times New Roman"/>
                <w:b/>
                <w:bCs/>
                <w:i/>
                <w:iCs/>
                <w:sz w:val="20"/>
                <w:szCs w:val="20"/>
                <w:vertAlign w:val="subscript"/>
              </w:rPr>
              <w:t xml:space="preserve">lag </w:t>
            </w:r>
            <w:r w:rsidRPr="00DC7ED8">
              <w:rPr>
                <w:rFonts w:ascii="Palatino Linotype" w:hAnsi="Palatino Linotype" w:cs="Times New Roman"/>
                <w:sz w:val="20"/>
                <w:szCs w:val="20"/>
              </w:rPr>
              <w:t>(day)</w:t>
            </w:r>
          </w:p>
        </w:tc>
        <w:tc>
          <w:tcPr>
            <w:tcW w:w="1749" w:type="dxa"/>
          </w:tcPr>
          <w:p w14:paraId="6168A136" w14:textId="77777777" w:rsidR="00920965" w:rsidRPr="00DC7ED8" w:rsidRDefault="0092096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0.0976</w:t>
            </w:r>
          </w:p>
        </w:tc>
      </w:tr>
      <w:tr w:rsidR="00920965" w:rsidRPr="00DC7ED8" w14:paraId="147DBD54" w14:textId="77777777" w:rsidTr="00916CCB">
        <w:trPr>
          <w:trHeight w:val="362"/>
        </w:trPr>
        <w:tc>
          <w:tcPr>
            <w:tcW w:w="1749" w:type="dxa"/>
          </w:tcPr>
          <w:p w14:paraId="677A850D" w14:textId="77777777" w:rsidR="00920965" w:rsidRPr="00DC7ED8" w:rsidRDefault="00920965"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a</w:t>
            </w:r>
            <w:r w:rsidRPr="00DC7ED8">
              <w:rPr>
                <w:rFonts w:ascii="Palatino Linotype" w:hAnsi="Palatino Linotype" w:cs="Times New Roman"/>
                <w:b/>
                <w:bCs/>
                <w:i/>
                <w:iCs/>
                <w:sz w:val="20"/>
                <w:szCs w:val="20"/>
              </w:rPr>
              <w:t xml:space="preserve"> </w:t>
            </w:r>
            <w:r w:rsidRPr="00DC7ED8">
              <w:rPr>
                <w:rFonts w:ascii="Palatino Linotype" w:hAnsi="Palatino Linotype" w:cs="Times New Roman"/>
                <w:sz w:val="20"/>
                <w:szCs w:val="20"/>
              </w:rPr>
              <w:t>(per day)</w:t>
            </w:r>
          </w:p>
        </w:tc>
        <w:tc>
          <w:tcPr>
            <w:tcW w:w="1749" w:type="dxa"/>
          </w:tcPr>
          <w:p w14:paraId="624F3A55" w14:textId="77777777" w:rsidR="00920965" w:rsidRPr="00DC7ED8" w:rsidRDefault="0092096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25.3</w:t>
            </w:r>
          </w:p>
        </w:tc>
      </w:tr>
      <w:tr w:rsidR="00920965" w:rsidRPr="00DC7ED8" w14:paraId="23136EF5" w14:textId="77777777" w:rsidTr="00916CCB">
        <w:trPr>
          <w:trHeight w:val="362"/>
        </w:trPr>
        <w:tc>
          <w:tcPr>
            <w:tcW w:w="1749" w:type="dxa"/>
          </w:tcPr>
          <w:p w14:paraId="36D4E8F4" w14:textId="77777777" w:rsidR="00920965" w:rsidRPr="00DC7ED8" w:rsidRDefault="0092096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V</w:t>
            </w:r>
          </w:p>
        </w:tc>
        <w:tc>
          <w:tcPr>
            <w:tcW w:w="1749" w:type="dxa"/>
          </w:tcPr>
          <w:p w14:paraId="20F99D47" w14:textId="77777777" w:rsidR="00920965" w:rsidRPr="00DC7ED8" w:rsidRDefault="0092096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909</w:t>
            </w:r>
          </w:p>
        </w:tc>
      </w:tr>
      <w:tr w:rsidR="00920965" w:rsidRPr="00DC7ED8" w14:paraId="44106CB1" w14:textId="77777777" w:rsidTr="00916CCB">
        <w:trPr>
          <w:trHeight w:val="349"/>
        </w:trPr>
        <w:tc>
          <w:tcPr>
            <w:tcW w:w="1749" w:type="dxa"/>
          </w:tcPr>
          <w:p w14:paraId="3B946F64" w14:textId="77777777" w:rsidR="00920965" w:rsidRPr="00DC7ED8" w:rsidRDefault="00920965"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i/>
                <w:iCs/>
                <w:sz w:val="20"/>
                <w:szCs w:val="20"/>
              </w:rPr>
              <w:t>v</w:t>
            </w:r>
            <w:r w:rsidRPr="00DC7ED8">
              <w:rPr>
                <w:rFonts w:ascii="Palatino Linotype" w:hAnsi="Palatino Linotype" w:cs="Times New Roman"/>
                <w:b/>
                <w:bCs/>
                <w:i/>
                <w:iCs/>
                <w:sz w:val="20"/>
                <w:szCs w:val="20"/>
                <w:vertAlign w:val="subscript"/>
              </w:rPr>
              <w:t xml:space="preserve">m </w:t>
            </w:r>
            <w:r w:rsidRPr="00DC7ED8">
              <w:rPr>
                <w:rFonts w:ascii="Palatino Linotype" w:hAnsi="Palatino Linotype" w:cs="Times New Roman"/>
                <w:sz w:val="20"/>
                <w:szCs w:val="20"/>
              </w:rPr>
              <w:t>(per day)</w:t>
            </w:r>
          </w:p>
        </w:tc>
        <w:tc>
          <w:tcPr>
            <w:tcW w:w="1749" w:type="dxa"/>
          </w:tcPr>
          <w:p w14:paraId="4882269F" w14:textId="77777777" w:rsidR="00920965" w:rsidRPr="00DC7ED8" w:rsidRDefault="0092096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2.61×10</w:t>
            </w:r>
            <w:r w:rsidRPr="00DC7ED8">
              <w:rPr>
                <w:rFonts w:ascii="Palatino Linotype" w:hAnsi="Palatino Linotype" w:cs="Times New Roman"/>
                <w:sz w:val="20"/>
                <w:szCs w:val="20"/>
                <w:vertAlign w:val="superscript"/>
              </w:rPr>
              <w:t>4</w:t>
            </w:r>
          </w:p>
        </w:tc>
      </w:tr>
      <w:tr w:rsidR="00920965" w:rsidRPr="00DC7ED8" w14:paraId="12AB9D43" w14:textId="77777777" w:rsidTr="00916CCB">
        <w:trPr>
          <w:trHeight w:val="362"/>
        </w:trPr>
        <w:tc>
          <w:tcPr>
            <w:tcW w:w="1749" w:type="dxa"/>
          </w:tcPr>
          <w:p w14:paraId="45268E5A" w14:textId="77777777" w:rsidR="00920965" w:rsidRPr="00DC7ED8" w:rsidRDefault="0092096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 xml:space="preserve">m </w:t>
            </w:r>
            <w:r w:rsidRPr="00DC7ED8">
              <w:rPr>
                <w:rFonts w:ascii="Palatino Linotype" w:hAnsi="Palatino Linotype" w:cs="Times New Roman"/>
                <w:sz w:val="20"/>
                <w:szCs w:val="20"/>
              </w:rPr>
              <w:t>(per day)</w:t>
            </w:r>
          </w:p>
        </w:tc>
        <w:tc>
          <w:tcPr>
            <w:tcW w:w="1749" w:type="dxa"/>
          </w:tcPr>
          <w:p w14:paraId="732FFA8B" w14:textId="77777777" w:rsidR="00920965" w:rsidRPr="00DC7ED8" w:rsidRDefault="0092096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32.2</w:t>
            </w:r>
          </w:p>
        </w:tc>
      </w:tr>
    </w:tbl>
    <w:p w14:paraId="5CBCC311" w14:textId="77777777" w:rsidR="00920965" w:rsidRPr="00DC7ED8" w:rsidRDefault="00920965" w:rsidP="00920965">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Supp</w:t>
      </w:r>
      <w:r>
        <w:rPr>
          <w:rFonts w:ascii="Palatino Linotype" w:hAnsi="Palatino Linotype" w:cs="Times New Roman"/>
          <w:b/>
          <w:bCs/>
          <w:sz w:val="20"/>
          <w:szCs w:val="20"/>
        </w:rPr>
        <w:t>lemental</w:t>
      </w:r>
      <w:r w:rsidRPr="00DC7ED8">
        <w:rPr>
          <w:rFonts w:ascii="Palatino Linotype" w:hAnsi="Palatino Linotype" w:cs="Times New Roman"/>
          <w:b/>
          <w:bCs/>
          <w:sz w:val="20"/>
          <w:szCs w:val="20"/>
        </w:rPr>
        <w:t xml:space="preserve"> Table </w:t>
      </w:r>
      <w:r>
        <w:rPr>
          <w:rFonts w:ascii="Palatino Linotype" w:hAnsi="Palatino Linotype" w:cs="Times New Roman"/>
          <w:b/>
          <w:bCs/>
          <w:sz w:val="20"/>
          <w:szCs w:val="20"/>
        </w:rPr>
        <w:t>2.</w:t>
      </w:r>
      <w:r w:rsidRPr="00DC7ED8">
        <w:rPr>
          <w:rFonts w:ascii="Palatino Linotype" w:hAnsi="Palatino Linotype" w:cs="Times New Roman"/>
          <w:b/>
          <w:bCs/>
          <w:sz w:val="20"/>
          <w:szCs w:val="20"/>
        </w:rPr>
        <w:t xml:space="preserve"> PK parameters for sertraline</w:t>
      </w:r>
    </w:p>
    <w:p w14:paraId="29C0D5AB" w14:textId="77777777" w:rsidR="0092708A" w:rsidRDefault="0092708A" w:rsidP="0007743A">
      <w:pPr>
        <w:ind w:left="-270"/>
      </w:pPr>
    </w:p>
    <w:p w14:paraId="54B9F0A9" w14:textId="77777777" w:rsidR="008B59A5" w:rsidRPr="00DC7ED8" w:rsidRDefault="008B59A5" w:rsidP="008B59A5">
      <w:pPr>
        <w:spacing w:line="260" w:lineRule="atLeast"/>
        <w:rPr>
          <w:rFonts w:ascii="Palatino Linotype" w:hAnsi="Palatino Linotype" w:cs="Times New Roman"/>
          <w:b/>
          <w:bCs/>
          <w:sz w:val="20"/>
          <w:szCs w:val="20"/>
        </w:rPr>
      </w:pPr>
    </w:p>
    <w:tbl>
      <w:tblPr>
        <w:tblStyle w:val="TableGrid"/>
        <w:tblW w:w="0" w:type="auto"/>
        <w:tblLook w:val="04A0" w:firstRow="1" w:lastRow="0" w:firstColumn="1" w:lastColumn="0" w:noHBand="0" w:noVBand="1"/>
      </w:tblPr>
      <w:tblGrid>
        <w:gridCol w:w="1749"/>
        <w:gridCol w:w="1749"/>
      </w:tblGrid>
      <w:tr w:rsidR="008B59A5" w:rsidRPr="00DC7ED8" w14:paraId="18D18BEB" w14:textId="77777777" w:rsidTr="00916CCB">
        <w:trPr>
          <w:trHeight w:val="349"/>
        </w:trPr>
        <w:tc>
          <w:tcPr>
            <w:tcW w:w="1749" w:type="dxa"/>
          </w:tcPr>
          <w:p w14:paraId="7C525729" w14:textId="77777777" w:rsidR="008B59A5" w:rsidRPr="00DC7ED8" w:rsidRDefault="008B59A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a</w:t>
            </w:r>
            <w:r w:rsidRPr="00DC7ED8">
              <w:rPr>
                <w:rFonts w:ascii="Palatino Linotype" w:hAnsi="Palatino Linotype" w:cs="Times New Roman"/>
                <w:b/>
                <w:bCs/>
                <w:i/>
                <w:iCs/>
                <w:sz w:val="20"/>
                <w:szCs w:val="20"/>
              </w:rPr>
              <w:t xml:space="preserve"> </w:t>
            </w:r>
            <w:r w:rsidRPr="00DC7ED8">
              <w:rPr>
                <w:rFonts w:ascii="Palatino Linotype" w:hAnsi="Palatino Linotype" w:cs="Times New Roman"/>
                <w:sz w:val="20"/>
                <w:szCs w:val="20"/>
              </w:rPr>
              <w:t>(per day)</w:t>
            </w:r>
          </w:p>
        </w:tc>
        <w:tc>
          <w:tcPr>
            <w:tcW w:w="1749" w:type="dxa"/>
          </w:tcPr>
          <w:p w14:paraId="7DE6C2F1" w14:textId="77777777" w:rsidR="008B59A5" w:rsidRPr="00DC7ED8" w:rsidRDefault="008B59A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16.6</w:t>
            </w:r>
          </w:p>
        </w:tc>
      </w:tr>
      <w:tr w:rsidR="008B59A5" w:rsidRPr="00DC7ED8" w14:paraId="1613E43A" w14:textId="77777777" w:rsidTr="00916CCB">
        <w:trPr>
          <w:trHeight w:val="362"/>
        </w:trPr>
        <w:tc>
          <w:tcPr>
            <w:tcW w:w="1749" w:type="dxa"/>
          </w:tcPr>
          <w:p w14:paraId="39F16D4B" w14:textId="77777777" w:rsidR="008B59A5" w:rsidRPr="00DC7ED8" w:rsidRDefault="008B59A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V</w:t>
            </w:r>
          </w:p>
        </w:tc>
        <w:tc>
          <w:tcPr>
            <w:tcW w:w="1749" w:type="dxa"/>
          </w:tcPr>
          <w:p w14:paraId="7DFAB58D" w14:textId="77777777" w:rsidR="008B59A5" w:rsidRPr="00DC7ED8" w:rsidRDefault="008B59A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354</w:t>
            </w:r>
          </w:p>
        </w:tc>
      </w:tr>
      <w:tr w:rsidR="008B59A5" w:rsidRPr="00DC7ED8" w14:paraId="46BABE7C" w14:textId="77777777" w:rsidTr="00916CCB">
        <w:trPr>
          <w:trHeight w:val="349"/>
        </w:trPr>
        <w:tc>
          <w:tcPr>
            <w:tcW w:w="1749" w:type="dxa"/>
          </w:tcPr>
          <w:p w14:paraId="14273E3E" w14:textId="77777777" w:rsidR="008B59A5" w:rsidRPr="00DC7ED8" w:rsidRDefault="008B59A5"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 xml:space="preserve">12 </w:t>
            </w:r>
            <w:r w:rsidRPr="00DC7ED8">
              <w:rPr>
                <w:rFonts w:ascii="Palatino Linotype" w:hAnsi="Palatino Linotype" w:cs="Times New Roman"/>
                <w:sz w:val="20"/>
                <w:szCs w:val="20"/>
              </w:rPr>
              <w:t>(per day)</w:t>
            </w:r>
          </w:p>
        </w:tc>
        <w:tc>
          <w:tcPr>
            <w:tcW w:w="1749" w:type="dxa"/>
          </w:tcPr>
          <w:p w14:paraId="408B9AB4" w14:textId="77777777" w:rsidR="008B59A5" w:rsidRPr="00DC7ED8" w:rsidRDefault="008B59A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4.28</w:t>
            </w:r>
          </w:p>
        </w:tc>
      </w:tr>
      <w:tr w:rsidR="008B59A5" w:rsidRPr="00DC7ED8" w14:paraId="4CB5FB81" w14:textId="77777777" w:rsidTr="00916CCB">
        <w:trPr>
          <w:trHeight w:val="362"/>
        </w:trPr>
        <w:tc>
          <w:tcPr>
            <w:tcW w:w="1749" w:type="dxa"/>
          </w:tcPr>
          <w:p w14:paraId="052A85C0" w14:textId="77777777" w:rsidR="008B59A5" w:rsidRPr="00DC7ED8" w:rsidRDefault="008B59A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k</w:t>
            </w:r>
            <w:r w:rsidRPr="00DC7ED8">
              <w:rPr>
                <w:rFonts w:ascii="Palatino Linotype" w:hAnsi="Palatino Linotype" w:cs="Times New Roman"/>
                <w:b/>
                <w:bCs/>
                <w:i/>
                <w:iCs/>
                <w:sz w:val="20"/>
                <w:szCs w:val="20"/>
                <w:vertAlign w:val="subscript"/>
              </w:rPr>
              <w:t xml:space="preserve">21 </w:t>
            </w:r>
            <w:r w:rsidRPr="00DC7ED8">
              <w:rPr>
                <w:rFonts w:ascii="Palatino Linotype" w:hAnsi="Palatino Linotype" w:cs="Times New Roman"/>
                <w:sz w:val="20"/>
                <w:szCs w:val="20"/>
              </w:rPr>
              <w:t>(per day)</w:t>
            </w:r>
          </w:p>
        </w:tc>
        <w:tc>
          <w:tcPr>
            <w:tcW w:w="1749" w:type="dxa"/>
          </w:tcPr>
          <w:p w14:paraId="4B59BD0A" w14:textId="77777777" w:rsidR="008B59A5" w:rsidRPr="00DC7ED8" w:rsidRDefault="008B59A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0.992</w:t>
            </w:r>
          </w:p>
        </w:tc>
      </w:tr>
      <w:tr w:rsidR="008B59A5" w:rsidRPr="00DC7ED8" w14:paraId="0AABAD1C" w14:textId="77777777" w:rsidTr="00916CCB">
        <w:trPr>
          <w:trHeight w:val="362"/>
        </w:trPr>
        <w:tc>
          <w:tcPr>
            <w:tcW w:w="1749" w:type="dxa"/>
          </w:tcPr>
          <w:p w14:paraId="7C7E59A7" w14:textId="77777777" w:rsidR="008B59A5" w:rsidRPr="00DC7ED8" w:rsidRDefault="008B59A5" w:rsidP="00916CCB">
            <w:pPr>
              <w:spacing w:line="260" w:lineRule="atLeast"/>
              <w:rPr>
                <w:rFonts w:ascii="Palatino Linotype" w:hAnsi="Palatino Linotype" w:cs="Times New Roman"/>
                <w:b/>
                <w:bCs/>
                <w:i/>
                <w:iCs/>
                <w:sz w:val="20"/>
                <w:szCs w:val="20"/>
              </w:rPr>
            </w:pPr>
            <w:r w:rsidRPr="00DC7ED8">
              <w:rPr>
                <w:rFonts w:ascii="Palatino Linotype" w:hAnsi="Palatino Linotype" w:cs="Times New Roman"/>
                <w:b/>
                <w:bCs/>
                <w:i/>
                <w:iCs/>
                <w:sz w:val="20"/>
                <w:szCs w:val="20"/>
              </w:rPr>
              <w:t xml:space="preserve">k </w:t>
            </w:r>
            <w:r w:rsidRPr="00DC7ED8">
              <w:rPr>
                <w:rFonts w:ascii="Palatino Linotype" w:hAnsi="Palatino Linotype" w:cs="Times New Roman"/>
                <w:sz w:val="20"/>
                <w:szCs w:val="20"/>
              </w:rPr>
              <w:t>(per day)</w:t>
            </w:r>
          </w:p>
        </w:tc>
        <w:tc>
          <w:tcPr>
            <w:tcW w:w="1749" w:type="dxa"/>
          </w:tcPr>
          <w:p w14:paraId="16425B0D" w14:textId="77777777" w:rsidR="008B59A5" w:rsidRPr="00DC7ED8" w:rsidRDefault="008B59A5" w:rsidP="00916CCB">
            <w:pPr>
              <w:spacing w:line="260" w:lineRule="atLeast"/>
              <w:rPr>
                <w:rFonts w:ascii="Palatino Linotype" w:hAnsi="Palatino Linotype" w:cs="Times New Roman"/>
                <w:sz w:val="20"/>
                <w:szCs w:val="20"/>
              </w:rPr>
            </w:pPr>
            <w:r w:rsidRPr="00DC7ED8">
              <w:rPr>
                <w:rFonts w:ascii="Palatino Linotype" w:hAnsi="Palatino Linotype" w:cs="Times New Roman"/>
                <w:sz w:val="20"/>
                <w:szCs w:val="20"/>
              </w:rPr>
              <w:t>0.000198</w:t>
            </w:r>
          </w:p>
        </w:tc>
      </w:tr>
    </w:tbl>
    <w:p w14:paraId="771CC52A" w14:textId="77777777" w:rsidR="008B59A5" w:rsidRDefault="008B59A5" w:rsidP="008B59A5">
      <w:r w:rsidRPr="00DC7ED8">
        <w:rPr>
          <w:rFonts w:ascii="Palatino Linotype" w:hAnsi="Palatino Linotype" w:cs="Times New Roman"/>
          <w:b/>
          <w:bCs/>
          <w:sz w:val="20"/>
          <w:szCs w:val="20"/>
        </w:rPr>
        <w:t>Supp</w:t>
      </w:r>
      <w:r>
        <w:rPr>
          <w:rFonts w:ascii="Palatino Linotype" w:hAnsi="Palatino Linotype" w:cs="Times New Roman"/>
          <w:b/>
          <w:bCs/>
          <w:sz w:val="20"/>
          <w:szCs w:val="20"/>
        </w:rPr>
        <w:t>lemental</w:t>
      </w:r>
      <w:r w:rsidRPr="00DC7ED8">
        <w:rPr>
          <w:rFonts w:ascii="Palatino Linotype" w:hAnsi="Palatino Linotype" w:cs="Times New Roman"/>
          <w:b/>
          <w:bCs/>
          <w:sz w:val="20"/>
          <w:szCs w:val="20"/>
        </w:rPr>
        <w:t xml:space="preserve"> Table </w:t>
      </w:r>
      <w:r>
        <w:rPr>
          <w:rFonts w:ascii="Palatino Linotype" w:hAnsi="Palatino Linotype" w:cs="Times New Roman"/>
          <w:b/>
          <w:bCs/>
          <w:sz w:val="20"/>
          <w:szCs w:val="20"/>
        </w:rPr>
        <w:t>3.</w:t>
      </w:r>
      <w:r w:rsidRPr="00DC7ED8">
        <w:rPr>
          <w:rFonts w:ascii="Palatino Linotype" w:hAnsi="Palatino Linotype" w:cs="Times New Roman"/>
          <w:b/>
          <w:bCs/>
          <w:sz w:val="20"/>
          <w:szCs w:val="20"/>
        </w:rPr>
        <w:t xml:space="preserve"> PK parameters for toremifene</w:t>
      </w:r>
    </w:p>
    <w:p w14:paraId="1C827B1E" w14:textId="77777777" w:rsidR="008B59A5" w:rsidRDefault="008B59A5" w:rsidP="0007743A">
      <w:pPr>
        <w:ind w:left="-270"/>
      </w:pPr>
    </w:p>
    <w:p w14:paraId="4134A020" w14:textId="77777777" w:rsidR="0072562F" w:rsidRPr="00DC7ED8" w:rsidRDefault="0072562F" w:rsidP="0072562F">
      <w:pPr>
        <w:spacing w:line="260" w:lineRule="atLeast"/>
        <w:rPr>
          <w:rFonts w:ascii="Palatino Linotype" w:hAnsi="Palatino Linotype" w:cs="Times New Roman"/>
          <w:b/>
          <w:bCs/>
          <w:sz w:val="20"/>
          <w:szCs w:val="20"/>
        </w:rPr>
      </w:pPr>
    </w:p>
    <w:tbl>
      <w:tblPr>
        <w:tblStyle w:val="TableGrid"/>
        <w:tblW w:w="0" w:type="auto"/>
        <w:tblLook w:val="04A0" w:firstRow="1" w:lastRow="0" w:firstColumn="1" w:lastColumn="0" w:noHBand="0" w:noVBand="1"/>
      </w:tblPr>
      <w:tblGrid>
        <w:gridCol w:w="1697"/>
        <w:gridCol w:w="1448"/>
        <w:gridCol w:w="1948"/>
      </w:tblGrid>
      <w:tr w:rsidR="0072562F" w:rsidRPr="00DC7ED8" w14:paraId="02CA6686" w14:textId="77777777" w:rsidTr="00916CCB">
        <w:trPr>
          <w:trHeight w:val="324"/>
        </w:trPr>
        <w:tc>
          <w:tcPr>
            <w:tcW w:w="1697" w:type="dxa"/>
          </w:tcPr>
          <w:p w14:paraId="1AEFCE29" w14:textId="77777777" w:rsidR="0072562F" w:rsidRPr="00DC7ED8" w:rsidRDefault="0072562F"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Drug</w:t>
            </w:r>
          </w:p>
        </w:tc>
        <w:tc>
          <w:tcPr>
            <w:tcW w:w="1448" w:type="dxa"/>
          </w:tcPr>
          <w:p w14:paraId="7CC4A8E6" w14:textId="77777777" w:rsidR="0072562F" w:rsidRPr="00DC7ED8" w:rsidRDefault="0072562F" w:rsidP="00916CCB">
            <w:pPr>
              <w:spacing w:line="260" w:lineRule="atLeast"/>
              <w:jc w:val="center"/>
              <w:rPr>
                <w:rFonts w:ascii="Palatino Linotype" w:hAnsi="Palatino Linotype" w:cs="Times New Roman"/>
                <w:b/>
                <w:bCs/>
                <w:sz w:val="20"/>
                <w:szCs w:val="20"/>
              </w:rPr>
            </w:pPr>
            <w:r w:rsidRPr="00DC7ED8">
              <w:rPr>
                <w:rFonts w:ascii="Palatino Linotype" w:hAnsi="Palatino Linotype" w:cs="Times New Roman"/>
                <w:b/>
                <w:bCs/>
                <w:sz w:val="20"/>
                <w:szCs w:val="20"/>
              </w:rPr>
              <w:t>IC</w:t>
            </w:r>
            <w:r w:rsidRPr="00DC7ED8">
              <w:rPr>
                <w:rFonts w:ascii="Palatino Linotype" w:hAnsi="Palatino Linotype" w:cs="Times New Roman"/>
                <w:b/>
                <w:bCs/>
                <w:sz w:val="20"/>
                <w:szCs w:val="20"/>
                <w:vertAlign w:val="subscript"/>
              </w:rPr>
              <w:t>50</w:t>
            </w:r>
            <w:r w:rsidRPr="00DC7ED8">
              <w:rPr>
                <w:rFonts w:ascii="Palatino Linotype" w:hAnsi="Palatino Linotype" w:cs="Times New Roman"/>
                <w:b/>
                <w:bCs/>
                <w:sz w:val="20"/>
                <w:szCs w:val="20"/>
              </w:rPr>
              <w:t xml:space="preserve"> (µM)</w:t>
            </w:r>
          </w:p>
        </w:tc>
        <w:tc>
          <w:tcPr>
            <w:tcW w:w="1948" w:type="dxa"/>
          </w:tcPr>
          <w:p w14:paraId="1F906DA0" w14:textId="77777777" w:rsidR="0072562F" w:rsidRPr="00DC7ED8" w:rsidRDefault="0072562F"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Hill coefficient</w:t>
            </w:r>
          </w:p>
        </w:tc>
      </w:tr>
      <w:tr w:rsidR="0072562F" w:rsidRPr="00DC7ED8" w14:paraId="6538C3E9" w14:textId="77777777" w:rsidTr="00916CCB">
        <w:trPr>
          <w:trHeight w:val="324"/>
        </w:trPr>
        <w:tc>
          <w:tcPr>
            <w:tcW w:w="1697" w:type="dxa"/>
          </w:tcPr>
          <w:p w14:paraId="29CBDC87" w14:textId="77777777" w:rsidR="0072562F" w:rsidRPr="00DC7ED8" w:rsidRDefault="0072562F"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Bepridil</w:t>
            </w:r>
          </w:p>
        </w:tc>
        <w:tc>
          <w:tcPr>
            <w:tcW w:w="1448" w:type="dxa"/>
          </w:tcPr>
          <w:p w14:paraId="0CD7E337"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5.86</w:t>
            </w:r>
          </w:p>
        </w:tc>
        <w:tc>
          <w:tcPr>
            <w:tcW w:w="1948" w:type="dxa"/>
          </w:tcPr>
          <w:p w14:paraId="513479FD"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4.859375</w:t>
            </w:r>
          </w:p>
        </w:tc>
      </w:tr>
      <w:tr w:rsidR="0072562F" w:rsidRPr="00DC7ED8" w14:paraId="6995BD80" w14:textId="77777777" w:rsidTr="00916CCB">
        <w:trPr>
          <w:trHeight w:val="324"/>
        </w:trPr>
        <w:tc>
          <w:tcPr>
            <w:tcW w:w="1697" w:type="dxa"/>
          </w:tcPr>
          <w:p w14:paraId="4DC0BC27" w14:textId="77777777" w:rsidR="0072562F" w:rsidRPr="00DC7ED8" w:rsidRDefault="0072562F"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Sertraline</w:t>
            </w:r>
          </w:p>
        </w:tc>
        <w:tc>
          <w:tcPr>
            <w:tcW w:w="1448" w:type="dxa"/>
          </w:tcPr>
          <w:p w14:paraId="75FEFD54"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3.79</w:t>
            </w:r>
          </w:p>
        </w:tc>
        <w:tc>
          <w:tcPr>
            <w:tcW w:w="1948" w:type="dxa"/>
          </w:tcPr>
          <w:p w14:paraId="52498590"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1.628</w:t>
            </w:r>
          </w:p>
        </w:tc>
      </w:tr>
      <w:tr w:rsidR="0072562F" w:rsidRPr="00DC7ED8" w14:paraId="220B8C6C" w14:textId="77777777" w:rsidTr="00916CCB">
        <w:trPr>
          <w:trHeight w:val="324"/>
        </w:trPr>
        <w:tc>
          <w:tcPr>
            <w:tcW w:w="1697" w:type="dxa"/>
          </w:tcPr>
          <w:p w14:paraId="3093CFB0" w14:textId="77777777" w:rsidR="0072562F" w:rsidRPr="00DC7ED8" w:rsidRDefault="0072562F" w:rsidP="00916CCB">
            <w:pPr>
              <w:spacing w:line="260" w:lineRule="atLeast"/>
              <w:rPr>
                <w:rFonts w:ascii="Palatino Linotype" w:hAnsi="Palatino Linotype" w:cs="Times New Roman"/>
                <w:b/>
                <w:bCs/>
                <w:sz w:val="20"/>
                <w:szCs w:val="20"/>
              </w:rPr>
            </w:pPr>
            <w:r w:rsidRPr="00DC7ED8">
              <w:rPr>
                <w:rFonts w:ascii="Palatino Linotype" w:hAnsi="Palatino Linotype" w:cs="Times New Roman"/>
                <w:b/>
                <w:bCs/>
                <w:sz w:val="20"/>
                <w:szCs w:val="20"/>
              </w:rPr>
              <w:t>Toremifene</w:t>
            </w:r>
          </w:p>
        </w:tc>
        <w:tc>
          <w:tcPr>
            <w:tcW w:w="1448" w:type="dxa"/>
          </w:tcPr>
          <w:p w14:paraId="319353E7"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3.64</w:t>
            </w:r>
          </w:p>
        </w:tc>
        <w:tc>
          <w:tcPr>
            <w:tcW w:w="1948" w:type="dxa"/>
          </w:tcPr>
          <w:p w14:paraId="7C068AE6" w14:textId="77777777" w:rsidR="0072562F" w:rsidRPr="00DC7ED8" w:rsidRDefault="0072562F" w:rsidP="00916CCB">
            <w:pPr>
              <w:spacing w:line="260" w:lineRule="atLeast"/>
              <w:jc w:val="center"/>
              <w:rPr>
                <w:rFonts w:ascii="Palatino Linotype" w:hAnsi="Palatino Linotype" w:cs="Times New Roman"/>
                <w:sz w:val="20"/>
                <w:szCs w:val="20"/>
              </w:rPr>
            </w:pPr>
            <w:r w:rsidRPr="00DC7ED8">
              <w:rPr>
                <w:rFonts w:ascii="Palatino Linotype" w:hAnsi="Palatino Linotype" w:cs="Times New Roman"/>
                <w:sz w:val="20"/>
                <w:szCs w:val="20"/>
              </w:rPr>
              <w:t>3.057</w:t>
            </w:r>
          </w:p>
        </w:tc>
      </w:tr>
    </w:tbl>
    <w:p w14:paraId="3016D03F" w14:textId="370B2350" w:rsidR="00D82CC7" w:rsidRDefault="0072562F" w:rsidP="0072562F">
      <w:pPr>
        <w:spacing w:line="260" w:lineRule="atLeast"/>
        <w:rPr>
          <w:rFonts w:ascii="Palatino Linotype" w:hAnsi="Palatino Linotype" w:cs="Times New Roman"/>
          <w:bCs/>
          <w:sz w:val="20"/>
          <w:szCs w:val="20"/>
        </w:rPr>
      </w:pPr>
      <w:r w:rsidRPr="00DC7ED8">
        <w:rPr>
          <w:rFonts w:ascii="Palatino Linotype" w:hAnsi="Palatino Linotype" w:cs="Times New Roman"/>
          <w:b/>
          <w:bCs/>
          <w:sz w:val="20"/>
          <w:szCs w:val="20"/>
        </w:rPr>
        <w:t>Supp</w:t>
      </w:r>
      <w:r>
        <w:rPr>
          <w:rFonts w:ascii="Palatino Linotype" w:hAnsi="Palatino Linotype" w:cs="Times New Roman"/>
          <w:b/>
          <w:bCs/>
          <w:sz w:val="20"/>
          <w:szCs w:val="20"/>
        </w:rPr>
        <w:t>lemental</w:t>
      </w:r>
      <w:r w:rsidRPr="00DC7ED8">
        <w:rPr>
          <w:rFonts w:ascii="Palatino Linotype" w:hAnsi="Palatino Linotype" w:cs="Times New Roman"/>
          <w:b/>
          <w:bCs/>
          <w:sz w:val="20"/>
          <w:szCs w:val="20"/>
        </w:rPr>
        <w:t xml:space="preserve"> Table </w:t>
      </w:r>
      <w:r>
        <w:rPr>
          <w:rFonts w:ascii="Palatino Linotype" w:hAnsi="Palatino Linotype" w:cs="Times New Roman"/>
          <w:b/>
          <w:bCs/>
          <w:sz w:val="20"/>
          <w:szCs w:val="20"/>
        </w:rPr>
        <w:t>4.</w:t>
      </w:r>
      <w:r w:rsidRPr="00DC7ED8">
        <w:rPr>
          <w:rFonts w:ascii="Palatino Linotype" w:hAnsi="Palatino Linotype" w:cs="Times New Roman"/>
          <w:b/>
          <w:bCs/>
          <w:sz w:val="20"/>
          <w:szCs w:val="20"/>
        </w:rPr>
        <w:t xml:space="preserve"> In vitro PD parameters for single drugs</w:t>
      </w:r>
      <w:r>
        <w:rPr>
          <w:rFonts w:ascii="Palatino Linotype" w:hAnsi="Palatino Linotype" w:cs="Times New Roman"/>
          <w:b/>
          <w:bCs/>
          <w:sz w:val="20"/>
          <w:szCs w:val="20"/>
        </w:rPr>
        <w:t xml:space="preserve">. </w:t>
      </w:r>
      <w:r>
        <w:rPr>
          <w:rFonts w:ascii="Palatino Linotype" w:hAnsi="Palatino Linotype" w:cs="Times New Roman"/>
          <w:bCs/>
          <w:sz w:val="20"/>
          <w:szCs w:val="20"/>
        </w:rPr>
        <w:t>Data are from Ref.</w:t>
      </w:r>
      <w:r>
        <w:rPr>
          <w:rFonts w:ascii="Palatino Linotype" w:hAnsi="Palatino Linotype" w:cs="Times New Roman"/>
          <w:b/>
          <w:bCs/>
          <w:sz w:val="20"/>
          <w:szCs w:val="20"/>
        </w:rPr>
        <w:t xml:space="preserve"> </w:t>
      </w:r>
      <w:r w:rsidR="00916CCB">
        <w:rPr>
          <w:rFonts w:ascii="Palatino Linotype" w:hAnsi="Palatino Linotype" w:cs="Times New Roman"/>
          <w:bCs/>
          <w:sz w:val="20"/>
          <w:szCs w:val="20"/>
        </w:rPr>
        <w:fldChar w:fldCharType="begin"/>
      </w:r>
      <w:r w:rsidR="00785F66">
        <w:rPr>
          <w:rFonts w:ascii="Palatino Linotype" w:hAnsi="Palatino Linotype" w:cs="Times New Roman"/>
          <w:bCs/>
          <w:sz w:val="20"/>
          <w:szCs w:val="20"/>
        </w:rPr>
        <w:instrText>ADDIN F1000_CSL_CITATION&lt;~#@#~&gt;[{"DOI":"10.1093/infdis/jiy304","First":false,"Last":false,"PMCID":"PMC6249579","PMID":"29939303","abstract":"&lt;strong&gt;Background:&lt;/strong&gt; A need to develop therapeutics to treat Ebola virus disease patients in remote and resource-challenged settings remains in the wake of the 2013-2016 epidemic in West Africa. Toward this goal, we screened drugs under consideration as treatment options and other drugs of interest, most being small molecules approved by the Food and Drug Administration. Drugs demonstrating in vitro antiviral activity were advanced for evaluation in combinations because of advantages often provided by drug cocktails.&lt;br&gt;&lt;br&gt;&lt;strong&gt;Methods:&lt;/strong&gt; Drugs were screened for blockade of Ebola virus infection in cultured cells. Twelve drugs were tested in all (78 pair-wise) combinations, and 3 were tested in a subset of combinations.&lt;br&gt;&lt;br&gt;&lt;strong&gt;Results:&lt;/strong&gt; Multiple synergistic drug pairs emerged, with the majority comprising 2 entry inhibitors. For the pairs of entry inhibitors studied, synergy was demonstrated at the level of virus entry into host cells. Highly synergistic pairs included aripiprazole/piperacetazine, sertraline/toremifene, sertraline/bepridil, and amodiaquine/clomiphene.&lt;br&gt;&lt;br&gt;&lt;strong&gt;Conclusions:&lt;/strong&gt; Our study shows the feasibility of identifying pairs of approved drugs that synergistically block Ebola virus infection in cell cultures. We discuss our findings in terms of the theoretic ability of these or alternate combinations to reach therapeutic levels. Future research will assess selected combinations in small-animal models of Ebola virus disease.","author":[{"family":"Dyall","given":"Julie"},{"family":"Nelson","given":"Elizabeth A"},{"family":"DeWald","given":"Lisa Evans"},{"family":"Guha","given":"Rajarshi"},{"family":"Hart","given":"Brit J"},{"family":"Zhou","given":"Huanying"},{"family":"Postnikova","given":"Elena"},{"family":"Logue","given":"James"},{"family":"Vargas","given":"Walter M"},{"family":"Gross","given":"Robin"},{"family":"Michelotti","given":"Julia"},{"family":"Deiuliis","given":"Nicole"},{"family":"Bennett","given":"Richard S"},{"family":"Crozier","given":"Ian"},{"family":"Holbrook","given":"Michael R"},{"family":"Morris","given":"Patrick J"},{"family":"Klumpp-Thomas","given":"Carleen"},{"family":"McKnight","given":"Crystal"},{"family":"Mierzwa","given":"Tim"},{"family":"Shinn","given":"Paul"},{"family":"Glass","given":"Pamela J"},{"family":"Johansen","given":"Lisa M"},{"family":"Jahrling","given":"Peter B"},{"family":"Hensley","given":"Lisa E"},{"family":"Olinger","given":"Gene G"},{"family":"Thomas","given":"Craig"},{"family":"White","given":"Judith M"}],"authorYearDisplayFormat":false,"citation-label":"6723629","container-title":"The Journal of Infectious Diseases","container-title-short":"J. Infect. Dis.","id":"6723629","invisible":false,"issue":"suppl_5","issued":{"date-parts":[["2018","11","22"]]},"journalAbbreviation":"J. Infect. Dis.","page":"S672-S678","suppress-author":false,"title":"Identification of combinations of approved drugs with synergistic activity against ebola virus in cell cultures.","type":"article-journal","volume":"218"}]</w:instrText>
      </w:r>
      <w:r w:rsidR="00916CCB">
        <w:rPr>
          <w:rFonts w:ascii="Palatino Linotype" w:hAnsi="Palatino Linotype" w:cs="Times New Roman"/>
          <w:bCs/>
          <w:sz w:val="20"/>
          <w:szCs w:val="20"/>
        </w:rPr>
        <w:fldChar w:fldCharType="separate"/>
      </w:r>
      <w:r w:rsidR="00785F66" w:rsidRPr="00785F66">
        <w:rPr>
          <w:rFonts w:ascii="Palatino Linotype" w:hAnsi="Palatino Linotype" w:cs="Times New Roman"/>
          <w:bCs/>
          <w:noProof/>
          <w:sz w:val="20"/>
          <w:szCs w:val="20"/>
        </w:rPr>
        <w:t>[1]</w:t>
      </w:r>
      <w:r w:rsidR="00916CCB">
        <w:rPr>
          <w:rFonts w:ascii="Palatino Linotype" w:hAnsi="Palatino Linotype" w:cs="Times New Roman"/>
          <w:bCs/>
          <w:sz w:val="20"/>
          <w:szCs w:val="20"/>
        </w:rPr>
        <w:fldChar w:fldCharType="end"/>
      </w:r>
    </w:p>
    <w:p w14:paraId="2B1A1C2F" w14:textId="77777777" w:rsidR="00D82CC7" w:rsidRDefault="00D82CC7">
      <w:pPr>
        <w:rPr>
          <w:rFonts w:ascii="Palatino Linotype" w:hAnsi="Palatino Linotype" w:cs="Times New Roman"/>
          <w:bCs/>
          <w:sz w:val="20"/>
          <w:szCs w:val="20"/>
        </w:rPr>
      </w:pPr>
      <w:r>
        <w:rPr>
          <w:rFonts w:ascii="Palatino Linotype" w:hAnsi="Palatino Linotype" w:cs="Times New Roman"/>
          <w:bCs/>
          <w:sz w:val="20"/>
          <w:szCs w:val="20"/>
        </w:rPr>
        <w:br w:type="page"/>
      </w:r>
    </w:p>
    <w:p w14:paraId="4202F9CA" w14:textId="77777777" w:rsidR="0072562F" w:rsidRDefault="0072562F" w:rsidP="0072562F">
      <w:pPr>
        <w:spacing w:line="260" w:lineRule="atLeast"/>
        <w:rPr>
          <w:rFonts w:ascii="Palatino Linotype" w:hAnsi="Palatino Linotype" w:cs="Times New Roman"/>
          <w:bCs/>
          <w:sz w:val="20"/>
          <w:szCs w:val="20"/>
        </w:rPr>
      </w:pPr>
    </w:p>
    <w:p w14:paraId="53B2E008" w14:textId="77777777" w:rsidR="00D82CC7" w:rsidRDefault="00D82CC7" w:rsidP="0072562F">
      <w:pPr>
        <w:spacing w:line="260" w:lineRule="atLeast"/>
        <w:rPr>
          <w:rFonts w:ascii="Palatino Linotype" w:hAnsi="Palatino Linotype" w:cs="Times New Roman"/>
          <w:bCs/>
          <w:sz w:val="20"/>
          <w:szCs w:val="20"/>
        </w:rPr>
      </w:pPr>
    </w:p>
    <w:tbl>
      <w:tblPr>
        <w:tblW w:w="0" w:type="auto"/>
        <w:jc w:val="center"/>
        <w:tblBorders>
          <w:top w:val="single" w:sz="8" w:space="0" w:color="auto"/>
          <w:bottom w:val="single" w:sz="8" w:space="0" w:color="auto"/>
        </w:tblBorders>
        <w:tblLook w:val="04A0" w:firstRow="1" w:lastRow="0" w:firstColumn="1" w:lastColumn="0" w:noHBand="0" w:noVBand="1"/>
      </w:tblPr>
      <w:tblGrid>
        <w:gridCol w:w="1532"/>
        <w:gridCol w:w="1043"/>
        <w:gridCol w:w="1152"/>
        <w:gridCol w:w="1185"/>
        <w:gridCol w:w="909"/>
        <w:gridCol w:w="910"/>
        <w:gridCol w:w="882"/>
        <w:gridCol w:w="1243"/>
      </w:tblGrid>
      <w:tr w:rsidR="00D82CC7" w:rsidRPr="0056617C" w14:paraId="59DF02A5" w14:textId="77777777" w:rsidTr="00916CCB">
        <w:trPr>
          <w:jc w:val="center"/>
        </w:trPr>
        <w:tc>
          <w:tcPr>
            <w:tcW w:w="1599" w:type="dxa"/>
            <w:tcBorders>
              <w:bottom w:val="single" w:sz="4" w:space="0" w:color="auto"/>
            </w:tcBorders>
            <w:shd w:val="clear" w:color="auto" w:fill="auto"/>
            <w:vAlign w:val="center"/>
          </w:tcPr>
          <w:p w14:paraId="6D2DFDED" w14:textId="77777777" w:rsidR="00D82CC7" w:rsidRPr="0056617C" w:rsidRDefault="00D82CC7" w:rsidP="00916CCB">
            <w:pPr>
              <w:pStyle w:val="MDPI42tablebody"/>
              <w:spacing w:line="240" w:lineRule="auto"/>
              <w:rPr>
                <w:b/>
              </w:rPr>
            </w:pPr>
            <w:r>
              <w:rPr>
                <w:b/>
              </w:rPr>
              <w:t>Drug</w:t>
            </w:r>
          </w:p>
        </w:tc>
        <w:tc>
          <w:tcPr>
            <w:tcW w:w="1599" w:type="dxa"/>
            <w:tcBorders>
              <w:bottom w:val="single" w:sz="4" w:space="0" w:color="auto"/>
            </w:tcBorders>
            <w:shd w:val="clear" w:color="auto" w:fill="auto"/>
            <w:vAlign w:val="center"/>
          </w:tcPr>
          <w:p w14:paraId="1873570D" w14:textId="77777777" w:rsidR="00D82CC7" w:rsidRDefault="00D82CC7" w:rsidP="00916CCB">
            <w:pPr>
              <w:pStyle w:val="MDPI42tablebody"/>
              <w:spacing w:line="240" w:lineRule="auto"/>
              <w:rPr>
                <w:b/>
              </w:rPr>
            </w:pPr>
            <w:r>
              <w:rPr>
                <w:b/>
              </w:rPr>
              <w:t>IC</w:t>
            </w:r>
            <w:r w:rsidRPr="00B73CD7">
              <w:rPr>
                <w:b/>
                <w:vertAlign w:val="subscript"/>
              </w:rPr>
              <w:t>50</w:t>
            </w:r>
          </w:p>
          <w:p w14:paraId="1BDF3B35" w14:textId="77777777" w:rsidR="00D82CC7" w:rsidRDefault="00D82CC7" w:rsidP="00916CCB">
            <w:pPr>
              <w:pStyle w:val="MDPI42tablebody"/>
              <w:spacing w:line="240" w:lineRule="auto"/>
              <w:rPr>
                <w:b/>
              </w:rPr>
            </w:pPr>
            <w:r>
              <w:rPr>
                <w:b/>
              </w:rPr>
              <w:t>(Huh7)</w:t>
            </w:r>
          </w:p>
          <w:p w14:paraId="5DEF1D8B" w14:textId="77777777" w:rsidR="00D82CC7" w:rsidRPr="0056617C" w:rsidRDefault="00D82CC7" w:rsidP="00916CCB">
            <w:pPr>
              <w:pStyle w:val="MDPI42tablebody"/>
              <w:spacing w:line="240" w:lineRule="auto"/>
              <w:rPr>
                <w:b/>
              </w:rPr>
            </w:pPr>
            <w:r>
              <w:rPr>
                <w:b/>
              </w:rPr>
              <w:t>(μM)</w:t>
            </w:r>
          </w:p>
        </w:tc>
        <w:tc>
          <w:tcPr>
            <w:tcW w:w="1599" w:type="dxa"/>
            <w:tcBorders>
              <w:bottom w:val="single" w:sz="4" w:space="0" w:color="auto"/>
            </w:tcBorders>
            <w:shd w:val="clear" w:color="auto" w:fill="auto"/>
            <w:vAlign w:val="center"/>
          </w:tcPr>
          <w:p w14:paraId="394D4DAA" w14:textId="77777777" w:rsidR="00D82CC7" w:rsidRDefault="00D82CC7" w:rsidP="00916CCB">
            <w:pPr>
              <w:pStyle w:val="MDPI42tablebody"/>
              <w:spacing w:line="240" w:lineRule="auto"/>
              <w:rPr>
                <w:b/>
              </w:rPr>
            </w:pPr>
            <w:r>
              <w:rPr>
                <w:b/>
              </w:rPr>
              <w:t>IC</w:t>
            </w:r>
            <w:r w:rsidRPr="00B73CD7">
              <w:rPr>
                <w:b/>
                <w:vertAlign w:val="subscript"/>
              </w:rPr>
              <w:t>50</w:t>
            </w:r>
          </w:p>
          <w:p w14:paraId="65A9495F" w14:textId="77777777" w:rsidR="00D82CC7" w:rsidRDefault="00D82CC7" w:rsidP="00916CCB">
            <w:pPr>
              <w:pStyle w:val="MDPI42tablebody"/>
              <w:spacing w:line="240" w:lineRule="auto"/>
              <w:rPr>
                <w:b/>
              </w:rPr>
            </w:pPr>
            <w:r>
              <w:rPr>
                <w:b/>
              </w:rPr>
              <w:t>(HepG2)</w:t>
            </w:r>
          </w:p>
          <w:p w14:paraId="2A70C0D1" w14:textId="77777777" w:rsidR="00D82CC7" w:rsidRPr="0056617C" w:rsidRDefault="00D82CC7" w:rsidP="00916CCB">
            <w:pPr>
              <w:pStyle w:val="MDPI42tablebody"/>
              <w:spacing w:line="240" w:lineRule="auto"/>
              <w:rPr>
                <w:b/>
              </w:rPr>
            </w:pPr>
            <w:r>
              <w:rPr>
                <w:b/>
              </w:rPr>
              <w:t>(μM)</w:t>
            </w:r>
          </w:p>
        </w:tc>
        <w:tc>
          <w:tcPr>
            <w:tcW w:w="1599" w:type="dxa"/>
            <w:tcBorders>
              <w:bottom w:val="single" w:sz="4" w:space="0" w:color="auto"/>
            </w:tcBorders>
          </w:tcPr>
          <w:p w14:paraId="42A1DCB4" w14:textId="77777777" w:rsidR="00D82CC7" w:rsidRDefault="00D82CC7" w:rsidP="00916CCB">
            <w:pPr>
              <w:pStyle w:val="MDPI42tablebody"/>
              <w:spacing w:line="240" w:lineRule="auto"/>
              <w:rPr>
                <w:b/>
              </w:rPr>
            </w:pPr>
            <w:r>
              <w:rPr>
                <w:b/>
              </w:rPr>
              <w:t>IC</w:t>
            </w:r>
            <w:r w:rsidRPr="00B73CD7">
              <w:rPr>
                <w:b/>
                <w:vertAlign w:val="subscript"/>
              </w:rPr>
              <w:t>50</w:t>
            </w:r>
          </w:p>
          <w:p w14:paraId="569CC9DE" w14:textId="77777777" w:rsidR="00D82CC7" w:rsidRDefault="00D82CC7" w:rsidP="00916CCB">
            <w:pPr>
              <w:pStyle w:val="MDPI42tablebody"/>
              <w:spacing w:line="240" w:lineRule="auto"/>
              <w:rPr>
                <w:b/>
              </w:rPr>
            </w:pPr>
            <w:r>
              <w:rPr>
                <w:b/>
              </w:rPr>
              <w:t>(average)</w:t>
            </w:r>
          </w:p>
          <w:p w14:paraId="57F939BD" w14:textId="77777777" w:rsidR="00D82CC7" w:rsidRPr="0056617C" w:rsidRDefault="00D82CC7" w:rsidP="00916CCB">
            <w:pPr>
              <w:pStyle w:val="MDPI42tablebody"/>
              <w:spacing w:line="240" w:lineRule="auto"/>
              <w:rPr>
                <w:b/>
              </w:rPr>
            </w:pPr>
            <w:r>
              <w:rPr>
                <w:b/>
              </w:rPr>
              <w:t>(μM)</w:t>
            </w:r>
          </w:p>
        </w:tc>
        <w:tc>
          <w:tcPr>
            <w:tcW w:w="1599" w:type="dxa"/>
            <w:tcBorders>
              <w:bottom w:val="single" w:sz="4" w:space="0" w:color="auto"/>
            </w:tcBorders>
          </w:tcPr>
          <w:p w14:paraId="0F28FDAD" w14:textId="77777777" w:rsidR="00D82CC7" w:rsidRDefault="00D82CC7" w:rsidP="00916CCB">
            <w:pPr>
              <w:pStyle w:val="MDPI42tablebody"/>
              <w:spacing w:line="240" w:lineRule="auto"/>
              <w:rPr>
                <w:b/>
              </w:rPr>
            </w:pPr>
            <w:r w:rsidRPr="00243045">
              <w:rPr>
                <w:b/>
              </w:rPr>
              <w:t>Oral Dose</w:t>
            </w:r>
            <w:r>
              <w:rPr>
                <w:b/>
              </w:rPr>
              <w:t xml:space="preserve"> </w:t>
            </w:r>
            <w:r w:rsidRPr="005F7972">
              <w:rPr>
                <w:b/>
                <w:vertAlign w:val="superscript"/>
              </w:rPr>
              <w:t>1</w:t>
            </w:r>
          </w:p>
          <w:p w14:paraId="32988C8C" w14:textId="77777777" w:rsidR="00D82CC7" w:rsidRDefault="00D82CC7" w:rsidP="00916CCB">
            <w:pPr>
              <w:pStyle w:val="MDPI42tablebody"/>
              <w:spacing w:line="240" w:lineRule="auto"/>
              <w:rPr>
                <w:b/>
              </w:rPr>
            </w:pPr>
            <w:r>
              <w:rPr>
                <w:b/>
              </w:rPr>
              <w:t>(mg)</w:t>
            </w:r>
          </w:p>
          <w:p w14:paraId="2154A144" w14:textId="77777777" w:rsidR="00D82CC7" w:rsidRPr="0056617C" w:rsidRDefault="00D82CC7" w:rsidP="00916CCB">
            <w:pPr>
              <w:pStyle w:val="MDPI42tablebody"/>
              <w:spacing w:line="240" w:lineRule="auto"/>
              <w:rPr>
                <w:b/>
              </w:rPr>
            </w:pPr>
          </w:p>
        </w:tc>
        <w:tc>
          <w:tcPr>
            <w:tcW w:w="1599" w:type="dxa"/>
            <w:tcBorders>
              <w:bottom w:val="single" w:sz="4" w:space="0" w:color="auto"/>
            </w:tcBorders>
          </w:tcPr>
          <w:p w14:paraId="46BB6F57" w14:textId="77777777" w:rsidR="00D82CC7" w:rsidRDefault="00D82CC7" w:rsidP="00916CCB">
            <w:pPr>
              <w:pStyle w:val="MDPI42tablebody"/>
              <w:spacing w:line="240" w:lineRule="auto"/>
              <w:rPr>
                <w:b/>
              </w:rPr>
            </w:pPr>
            <w:r>
              <w:rPr>
                <w:b/>
              </w:rPr>
              <w:t>C</w:t>
            </w:r>
            <w:r w:rsidRPr="00B73CD7">
              <w:rPr>
                <w:b/>
                <w:vertAlign w:val="subscript"/>
              </w:rPr>
              <w:t>max</w:t>
            </w:r>
          </w:p>
          <w:p w14:paraId="1FAB3AF1" w14:textId="77777777" w:rsidR="00D82CC7" w:rsidRDefault="00D82CC7" w:rsidP="00916CCB">
            <w:pPr>
              <w:pStyle w:val="MDPI42tablebody"/>
              <w:spacing w:line="240" w:lineRule="auto"/>
              <w:rPr>
                <w:b/>
              </w:rPr>
            </w:pPr>
            <w:r>
              <w:rPr>
                <w:b/>
              </w:rPr>
              <w:t>(PO)</w:t>
            </w:r>
          </w:p>
          <w:p w14:paraId="0700FD55" w14:textId="77777777" w:rsidR="00D82CC7" w:rsidRPr="0056617C" w:rsidRDefault="00D82CC7" w:rsidP="00916CCB">
            <w:pPr>
              <w:pStyle w:val="MDPI42tablebody"/>
              <w:spacing w:line="240" w:lineRule="auto"/>
              <w:rPr>
                <w:b/>
              </w:rPr>
            </w:pPr>
            <w:r>
              <w:rPr>
                <w:b/>
              </w:rPr>
              <w:t>(μM)</w:t>
            </w:r>
          </w:p>
        </w:tc>
        <w:tc>
          <w:tcPr>
            <w:tcW w:w="1599" w:type="dxa"/>
            <w:tcBorders>
              <w:bottom w:val="single" w:sz="4" w:space="0" w:color="auto"/>
            </w:tcBorders>
          </w:tcPr>
          <w:p w14:paraId="4C0347D2" w14:textId="77777777" w:rsidR="00D82CC7" w:rsidRDefault="00D82CC7" w:rsidP="00916CCB">
            <w:pPr>
              <w:pStyle w:val="MDPI42tablebody"/>
              <w:spacing w:line="240" w:lineRule="auto"/>
              <w:rPr>
                <w:b/>
              </w:rPr>
            </w:pPr>
            <w:r>
              <w:rPr>
                <w:b/>
              </w:rPr>
              <w:t>C</w:t>
            </w:r>
            <w:r w:rsidRPr="00490F7D">
              <w:rPr>
                <w:b/>
                <w:vertAlign w:val="subscript"/>
              </w:rPr>
              <w:t>max</w:t>
            </w:r>
            <w:r>
              <w:rPr>
                <w:b/>
              </w:rPr>
              <w:t>/</w:t>
            </w:r>
          </w:p>
          <w:p w14:paraId="34E727FE" w14:textId="77777777" w:rsidR="00D82CC7" w:rsidRPr="0056617C" w:rsidRDefault="00D82CC7" w:rsidP="00916CCB">
            <w:pPr>
              <w:pStyle w:val="MDPI42tablebody"/>
              <w:spacing w:line="240" w:lineRule="auto"/>
              <w:rPr>
                <w:b/>
              </w:rPr>
            </w:pPr>
            <w:r>
              <w:rPr>
                <w:b/>
              </w:rPr>
              <w:t>IC</w:t>
            </w:r>
            <w:r w:rsidRPr="00490F7D">
              <w:rPr>
                <w:b/>
                <w:vertAlign w:val="subscript"/>
              </w:rPr>
              <w:t>50</w:t>
            </w:r>
          </w:p>
        </w:tc>
        <w:tc>
          <w:tcPr>
            <w:tcW w:w="1599" w:type="dxa"/>
            <w:tcBorders>
              <w:bottom w:val="single" w:sz="4" w:space="0" w:color="auto"/>
            </w:tcBorders>
          </w:tcPr>
          <w:p w14:paraId="22F619E9" w14:textId="77777777" w:rsidR="00D82CC7" w:rsidRDefault="00D82CC7" w:rsidP="00916CCB">
            <w:pPr>
              <w:pStyle w:val="MDPI42tablebody"/>
              <w:spacing w:line="240" w:lineRule="auto"/>
              <w:rPr>
                <w:b/>
              </w:rPr>
            </w:pPr>
            <w:r>
              <w:rPr>
                <w:b/>
              </w:rPr>
              <w:t>Reference</w:t>
            </w:r>
          </w:p>
          <w:p w14:paraId="564CC2EE" w14:textId="77777777" w:rsidR="00D82CC7" w:rsidRPr="0056617C" w:rsidRDefault="00D82CC7" w:rsidP="00916CCB">
            <w:pPr>
              <w:pStyle w:val="MDPI42tablebody"/>
              <w:spacing w:line="240" w:lineRule="auto"/>
              <w:rPr>
                <w:b/>
              </w:rPr>
            </w:pPr>
            <w:r>
              <w:rPr>
                <w:b/>
              </w:rPr>
              <w:t>PK Data</w:t>
            </w:r>
          </w:p>
        </w:tc>
      </w:tr>
      <w:tr w:rsidR="00D82CC7" w:rsidRPr="00EA1AF3" w14:paraId="62DF4B96" w14:textId="77777777" w:rsidTr="00916CCB">
        <w:trPr>
          <w:jc w:val="center"/>
        </w:trPr>
        <w:tc>
          <w:tcPr>
            <w:tcW w:w="1599" w:type="dxa"/>
            <w:shd w:val="clear" w:color="auto" w:fill="auto"/>
            <w:vAlign w:val="center"/>
          </w:tcPr>
          <w:p w14:paraId="5B755A24" w14:textId="77777777" w:rsidR="00D82CC7" w:rsidRPr="00EA1AF3" w:rsidRDefault="00D82CC7" w:rsidP="00916CCB">
            <w:pPr>
              <w:pStyle w:val="MDPI42tablebody"/>
              <w:spacing w:line="240" w:lineRule="auto"/>
            </w:pPr>
            <w:r>
              <w:t>apilimod</w:t>
            </w:r>
          </w:p>
        </w:tc>
        <w:tc>
          <w:tcPr>
            <w:tcW w:w="1599" w:type="dxa"/>
            <w:shd w:val="clear" w:color="auto" w:fill="auto"/>
            <w:vAlign w:val="center"/>
          </w:tcPr>
          <w:p w14:paraId="40100DFD" w14:textId="77777777" w:rsidR="00D82CC7" w:rsidRPr="00EA1AF3" w:rsidRDefault="00D82CC7" w:rsidP="00916CCB">
            <w:pPr>
              <w:pStyle w:val="MDPI42tablebody"/>
              <w:spacing w:line="240" w:lineRule="auto"/>
            </w:pPr>
            <w:r>
              <w:t>0.17</w:t>
            </w:r>
          </w:p>
        </w:tc>
        <w:tc>
          <w:tcPr>
            <w:tcW w:w="1599" w:type="dxa"/>
            <w:shd w:val="clear" w:color="auto" w:fill="auto"/>
            <w:vAlign w:val="center"/>
          </w:tcPr>
          <w:p w14:paraId="42F586DD" w14:textId="77777777" w:rsidR="00D82CC7" w:rsidRPr="00EA1AF3" w:rsidRDefault="00D82CC7" w:rsidP="00916CCB">
            <w:pPr>
              <w:pStyle w:val="MDPI42tablebody"/>
              <w:spacing w:line="240" w:lineRule="auto"/>
            </w:pPr>
            <w:r>
              <w:t>nd</w:t>
            </w:r>
          </w:p>
        </w:tc>
        <w:tc>
          <w:tcPr>
            <w:tcW w:w="1599" w:type="dxa"/>
          </w:tcPr>
          <w:p w14:paraId="6043B1F6" w14:textId="77777777" w:rsidR="00D82CC7" w:rsidRPr="00EA1AF3" w:rsidRDefault="00D82CC7" w:rsidP="00916CCB">
            <w:pPr>
              <w:pStyle w:val="MDPI42tablebody"/>
              <w:spacing w:line="240" w:lineRule="auto"/>
            </w:pPr>
            <w:r>
              <w:t>0.17</w:t>
            </w:r>
          </w:p>
        </w:tc>
        <w:tc>
          <w:tcPr>
            <w:tcW w:w="1599" w:type="dxa"/>
          </w:tcPr>
          <w:p w14:paraId="200F16DE" w14:textId="77777777" w:rsidR="00D82CC7" w:rsidRPr="00EA1AF3" w:rsidRDefault="00D82CC7" w:rsidP="00916CCB">
            <w:pPr>
              <w:pStyle w:val="MDPI42tablebody"/>
              <w:spacing w:line="240" w:lineRule="auto"/>
            </w:pPr>
            <w:r>
              <w:t xml:space="preserve">70 </w:t>
            </w:r>
          </w:p>
        </w:tc>
        <w:tc>
          <w:tcPr>
            <w:tcW w:w="1599" w:type="dxa"/>
          </w:tcPr>
          <w:p w14:paraId="7DECF6B8" w14:textId="77777777" w:rsidR="00D82CC7" w:rsidRPr="00EA1AF3" w:rsidRDefault="00D82CC7" w:rsidP="00916CCB">
            <w:pPr>
              <w:pStyle w:val="MDPI42tablebody"/>
              <w:spacing w:line="240" w:lineRule="auto"/>
            </w:pPr>
            <w:r>
              <w:t>0.26</w:t>
            </w:r>
          </w:p>
        </w:tc>
        <w:tc>
          <w:tcPr>
            <w:tcW w:w="1599" w:type="dxa"/>
          </w:tcPr>
          <w:p w14:paraId="06C1FA44" w14:textId="77777777" w:rsidR="00D82CC7" w:rsidRPr="00EA1AF3" w:rsidRDefault="00D82CC7" w:rsidP="00916CCB">
            <w:pPr>
              <w:pStyle w:val="MDPI42tablebody"/>
              <w:spacing w:line="240" w:lineRule="auto"/>
            </w:pPr>
            <w:r>
              <w:t>1.56</w:t>
            </w:r>
          </w:p>
        </w:tc>
        <w:tc>
          <w:tcPr>
            <w:tcW w:w="1599" w:type="dxa"/>
          </w:tcPr>
          <w:p w14:paraId="5AAABB46" w14:textId="23E8A86B" w:rsidR="00D82CC7" w:rsidRPr="00EA1AF3" w:rsidRDefault="00916CCB" w:rsidP="00916CCB">
            <w:pPr>
              <w:pStyle w:val="MDPI42tablebody"/>
              <w:spacing w:line="240" w:lineRule="auto"/>
            </w:pPr>
            <w:r>
              <w:fldChar w:fldCharType="begin"/>
            </w:r>
            <w:r w:rsidR="00785F66">
              <w:instrText>ADDIN F1000_CSL_CITATION&lt;~#@#~&gt;[{"DOI":"10.1371/journal.pone.0035069","First":false,"Last":false,"PMCID":"PMC3320873","PMID":"22493730","abstract":"Psoriasis is characterized by hyperplasia of the epidermis and infiltration of leukocytes into both the dermis and epidermis. IL-23, a key cytokine that induces T(H)17 cells, has been found to play a critical role in the pathogenesis of psoriasis. Apilimod is a small-molecule compound that selectively suppresses synthesis of IL-12 and IL-23. An open-label clinical study of oral administration of apilimod was conducted in patients with psoriasis. Substantial improvements in histology and clinical measurements were observed in patients receiving 70 mg QD. The expression of IL-23p19 and IL-12/IL-23p40 in skin lesions was significantly reduced in this dose group, with a simultaneous increase in IL-10 observed. A decrease in the levels of T(H)1 and T(H)17 cytokines/chemokines in skin lesions followed these p19 and p40 changes. In parallel, a reduction in skin-infiltrating CD11c(+) dendritic cells and CD3(+) T cells was seen, with a greater decrease in the CD11c(+) population. This was accompanied by increases in T and B cells, and decreases in neutrophils and eosinophils in the periphery. This study demonstrates the immunomodulatory activity of apilimod and provides clinical evidence supporting the inhibition of IL-12/IL-23 synthesis for the treatment of T(H)1- and T(H)17-mediated inflammatory diseases.","author":[{"family":"Wada","given":"Yumiko"},{"family":"Cardinale","given":"Irma"},{"family":"Khatcherian","given":"Artemis"},{"family":"Chu","given":"John"},{"family":"Kantor","given":"Aaron B"},{"family":"Gottlieb","given":"Alice B"},{"family":"Tatsuta","given":"Noriaki"},{"family":"Jacobson","given":"Eric"},{"family":"Barsoum","given":"James"},{"family":"Krueger","given":"James G"}],"authorYearDisplayFormat":false,"citation-label":"10224695","container-title":"Plos One","container-title-short":"PLoS ONE","id":"10224695","invisible":false,"issue":"4","issued":{"date-parts":[["2012","4","6"]]},"journalAbbreviation":"PLoS ONE","page":"e35069","suppress-author":false,"title":"Apilimod inhibits the production of IL-12 and IL-23 and reduces dendritic cell infiltration in psoriasis.","type":"article-journal","volume":"7"}]</w:instrText>
            </w:r>
            <w:r>
              <w:fldChar w:fldCharType="separate"/>
            </w:r>
            <w:r w:rsidR="00785F66" w:rsidRPr="00785F66">
              <w:rPr>
                <w:noProof/>
              </w:rPr>
              <w:t>[2]</w:t>
            </w:r>
            <w:r>
              <w:fldChar w:fldCharType="end"/>
            </w:r>
          </w:p>
        </w:tc>
      </w:tr>
      <w:tr w:rsidR="00D82CC7" w:rsidRPr="00EA1AF3" w14:paraId="0E895220" w14:textId="77777777" w:rsidTr="00916CCB">
        <w:trPr>
          <w:jc w:val="center"/>
        </w:trPr>
        <w:tc>
          <w:tcPr>
            <w:tcW w:w="1599" w:type="dxa"/>
            <w:shd w:val="clear" w:color="auto" w:fill="auto"/>
            <w:vAlign w:val="center"/>
          </w:tcPr>
          <w:p w14:paraId="2B63AD8F" w14:textId="77777777" w:rsidR="00D82CC7" w:rsidRPr="00EA1AF3" w:rsidRDefault="00D82CC7" w:rsidP="00916CCB">
            <w:pPr>
              <w:pStyle w:val="MDPI42tablebody"/>
              <w:spacing w:line="240" w:lineRule="auto"/>
            </w:pPr>
            <w:r>
              <w:t>aripiprazole</w:t>
            </w:r>
          </w:p>
        </w:tc>
        <w:tc>
          <w:tcPr>
            <w:tcW w:w="1599" w:type="dxa"/>
            <w:shd w:val="clear" w:color="auto" w:fill="auto"/>
            <w:vAlign w:val="center"/>
          </w:tcPr>
          <w:p w14:paraId="2A06084A" w14:textId="77777777" w:rsidR="00D82CC7" w:rsidRPr="00EA1AF3" w:rsidRDefault="00D82CC7" w:rsidP="00916CCB">
            <w:pPr>
              <w:pStyle w:val="MDPI42tablebody"/>
              <w:spacing w:line="240" w:lineRule="auto"/>
            </w:pPr>
            <w:r>
              <w:t>7.8</w:t>
            </w:r>
          </w:p>
        </w:tc>
        <w:tc>
          <w:tcPr>
            <w:tcW w:w="1599" w:type="dxa"/>
            <w:shd w:val="clear" w:color="auto" w:fill="auto"/>
            <w:vAlign w:val="center"/>
          </w:tcPr>
          <w:p w14:paraId="4478C158" w14:textId="77777777" w:rsidR="00D82CC7" w:rsidRPr="00EA1AF3" w:rsidRDefault="00D82CC7" w:rsidP="00916CCB">
            <w:pPr>
              <w:pStyle w:val="MDPI42tablebody"/>
              <w:spacing w:line="240" w:lineRule="auto"/>
            </w:pPr>
            <w:r>
              <w:t>3.76</w:t>
            </w:r>
          </w:p>
        </w:tc>
        <w:tc>
          <w:tcPr>
            <w:tcW w:w="1599" w:type="dxa"/>
          </w:tcPr>
          <w:p w14:paraId="679E2B3A" w14:textId="77777777" w:rsidR="00D82CC7" w:rsidRPr="00EA1AF3" w:rsidRDefault="00D82CC7" w:rsidP="00916CCB">
            <w:pPr>
              <w:pStyle w:val="MDPI42tablebody"/>
              <w:spacing w:line="240" w:lineRule="auto"/>
            </w:pPr>
            <w:r>
              <w:t>5.78</w:t>
            </w:r>
          </w:p>
        </w:tc>
        <w:tc>
          <w:tcPr>
            <w:tcW w:w="1599" w:type="dxa"/>
          </w:tcPr>
          <w:p w14:paraId="39ED3D3E" w14:textId="77777777" w:rsidR="00D82CC7" w:rsidRPr="00EA1AF3" w:rsidRDefault="00D82CC7" w:rsidP="00916CCB">
            <w:pPr>
              <w:pStyle w:val="MDPI42tablebody"/>
              <w:spacing w:line="240" w:lineRule="auto"/>
            </w:pPr>
            <w:r>
              <w:t xml:space="preserve">30 </w:t>
            </w:r>
          </w:p>
        </w:tc>
        <w:tc>
          <w:tcPr>
            <w:tcW w:w="1599" w:type="dxa"/>
          </w:tcPr>
          <w:p w14:paraId="5D533FF3" w14:textId="77777777" w:rsidR="00D82CC7" w:rsidRPr="00EA1AF3" w:rsidRDefault="00D82CC7" w:rsidP="00916CCB">
            <w:pPr>
              <w:pStyle w:val="MDPI42tablebody"/>
              <w:spacing w:line="240" w:lineRule="auto"/>
            </w:pPr>
            <w:r>
              <w:t>1.01</w:t>
            </w:r>
            <w:r w:rsidRPr="005F7972">
              <w:rPr>
                <w:vertAlign w:val="superscript"/>
              </w:rPr>
              <w:t xml:space="preserve"> </w:t>
            </w:r>
            <w:r>
              <w:rPr>
                <w:vertAlign w:val="superscript"/>
              </w:rPr>
              <w:t>2</w:t>
            </w:r>
          </w:p>
        </w:tc>
        <w:tc>
          <w:tcPr>
            <w:tcW w:w="1599" w:type="dxa"/>
          </w:tcPr>
          <w:p w14:paraId="5DC9319B" w14:textId="77777777" w:rsidR="00D82CC7" w:rsidRPr="00EA1AF3" w:rsidRDefault="00D82CC7" w:rsidP="00916CCB">
            <w:pPr>
              <w:pStyle w:val="MDPI42tablebody"/>
              <w:spacing w:line="240" w:lineRule="auto"/>
            </w:pPr>
            <w:r>
              <w:t>0.17</w:t>
            </w:r>
          </w:p>
        </w:tc>
        <w:tc>
          <w:tcPr>
            <w:tcW w:w="1599" w:type="dxa"/>
          </w:tcPr>
          <w:p w14:paraId="0A80E978" w14:textId="74283B87" w:rsidR="00D82CC7" w:rsidRPr="00EA1AF3" w:rsidRDefault="00916CCB" w:rsidP="003E7E0B">
            <w:pPr>
              <w:pStyle w:val="MDPI42tablebody"/>
              <w:spacing w:line="240" w:lineRule="auto"/>
            </w:pPr>
            <w:r>
              <w:fldChar w:fldCharType="begin"/>
            </w:r>
            <w:r w:rsidR="00785F66">
              <w:instrText>ADDIN F1000_CSL_CITATION&lt;~#@#~&gt;[{"DOI":"10.1177/0091270003261901","First":false,"Last":false,"PMID":"14747427","abstract":"Two 14-day, placebo-controlled, double-blind studies evaluated the fasting pharmacokinetics, safety, and tolerability of aripiprazole, a new antipsychotic, in healthy male subjects. In Study 1, 37 subjects were randomized to aripiprazole 5 mg, 10 mg, 15 mg, 20 mg, or placebo once daily. In Study 2, 11 subjects were randomized to aripiprazole, titrated from 10 to 30 mg/day, or placebo. Aripiprazole had linear pharmacokinetics over 5 to 30 mg/day, which were described by a two-compartment open model, with first-order absorption. In Study 1, mean elimination half-life ranged from 47 to 68 hours with aripiprazole, with apparent systemic clearance (CL/F) of approximately 3.45 L/h. In Study 2, mean elimination half-life was 59 hours (CL/F approximately 4.0 L/h). Adverse events were generally mild to moderate, were transient in nature, and commonly occurred within the first 3 days of dosing. Clinical laboratory assessments, electrocardiogram, electroencephalogram, and prolactin levels showed no clinically significant changes during the studies.","author":[{"family":"Mallikaarjun","given":"Suresh"},{"family":"Salazar","given":"Daniel E"},{"family":"Bramer","given":"Steven L"}],"authorYearDisplayFormat":false,"citation-label":"6716435","container-title":"Journal of Clinical Pharmacology","container-title-short":"J. Clin. Pharmacol.","id":"6716435","invisible":false,"issue":"2","issued":{"date-parts":[["2004","2"]]},"journalAbbreviation":"J. Clin. Pharmacol.","page":"179-187","suppress-author":false,"title":"Pharmacokinetics, tolerability, and safety of aripiprazole following multiple oral dosing in normal healthy volunteers.","type":"article-journal","volume":"44"}]</w:instrText>
            </w:r>
            <w:r>
              <w:fldChar w:fldCharType="separate"/>
            </w:r>
            <w:r w:rsidR="00785F66" w:rsidRPr="00785F66">
              <w:rPr>
                <w:noProof/>
              </w:rPr>
              <w:t>[3]</w:t>
            </w:r>
            <w:r>
              <w:fldChar w:fldCharType="end"/>
            </w:r>
          </w:p>
        </w:tc>
      </w:tr>
      <w:tr w:rsidR="00D82CC7" w:rsidRPr="00EA1AF3" w14:paraId="4BEC9363" w14:textId="77777777" w:rsidTr="00916CCB">
        <w:trPr>
          <w:jc w:val="center"/>
        </w:trPr>
        <w:tc>
          <w:tcPr>
            <w:tcW w:w="1599" w:type="dxa"/>
            <w:shd w:val="clear" w:color="auto" w:fill="auto"/>
            <w:vAlign w:val="center"/>
          </w:tcPr>
          <w:p w14:paraId="45204B93" w14:textId="77777777" w:rsidR="00D82CC7" w:rsidRDefault="00D82CC7" w:rsidP="00916CCB">
            <w:pPr>
              <w:pStyle w:val="MDPI42tablebody"/>
              <w:spacing w:line="240" w:lineRule="auto"/>
            </w:pPr>
            <w:r>
              <w:t>azithromycin</w:t>
            </w:r>
          </w:p>
        </w:tc>
        <w:tc>
          <w:tcPr>
            <w:tcW w:w="1599" w:type="dxa"/>
            <w:shd w:val="clear" w:color="auto" w:fill="auto"/>
            <w:vAlign w:val="center"/>
          </w:tcPr>
          <w:p w14:paraId="030017DA" w14:textId="77777777" w:rsidR="00D82CC7" w:rsidRPr="00EA1AF3" w:rsidRDefault="00D82CC7" w:rsidP="00916CCB">
            <w:pPr>
              <w:pStyle w:val="MDPI42tablebody"/>
              <w:spacing w:line="240" w:lineRule="auto"/>
            </w:pPr>
            <w:r>
              <w:t>10.75</w:t>
            </w:r>
          </w:p>
        </w:tc>
        <w:tc>
          <w:tcPr>
            <w:tcW w:w="1599" w:type="dxa"/>
            <w:shd w:val="clear" w:color="auto" w:fill="auto"/>
            <w:vAlign w:val="center"/>
          </w:tcPr>
          <w:p w14:paraId="359FCAAE" w14:textId="1C40EBEC" w:rsidR="00D82CC7" w:rsidRPr="00EA1AF3" w:rsidRDefault="00A80376" w:rsidP="00916CCB">
            <w:pPr>
              <w:pStyle w:val="MDPI42tablebody"/>
              <w:spacing w:line="240" w:lineRule="auto"/>
            </w:pPr>
            <w:r>
              <w:t>n</w:t>
            </w:r>
            <w:r w:rsidR="00D82CC7">
              <w:t>d</w:t>
            </w:r>
          </w:p>
        </w:tc>
        <w:tc>
          <w:tcPr>
            <w:tcW w:w="1599" w:type="dxa"/>
          </w:tcPr>
          <w:p w14:paraId="4E2F4FCD" w14:textId="77777777" w:rsidR="00D82CC7" w:rsidRPr="00EA1AF3" w:rsidRDefault="00D82CC7" w:rsidP="00916CCB">
            <w:pPr>
              <w:pStyle w:val="MDPI42tablebody"/>
              <w:spacing w:line="240" w:lineRule="auto"/>
            </w:pPr>
            <w:r>
              <w:t>10.75</w:t>
            </w:r>
          </w:p>
        </w:tc>
        <w:tc>
          <w:tcPr>
            <w:tcW w:w="1599" w:type="dxa"/>
          </w:tcPr>
          <w:p w14:paraId="08154D1C" w14:textId="77777777" w:rsidR="00D82CC7" w:rsidRPr="00EA1AF3" w:rsidRDefault="00D82CC7" w:rsidP="00916CCB">
            <w:pPr>
              <w:pStyle w:val="MDPI42tablebody"/>
              <w:spacing w:line="240" w:lineRule="auto"/>
            </w:pPr>
            <w:r>
              <w:t xml:space="preserve">500 </w:t>
            </w:r>
          </w:p>
        </w:tc>
        <w:tc>
          <w:tcPr>
            <w:tcW w:w="1599" w:type="dxa"/>
          </w:tcPr>
          <w:p w14:paraId="343BD249" w14:textId="77777777" w:rsidR="00D82CC7" w:rsidRPr="00EA1AF3" w:rsidRDefault="00D82CC7" w:rsidP="00916CCB">
            <w:pPr>
              <w:pStyle w:val="MDPI42tablebody"/>
              <w:spacing w:line="240" w:lineRule="auto"/>
            </w:pPr>
            <w:r>
              <w:t>0.64</w:t>
            </w:r>
          </w:p>
        </w:tc>
        <w:tc>
          <w:tcPr>
            <w:tcW w:w="1599" w:type="dxa"/>
          </w:tcPr>
          <w:p w14:paraId="75FF0D50" w14:textId="77777777" w:rsidR="00D82CC7" w:rsidRPr="00EA1AF3" w:rsidRDefault="00D82CC7" w:rsidP="00916CCB">
            <w:pPr>
              <w:pStyle w:val="MDPI42tablebody"/>
              <w:spacing w:line="240" w:lineRule="auto"/>
            </w:pPr>
            <w:r>
              <w:t>0.06</w:t>
            </w:r>
          </w:p>
        </w:tc>
        <w:tc>
          <w:tcPr>
            <w:tcW w:w="1599" w:type="dxa"/>
          </w:tcPr>
          <w:p w14:paraId="54AEAB40" w14:textId="3422F0ED" w:rsidR="00D82CC7" w:rsidRPr="00EA1AF3" w:rsidRDefault="003E7E0B" w:rsidP="00916CCB">
            <w:pPr>
              <w:pStyle w:val="MDPI42tablebody"/>
              <w:spacing w:line="240" w:lineRule="auto"/>
            </w:pPr>
            <w:r>
              <w:t>FDA</w:t>
            </w:r>
          </w:p>
        </w:tc>
      </w:tr>
      <w:tr w:rsidR="00D82CC7" w:rsidRPr="00EA1AF3" w14:paraId="3AA3A001" w14:textId="77777777" w:rsidTr="00916CCB">
        <w:trPr>
          <w:jc w:val="center"/>
        </w:trPr>
        <w:tc>
          <w:tcPr>
            <w:tcW w:w="1599" w:type="dxa"/>
            <w:shd w:val="clear" w:color="auto" w:fill="auto"/>
            <w:vAlign w:val="center"/>
          </w:tcPr>
          <w:p w14:paraId="4DDF0E56" w14:textId="77777777" w:rsidR="00D82CC7" w:rsidRDefault="00D82CC7" w:rsidP="00916CCB">
            <w:pPr>
              <w:pStyle w:val="MDPI42tablebody"/>
              <w:spacing w:line="240" w:lineRule="auto"/>
            </w:pPr>
            <w:r>
              <w:t>bepridil</w:t>
            </w:r>
          </w:p>
        </w:tc>
        <w:tc>
          <w:tcPr>
            <w:tcW w:w="1599" w:type="dxa"/>
            <w:shd w:val="clear" w:color="auto" w:fill="auto"/>
            <w:vAlign w:val="center"/>
          </w:tcPr>
          <w:p w14:paraId="0135DD20" w14:textId="77777777" w:rsidR="00D82CC7" w:rsidRPr="00EA1AF3" w:rsidRDefault="00D82CC7" w:rsidP="00916CCB">
            <w:pPr>
              <w:pStyle w:val="MDPI42tablebody"/>
              <w:spacing w:line="240" w:lineRule="auto"/>
            </w:pPr>
            <w:r>
              <w:t>5.86</w:t>
            </w:r>
          </w:p>
        </w:tc>
        <w:tc>
          <w:tcPr>
            <w:tcW w:w="1599" w:type="dxa"/>
            <w:shd w:val="clear" w:color="auto" w:fill="auto"/>
            <w:vAlign w:val="center"/>
          </w:tcPr>
          <w:p w14:paraId="0A70CCFA" w14:textId="77777777" w:rsidR="00D82CC7" w:rsidRPr="00EA1AF3" w:rsidRDefault="00D82CC7" w:rsidP="00916CCB">
            <w:pPr>
              <w:pStyle w:val="MDPI42tablebody"/>
              <w:spacing w:line="240" w:lineRule="auto"/>
            </w:pPr>
            <w:r>
              <w:t>3.21</w:t>
            </w:r>
          </w:p>
        </w:tc>
        <w:tc>
          <w:tcPr>
            <w:tcW w:w="1599" w:type="dxa"/>
          </w:tcPr>
          <w:p w14:paraId="247436B7" w14:textId="77777777" w:rsidR="00D82CC7" w:rsidRPr="00EA1AF3" w:rsidRDefault="00D82CC7" w:rsidP="00916CCB">
            <w:pPr>
              <w:pStyle w:val="MDPI42tablebody"/>
              <w:spacing w:line="240" w:lineRule="auto"/>
            </w:pPr>
            <w:r>
              <w:t>4.53</w:t>
            </w:r>
          </w:p>
        </w:tc>
        <w:tc>
          <w:tcPr>
            <w:tcW w:w="1599" w:type="dxa"/>
          </w:tcPr>
          <w:p w14:paraId="1963C9AF" w14:textId="77777777" w:rsidR="00D82CC7" w:rsidRPr="00EA1AF3" w:rsidRDefault="00D82CC7" w:rsidP="00916CCB">
            <w:pPr>
              <w:pStyle w:val="MDPI42tablebody"/>
              <w:spacing w:line="240" w:lineRule="auto"/>
            </w:pPr>
            <w:r>
              <w:t>400</w:t>
            </w:r>
          </w:p>
        </w:tc>
        <w:tc>
          <w:tcPr>
            <w:tcW w:w="1599" w:type="dxa"/>
          </w:tcPr>
          <w:p w14:paraId="243D0D70" w14:textId="77777777" w:rsidR="00D82CC7" w:rsidRPr="00EA1AF3" w:rsidRDefault="00D82CC7" w:rsidP="00916CCB">
            <w:pPr>
              <w:pStyle w:val="MDPI42tablebody"/>
              <w:spacing w:line="240" w:lineRule="auto"/>
            </w:pPr>
            <w:r>
              <w:t>2.43</w:t>
            </w:r>
          </w:p>
        </w:tc>
        <w:tc>
          <w:tcPr>
            <w:tcW w:w="1599" w:type="dxa"/>
          </w:tcPr>
          <w:p w14:paraId="55394F20" w14:textId="77777777" w:rsidR="00D82CC7" w:rsidRPr="00EA1AF3" w:rsidRDefault="00D82CC7" w:rsidP="00916CCB">
            <w:pPr>
              <w:pStyle w:val="MDPI42tablebody"/>
              <w:spacing w:line="240" w:lineRule="auto"/>
            </w:pPr>
            <w:r>
              <w:t>0.54</w:t>
            </w:r>
          </w:p>
        </w:tc>
        <w:tc>
          <w:tcPr>
            <w:tcW w:w="1599" w:type="dxa"/>
          </w:tcPr>
          <w:p w14:paraId="129D611F" w14:textId="5A62B5AE" w:rsidR="00D82CC7" w:rsidRPr="00EA1AF3" w:rsidRDefault="00916CCB" w:rsidP="00916CCB">
            <w:pPr>
              <w:pStyle w:val="MDPI42tablebody"/>
              <w:spacing w:line="240" w:lineRule="auto"/>
            </w:pPr>
            <w:r>
              <w:fldChar w:fldCharType="begin"/>
            </w:r>
            <w:r w:rsidR="00785F66">
              <w:instrText>ADDIN F1000_CSL_CITATION&lt;~#@#~&gt;[{"DOI":"10.3109/00498259209046614","First":false,"Last":false,"PMID":"1632105","abstract":"1. The disposition and pharmacokinetics of bepridil (Bp) were studied in mouse, rat, rabbit, rhesus monkey, and man. Bp was essentially completely absorbed by all species. 2. Maximum plasma Bp concentrations were achieved within 2 h of drug administration. Linear but non-proportional, dose-related increases in the area under the curve (AUC) for plasma Bp vs. time were noted after increasing oral doses of Bp.HCl to rats (30-300 mg/kg) and monkeys (25-200 mg/kg). 3. Daily administration of Bp.HCl to rats (100 mg/kg per day for 15 days) and monkeys (200 mg/kg per day for 13 days) produced no statistically significant changes in Bp pharmacokinetic parameters. 4. Oral plasma clearance (CLp) of Bp was very low in man (ca. 0.93 l/h per kg) compared to experimental animals (14.8-63.8 l/h per kg). Terminal elimination half-lives were 1.5-2.0 h for mouse and rat, ca. 4.4 h for monkey and ca. 48 h for man. 5. Bp and a total of 12 metabolites were identified and quantified. Metabolite formation in the five species was adequately described by four interrelated pathways, namely, aromatic hydroxylation, followed by N-dealkylation, N-debenzylation, and N-acetylation. Metabolites produced by this pathway included 4-hydroxy-Bp, N-benzyl-4-aminophenol, 4-aminophenol, and N-acetyl-4-aminophenol. Comparison of the proposed pathways revealed qualitative similarity among species.","author":[{"family":"Wu","given":"W N"},{"family":"Pritchard","given":"J F"},{"family":"Ng","given":"K T"},{"family":"Hills","given":"J F"},{"family":"Uetz","given":"J A"},{"family":"Yorgey","given":"K A"},{"family":"McKown","given":"L A"},{"family":"O'Neill","given":"P J"}],"authorYearDisplayFormat":false,"citation-label":"10224583","container-title":"Xenobiotica; the Fate of Foreign Compounds in Biological Systems","container-title-short":"Xenobiotica.","id":"10224583","invisible":false,"issue":"2","issued":{"date-parts":[["1992","2"]]},"journalAbbreviation":"Xenobiotica.","page":"153-169","suppress-author":false,"title":"Disposition of bepridil in laboratory animals and man.","type":"article-journal","volume":"22"}]</w:instrText>
            </w:r>
            <w:r>
              <w:fldChar w:fldCharType="separate"/>
            </w:r>
            <w:r w:rsidR="00785F66" w:rsidRPr="00785F66">
              <w:rPr>
                <w:noProof/>
              </w:rPr>
              <w:t>[4]</w:t>
            </w:r>
            <w:r>
              <w:fldChar w:fldCharType="end"/>
            </w:r>
          </w:p>
        </w:tc>
      </w:tr>
      <w:tr w:rsidR="00D82CC7" w:rsidRPr="00EA1AF3" w14:paraId="73661717" w14:textId="77777777" w:rsidTr="00916CCB">
        <w:trPr>
          <w:jc w:val="center"/>
        </w:trPr>
        <w:tc>
          <w:tcPr>
            <w:tcW w:w="1599" w:type="dxa"/>
            <w:shd w:val="clear" w:color="auto" w:fill="auto"/>
            <w:vAlign w:val="center"/>
          </w:tcPr>
          <w:p w14:paraId="323E139E" w14:textId="77777777" w:rsidR="00D82CC7" w:rsidRDefault="00D82CC7" w:rsidP="00916CCB">
            <w:pPr>
              <w:pStyle w:val="MDPI42tablebody"/>
              <w:spacing w:line="240" w:lineRule="auto"/>
            </w:pPr>
            <w:r>
              <w:t>clomiphene</w:t>
            </w:r>
          </w:p>
        </w:tc>
        <w:tc>
          <w:tcPr>
            <w:tcW w:w="1599" w:type="dxa"/>
            <w:shd w:val="clear" w:color="auto" w:fill="auto"/>
            <w:vAlign w:val="center"/>
          </w:tcPr>
          <w:p w14:paraId="1283524B" w14:textId="77777777" w:rsidR="00D82CC7" w:rsidRPr="00EA1AF3" w:rsidRDefault="00D82CC7" w:rsidP="00916CCB">
            <w:pPr>
              <w:pStyle w:val="MDPI42tablebody"/>
              <w:spacing w:line="240" w:lineRule="auto"/>
            </w:pPr>
            <w:r>
              <w:t>1.96</w:t>
            </w:r>
          </w:p>
        </w:tc>
        <w:tc>
          <w:tcPr>
            <w:tcW w:w="1599" w:type="dxa"/>
            <w:shd w:val="clear" w:color="auto" w:fill="auto"/>
            <w:vAlign w:val="center"/>
          </w:tcPr>
          <w:p w14:paraId="52F8BC12" w14:textId="77777777" w:rsidR="00D82CC7" w:rsidRPr="00EA1AF3" w:rsidRDefault="00D82CC7" w:rsidP="00916CCB">
            <w:pPr>
              <w:pStyle w:val="MDPI42tablebody"/>
              <w:spacing w:line="240" w:lineRule="auto"/>
            </w:pPr>
            <w:r>
              <w:t>0.76</w:t>
            </w:r>
          </w:p>
        </w:tc>
        <w:tc>
          <w:tcPr>
            <w:tcW w:w="1599" w:type="dxa"/>
          </w:tcPr>
          <w:p w14:paraId="2B53DA8D" w14:textId="77777777" w:rsidR="00D82CC7" w:rsidRPr="00EA1AF3" w:rsidRDefault="00D82CC7" w:rsidP="00916CCB">
            <w:pPr>
              <w:pStyle w:val="MDPI42tablebody"/>
              <w:spacing w:line="240" w:lineRule="auto"/>
            </w:pPr>
            <w:r>
              <w:t>1.36</w:t>
            </w:r>
          </w:p>
        </w:tc>
        <w:tc>
          <w:tcPr>
            <w:tcW w:w="1599" w:type="dxa"/>
          </w:tcPr>
          <w:p w14:paraId="4AF42F29" w14:textId="77777777" w:rsidR="00D82CC7" w:rsidRPr="00EA1AF3" w:rsidRDefault="00D82CC7" w:rsidP="00916CCB">
            <w:pPr>
              <w:pStyle w:val="MDPI42tablebody"/>
              <w:spacing w:line="240" w:lineRule="auto"/>
            </w:pPr>
            <w:r>
              <w:t>50</w:t>
            </w:r>
          </w:p>
        </w:tc>
        <w:tc>
          <w:tcPr>
            <w:tcW w:w="1599" w:type="dxa"/>
          </w:tcPr>
          <w:p w14:paraId="14C20CDE" w14:textId="77777777" w:rsidR="00D82CC7" w:rsidRPr="00EA1AF3" w:rsidRDefault="00D82CC7" w:rsidP="00916CCB">
            <w:pPr>
              <w:pStyle w:val="MDPI42tablebody"/>
              <w:spacing w:line="240" w:lineRule="auto"/>
            </w:pPr>
            <w:r>
              <w:t>0.05</w:t>
            </w:r>
          </w:p>
        </w:tc>
        <w:tc>
          <w:tcPr>
            <w:tcW w:w="1599" w:type="dxa"/>
          </w:tcPr>
          <w:p w14:paraId="7374535F" w14:textId="77777777" w:rsidR="00D82CC7" w:rsidRPr="00EA1AF3" w:rsidRDefault="00D82CC7" w:rsidP="00916CCB">
            <w:pPr>
              <w:pStyle w:val="MDPI42tablebody"/>
              <w:spacing w:line="240" w:lineRule="auto"/>
            </w:pPr>
            <w:r>
              <w:t>0.04</w:t>
            </w:r>
          </w:p>
        </w:tc>
        <w:tc>
          <w:tcPr>
            <w:tcW w:w="1599" w:type="dxa"/>
          </w:tcPr>
          <w:p w14:paraId="50AF6297" w14:textId="7BCFE64A" w:rsidR="00D82CC7" w:rsidRPr="00EA1AF3" w:rsidRDefault="00916CCB" w:rsidP="00916CCB">
            <w:pPr>
              <w:pStyle w:val="MDPI42tablebody"/>
              <w:spacing w:line="240" w:lineRule="auto"/>
            </w:pPr>
            <w:r>
              <w:fldChar w:fldCharType="begin"/>
            </w:r>
            <w:r w:rsidR="00785F66">
              <w:instrText>ADDIN F1000_CSL_CITATION&lt;~#@#~&gt;[{"DOI":"10.1177/0091270008328096","First":false,"Last":false,"PMID":"19033451","abstract":"The pharmacokinetics of the zuclomiphene (Zu) and enclomiphene (En) isomers of clomiphene citrate following a single oral dose (50 mg) were characterized for the first time in patients receiving the drug (ie, infertile women with polycystic ovary syndrome). Plasma concentrations of Zu and En were measured in 9 patients from the second day of their menstrual cycle (day 1 of dosing) up to 21 days. The mean (+/- coefficient of variation) of C(max), t(max), and AUC of Zu was 15 +/- 41 ng/mL, 7 +/- 87 h, and 1289 +/- 34 ng/mL.h (AUC(0-456 h)), and that of En was 15 +/- 18 ng/mL, 3 +/- 68 h, and 65 +/- 35 ng/ml.h (AUC(0-72h)), respectively. These parameters appeared to be different for Zu from those reported previously in healthy participants, except for t(max). The pharmacokinetic parameters of En in patients with polycystic ovary syndrome were not generally different from the healthy subjects. The effect of obesity on Zu kinetics was stronger than that on En. The conventional model-dependent pharmacokinetics of clomiphene citrate isomers could not be determined due to a very flat terminal half-life and the long-tailed residence time, signifying the lipophilic nature and potentially extensive distribution of the compound.","author":[{"family":"Ghobadi","given":"Cyrus"},{"family":"Mirhosseini","given":"Nahid"},{"family":"Shiran","given":"Mohammad Reza"},{"family":"Moghadamnia","given":"Ali"},{"family":"Lennard","given":"Martin S"},{"family":"Ledger","given":"William L"},{"family":"Rostami-Hodjegan","given":"Amin"}],"authorYearDisplayFormat":false,"citation-label":"10224697","container-title":"Journal of Clinical Pharmacology","container-title-short":"J. Clin. Pharmacol.","id":"10224697","invisible":false,"issue":"2","issued":{"date-parts":[["2009","2"]]},"journalAbbreviation":"J. Clin. Pharmacol.","page":"147-154","suppress-author":false,"title":"Single-dose pharmacokinetic study of clomiphene citrate isomers in anovular patients with polycystic ovary disease.","type":"article-journal","volume":"49"}]</w:instrText>
            </w:r>
            <w:r>
              <w:fldChar w:fldCharType="separate"/>
            </w:r>
            <w:r w:rsidR="00785F66" w:rsidRPr="00785F66">
              <w:rPr>
                <w:noProof/>
              </w:rPr>
              <w:t>[5]</w:t>
            </w:r>
            <w:r>
              <w:fldChar w:fldCharType="end"/>
            </w:r>
          </w:p>
        </w:tc>
      </w:tr>
      <w:tr w:rsidR="00D82CC7" w:rsidRPr="00EA1AF3" w14:paraId="349EDAE3" w14:textId="77777777" w:rsidTr="00916CCB">
        <w:trPr>
          <w:jc w:val="center"/>
        </w:trPr>
        <w:tc>
          <w:tcPr>
            <w:tcW w:w="1599" w:type="dxa"/>
            <w:shd w:val="clear" w:color="auto" w:fill="auto"/>
            <w:vAlign w:val="center"/>
          </w:tcPr>
          <w:p w14:paraId="2E90BE33" w14:textId="77777777" w:rsidR="00D82CC7" w:rsidRDefault="00D82CC7" w:rsidP="00916CCB">
            <w:pPr>
              <w:pStyle w:val="MDPI42tablebody"/>
              <w:spacing w:line="240" w:lineRule="auto"/>
            </w:pPr>
            <w:r>
              <w:t>piperacetazine</w:t>
            </w:r>
          </w:p>
        </w:tc>
        <w:tc>
          <w:tcPr>
            <w:tcW w:w="1599" w:type="dxa"/>
            <w:shd w:val="clear" w:color="auto" w:fill="auto"/>
            <w:vAlign w:val="center"/>
          </w:tcPr>
          <w:p w14:paraId="01DD7349" w14:textId="77777777" w:rsidR="00D82CC7" w:rsidRPr="00EA1AF3" w:rsidRDefault="00D82CC7" w:rsidP="00916CCB">
            <w:pPr>
              <w:pStyle w:val="MDPI42tablebody"/>
              <w:spacing w:line="240" w:lineRule="auto"/>
            </w:pPr>
            <w:r>
              <w:t>7.58</w:t>
            </w:r>
          </w:p>
        </w:tc>
        <w:tc>
          <w:tcPr>
            <w:tcW w:w="1599" w:type="dxa"/>
            <w:shd w:val="clear" w:color="auto" w:fill="auto"/>
            <w:vAlign w:val="center"/>
          </w:tcPr>
          <w:p w14:paraId="279C794F" w14:textId="77777777" w:rsidR="00D82CC7" w:rsidRPr="00EA1AF3" w:rsidRDefault="00D82CC7" w:rsidP="00916CCB">
            <w:pPr>
              <w:pStyle w:val="MDPI42tablebody"/>
              <w:spacing w:line="240" w:lineRule="auto"/>
            </w:pPr>
            <w:r>
              <w:t>3.3</w:t>
            </w:r>
            <w:r w:rsidRPr="00A43E52">
              <w:t>0</w:t>
            </w:r>
          </w:p>
        </w:tc>
        <w:tc>
          <w:tcPr>
            <w:tcW w:w="1599" w:type="dxa"/>
          </w:tcPr>
          <w:p w14:paraId="38E6919C" w14:textId="77777777" w:rsidR="00D82CC7" w:rsidRPr="00EA1AF3" w:rsidRDefault="00D82CC7" w:rsidP="00916CCB">
            <w:pPr>
              <w:pStyle w:val="MDPI42tablebody"/>
              <w:spacing w:line="240" w:lineRule="auto"/>
            </w:pPr>
            <w:r>
              <w:t>5.44</w:t>
            </w:r>
          </w:p>
        </w:tc>
        <w:tc>
          <w:tcPr>
            <w:tcW w:w="1599" w:type="dxa"/>
          </w:tcPr>
          <w:p w14:paraId="006CEA36" w14:textId="77777777" w:rsidR="00D82CC7" w:rsidRPr="00EA1AF3" w:rsidRDefault="00D82CC7" w:rsidP="00916CCB">
            <w:pPr>
              <w:pStyle w:val="MDPI42tablebody"/>
              <w:spacing w:line="240" w:lineRule="auto"/>
            </w:pPr>
            <w:r>
              <w:t>na</w:t>
            </w:r>
          </w:p>
        </w:tc>
        <w:tc>
          <w:tcPr>
            <w:tcW w:w="1599" w:type="dxa"/>
          </w:tcPr>
          <w:p w14:paraId="6D61D99A" w14:textId="77777777" w:rsidR="00D82CC7" w:rsidRPr="00EA1AF3" w:rsidRDefault="00D82CC7" w:rsidP="00916CCB">
            <w:pPr>
              <w:pStyle w:val="MDPI42tablebody"/>
              <w:spacing w:line="240" w:lineRule="auto"/>
            </w:pPr>
            <w:r>
              <w:t>na</w:t>
            </w:r>
          </w:p>
        </w:tc>
        <w:tc>
          <w:tcPr>
            <w:tcW w:w="1599" w:type="dxa"/>
          </w:tcPr>
          <w:p w14:paraId="5DE5EDCB" w14:textId="77777777" w:rsidR="00D82CC7" w:rsidRPr="00EA1AF3" w:rsidRDefault="00D82CC7" w:rsidP="00916CCB">
            <w:pPr>
              <w:pStyle w:val="MDPI42tablebody"/>
              <w:spacing w:line="240" w:lineRule="auto"/>
            </w:pPr>
            <w:r>
              <w:t>na</w:t>
            </w:r>
          </w:p>
        </w:tc>
        <w:tc>
          <w:tcPr>
            <w:tcW w:w="1599" w:type="dxa"/>
          </w:tcPr>
          <w:p w14:paraId="58E06C12" w14:textId="77777777" w:rsidR="00D82CC7" w:rsidRPr="00EA1AF3" w:rsidRDefault="00D82CC7" w:rsidP="00916CCB">
            <w:pPr>
              <w:pStyle w:val="MDPI42tablebody"/>
              <w:spacing w:line="240" w:lineRule="auto"/>
            </w:pPr>
            <w:r>
              <w:t>na</w:t>
            </w:r>
          </w:p>
        </w:tc>
      </w:tr>
      <w:tr w:rsidR="00D82CC7" w:rsidRPr="00EA1AF3" w14:paraId="3D9FED56" w14:textId="77777777" w:rsidTr="00916CCB">
        <w:trPr>
          <w:jc w:val="center"/>
        </w:trPr>
        <w:tc>
          <w:tcPr>
            <w:tcW w:w="1599" w:type="dxa"/>
            <w:shd w:val="clear" w:color="auto" w:fill="auto"/>
            <w:vAlign w:val="center"/>
          </w:tcPr>
          <w:p w14:paraId="4D4002F7" w14:textId="77777777" w:rsidR="00D82CC7" w:rsidRDefault="00D82CC7" w:rsidP="00916CCB">
            <w:pPr>
              <w:pStyle w:val="MDPI42tablebody"/>
              <w:spacing w:line="240" w:lineRule="auto"/>
            </w:pPr>
            <w:r>
              <w:t>sertraline</w:t>
            </w:r>
          </w:p>
        </w:tc>
        <w:tc>
          <w:tcPr>
            <w:tcW w:w="1599" w:type="dxa"/>
            <w:shd w:val="clear" w:color="auto" w:fill="auto"/>
            <w:vAlign w:val="center"/>
          </w:tcPr>
          <w:p w14:paraId="2BBEA908" w14:textId="77777777" w:rsidR="00D82CC7" w:rsidRPr="00EA1AF3" w:rsidRDefault="00D82CC7" w:rsidP="00916CCB">
            <w:pPr>
              <w:pStyle w:val="MDPI42tablebody"/>
              <w:spacing w:line="240" w:lineRule="auto"/>
            </w:pPr>
            <w:r>
              <w:t>3.79</w:t>
            </w:r>
          </w:p>
        </w:tc>
        <w:tc>
          <w:tcPr>
            <w:tcW w:w="1599" w:type="dxa"/>
            <w:shd w:val="clear" w:color="auto" w:fill="auto"/>
            <w:vAlign w:val="center"/>
          </w:tcPr>
          <w:p w14:paraId="4C674F94" w14:textId="77777777" w:rsidR="00D82CC7" w:rsidRPr="00EA1AF3" w:rsidRDefault="00D82CC7" w:rsidP="00916CCB">
            <w:pPr>
              <w:pStyle w:val="MDPI42tablebody"/>
              <w:spacing w:line="240" w:lineRule="auto"/>
            </w:pPr>
            <w:r>
              <w:t>1.44</w:t>
            </w:r>
          </w:p>
        </w:tc>
        <w:tc>
          <w:tcPr>
            <w:tcW w:w="1599" w:type="dxa"/>
          </w:tcPr>
          <w:p w14:paraId="3264B908" w14:textId="77777777" w:rsidR="00D82CC7" w:rsidRPr="00EA1AF3" w:rsidRDefault="00D82CC7" w:rsidP="00916CCB">
            <w:pPr>
              <w:pStyle w:val="MDPI42tablebody"/>
              <w:spacing w:line="240" w:lineRule="auto"/>
            </w:pPr>
            <w:r>
              <w:t>2.62</w:t>
            </w:r>
          </w:p>
        </w:tc>
        <w:tc>
          <w:tcPr>
            <w:tcW w:w="1599" w:type="dxa"/>
          </w:tcPr>
          <w:p w14:paraId="5D1B40B2" w14:textId="77777777" w:rsidR="00D82CC7" w:rsidRPr="00EA1AF3" w:rsidRDefault="00D82CC7" w:rsidP="00916CCB">
            <w:pPr>
              <w:pStyle w:val="MDPI42tablebody"/>
              <w:spacing w:line="240" w:lineRule="auto"/>
            </w:pPr>
            <w:r>
              <w:t>200</w:t>
            </w:r>
          </w:p>
        </w:tc>
        <w:tc>
          <w:tcPr>
            <w:tcW w:w="1599" w:type="dxa"/>
          </w:tcPr>
          <w:p w14:paraId="798DCFDE" w14:textId="77777777" w:rsidR="00D82CC7" w:rsidRPr="00EA1AF3" w:rsidRDefault="00D82CC7" w:rsidP="00916CCB">
            <w:pPr>
              <w:pStyle w:val="MDPI42tablebody"/>
              <w:spacing w:line="240" w:lineRule="auto"/>
            </w:pPr>
            <w:r>
              <w:t>0.54</w:t>
            </w:r>
            <w:r w:rsidRPr="00A8447C">
              <w:rPr>
                <w:vertAlign w:val="superscript"/>
              </w:rPr>
              <w:t xml:space="preserve"> 3</w:t>
            </w:r>
          </w:p>
        </w:tc>
        <w:tc>
          <w:tcPr>
            <w:tcW w:w="1599" w:type="dxa"/>
          </w:tcPr>
          <w:p w14:paraId="506C645E" w14:textId="77777777" w:rsidR="00D82CC7" w:rsidRPr="00EA1AF3" w:rsidRDefault="00D82CC7" w:rsidP="00916CCB">
            <w:pPr>
              <w:pStyle w:val="MDPI42tablebody"/>
              <w:spacing w:line="240" w:lineRule="auto"/>
            </w:pPr>
            <w:r>
              <w:t>0.21</w:t>
            </w:r>
          </w:p>
        </w:tc>
        <w:tc>
          <w:tcPr>
            <w:tcW w:w="1599" w:type="dxa"/>
          </w:tcPr>
          <w:p w14:paraId="69535991" w14:textId="42636943" w:rsidR="00D82CC7" w:rsidRPr="00EA1AF3" w:rsidRDefault="00916CCB" w:rsidP="00916CCB">
            <w:pPr>
              <w:pStyle w:val="MDPI42tablebody"/>
              <w:spacing w:line="240" w:lineRule="auto"/>
            </w:pPr>
            <w:r>
              <w:fldChar w:fldCharType="begin"/>
            </w:r>
            <w:r w:rsidR="00785F66">
              <w:instrText>ADDIN F1000_CSL_CITATION&lt;~#@#~&gt;[{"DOI":"10.2165/00003088-199700321-00004","First":false,"Last":false,"PMID":"9068932","abstract":"A nonblinded study was conducted to compare the pharmacokinetic properties of the selective serotonin reuptake inhibitor sertraline in 22 young (aged 18 to 45 years) and 22 elderly (&gt; 65 years) volunteers, of whom half were male and half were female. In this study, sertraline was administered at a dosage of 200mg once daily (the maximum recommended daily dosage) for 21 days after upward dosage titration from 50 mg/day over a 9-day period. Thus, this study was designed to measure the effect of age and gender on the pharmacokinetic properties of sertraline at the maximum dosage recommended for clinical use. The terminal elimination half-life (t1/2 beta ) of sertraline was similar in young females, elderly males and elderly females (mean t1/2 beta ranged from 32.1 to 36.7 hours in these groups) but shorter (22.4 hours) in the young males. The mean maximum plasma sertraline concentration (Cmax) and the mean steady-state area under the plasma concentration-time curve from time zero to 24 hours postdose (AUC24) were also similar between the young females, elderly males and elderly females, but were approximately 25% lower in the young males. The time to Cmax was unaffected by age or gender and ranged from 6.4 to 6.9 hours. N-Demethylsertraline is the principal metabolite of sertraline and does not contribute significantly to its serotonergic actions. The mean values for N-demethylsertraline trough plasma concentrations, AUC24 and Cmax were comparable in elderly males and females and young females but lower in young males. The ratios of mean AUC24 and Cmax for N-demethylsertraline to the AUC24 and Cmax for sertraline were similar between the 4 groups.","author":[{"family":"Ronfeld","given":"R A"},{"family":"Tremaine","given":"L M"},{"family":"Wilner","given":"K D"}],"authorYearDisplayFormat":false,"citation-label":"10224698","container-title":"Clinical Pharmacokinetics","container-title-short":"Clin. Pharmacokinet.","id":"10224698","invisible":false,"issued":{"date-parts":[["1997"]]},"journalAbbreviation":"Clin. Pharmacokinet.","page":"22-30","suppress-author":false,"title":"Pharmacokinetics of sertraline and its N-demethyl metabolite in elderly and young male and female volunteers.","type":"article-journal","volume":"32 Suppl 1"}]</w:instrText>
            </w:r>
            <w:r>
              <w:fldChar w:fldCharType="separate"/>
            </w:r>
            <w:r w:rsidR="00785F66" w:rsidRPr="00785F66">
              <w:rPr>
                <w:noProof/>
              </w:rPr>
              <w:t>[6]</w:t>
            </w:r>
            <w:r>
              <w:fldChar w:fldCharType="end"/>
            </w:r>
          </w:p>
        </w:tc>
      </w:tr>
      <w:tr w:rsidR="00D82CC7" w:rsidRPr="00EA1AF3" w14:paraId="730E3EDF" w14:textId="77777777" w:rsidTr="00916CCB">
        <w:trPr>
          <w:jc w:val="center"/>
        </w:trPr>
        <w:tc>
          <w:tcPr>
            <w:tcW w:w="1599" w:type="dxa"/>
            <w:shd w:val="clear" w:color="auto" w:fill="auto"/>
            <w:vAlign w:val="center"/>
          </w:tcPr>
          <w:p w14:paraId="3B60D808" w14:textId="77777777" w:rsidR="00D82CC7" w:rsidRDefault="00D82CC7" w:rsidP="00916CCB">
            <w:pPr>
              <w:pStyle w:val="MDPI42tablebody"/>
              <w:spacing w:line="240" w:lineRule="auto"/>
            </w:pPr>
            <w:r>
              <w:t>toremifene</w:t>
            </w:r>
          </w:p>
        </w:tc>
        <w:tc>
          <w:tcPr>
            <w:tcW w:w="1599" w:type="dxa"/>
            <w:shd w:val="clear" w:color="auto" w:fill="auto"/>
            <w:vAlign w:val="center"/>
          </w:tcPr>
          <w:p w14:paraId="0D4C71F1" w14:textId="77777777" w:rsidR="00D82CC7" w:rsidRPr="00EA1AF3" w:rsidRDefault="00D82CC7" w:rsidP="00916CCB">
            <w:pPr>
              <w:pStyle w:val="MDPI42tablebody"/>
              <w:spacing w:line="240" w:lineRule="auto"/>
            </w:pPr>
            <w:r>
              <w:t>3.64</w:t>
            </w:r>
          </w:p>
        </w:tc>
        <w:tc>
          <w:tcPr>
            <w:tcW w:w="1599" w:type="dxa"/>
            <w:shd w:val="clear" w:color="auto" w:fill="auto"/>
            <w:vAlign w:val="center"/>
          </w:tcPr>
          <w:p w14:paraId="48BBE585" w14:textId="77777777" w:rsidR="00D82CC7" w:rsidRPr="00EA1AF3" w:rsidRDefault="00D82CC7" w:rsidP="00916CCB">
            <w:pPr>
              <w:pStyle w:val="MDPI42tablebody"/>
              <w:spacing w:line="240" w:lineRule="auto"/>
            </w:pPr>
            <w:r>
              <w:t>0.03</w:t>
            </w:r>
          </w:p>
        </w:tc>
        <w:tc>
          <w:tcPr>
            <w:tcW w:w="1599" w:type="dxa"/>
          </w:tcPr>
          <w:p w14:paraId="6B60F748" w14:textId="77777777" w:rsidR="00D82CC7" w:rsidRPr="00EA1AF3" w:rsidRDefault="00D82CC7" w:rsidP="00916CCB">
            <w:pPr>
              <w:pStyle w:val="MDPI42tablebody"/>
              <w:spacing w:line="240" w:lineRule="auto"/>
            </w:pPr>
            <w:r>
              <w:t>1.83</w:t>
            </w:r>
          </w:p>
        </w:tc>
        <w:tc>
          <w:tcPr>
            <w:tcW w:w="1599" w:type="dxa"/>
          </w:tcPr>
          <w:p w14:paraId="01FB6871" w14:textId="77777777" w:rsidR="00D82CC7" w:rsidRPr="00EA1AF3" w:rsidRDefault="00D82CC7" w:rsidP="00916CCB">
            <w:pPr>
              <w:pStyle w:val="MDPI42tablebody"/>
              <w:spacing w:line="240" w:lineRule="auto"/>
            </w:pPr>
            <w:r>
              <w:t>60</w:t>
            </w:r>
          </w:p>
        </w:tc>
        <w:tc>
          <w:tcPr>
            <w:tcW w:w="1599" w:type="dxa"/>
          </w:tcPr>
          <w:p w14:paraId="24E25E17" w14:textId="77777777" w:rsidR="00D82CC7" w:rsidRPr="00EA1AF3" w:rsidRDefault="00D82CC7" w:rsidP="00916CCB">
            <w:pPr>
              <w:pStyle w:val="MDPI42tablebody"/>
              <w:spacing w:line="240" w:lineRule="auto"/>
            </w:pPr>
            <w:r>
              <w:t xml:space="preserve">1.97 </w:t>
            </w:r>
            <w:r w:rsidRPr="00A564DF">
              <w:rPr>
                <w:vertAlign w:val="superscript"/>
              </w:rPr>
              <w:t>4</w:t>
            </w:r>
          </w:p>
        </w:tc>
        <w:tc>
          <w:tcPr>
            <w:tcW w:w="1599" w:type="dxa"/>
          </w:tcPr>
          <w:p w14:paraId="1B406430" w14:textId="77777777" w:rsidR="00D82CC7" w:rsidRPr="00EA1AF3" w:rsidRDefault="00D82CC7" w:rsidP="00916CCB">
            <w:pPr>
              <w:pStyle w:val="MDPI42tablebody"/>
              <w:spacing w:line="240" w:lineRule="auto"/>
            </w:pPr>
            <w:r>
              <w:t>1.08</w:t>
            </w:r>
          </w:p>
        </w:tc>
        <w:tc>
          <w:tcPr>
            <w:tcW w:w="1599" w:type="dxa"/>
          </w:tcPr>
          <w:p w14:paraId="10504907" w14:textId="2E965378" w:rsidR="00D82CC7" w:rsidRPr="00EA1AF3" w:rsidRDefault="00916CCB" w:rsidP="00916CCB">
            <w:pPr>
              <w:pStyle w:val="MDPI42tablebody"/>
              <w:spacing w:line="240" w:lineRule="auto"/>
            </w:pPr>
            <w:r>
              <w:fldChar w:fldCharType="begin"/>
            </w:r>
            <w:r w:rsidR="00785F66">
              <w:instrText>ADDIN F1000_CSL_CITATION&lt;~#@#~&gt;[{"DOI":"10.1016/0022-4731(90)90019-o","First":false,"Last":false,"PMID":"2142247","abstract":"The pharmacokinetics of toremifene has been investigated in man after single and multiple oral doses. Toremifene was completely absorbed without first-pass metabolism. Peak concentration in serum was achieved in 4 h. Mean half-lives of distribution and elimination were 4 h and 5 days, respectively. Kinetics was linear in the studied dose-range of 10-680 mg. Toremifene was over 99% bound to plasma proteins and extensively metabolized. The main metabolites in serum were demethyl- and deaminohydroxytoremifene. In patients receiving multiple dosing of 60 mg/day serum steady-state level of toremifene was 0.8 microgram/ml on average. The level of demethyl metabolite was twice and that of deaminohydroxy metabolite was one tenth of toremifene.","author":[{"family":"Anttila","given":"M"},{"family":"Valavaara","given":"R"},{"family":"Kivinen","given":"S"},{"family":"Mäenpää","given":"J"}],"authorYearDisplayFormat":false,"citation-label":"10224701","container-title":"Journal of Steroid Biochemistry","container-title-short":"J. Steroid Biochem.","id":"10224701","invisible":false,"issue":"3","issued":{"date-parts":[["1990","6","22"]]},"journalAbbreviation":"J. Steroid Biochem.","page":"249-252","suppress-author":false,"title":"Pharmacokinetics of toremifene.","type":"article-journal","volume":"36"}]</w:instrText>
            </w:r>
            <w:r>
              <w:fldChar w:fldCharType="separate"/>
            </w:r>
            <w:r w:rsidR="00785F66" w:rsidRPr="00785F66">
              <w:rPr>
                <w:noProof/>
              </w:rPr>
              <w:t>[7]</w:t>
            </w:r>
            <w:r>
              <w:fldChar w:fldCharType="end"/>
            </w:r>
          </w:p>
        </w:tc>
      </w:tr>
    </w:tbl>
    <w:p w14:paraId="048EED19" w14:textId="7F06222D" w:rsidR="00D82CC7" w:rsidRDefault="00D82CC7" w:rsidP="001766F1">
      <w:pPr>
        <w:spacing w:before="240" w:line="260" w:lineRule="atLeast"/>
        <w:jc w:val="both"/>
        <w:rPr>
          <w:rFonts w:ascii="Palatino Linotype" w:hAnsi="Palatino Linotype"/>
          <w:sz w:val="18"/>
          <w:szCs w:val="18"/>
        </w:rPr>
      </w:pPr>
      <w:r w:rsidRPr="00FE3460">
        <w:rPr>
          <w:rFonts w:ascii="Palatino Linotype" w:hAnsi="Palatino Linotype"/>
          <w:b/>
          <w:sz w:val="18"/>
          <w:szCs w:val="18"/>
        </w:rPr>
        <w:t xml:space="preserve">Supplemental Table </w:t>
      </w:r>
      <w:r>
        <w:rPr>
          <w:rFonts w:ascii="Palatino Linotype" w:hAnsi="Palatino Linotype"/>
          <w:b/>
          <w:sz w:val="18"/>
          <w:szCs w:val="18"/>
        </w:rPr>
        <w:t>5</w:t>
      </w:r>
      <w:r w:rsidRPr="00FE3460">
        <w:rPr>
          <w:rFonts w:ascii="Palatino Linotype" w:hAnsi="Palatino Linotype"/>
          <w:b/>
          <w:sz w:val="18"/>
          <w:szCs w:val="18"/>
        </w:rPr>
        <w:t>. Predicted drug exposures (C</w:t>
      </w:r>
      <w:r w:rsidRPr="00FE3460">
        <w:rPr>
          <w:rFonts w:ascii="Palatino Linotype" w:hAnsi="Palatino Linotype"/>
          <w:b/>
          <w:sz w:val="18"/>
          <w:szCs w:val="18"/>
          <w:vertAlign w:val="subscript"/>
        </w:rPr>
        <w:t>max</w:t>
      </w:r>
      <w:r w:rsidRPr="00FE3460">
        <w:rPr>
          <w:rFonts w:ascii="Palatino Linotype" w:hAnsi="Palatino Linotype"/>
          <w:b/>
          <w:sz w:val="18"/>
          <w:szCs w:val="18"/>
        </w:rPr>
        <w:t>) in humans following PO administration compared to drug efficacy (IC</w:t>
      </w:r>
      <w:r w:rsidRPr="001325BC">
        <w:rPr>
          <w:rFonts w:ascii="Palatino Linotype" w:hAnsi="Palatino Linotype"/>
          <w:b/>
          <w:sz w:val="18"/>
          <w:szCs w:val="18"/>
        </w:rPr>
        <w:t>50</w:t>
      </w:r>
      <w:r w:rsidRPr="00FE3460">
        <w:rPr>
          <w:rFonts w:ascii="Palatino Linotype" w:hAnsi="Palatino Linotype"/>
          <w:b/>
          <w:sz w:val="18"/>
          <w:szCs w:val="18"/>
        </w:rPr>
        <w:t>)</w:t>
      </w:r>
      <w:r>
        <w:rPr>
          <w:rFonts w:ascii="Palatino Linotype" w:hAnsi="Palatino Linotype"/>
          <w:b/>
          <w:sz w:val="18"/>
          <w:szCs w:val="18"/>
        </w:rPr>
        <w:t xml:space="preserve"> </w:t>
      </w:r>
      <w:r w:rsidR="001325BC">
        <w:rPr>
          <w:rFonts w:ascii="Palatino Linotype" w:hAnsi="Palatino Linotype"/>
          <w:b/>
          <w:sz w:val="18"/>
          <w:szCs w:val="18"/>
        </w:rPr>
        <w:t>against</w:t>
      </w:r>
      <w:r w:rsidRPr="00FE3460">
        <w:rPr>
          <w:rFonts w:ascii="Palatino Linotype" w:hAnsi="Palatino Linotype"/>
          <w:b/>
          <w:sz w:val="18"/>
          <w:szCs w:val="18"/>
        </w:rPr>
        <w:t xml:space="preserve"> EBOV in cultured liver cells</w:t>
      </w:r>
      <w:r w:rsidRPr="00FE3460">
        <w:rPr>
          <w:rFonts w:ascii="Palatino Linotype" w:hAnsi="Palatino Linotype"/>
          <w:sz w:val="18"/>
          <w:szCs w:val="18"/>
        </w:rPr>
        <w:t>. Values in column 1 and 2 are from Dyall (</w:t>
      </w:r>
      <w:r w:rsidR="00916CCB">
        <w:rPr>
          <w:rFonts w:ascii="Palatino Linotype" w:hAnsi="Palatino Linotype"/>
          <w:sz w:val="18"/>
          <w:szCs w:val="18"/>
        </w:rPr>
        <w:fldChar w:fldCharType="begin"/>
      </w:r>
      <w:r w:rsidR="00785F66">
        <w:rPr>
          <w:rFonts w:ascii="Palatino Linotype" w:hAnsi="Palatino Linotype"/>
          <w:sz w:val="18"/>
          <w:szCs w:val="18"/>
        </w:rPr>
        <w:instrText>ADDIN F1000_CSL_CITATION&lt;~#@#~&gt;[{"DOI":"10.1093/infdis/jiy304","First":false,"Last":false,"PMCID":"PMC6249579","PMID":"29939303","abstract":"&lt;strong&gt;Background:&lt;/strong&gt; A need to develop therapeutics to treat Ebola virus disease patients in remote and resource-challenged settings remains in the wake of the 2013-2016 epidemic in West Africa. Toward this goal, we screened drugs under consideration as treatment options and other drugs of interest, most being small molecules approved by the Food and Drug Administration. Drugs demonstrating in vitro antiviral activity were advanced for evaluation in combinations because of advantages often provided by drug cocktails.&lt;br&gt;&lt;br&gt;&lt;strong&gt;Methods:&lt;/strong&gt; Drugs were screened for blockade of Ebola virus infection in cultured cells. Twelve drugs were tested in all (78 pair-wise) combinations, and 3 were tested in a subset of combinations.&lt;br&gt;&lt;br&gt;&lt;strong&gt;Results:&lt;/strong&gt; Multiple synergistic drug pairs emerged, with the majority comprising 2 entry inhibitors. For the pairs of entry inhibitors studied, synergy was demonstrated at the level of virus entry into host cells. Highly synergistic pairs included aripiprazole/piperacetazine, sertraline/toremifene, sertraline/bepridil, and amodiaquine/clomiphene.&lt;br&gt;&lt;br&gt;&lt;strong&gt;Conclusions:&lt;/strong&gt; Our study shows the feasibility of identifying pairs of approved drugs that synergistically block Ebola virus infection in cell cultures. We discuss our findings in terms of the theoretic ability of these or alternate combinations to reach therapeutic levels. Future research will assess selected combinations in small-animal models of Ebola virus disease.","author":[{"family":"Dyall","given":"Julie"},{"family":"Nelson","given":"Elizabeth A"},{"family":"DeWald","given":"Lisa Evans"},{"family":"Guha","given":"Rajarshi"},{"family":"Hart","given":"Brit J"},{"family":"Zhou","given":"Huanying"},{"family":"Postnikova","given":"Elena"},{"family":"Logue","given":"James"},{"family":"Vargas","given":"Walter M"},{"family":"Gross","given":"Robin"},{"family":"Michelotti","given":"Julia"},{"family":"Deiuliis","given":"Nicole"},{"family":"Bennett","given":"Richard S"},{"family":"Crozier","given":"Ian"},{"family":"Holbrook","given":"Michael R"},{"family":"Morris","given":"Patrick J"},{"family":"Klumpp-Thomas","given":"Carleen"},{"family":"McKnight","given":"Crystal"},{"family":"Mierzwa","given":"Tim"},{"family":"Shinn","given":"Paul"},{"family":"Glass","given":"Pamela J"},{"family":"Johansen","given":"Lisa M"},{"family":"Jahrling","given":"Peter B"},{"family":"Hensley","given":"Lisa E"},{"family":"Olinger","given":"Gene G"},{"family":"Thomas","given":"Craig"},{"family":"White","given":"Judith M"}],"authorYearDisplayFormat":false,"citation-label":"6723629","container-title":"The Journal of Infectious Diseases","container-title-short":"J. Infect. Dis.","id":"6723629","invisible":false,"issue":"suppl_5","issued":{"date-parts":[["2018","11","22"]]},"journalAbbreviation":"J. Infect. Dis.","page":"S672-S678","suppress-author":false,"title":"Identification of combinations of approved drugs with synergistic activity against ebola virus in cell cultures.","type":"article-journal","volume":"218"}]</w:instrText>
      </w:r>
      <w:r w:rsidR="00916CCB">
        <w:rPr>
          <w:rFonts w:ascii="Palatino Linotype" w:hAnsi="Palatino Linotype"/>
          <w:sz w:val="18"/>
          <w:szCs w:val="18"/>
        </w:rPr>
        <w:fldChar w:fldCharType="separate"/>
      </w:r>
      <w:r w:rsidR="00785F66" w:rsidRPr="00785F66">
        <w:rPr>
          <w:rFonts w:ascii="Palatino Linotype" w:hAnsi="Palatino Linotype"/>
          <w:noProof/>
          <w:sz w:val="18"/>
          <w:szCs w:val="18"/>
        </w:rPr>
        <w:t>[1]</w:t>
      </w:r>
      <w:r w:rsidR="00916CCB">
        <w:rPr>
          <w:rFonts w:ascii="Palatino Linotype" w:hAnsi="Palatino Linotype"/>
          <w:sz w:val="18"/>
          <w:szCs w:val="18"/>
        </w:rPr>
        <w:fldChar w:fldCharType="end"/>
      </w:r>
      <w:r w:rsidRPr="00FE3460">
        <w:rPr>
          <w:rFonts w:ascii="Palatino Linotype" w:hAnsi="Palatino Linotype"/>
          <w:sz w:val="18"/>
          <w:szCs w:val="18"/>
        </w:rPr>
        <w:t>; Dataset 1, all at moi 0.21; all from Tab 4 except clomiphene and sertraline, whic</w:t>
      </w:r>
      <w:r w:rsidR="003E7E0B">
        <w:rPr>
          <w:rFonts w:ascii="Palatino Linotype" w:hAnsi="Palatino Linotype"/>
          <w:sz w:val="18"/>
          <w:szCs w:val="18"/>
        </w:rPr>
        <w:t xml:space="preserve">h are from Tab 2) and Johansen </w:t>
      </w:r>
      <w:r w:rsidR="00916CCB">
        <w:rPr>
          <w:rFonts w:ascii="Palatino Linotype" w:hAnsi="Palatino Linotype"/>
          <w:sz w:val="18"/>
          <w:szCs w:val="18"/>
        </w:rPr>
        <w:fldChar w:fldCharType="begin"/>
      </w:r>
      <w:r w:rsidR="00785F66">
        <w:rPr>
          <w:rFonts w:ascii="Palatino Linotype" w:hAnsi="Palatino Linotype"/>
          <w:sz w:val="18"/>
          <w:szCs w:val="18"/>
        </w:rPr>
        <w:instrText>ADDIN F1000_CSL_CITATION&lt;~#@#~&gt;[{"DOI":"10.1126/scitranslmed.aaa5597","First":false,"Last":false,"PMID":"26041706","abstract":"Currently, no approved therapeutics exist to treat or prevent infections induced by Ebola viruses, and recent events have demonstrated an urgent need for rapid discovery of new treatments. Repurposing approved drugs for emerging infections remains a critical resource for potential antiviral therapies. We tested ~2600 approved drugs and molecular probes in an in vitro infection assay using the type species, Zaire ebolavirus. Selective antiviral activity was found for 80 U.S. Food and Drug Administration-approved drugs spanning multiple mechanistic classes, including selective estrogen receptor modulators, antihistamines, calcium channel blockers, and antidepressants. Results using an in vivo murine Ebola virus infection model confirmed the protective ability of several drugs, such as bepridil and sertraline. Viral entry assays indicated that most of these antiviral drugs block a late stage of viral entry. By nature of their approved status, these drugs have the potential to be rapidly advanced to clinical settings and used as therapeutic countermeasures for Ebola virus infections. &lt;br&gt;&lt;br&gt;Copyright © 2015, American Association for the Advancement of Science.","author":[{"family":"Johansen","given":"Lisa M"},{"family":"DeWald","given":"Lisa Evans"},{"family":"Shoemaker","given":"Charles J"},{"family":"Hoffstrom","given":"Benjamin G"},{"family":"Lear-Rooney","given":"Calli M"},{"family":"Stossel","given":"Andrea"},{"family":"Nelson","given":"Elizabeth"},{"family":"Delos","given":"Sue E"},{"family":"Simmons","given":"James A"},{"family":"Grenier","given":"Jill M"},{"family":"Pierce","given":"Laura T"},{"family":"Pajouhesh","given":"Hassan"},{"family":"Lehár","given":"Joseph"},{"family":"Hensley","given":"Lisa E"},{"family":"Glass","given":"Pamela J"},{"family":"White","given":"Judith M"},{"family":"Olinger","given":"Gene G"}],"authorYearDisplayFormat":false,"citation-label":"426392","container-title":"Science Translational Medicine","container-title-short":"Sci. Transl. Med.","id":"426392","invisible":false,"issue":"290","issued":{"date-parts":[["2015","6","3"]]},"journalAbbreviation":"Sci. Transl. Med.","page":"290ra89","suppress-author":false,"title":"A screen of approved drugs and molecular probes identifies therapeutics with anti-Ebola virus activity.","type":"article-journal","volume":"7"}]</w:instrText>
      </w:r>
      <w:r w:rsidR="00916CCB">
        <w:rPr>
          <w:rFonts w:ascii="Palatino Linotype" w:hAnsi="Palatino Linotype"/>
          <w:sz w:val="18"/>
          <w:szCs w:val="18"/>
        </w:rPr>
        <w:fldChar w:fldCharType="separate"/>
      </w:r>
      <w:r w:rsidR="00785F66" w:rsidRPr="00785F66">
        <w:rPr>
          <w:rFonts w:ascii="Palatino Linotype" w:hAnsi="Palatino Linotype"/>
          <w:noProof/>
          <w:sz w:val="18"/>
          <w:szCs w:val="18"/>
        </w:rPr>
        <w:t>[8]</w:t>
      </w:r>
      <w:r w:rsidR="00916CCB">
        <w:rPr>
          <w:rFonts w:ascii="Palatino Linotype" w:hAnsi="Palatino Linotype"/>
          <w:sz w:val="18"/>
          <w:szCs w:val="18"/>
        </w:rPr>
        <w:fldChar w:fldCharType="end"/>
      </w:r>
      <w:r w:rsidRPr="00FE3460">
        <w:rPr>
          <w:rFonts w:ascii="Palatino Linotype" w:hAnsi="Palatino Linotype"/>
          <w:sz w:val="18"/>
          <w:szCs w:val="18"/>
        </w:rPr>
        <w:t xml:space="preserve">, Table 1), respectively. Values in column 3 are the averages of the values in columns 1 and 2. </w:t>
      </w:r>
      <w:r w:rsidRPr="004C5125">
        <w:rPr>
          <w:rFonts w:ascii="Palatino Linotype" w:hAnsi="Palatino Linotype"/>
          <w:sz w:val="18"/>
          <w:szCs w:val="18"/>
          <w:vertAlign w:val="superscript"/>
        </w:rPr>
        <w:t>1</w:t>
      </w:r>
      <w:r w:rsidRPr="00FE3460">
        <w:rPr>
          <w:rFonts w:ascii="Palatino Linotype" w:hAnsi="Palatino Linotype"/>
          <w:sz w:val="18"/>
          <w:szCs w:val="18"/>
        </w:rPr>
        <w:t>C</w:t>
      </w:r>
      <w:r w:rsidRPr="00FE3460">
        <w:rPr>
          <w:rFonts w:ascii="Palatino Linotype" w:hAnsi="Palatino Linotype"/>
          <w:sz w:val="18"/>
          <w:szCs w:val="18"/>
          <w:vertAlign w:val="subscript"/>
        </w:rPr>
        <w:t>max</w:t>
      </w:r>
      <w:r w:rsidRPr="00FE3460">
        <w:rPr>
          <w:rFonts w:ascii="Palatino Linotype" w:hAnsi="Palatino Linotype"/>
          <w:sz w:val="18"/>
          <w:szCs w:val="18"/>
        </w:rPr>
        <w:t xml:space="preserve"> after a single o</w:t>
      </w:r>
      <w:r>
        <w:rPr>
          <w:rFonts w:ascii="Palatino Linotype" w:hAnsi="Palatino Linotype"/>
          <w:sz w:val="18"/>
          <w:szCs w:val="18"/>
        </w:rPr>
        <w:t xml:space="preserve">ral dose, unless specified. </w:t>
      </w:r>
      <w:r w:rsidRPr="004C5125">
        <w:rPr>
          <w:rFonts w:ascii="Palatino Linotype" w:hAnsi="Palatino Linotype"/>
          <w:sz w:val="18"/>
          <w:szCs w:val="18"/>
          <w:vertAlign w:val="superscript"/>
        </w:rPr>
        <w:t>2</w:t>
      </w:r>
      <w:r w:rsidRPr="00FE3460">
        <w:rPr>
          <w:rFonts w:ascii="Palatino Linotype" w:hAnsi="Palatino Linotype"/>
          <w:sz w:val="18"/>
          <w:szCs w:val="18"/>
        </w:rPr>
        <w:t>C</w:t>
      </w:r>
      <w:r w:rsidRPr="00FE3460">
        <w:rPr>
          <w:rFonts w:ascii="Palatino Linotype" w:hAnsi="Palatino Linotype"/>
          <w:sz w:val="18"/>
          <w:szCs w:val="18"/>
          <w:vertAlign w:val="subscript"/>
        </w:rPr>
        <w:t>max</w:t>
      </w:r>
      <w:r w:rsidRPr="00FE3460">
        <w:rPr>
          <w:rFonts w:ascii="Palatino Linotype" w:hAnsi="Palatino Linotype"/>
          <w:sz w:val="18"/>
          <w:szCs w:val="18"/>
        </w:rPr>
        <w:t xml:space="preserve"> after 14 days of daily dosing. </w:t>
      </w:r>
      <w:r w:rsidRPr="004C5125">
        <w:rPr>
          <w:rFonts w:ascii="Palatino Linotype" w:hAnsi="Palatino Linotype"/>
          <w:sz w:val="18"/>
          <w:szCs w:val="18"/>
          <w:vertAlign w:val="superscript"/>
        </w:rPr>
        <w:t>3</w:t>
      </w:r>
      <w:r w:rsidRPr="00FE3460">
        <w:rPr>
          <w:rFonts w:ascii="Palatino Linotype" w:hAnsi="Palatino Linotype"/>
          <w:sz w:val="18"/>
          <w:szCs w:val="18"/>
        </w:rPr>
        <w:t>C</w:t>
      </w:r>
      <w:r w:rsidRPr="00FE3460">
        <w:rPr>
          <w:rFonts w:ascii="Palatino Linotype" w:hAnsi="Palatino Linotype"/>
          <w:sz w:val="18"/>
          <w:szCs w:val="18"/>
          <w:vertAlign w:val="subscript"/>
        </w:rPr>
        <w:t>max</w:t>
      </w:r>
      <w:r w:rsidRPr="00FE3460">
        <w:rPr>
          <w:rFonts w:ascii="Palatino Linotype" w:hAnsi="Palatino Linotype"/>
          <w:sz w:val="18"/>
          <w:szCs w:val="18"/>
        </w:rPr>
        <w:t xml:space="preserve"> after 30 days of daily dosing to females (18-45 years of age); the 200 mg dose was reached after 3 days of dose increases starting at 50 mg. </w:t>
      </w:r>
      <w:r w:rsidRPr="004C5125">
        <w:rPr>
          <w:rFonts w:ascii="Palatino Linotype" w:hAnsi="Palatino Linotype"/>
          <w:sz w:val="18"/>
          <w:szCs w:val="18"/>
          <w:vertAlign w:val="superscript"/>
        </w:rPr>
        <w:t>4</w:t>
      </w:r>
      <w:r w:rsidRPr="00FE3460">
        <w:rPr>
          <w:rFonts w:ascii="Palatino Linotype" w:hAnsi="Palatino Linotype"/>
          <w:sz w:val="18"/>
          <w:szCs w:val="18"/>
        </w:rPr>
        <w:t>C</w:t>
      </w:r>
      <w:r w:rsidRPr="00FE3460">
        <w:rPr>
          <w:rFonts w:ascii="Palatino Linotype" w:hAnsi="Palatino Linotype"/>
          <w:sz w:val="18"/>
          <w:szCs w:val="18"/>
          <w:vertAlign w:val="subscript"/>
        </w:rPr>
        <w:t>max</w:t>
      </w:r>
      <w:r w:rsidRPr="00FE3460">
        <w:rPr>
          <w:rFonts w:ascii="Palatino Linotype" w:hAnsi="Palatino Linotype"/>
          <w:sz w:val="18"/>
          <w:szCs w:val="18"/>
        </w:rPr>
        <w:t xml:space="preserve"> after multiple days of daily dosing to healthy adults (see Figure 6 in </w:t>
      </w:r>
      <w:r w:rsidR="00916CCB">
        <w:rPr>
          <w:rFonts w:ascii="Palatino Linotype" w:hAnsi="Palatino Linotype"/>
          <w:sz w:val="18"/>
          <w:szCs w:val="18"/>
        </w:rPr>
        <w:fldChar w:fldCharType="begin"/>
      </w:r>
      <w:r w:rsidR="00785F66">
        <w:rPr>
          <w:rFonts w:ascii="Palatino Linotype" w:hAnsi="Palatino Linotype"/>
          <w:sz w:val="18"/>
          <w:szCs w:val="18"/>
        </w:rPr>
        <w:instrText>ADDIN F1000_CSL_CITATION&lt;~#@#~&gt;[{"DOI":"10.1016/0022-4731(90)90019-o","First":false,"Last":false,"PMID":"2142247","abstract":"The pharmacokinetics of toremifene has been investigated in man after single and multiple oral doses. Toremifene was completely absorbed without first-pass metabolism. Peak concentration in serum was achieved in 4 h. Mean half-lives of distribution and elimination were 4 h and 5 days, respectively. Kinetics was linear in the studied dose-range of 10-680 mg. Toremifene was over 99% bound to plasma proteins and extensively metabolized. The main metabolites in serum were demethyl- and deaminohydroxytoremifene. In patients receiving multiple dosing of 60 mg/day serum steady-state level of toremifene was 0.8 microgram/ml on average. The level of demethyl metabolite was twice and that of deaminohydroxy metabolite was one tenth of toremifene.","author":[{"family":"Anttila","given":"M"},{"family":"Valavaara","given":"R"},{"family":"Kivinen","given":"S"},{"family":"Mäenpää","given":"J"}],"authorYearDisplayFormat":false,"citation-label":"10224701","container-title":"Journal of Steroid Biochemistry","container-title-short":"J. Steroid Biochem.","id":"10224701","invisible":false,"issue":"3","issued":{"date-parts":[["1990","6","22"]]},"journalAbbreviation":"J. Steroid Biochem.","page":"249-252","suppress-author":false,"title":"Pharmacokinetics of toremifene.","type":"article-journal","volume":"36"}]</w:instrText>
      </w:r>
      <w:r w:rsidR="00916CCB">
        <w:rPr>
          <w:rFonts w:ascii="Palatino Linotype" w:hAnsi="Palatino Linotype"/>
          <w:sz w:val="18"/>
          <w:szCs w:val="18"/>
        </w:rPr>
        <w:fldChar w:fldCharType="separate"/>
      </w:r>
      <w:r w:rsidR="00785F66" w:rsidRPr="00785F66">
        <w:rPr>
          <w:rFonts w:ascii="Palatino Linotype" w:hAnsi="Palatino Linotype"/>
          <w:noProof/>
          <w:sz w:val="18"/>
          <w:szCs w:val="18"/>
        </w:rPr>
        <w:t>[7]</w:t>
      </w:r>
      <w:r w:rsidR="00916CCB">
        <w:rPr>
          <w:rFonts w:ascii="Palatino Linotype" w:hAnsi="Palatino Linotype"/>
          <w:sz w:val="18"/>
          <w:szCs w:val="18"/>
        </w:rPr>
        <w:fldChar w:fldCharType="end"/>
      </w:r>
      <w:r w:rsidRPr="00FE3460">
        <w:rPr>
          <w:rFonts w:ascii="Palatino Linotype" w:hAnsi="Palatino Linotype"/>
          <w:sz w:val="18"/>
          <w:szCs w:val="18"/>
        </w:rPr>
        <w:t xml:space="preserve">). </w:t>
      </w:r>
      <w:r w:rsidR="006F735B">
        <w:rPr>
          <w:rFonts w:ascii="Palatino Linotype" w:hAnsi="Palatino Linotype"/>
          <w:sz w:val="18"/>
          <w:szCs w:val="18"/>
        </w:rPr>
        <w:t xml:space="preserve">FDA refers to the FDA package insert for azithromycin. </w:t>
      </w:r>
      <w:r w:rsidRPr="00FE3460">
        <w:rPr>
          <w:rFonts w:ascii="Palatino Linotype" w:hAnsi="Palatino Linotype"/>
          <w:sz w:val="18"/>
          <w:szCs w:val="18"/>
        </w:rPr>
        <w:t xml:space="preserve">Abbreviations: na, not available (piperacetazine is only authorized for veterinary use in the USA); nd, not done; PO, Per </w:t>
      </w:r>
      <w:r w:rsidR="00253E1B">
        <w:rPr>
          <w:rFonts w:ascii="Palatino Linotype" w:hAnsi="Palatino Linotype"/>
          <w:sz w:val="18"/>
          <w:szCs w:val="18"/>
        </w:rPr>
        <w:t>O</w:t>
      </w:r>
      <w:r w:rsidRPr="00FE3460">
        <w:rPr>
          <w:rFonts w:ascii="Palatino Linotype" w:hAnsi="Palatino Linotype"/>
          <w:sz w:val="18"/>
          <w:szCs w:val="18"/>
        </w:rPr>
        <w:t xml:space="preserve">s (by mouth). </w:t>
      </w:r>
    </w:p>
    <w:p w14:paraId="7A2A83C3" w14:textId="77777777" w:rsidR="00D82CC7" w:rsidRPr="00FE3460" w:rsidRDefault="00D82CC7" w:rsidP="00D82CC7">
      <w:pPr>
        <w:spacing w:before="240" w:line="260" w:lineRule="atLeast"/>
        <w:rPr>
          <w:rFonts w:ascii="Palatino Linotype" w:hAnsi="Palatino Linotype"/>
          <w:sz w:val="18"/>
          <w:szCs w:val="18"/>
        </w:rPr>
      </w:pPr>
    </w:p>
    <w:p w14:paraId="10497584" w14:textId="7C7B9E86" w:rsidR="00EB47CB" w:rsidRDefault="00EB47CB">
      <w:pPr>
        <w:rPr>
          <w:rFonts w:ascii="Palatino Linotype" w:hAnsi="Palatino Linotype" w:cs="Times New Roman"/>
          <w:bCs/>
          <w:sz w:val="20"/>
          <w:szCs w:val="20"/>
        </w:rPr>
      </w:pPr>
      <w:r>
        <w:rPr>
          <w:rFonts w:ascii="Palatino Linotype" w:hAnsi="Palatino Linotype" w:cs="Times New Roman"/>
          <w:bCs/>
          <w:sz w:val="20"/>
          <w:szCs w:val="20"/>
        </w:rPr>
        <w:br w:type="page"/>
      </w:r>
    </w:p>
    <w:p w14:paraId="2D7D77E3" w14:textId="77777777" w:rsidR="00D82CC7" w:rsidRDefault="00D82CC7" w:rsidP="0072562F">
      <w:pPr>
        <w:spacing w:line="260" w:lineRule="atLeast"/>
        <w:rPr>
          <w:rFonts w:ascii="Palatino Linotype" w:hAnsi="Palatino Linotype" w:cs="Times New Roman"/>
          <w:bCs/>
          <w:sz w:val="20"/>
          <w:szCs w:val="20"/>
        </w:rPr>
      </w:pPr>
    </w:p>
    <w:tbl>
      <w:tblPr>
        <w:tblW w:w="0" w:type="auto"/>
        <w:jc w:val="center"/>
        <w:tblBorders>
          <w:top w:val="single" w:sz="8" w:space="0" w:color="auto"/>
          <w:bottom w:val="single" w:sz="8" w:space="0" w:color="auto"/>
        </w:tblBorders>
        <w:tblLook w:val="04A0" w:firstRow="1" w:lastRow="0" w:firstColumn="1" w:lastColumn="0" w:noHBand="0" w:noVBand="1"/>
      </w:tblPr>
      <w:tblGrid>
        <w:gridCol w:w="1511"/>
        <w:gridCol w:w="1496"/>
        <w:gridCol w:w="1496"/>
        <w:gridCol w:w="1450"/>
        <w:gridCol w:w="1451"/>
        <w:gridCol w:w="1452"/>
      </w:tblGrid>
      <w:tr w:rsidR="00EB47CB" w:rsidRPr="0056617C" w14:paraId="5DE233A9" w14:textId="77777777" w:rsidTr="00916CCB">
        <w:trPr>
          <w:jc w:val="center"/>
        </w:trPr>
        <w:tc>
          <w:tcPr>
            <w:tcW w:w="1501" w:type="dxa"/>
            <w:tcBorders>
              <w:bottom w:val="single" w:sz="4" w:space="0" w:color="auto"/>
            </w:tcBorders>
            <w:shd w:val="clear" w:color="auto" w:fill="auto"/>
            <w:vAlign w:val="center"/>
          </w:tcPr>
          <w:p w14:paraId="7B233BC6" w14:textId="77777777" w:rsidR="00EB47CB" w:rsidRPr="0056617C" w:rsidRDefault="00EB47CB" w:rsidP="00916CCB">
            <w:pPr>
              <w:pStyle w:val="MDPI42tablebody"/>
              <w:spacing w:line="240" w:lineRule="auto"/>
              <w:rPr>
                <w:b/>
              </w:rPr>
            </w:pPr>
            <w:r>
              <w:rPr>
                <w:b/>
              </w:rPr>
              <w:t>Drug</w:t>
            </w:r>
          </w:p>
        </w:tc>
        <w:tc>
          <w:tcPr>
            <w:tcW w:w="1498" w:type="dxa"/>
            <w:tcBorders>
              <w:bottom w:val="single" w:sz="4" w:space="0" w:color="auto"/>
            </w:tcBorders>
            <w:shd w:val="clear" w:color="auto" w:fill="auto"/>
            <w:vAlign w:val="center"/>
          </w:tcPr>
          <w:p w14:paraId="11B927A6" w14:textId="77777777" w:rsidR="00EB47CB" w:rsidRDefault="00EB47CB" w:rsidP="00916CCB">
            <w:pPr>
              <w:pStyle w:val="MDPI42tablebody"/>
              <w:spacing w:line="240" w:lineRule="auto"/>
              <w:rPr>
                <w:b/>
              </w:rPr>
            </w:pPr>
            <w:r>
              <w:rPr>
                <w:b/>
              </w:rPr>
              <w:t>Dose</w:t>
            </w:r>
          </w:p>
          <w:p w14:paraId="0732C394" w14:textId="77777777" w:rsidR="00EB47CB" w:rsidRPr="0056617C" w:rsidRDefault="00EB47CB" w:rsidP="00916CCB">
            <w:pPr>
              <w:pStyle w:val="MDPI42tablebody"/>
              <w:spacing w:line="240" w:lineRule="auto"/>
              <w:rPr>
                <w:b/>
              </w:rPr>
            </w:pPr>
            <w:r>
              <w:rPr>
                <w:b/>
              </w:rPr>
              <w:t>(mg/kg)</w:t>
            </w:r>
          </w:p>
        </w:tc>
        <w:tc>
          <w:tcPr>
            <w:tcW w:w="1498" w:type="dxa"/>
            <w:tcBorders>
              <w:bottom w:val="single" w:sz="4" w:space="0" w:color="auto"/>
            </w:tcBorders>
            <w:shd w:val="clear" w:color="auto" w:fill="auto"/>
            <w:vAlign w:val="center"/>
          </w:tcPr>
          <w:p w14:paraId="4185C80D" w14:textId="77777777" w:rsidR="00EB47CB" w:rsidRPr="0056617C" w:rsidRDefault="00EB47CB" w:rsidP="00916CCB">
            <w:pPr>
              <w:pStyle w:val="MDPI42tablebody"/>
              <w:spacing w:line="240" w:lineRule="auto"/>
              <w:rPr>
                <w:b/>
              </w:rPr>
            </w:pPr>
            <w:r>
              <w:rPr>
                <w:b/>
              </w:rPr>
              <w:t>Regimen</w:t>
            </w:r>
          </w:p>
        </w:tc>
        <w:tc>
          <w:tcPr>
            <w:tcW w:w="1453" w:type="dxa"/>
            <w:tcBorders>
              <w:bottom w:val="single" w:sz="4" w:space="0" w:color="auto"/>
            </w:tcBorders>
          </w:tcPr>
          <w:p w14:paraId="445878E8" w14:textId="77777777" w:rsidR="00EB47CB" w:rsidRPr="0056617C" w:rsidRDefault="00EB47CB" w:rsidP="00916CCB">
            <w:pPr>
              <w:pStyle w:val="MDPI42tablebody"/>
              <w:spacing w:line="240" w:lineRule="auto"/>
              <w:rPr>
                <w:b/>
              </w:rPr>
            </w:pPr>
            <w:r>
              <w:rPr>
                <w:b/>
              </w:rPr>
              <w:t>Virus</w:t>
            </w:r>
          </w:p>
        </w:tc>
        <w:tc>
          <w:tcPr>
            <w:tcW w:w="1453" w:type="dxa"/>
            <w:tcBorders>
              <w:bottom w:val="single" w:sz="4" w:space="0" w:color="auto"/>
            </w:tcBorders>
          </w:tcPr>
          <w:p w14:paraId="1123427D" w14:textId="77777777" w:rsidR="00EB47CB" w:rsidRDefault="00EB47CB" w:rsidP="00916CCB">
            <w:pPr>
              <w:pStyle w:val="MDPI42tablebody"/>
              <w:spacing w:line="240" w:lineRule="auto"/>
              <w:rPr>
                <w:b/>
              </w:rPr>
            </w:pPr>
            <w:r>
              <w:rPr>
                <w:b/>
              </w:rPr>
              <w:t>Survival</w:t>
            </w:r>
          </w:p>
          <w:p w14:paraId="10BA5F99" w14:textId="77777777" w:rsidR="00EB47CB" w:rsidRPr="0056617C" w:rsidRDefault="00EB47CB" w:rsidP="00916CCB">
            <w:pPr>
              <w:pStyle w:val="MDPI42tablebody"/>
              <w:spacing w:line="240" w:lineRule="auto"/>
              <w:rPr>
                <w:b/>
              </w:rPr>
            </w:pPr>
            <w:r>
              <w:rPr>
                <w:b/>
              </w:rPr>
              <w:t>(%)</w:t>
            </w:r>
          </w:p>
        </w:tc>
        <w:tc>
          <w:tcPr>
            <w:tcW w:w="1453" w:type="dxa"/>
            <w:tcBorders>
              <w:bottom w:val="single" w:sz="4" w:space="0" w:color="auto"/>
            </w:tcBorders>
          </w:tcPr>
          <w:p w14:paraId="58F22E2C" w14:textId="77777777" w:rsidR="00EB47CB" w:rsidRPr="0056617C" w:rsidRDefault="00EB47CB" w:rsidP="00916CCB">
            <w:pPr>
              <w:pStyle w:val="MDPI42tablebody"/>
              <w:spacing w:line="240" w:lineRule="auto"/>
              <w:rPr>
                <w:b/>
              </w:rPr>
            </w:pPr>
            <w:r>
              <w:rPr>
                <w:b/>
              </w:rPr>
              <w:t>Reference</w:t>
            </w:r>
          </w:p>
        </w:tc>
      </w:tr>
      <w:tr w:rsidR="00EB47CB" w:rsidRPr="00EA1AF3" w14:paraId="5FF44890" w14:textId="77777777" w:rsidTr="00916CCB">
        <w:trPr>
          <w:jc w:val="center"/>
        </w:trPr>
        <w:tc>
          <w:tcPr>
            <w:tcW w:w="1501" w:type="dxa"/>
            <w:shd w:val="clear" w:color="auto" w:fill="auto"/>
            <w:vAlign w:val="center"/>
          </w:tcPr>
          <w:p w14:paraId="49E4C6E4" w14:textId="77777777" w:rsidR="00EB47CB" w:rsidRPr="00EA1AF3" w:rsidRDefault="00EB47CB" w:rsidP="00916CCB">
            <w:pPr>
              <w:pStyle w:val="MDPI42tablebody"/>
              <w:spacing w:line="240" w:lineRule="auto"/>
            </w:pPr>
            <w:r>
              <w:t>Apilimod</w:t>
            </w:r>
          </w:p>
        </w:tc>
        <w:tc>
          <w:tcPr>
            <w:tcW w:w="1498" w:type="dxa"/>
            <w:shd w:val="clear" w:color="auto" w:fill="auto"/>
            <w:vAlign w:val="center"/>
          </w:tcPr>
          <w:p w14:paraId="68AEF344" w14:textId="77777777" w:rsidR="00EB47CB" w:rsidRPr="00EA1AF3" w:rsidRDefault="00EB47CB" w:rsidP="00916CCB">
            <w:pPr>
              <w:pStyle w:val="MDPI42tablebody"/>
              <w:spacing w:line="240" w:lineRule="auto"/>
            </w:pPr>
            <w:r>
              <w:t>44</w:t>
            </w:r>
          </w:p>
        </w:tc>
        <w:tc>
          <w:tcPr>
            <w:tcW w:w="1498" w:type="dxa"/>
            <w:shd w:val="clear" w:color="auto" w:fill="auto"/>
            <w:vAlign w:val="center"/>
          </w:tcPr>
          <w:p w14:paraId="1AB75AC3" w14:textId="77777777" w:rsidR="00EB47CB" w:rsidRPr="00EA1AF3" w:rsidRDefault="00EB47CB" w:rsidP="00916CCB">
            <w:pPr>
              <w:pStyle w:val="MDPI42tablebody"/>
              <w:spacing w:line="240" w:lineRule="auto"/>
            </w:pPr>
            <w:r>
              <w:t>IP, SID</w:t>
            </w:r>
          </w:p>
        </w:tc>
        <w:tc>
          <w:tcPr>
            <w:tcW w:w="1453" w:type="dxa"/>
          </w:tcPr>
          <w:p w14:paraId="0721A344" w14:textId="77777777" w:rsidR="00EB47CB" w:rsidRPr="00EA1AF3" w:rsidRDefault="00EB47CB" w:rsidP="00916CCB">
            <w:pPr>
              <w:pStyle w:val="MDPI42tablebody"/>
              <w:spacing w:line="240" w:lineRule="auto"/>
            </w:pPr>
            <w:r>
              <w:t>EBOV</w:t>
            </w:r>
          </w:p>
        </w:tc>
        <w:tc>
          <w:tcPr>
            <w:tcW w:w="1453" w:type="dxa"/>
          </w:tcPr>
          <w:p w14:paraId="30811290" w14:textId="77777777" w:rsidR="00EB47CB" w:rsidRPr="00EA1AF3" w:rsidRDefault="00EB47CB" w:rsidP="00916CCB">
            <w:pPr>
              <w:pStyle w:val="MDPI42tablebody"/>
              <w:spacing w:line="240" w:lineRule="auto"/>
            </w:pPr>
            <w:r>
              <w:t>0</w:t>
            </w:r>
          </w:p>
        </w:tc>
        <w:tc>
          <w:tcPr>
            <w:tcW w:w="1453" w:type="dxa"/>
          </w:tcPr>
          <w:p w14:paraId="62B1F441" w14:textId="2ADFE6C9" w:rsidR="00EB47CB" w:rsidRPr="00C87CC0" w:rsidRDefault="007D32BF" w:rsidP="00916CCB">
            <w:pPr>
              <w:pStyle w:val="MDPI42tablebody"/>
              <w:spacing w:line="240" w:lineRule="auto"/>
              <w:rPr>
                <w:highlight w:val="yellow"/>
              </w:rPr>
            </w:pPr>
            <w:r w:rsidRPr="007D32BF">
              <w:t>*</w:t>
            </w:r>
          </w:p>
        </w:tc>
      </w:tr>
      <w:tr w:rsidR="00EB47CB" w:rsidRPr="00EA1AF3" w14:paraId="38555FAB" w14:textId="77777777" w:rsidTr="00916CCB">
        <w:trPr>
          <w:jc w:val="center"/>
        </w:trPr>
        <w:tc>
          <w:tcPr>
            <w:tcW w:w="1501" w:type="dxa"/>
            <w:shd w:val="clear" w:color="auto" w:fill="auto"/>
            <w:vAlign w:val="center"/>
          </w:tcPr>
          <w:p w14:paraId="3990AC2E" w14:textId="77777777" w:rsidR="00EB47CB" w:rsidRPr="00EA1AF3" w:rsidRDefault="00EB47CB" w:rsidP="00916CCB">
            <w:pPr>
              <w:pStyle w:val="MDPI42tablebody"/>
              <w:spacing w:line="240" w:lineRule="auto"/>
            </w:pPr>
            <w:r>
              <w:t>Aripiprazole</w:t>
            </w:r>
          </w:p>
        </w:tc>
        <w:tc>
          <w:tcPr>
            <w:tcW w:w="1498" w:type="dxa"/>
            <w:shd w:val="clear" w:color="auto" w:fill="auto"/>
            <w:vAlign w:val="center"/>
          </w:tcPr>
          <w:p w14:paraId="7E2A41D1" w14:textId="77777777" w:rsidR="00EB47CB" w:rsidRPr="00EA1AF3" w:rsidRDefault="00EB47CB" w:rsidP="00916CCB">
            <w:pPr>
              <w:pStyle w:val="MDPI42tablebody"/>
              <w:spacing w:line="240" w:lineRule="auto"/>
            </w:pPr>
            <w:r>
              <w:t>20</w:t>
            </w:r>
          </w:p>
        </w:tc>
        <w:tc>
          <w:tcPr>
            <w:tcW w:w="1498" w:type="dxa"/>
            <w:shd w:val="clear" w:color="auto" w:fill="auto"/>
            <w:vAlign w:val="center"/>
          </w:tcPr>
          <w:p w14:paraId="362BD85A" w14:textId="77777777" w:rsidR="00EB47CB" w:rsidRPr="00EA1AF3" w:rsidRDefault="00EB47CB" w:rsidP="00916CCB">
            <w:pPr>
              <w:pStyle w:val="MDPI42tablebody"/>
              <w:spacing w:line="240" w:lineRule="auto"/>
            </w:pPr>
            <w:r>
              <w:t>IP, SID</w:t>
            </w:r>
          </w:p>
        </w:tc>
        <w:tc>
          <w:tcPr>
            <w:tcW w:w="1453" w:type="dxa"/>
          </w:tcPr>
          <w:p w14:paraId="4B17BE0D" w14:textId="77777777" w:rsidR="00EB47CB" w:rsidRPr="00EA1AF3" w:rsidRDefault="00EB47CB" w:rsidP="00916CCB">
            <w:pPr>
              <w:pStyle w:val="MDPI42tablebody"/>
              <w:spacing w:line="240" w:lineRule="auto"/>
            </w:pPr>
            <w:r>
              <w:t>EBOV</w:t>
            </w:r>
          </w:p>
        </w:tc>
        <w:tc>
          <w:tcPr>
            <w:tcW w:w="1453" w:type="dxa"/>
          </w:tcPr>
          <w:p w14:paraId="68E2CBE4" w14:textId="77777777" w:rsidR="00EB47CB" w:rsidRPr="00EA1AF3" w:rsidRDefault="00EB47CB" w:rsidP="00916CCB">
            <w:pPr>
              <w:pStyle w:val="MDPI42tablebody"/>
              <w:spacing w:line="240" w:lineRule="auto"/>
            </w:pPr>
            <w:r>
              <w:t xml:space="preserve">10 </w:t>
            </w:r>
            <w:r w:rsidRPr="00853DD6">
              <w:rPr>
                <w:vertAlign w:val="superscript"/>
              </w:rPr>
              <w:t>1</w:t>
            </w:r>
          </w:p>
        </w:tc>
        <w:tc>
          <w:tcPr>
            <w:tcW w:w="1453" w:type="dxa"/>
          </w:tcPr>
          <w:p w14:paraId="5FB4DB7E" w14:textId="0E489AE6" w:rsidR="00EB47CB" w:rsidRPr="00C87CC0" w:rsidRDefault="00916CCB" w:rsidP="00916CCB">
            <w:pPr>
              <w:pStyle w:val="MDPI42tablebody"/>
              <w:spacing w:line="240" w:lineRule="auto"/>
              <w:rPr>
                <w:highlight w:val="yellow"/>
              </w:rPr>
            </w:pPr>
            <w:r>
              <w:fldChar w:fldCharType="begin"/>
            </w:r>
            <w:r w:rsidR="00785F66">
              <w:instrText>ADDIN F1000_CSL_CITATION&lt;~#@#~&gt;[{"DOI":"10.1126/scitranslmed.aaa5597","First":false,"Last":false,"PMID":"26041706","abstract":"Currently, no approved therapeutics exist to treat or prevent infections induced by Ebola viruses, and recent events have demonstrated an urgent need for rapid discovery of new treatments. Repurposing approved drugs for emerging infections remains a critical resource for potential antiviral therapies. We tested ~2600 approved drugs and molecular probes in an in vitro infection assay using the type species, Zaire ebolavirus. Selective antiviral activity was found for 80 U.S. Food and Drug Administration-approved drugs spanning multiple mechanistic classes, including selective estrogen receptor modulators, antihistamines, calcium channel blockers, and antidepressants. Results using an in vivo murine Ebola virus infection model confirmed the protective ability of several drugs, such as bepridil and sertraline. Viral entry assays indicated that most of these antiviral drugs block a late stage of viral entry. By nature of their approved status, these drugs have the potential to be rapidly advanced to clinical settings and used as therapeutic countermeasures for Ebola virus infections. &lt;br&gt;&lt;br&gt;Copyright © 2015, American Association for the Advancement of Science.","author":[{"family":"Johansen","given":"Lisa M"},{"family":"DeWald","given":"Lisa Evans"},{"family":"Shoemaker","given":"Charles J"},{"family":"Hoffstrom","given":"Benjamin G"},{"family":"Lear-Rooney","given":"Calli M"},{"family":"Stossel","given":"Andrea"},{"family":"Nelson","given":"Elizabeth"},{"family":"Delos","given":"Sue E"},{"family":"Simmons","given":"James A"},{"family":"Grenier","given":"Jill M"},{"family":"Pierce","given":"Laura T"},{"family":"Pajouhesh","given":"Hassan"},{"family":"Lehár","given":"Joseph"},{"family":"Hensley","given":"Lisa E"},{"family":"Glass","given":"Pamela J"},{"family":"White","given":"Judith M"},{"family":"Olinger","given":"Gene G"}],"authorYearDisplayFormat":false,"citation-label":"426392","container-title":"Science Translational Medicine","container-title-short":"Sci. Transl. Med.","id":"426392","invisible":false,"issue":"290","issued":{"date-parts":[["2015","6","3"]]},"journalAbbreviation":"Sci. Transl. Med.","page":"290ra89","suppress-author":false,"title":"A screen of approved drugs and molecular probes identifies therapeutics with anti-Ebola virus activity.","type":"article-journal","volume":"7"}]</w:instrText>
            </w:r>
            <w:r>
              <w:fldChar w:fldCharType="separate"/>
            </w:r>
            <w:r w:rsidR="00785F66" w:rsidRPr="00785F66">
              <w:rPr>
                <w:noProof/>
              </w:rPr>
              <w:t>[8]</w:t>
            </w:r>
            <w:r>
              <w:fldChar w:fldCharType="end"/>
            </w:r>
          </w:p>
        </w:tc>
      </w:tr>
      <w:tr w:rsidR="00EB47CB" w:rsidRPr="00EA1AF3" w14:paraId="22AA8EAE" w14:textId="77777777" w:rsidTr="00916CCB">
        <w:trPr>
          <w:jc w:val="center"/>
        </w:trPr>
        <w:tc>
          <w:tcPr>
            <w:tcW w:w="1501" w:type="dxa"/>
            <w:shd w:val="clear" w:color="auto" w:fill="auto"/>
            <w:vAlign w:val="center"/>
          </w:tcPr>
          <w:p w14:paraId="3E43F65E" w14:textId="77777777" w:rsidR="00EB47CB" w:rsidRDefault="00EB47CB" w:rsidP="00916CCB">
            <w:pPr>
              <w:pStyle w:val="MDPI42tablebody"/>
              <w:spacing w:line="240" w:lineRule="auto"/>
            </w:pPr>
            <w:r>
              <w:t>Azithromycin</w:t>
            </w:r>
          </w:p>
        </w:tc>
        <w:tc>
          <w:tcPr>
            <w:tcW w:w="1498" w:type="dxa"/>
            <w:shd w:val="clear" w:color="auto" w:fill="auto"/>
            <w:vAlign w:val="center"/>
          </w:tcPr>
          <w:p w14:paraId="504F466B" w14:textId="77777777" w:rsidR="00EB47CB" w:rsidRPr="00EA1AF3" w:rsidRDefault="00EB47CB" w:rsidP="00916CCB">
            <w:pPr>
              <w:pStyle w:val="MDPI42tablebody"/>
              <w:spacing w:line="240" w:lineRule="auto"/>
            </w:pPr>
            <w:r>
              <w:t>100</w:t>
            </w:r>
          </w:p>
        </w:tc>
        <w:tc>
          <w:tcPr>
            <w:tcW w:w="1498" w:type="dxa"/>
            <w:shd w:val="clear" w:color="auto" w:fill="auto"/>
            <w:vAlign w:val="center"/>
          </w:tcPr>
          <w:p w14:paraId="0C4D61A6" w14:textId="77777777" w:rsidR="00EB47CB" w:rsidRPr="00EA1AF3" w:rsidRDefault="00EB47CB" w:rsidP="00916CCB">
            <w:pPr>
              <w:pStyle w:val="MDPI42tablebody"/>
              <w:spacing w:line="240" w:lineRule="auto"/>
            </w:pPr>
            <w:r>
              <w:t>IP, SID</w:t>
            </w:r>
          </w:p>
        </w:tc>
        <w:tc>
          <w:tcPr>
            <w:tcW w:w="1453" w:type="dxa"/>
          </w:tcPr>
          <w:p w14:paraId="0FA7CA91" w14:textId="77777777" w:rsidR="00EB47CB" w:rsidRPr="00EA1AF3" w:rsidRDefault="00EB47CB" w:rsidP="00916CCB">
            <w:pPr>
              <w:pStyle w:val="MDPI42tablebody"/>
              <w:spacing w:line="240" w:lineRule="auto"/>
            </w:pPr>
            <w:r>
              <w:t>EBOV</w:t>
            </w:r>
          </w:p>
        </w:tc>
        <w:tc>
          <w:tcPr>
            <w:tcW w:w="1453" w:type="dxa"/>
          </w:tcPr>
          <w:p w14:paraId="3312C510" w14:textId="77777777" w:rsidR="00EB47CB" w:rsidRPr="00EA1AF3" w:rsidRDefault="00EB47CB" w:rsidP="00916CCB">
            <w:pPr>
              <w:pStyle w:val="MDPI42tablebody"/>
              <w:spacing w:line="240" w:lineRule="auto"/>
            </w:pPr>
            <w:r>
              <w:t xml:space="preserve">10, 30, 60 </w:t>
            </w:r>
            <w:r>
              <w:rPr>
                <w:vertAlign w:val="superscript"/>
              </w:rPr>
              <w:t>2</w:t>
            </w:r>
          </w:p>
        </w:tc>
        <w:tc>
          <w:tcPr>
            <w:tcW w:w="1453" w:type="dxa"/>
          </w:tcPr>
          <w:p w14:paraId="721ECCFA" w14:textId="3290EC13" w:rsidR="00EB47CB" w:rsidRPr="00C87CC0" w:rsidRDefault="00916CCB" w:rsidP="00916CCB">
            <w:pPr>
              <w:pStyle w:val="MDPI42tablebody"/>
              <w:spacing w:line="240" w:lineRule="auto"/>
              <w:rPr>
                <w:highlight w:val="yellow"/>
              </w:rPr>
            </w:pPr>
            <w:r>
              <w:fldChar w:fldCharType="begin"/>
            </w:r>
            <w:r w:rsidR="00785F66">
              <w:instrText>ADDIN F1000_CSL_CITATION&lt;~#@#~&gt;[{"DOI":"10.1021/acsinfecdis.5b00030","First":false,"Last":false,"PMID":"27622822","abstract":"A systematic screen of FDA-approved drugs was performed to identify compounds with in vitro antiviral activities against Ebola virus (EBOV). Compounds active (&gt;50% viral inhibition and &lt; 30% cellular toxicity) at a single concentration were tested in dose-response assays to quantitate the antiviral activities in replication and viral entry assays as well as cytotoxicity in the Vero cell line used to conduct these assays. On the basis of the approved human dosing, toxicity/tolerability, and pharmacokinetic data, seven of these in vitro hits from different pharmacological classes (chloroquine (CQ), amiodarone, prochlorperazine, benztropine, azithromycin, chlortetracycline, and clomiphene) were evaluated for their in vivo efficacy at a single dose and were administered via either intraperitoneal (ip) or oral route. Initially, azithromycin (100 mg/kg, twice daily, ip), CQ (90 mg/kg, twice daily, ip), and amiodarone (60 mg/kg, twice daily, ip) demonstrated significant increases in survival in the mouse model. After repeat evaluation, only CQ was found to reproducibly give significant efficacy in the mouse model with this dosing regimen. Azithromycin and CQ were also tested in a guinea pig model of EBOV infection over a range of doses, but none of the doses increased survival, and drug-related toxicity was observed at lower doses than in the mouse. These results show the benefits and specific challenges associated with drug repurposing and highlight the need for careful evaluation of approved drugs as rapidly deployable countermeasures against future pandemics. ","author":[{"family":"Madrid","given":"Peter B"},{"family":"Panchal","given":"Rekha G"},{"family":"Warren","given":"Travis K"},{"family":"Shurtleff","given":"Amy C"},{"family":"Endsley","given":"Aaron N"},{"family":"Green","given":"Carol E"},{"family":"Kolokoltsov","given":"Andrey"},{"family":"Davey","given":"Robert"},{"family":"Manger","given":"Ian D"},{"family":"Gilfillan","given":"Lynne"},{"family":"Bavari","given":"Sina"},{"family":"Tanga","given":"Mary J"}],"authorYearDisplayFormat":false,"citation-label":"843213","container-title":"ACS Infectious Diseases","container-title-short":"ACS Infect. Dis.","id":"843213","invisible":false,"issue":"7","issued":{"date-parts":[["2015","7","10"]]},"journalAbbreviation":"ACS Infect. Dis.","page":"317-326","suppress-author":false,"title":"Evaluation of ebola virus inhibitors for drug repurposing.","type":"article-journal","volume":"1"}]</w:instrText>
            </w:r>
            <w:r>
              <w:fldChar w:fldCharType="separate"/>
            </w:r>
            <w:r w:rsidR="00785F66" w:rsidRPr="00785F66">
              <w:rPr>
                <w:noProof/>
              </w:rPr>
              <w:t>[9]</w:t>
            </w:r>
            <w:r>
              <w:fldChar w:fldCharType="end"/>
            </w:r>
          </w:p>
        </w:tc>
      </w:tr>
      <w:tr w:rsidR="00EB47CB" w:rsidRPr="00EA1AF3" w14:paraId="24617D4C" w14:textId="77777777" w:rsidTr="00916CCB">
        <w:trPr>
          <w:jc w:val="center"/>
        </w:trPr>
        <w:tc>
          <w:tcPr>
            <w:tcW w:w="1501" w:type="dxa"/>
            <w:shd w:val="clear" w:color="auto" w:fill="auto"/>
            <w:vAlign w:val="center"/>
          </w:tcPr>
          <w:p w14:paraId="0430666E" w14:textId="77777777" w:rsidR="00EB47CB" w:rsidRDefault="00EB47CB" w:rsidP="00916CCB">
            <w:pPr>
              <w:pStyle w:val="MDPI42tablebody"/>
              <w:spacing w:line="240" w:lineRule="auto"/>
            </w:pPr>
            <w:r>
              <w:t>Bepridil</w:t>
            </w:r>
          </w:p>
        </w:tc>
        <w:tc>
          <w:tcPr>
            <w:tcW w:w="1498" w:type="dxa"/>
            <w:shd w:val="clear" w:color="auto" w:fill="auto"/>
            <w:vAlign w:val="center"/>
          </w:tcPr>
          <w:p w14:paraId="4FD64CCC" w14:textId="77777777" w:rsidR="00EB47CB" w:rsidRPr="00EA1AF3" w:rsidRDefault="00EB47CB" w:rsidP="00916CCB">
            <w:pPr>
              <w:pStyle w:val="MDPI42tablebody"/>
              <w:spacing w:line="240" w:lineRule="auto"/>
            </w:pPr>
            <w:r>
              <w:t>12</w:t>
            </w:r>
          </w:p>
        </w:tc>
        <w:tc>
          <w:tcPr>
            <w:tcW w:w="1498" w:type="dxa"/>
            <w:shd w:val="clear" w:color="auto" w:fill="auto"/>
            <w:vAlign w:val="center"/>
          </w:tcPr>
          <w:p w14:paraId="6B4D08D8" w14:textId="77777777" w:rsidR="00EB47CB" w:rsidRPr="00EA1AF3" w:rsidRDefault="00EB47CB" w:rsidP="00916CCB">
            <w:pPr>
              <w:pStyle w:val="MDPI42tablebody"/>
              <w:spacing w:line="240" w:lineRule="auto"/>
            </w:pPr>
            <w:r>
              <w:t>IP, BID</w:t>
            </w:r>
          </w:p>
        </w:tc>
        <w:tc>
          <w:tcPr>
            <w:tcW w:w="1453" w:type="dxa"/>
          </w:tcPr>
          <w:p w14:paraId="05594567" w14:textId="77777777" w:rsidR="00EB47CB" w:rsidRPr="00EA1AF3" w:rsidRDefault="00EB47CB" w:rsidP="00916CCB">
            <w:pPr>
              <w:pStyle w:val="MDPI42tablebody"/>
              <w:spacing w:line="240" w:lineRule="auto"/>
            </w:pPr>
            <w:r>
              <w:t>EBOV</w:t>
            </w:r>
          </w:p>
        </w:tc>
        <w:tc>
          <w:tcPr>
            <w:tcW w:w="1453" w:type="dxa"/>
          </w:tcPr>
          <w:p w14:paraId="4CC82881" w14:textId="77777777" w:rsidR="00EB47CB" w:rsidRPr="00EA1AF3" w:rsidRDefault="00EB47CB" w:rsidP="00916CCB">
            <w:pPr>
              <w:pStyle w:val="MDPI42tablebody"/>
              <w:spacing w:line="240" w:lineRule="auto"/>
            </w:pPr>
            <w:r>
              <w:t xml:space="preserve">100 </w:t>
            </w:r>
            <w:r>
              <w:rPr>
                <w:vertAlign w:val="superscript"/>
              </w:rPr>
              <w:t>3</w:t>
            </w:r>
          </w:p>
        </w:tc>
        <w:tc>
          <w:tcPr>
            <w:tcW w:w="1453" w:type="dxa"/>
          </w:tcPr>
          <w:p w14:paraId="35C6BD86" w14:textId="27008399" w:rsidR="00EB47CB" w:rsidRPr="00C87CC0" w:rsidRDefault="00916CCB" w:rsidP="00916CCB">
            <w:pPr>
              <w:pStyle w:val="MDPI42tablebody"/>
              <w:spacing w:line="240" w:lineRule="auto"/>
              <w:rPr>
                <w:highlight w:val="yellow"/>
              </w:rPr>
            </w:pPr>
            <w:r>
              <w:fldChar w:fldCharType="begin"/>
            </w:r>
            <w:r w:rsidR="00785F66">
              <w:instrText>ADDIN F1000_CSL_CITATION&lt;~#@#~&gt;[{"DOI":"10.1126/scitranslmed.aaa5597","First":false,"Last":false,"PMID":"26041706","abstract":"Currently, no approved therapeutics exist to treat or prevent infections induced by Ebola viruses, and recent events have demonstrated an urgent need for rapid discovery of new treatments. Repurposing approved drugs for emerging infections remains a critical resource for potential antiviral therapies. We tested ~2600 approved drugs and molecular probes in an in vitro infection assay using the type species, Zaire ebolavirus. Selective antiviral activity was found for 80 U.S. Food and Drug Administration-approved drugs spanning multiple mechanistic classes, including selective estrogen receptor modulators, antihistamines, calcium channel blockers, and antidepressants. Results using an in vivo murine Ebola virus infection model confirmed the protective ability of several drugs, such as bepridil and sertraline. Viral entry assays indicated that most of these antiviral drugs block a late stage of viral entry. By nature of their approved status, these drugs have the potential to be rapidly advanced to clinical settings and used as therapeutic countermeasures for Ebola virus infections. &lt;br&gt;&lt;br&gt;Copyright © 2015, American Association for the Advancement of Science.","author":[{"family":"Johansen","given":"Lisa M"},{"family":"DeWald","given":"Lisa Evans"},{"family":"Shoemaker","given":"Charles J"},{"family":"Hoffstrom","given":"Benjamin G"},{"family":"Lear-Rooney","given":"Calli M"},{"family":"Stossel","given":"Andrea"},{"family":"Nelson","given":"Elizabeth"},{"family":"Delos","given":"Sue E"},{"family":"Simmons","given":"James A"},{"family":"Grenier","given":"Jill M"},{"family":"Pierce","given":"Laura T"},{"family":"Pajouhesh","given":"Hassan"},{"family":"Lehár","given":"Joseph"},{"family":"Hensley","given":"Lisa E"},{"family":"Glass","given":"Pamela J"},{"family":"White","given":"Judith M"},{"family":"Olinger","given":"Gene G"}],"authorYearDisplayFormat":false,"citation-label":"426392","container-title":"Science Translational Medicine","container-title-short":"Sci. Transl. Med.","id":"426392","invisible":false,"issue":"290","issued":{"date-parts":[["2015","6","3"]]},"journalAbbreviation":"Sci. Transl. Med.","page":"290ra89","suppress-author":false,"title":"A screen of approved drugs and molecular probes identifies therapeutics with anti-Ebola virus activity.","type":"article-journal","volume":"7"}]</w:instrText>
            </w:r>
            <w:r>
              <w:fldChar w:fldCharType="separate"/>
            </w:r>
            <w:r w:rsidR="00785F66" w:rsidRPr="00785F66">
              <w:rPr>
                <w:noProof/>
              </w:rPr>
              <w:t>[8]</w:t>
            </w:r>
            <w:r>
              <w:fldChar w:fldCharType="end"/>
            </w:r>
          </w:p>
        </w:tc>
      </w:tr>
      <w:tr w:rsidR="00EB47CB" w:rsidRPr="00EA1AF3" w14:paraId="63C53B4E" w14:textId="77777777" w:rsidTr="00916CCB">
        <w:trPr>
          <w:jc w:val="center"/>
        </w:trPr>
        <w:tc>
          <w:tcPr>
            <w:tcW w:w="1501" w:type="dxa"/>
            <w:shd w:val="clear" w:color="auto" w:fill="auto"/>
            <w:vAlign w:val="center"/>
          </w:tcPr>
          <w:p w14:paraId="4B108840" w14:textId="77777777" w:rsidR="00EB47CB" w:rsidRDefault="00EB47CB" w:rsidP="00916CCB">
            <w:pPr>
              <w:pStyle w:val="MDPI42tablebody"/>
              <w:spacing w:line="240" w:lineRule="auto"/>
            </w:pPr>
          </w:p>
        </w:tc>
        <w:tc>
          <w:tcPr>
            <w:tcW w:w="1498" w:type="dxa"/>
            <w:shd w:val="clear" w:color="auto" w:fill="auto"/>
            <w:vAlign w:val="center"/>
          </w:tcPr>
          <w:p w14:paraId="5447EF91" w14:textId="77777777" w:rsidR="00EB47CB" w:rsidRPr="00EA1AF3" w:rsidRDefault="00EB47CB" w:rsidP="00916CCB">
            <w:pPr>
              <w:pStyle w:val="MDPI42tablebody"/>
              <w:spacing w:line="240" w:lineRule="auto"/>
            </w:pPr>
            <w:r>
              <w:t>12</w:t>
            </w:r>
          </w:p>
        </w:tc>
        <w:tc>
          <w:tcPr>
            <w:tcW w:w="1498" w:type="dxa"/>
            <w:shd w:val="clear" w:color="auto" w:fill="auto"/>
            <w:vAlign w:val="center"/>
          </w:tcPr>
          <w:p w14:paraId="66BE723A" w14:textId="77777777" w:rsidR="00EB47CB" w:rsidRPr="00EA1AF3" w:rsidRDefault="00EB47CB" w:rsidP="00916CCB">
            <w:pPr>
              <w:pStyle w:val="MDPI42tablebody"/>
              <w:spacing w:line="240" w:lineRule="auto"/>
            </w:pPr>
            <w:r>
              <w:t>IP, BID</w:t>
            </w:r>
          </w:p>
        </w:tc>
        <w:tc>
          <w:tcPr>
            <w:tcW w:w="1453" w:type="dxa"/>
          </w:tcPr>
          <w:p w14:paraId="33311222" w14:textId="77777777" w:rsidR="00EB47CB" w:rsidRPr="00EA1AF3" w:rsidRDefault="00EB47CB" w:rsidP="00916CCB">
            <w:pPr>
              <w:pStyle w:val="MDPI42tablebody"/>
              <w:spacing w:line="240" w:lineRule="auto"/>
            </w:pPr>
            <w:r>
              <w:t>MARV</w:t>
            </w:r>
          </w:p>
        </w:tc>
        <w:tc>
          <w:tcPr>
            <w:tcW w:w="1453" w:type="dxa"/>
          </w:tcPr>
          <w:p w14:paraId="7C916DE0" w14:textId="77777777" w:rsidR="00EB47CB" w:rsidRPr="00EA1AF3" w:rsidRDefault="00EB47CB" w:rsidP="00916CCB">
            <w:pPr>
              <w:pStyle w:val="MDPI42tablebody"/>
              <w:spacing w:line="240" w:lineRule="auto"/>
            </w:pPr>
            <w:r>
              <w:t xml:space="preserve">90 </w:t>
            </w:r>
            <w:r>
              <w:rPr>
                <w:vertAlign w:val="superscript"/>
              </w:rPr>
              <w:t>4</w:t>
            </w:r>
          </w:p>
        </w:tc>
        <w:tc>
          <w:tcPr>
            <w:tcW w:w="1453" w:type="dxa"/>
          </w:tcPr>
          <w:p w14:paraId="72312E2C" w14:textId="7A8C5C33" w:rsidR="00EB47CB" w:rsidRPr="00C87CC0" w:rsidRDefault="00916CCB" w:rsidP="00916CCB">
            <w:pPr>
              <w:pStyle w:val="MDPI42tablebody"/>
              <w:spacing w:line="240" w:lineRule="auto"/>
              <w:rPr>
                <w:highlight w:val="yellow"/>
              </w:rPr>
            </w:pPr>
            <w:r>
              <w:fldChar w:fldCharType="begin"/>
            </w:r>
            <w:r w:rsidR="00785F66">
              <w:instrText>ADDIN F1000_CSL_CITATION&lt;~#@#~&gt;[{"DOI":"10.1093/infdis/jiy332","First":false,"Last":false,"PMCID":"PMC6249584","PMID":"29982632","abstract":"No therapeutics are approved for the treatment of filovirus infections. Bepridil, a calcium channel blocker developed for treating angina, was identified as a potent inhibitor of filoviruses in vitro, including Ebola and Marburg viruses, and Ebola virus in vivo. We evaluated the efficacy of bepridil in a lethal mouse model of Marburg virus disease. A dose of 12 mg/kg bepridil once or twice daily resulted in 80% or 90% survival, respectively. These data confirm bepridil's broad-spectrum anti-filovirus activity warranting further investigation of bepridil, or improved compounds with a similar mechanism, as a pan-filovirus therapeutic agent.","author":[{"family":"DeWald","given":"Lisa Evans"},{"family":"Dyall","given":"Julie"},{"family":"Sword","given":"Jennifer M"},{"family":"Torzewski","given":"Lisa"},{"family":"Zhou","given":"Huanying"},{"family":"Postnikova","given":"Elena"},{"family":"Kollins","given":"Erin"},{"family":"Alexander","given":"Isis"},{"family":"Gross","given":"Robin"},{"family":"Cong","given":"Yu"},{"family":"Gerhardt","given":"Dawn M"},{"family":"Johnson","given":"Reed F"},{"family":"Olinger","given":"Gene G"},{"family":"Holbrook","given":"Michael R"},{"family":"Hensley","given":"Lisa E"},{"family":"Jahrling","given":"Peter B"}],"authorYearDisplayFormat":false,"citation-label":"7022712","container-title":"The Journal of Infectious Diseases","container-title-short":"J. Infect. Dis.","id":"7022712","invisible":false,"issue":"suppl_5","issued":{"date-parts":[["2018","11","22"]]},"journalAbbreviation":"J. Infect. Dis.","page":"S588-S591","suppress-author":false,"title":"The calcium channel blocker bepridil demonstrates efficacy in the murine model of marburg virus disease.","type":"article-journal","volume":"218"}]</w:instrText>
            </w:r>
            <w:r>
              <w:fldChar w:fldCharType="separate"/>
            </w:r>
            <w:r w:rsidR="00785F66" w:rsidRPr="00785F66">
              <w:rPr>
                <w:noProof/>
              </w:rPr>
              <w:t>[10]</w:t>
            </w:r>
            <w:r>
              <w:fldChar w:fldCharType="end"/>
            </w:r>
          </w:p>
        </w:tc>
      </w:tr>
      <w:tr w:rsidR="00EB47CB" w:rsidRPr="00EA1AF3" w14:paraId="4BE6EEE0" w14:textId="77777777" w:rsidTr="00916CCB">
        <w:trPr>
          <w:jc w:val="center"/>
        </w:trPr>
        <w:tc>
          <w:tcPr>
            <w:tcW w:w="1501" w:type="dxa"/>
            <w:shd w:val="clear" w:color="auto" w:fill="auto"/>
            <w:vAlign w:val="center"/>
          </w:tcPr>
          <w:p w14:paraId="2080F9C7" w14:textId="77777777" w:rsidR="00EB47CB" w:rsidRDefault="00EB47CB" w:rsidP="00916CCB">
            <w:pPr>
              <w:pStyle w:val="MDPI42tablebody"/>
              <w:spacing w:line="240" w:lineRule="auto"/>
            </w:pPr>
            <w:r>
              <w:t>Clomiphene</w:t>
            </w:r>
          </w:p>
        </w:tc>
        <w:tc>
          <w:tcPr>
            <w:tcW w:w="1498" w:type="dxa"/>
            <w:shd w:val="clear" w:color="auto" w:fill="auto"/>
            <w:vAlign w:val="center"/>
          </w:tcPr>
          <w:p w14:paraId="0EFB03FD" w14:textId="77777777" w:rsidR="00EB47CB" w:rsidRPr="00EA1AF3" w:rsidRDefault="00EB47CB" w:rsidP="00916CCB">
            <w:pPr>
              <w:pStyle w:val="MDPI42tablebody"/>
              <w:spacing w:line="240" w:lineRule="auto"/>
            </w:pPr>
            <w:r>
              <w:t>60</w:t>
            </w:r>
          </w:p>
        </w:tc>
        <w:tc>
          <w:tcPr>
            <w:tcW w:w="1498" w:type="dxa"/>
            <w:shd w:val="clear" w:color="auto" w:fill="auto"/>
            <w:vAlign w:val="center"/>
          </w:tcPr>
          <w:p w14:paraId="4ED4B955" w14:textId="77777777" w:rsidR="00EB47CB" w:rsidRPr="00EA1AF3" w:rsidRDefault="00EB47CB" w:rsidP="00916CCB">
            <w:pPr>
              <w:pStyle w:val="MDPI42tablebody"/>
              <w:spacing w:line="240" w:lineRule="auto"/>
            </w:pPr>
            <w:r>
              <w:t>IP, QOD</w:t>
            </w:r>
          </w:p>
        </w:tc>
        <w:tc>
          <w:tcPr>
            <w:tcW w:w="1453" w:type="dxa"/>
          </w:tcPr>
          <w:p w14:paraId="51D6C31A" w14:textId="77777777" w:rsidR="00EB47CB" w:rsidRPr="00EA1AF3" w:rsidRDefault="00EB47CB" w:rsidP="00916CCB">
            <w:pPr>
              <w:pStyle w:val="MDPI42tablebody"/>
              <w:spacing w:line="240" w:lineRule="auto"/>
            </w:pPr>
            <w:r>
              <w:t>EBOV</w:t>
            </w:r>
          </w:p>
        </w:tc>
        <w:tc>
          <w:tcPr>
            <w:tcW w:w="1453" w:type="dxa"/>
          </w:tcPr>
          <w:p w14:paraId="37079264" w14:textId="77777777" w:rsidR="00EB47CB" w:rsidRPr="00EA1AF3" w:rsidRDefault="00EB47CB" w:rsidP="00916CCB">
            <w:pPr>
              <w:pStyle w:val="MDPI42tablebody"/>
              <w:spacing w:line="240" w:lineRule="auto"/>
            </w:pPr>
            <w:r>
              <w:t xml:space="preserve">90 </w:t>
            </w:r>
            <w:r>
              <w:rPr>
                <w:vertAlign w:val="superscript"/>
              </w:rPr>
              <w:t>5</w:t>
            </w:r>
          </w:p>
        </w:tc>
        <w:tc>
          <w:tcPr>
            <w:tcW w:w="1453" w:type="dxa"/>
          </w:tcPr>
          <w:p w14:paraId="3887C6EB" w14:textId="293F1E95" w:rsidR="00EB47CB" w:rsidRPr="00C87CC0" w:rsidRDefault="00916CCB" w:rsidP="00916CCB">
            <w:pPr>
              <w:pStyle w:val="MDPI42tablebody"/>
              <w:spacing w:line="240" w:lineRule="auto"/>
              <w:rPr>
                <w:highlight w:val="yellow"/>
              </w:rPr>
            </w:pPr>
            <w:r>
              <w:fldChar w:fldCharType="begin"/>
            </w:r>
            <w:r w:rsidR="00785F66">
              <w:instrText>ADDIN F1000_CSL_CITATION&lt;~#@#~&gt;[{"DOI":"10.1126/scitranslmed.3005471","First":false,"Last":false,"PMCID":"PMC3955358","PMID":"23785035","abstract":"Ebola viruses remain a substantial threat to both civilian and military populations as bioweapons, during sporadic outbreaks, and from the possibility of accidental importation from endemic regions by infected individuals. Currently, no approved therapeutics exist to treat or prevent infection by Ebola viruses. Therefore, we performed an in vitro screen of Food and Drug Administration (FDA)- and ex-US-approved drugs and selected molecular probes to identify drugs with antiviral activity against the type species Zaire ebolavirus (EBOV). From this screen, we identified a set of selective estrogen receptor modulators (SERMs), including clomiphene and toremifene, which act as potent inhibitors of EBOV infection. Anti-EBOV activity was confirmed for both of these SERMs in an in vivo mouse infection model. This anti-EBOV activity occurred even in the absence of detectable estrogen receptor expression, and both SERMs inhibited virus entry after internalization, suggesting that clomiphene and toremifene are not working through classical pathways associated with the estrogen receptor. Instead, the response appeared to be an off-target effect where the compounds interfere with a step late in viral entry and likely affect the triggering of fusion. These data support the screening of readily available approved drugs to identify therapeutics for the Ebola viruses and other infectious diseases. The SERM compounds described in this report are an immediately actionable class of approved drugs that can be repurposed for treatment of filovirus infections.","author":[{"family":"Johansen","given":"Lisa M"},{"family":"Brannan","given":"Jennifer M"},{"family":"Delos","given":"Sue E"},{"family":"Shoemaker","given":"Charles J"},{"family":"Stossel","given":"Andrea"},{"family":"Lear","given":"Calli"},{"family":"Hoffstrom","given":"Benjamin G"},{"family":"Dewald","given":"Lisa Evans"},{"family":"Schornberg","given":"Kathryn L"},{"family":"Scully","given":"Corinne"},{"family":"Lehár","given":"Joseph"},{"family":"Hensley","given":"Lisa E"},{"family":"White","given":"Judith M"},{"family":"Olinger","given":"Gene G"}],"authorYearDisplayFormat":false,"citation-label":"30640","container-title":"Science Translational Medicine","container-title-short":"Sci. Transl. Med.","id":"30640","invisible":false,"issue":"190","issued":{"date-parts":[["2013","6","19"]]},"journalAbbreviation":"Sci. Transl. Med.","page":"190ra79","suppress-author":false,"title":"FDA-approved selective estrogen receptor modulators inhibit Ebola virus infection.","type":"article-journal","volume":"5"}]</w:instrText>
            </w:r>
            <w:r>
              <w:fldChar w:fldCharType="separate"/>
            </w:r>
            <w:r w:rsidR="00785F66" w:rsidRPr="00785F66">
              <w:rPr>
                <w:noProof/>
              </w:rPr>
              <w:t>[11]</w:t>
            </w:r>
            <w:r>
              <w:fldChar w:fldCharType="end"/>
            </w:r>
          </w:p>
        </w:tc>
      </w:tr>
      <w:tr w:rsidR="00EB47CB" w:rsidRPr="00EA1AF3" w14:paraId="38EF3CD7" w14:textId="77777777" w:rsidTr="00916CCB">
        <w:trPr>
          <w:jc w:val="center"/>
        </w:trPr>
        <w:tc>
          <w:tcPr>
            <w:tcW w:w="1501" w:type="dxa"/>
            <w:shd w:val="clear" w:color="auto" w:fill="auto"/>
            <w:vAlign w:val="center"/>
          </w:tcPr>
          <w:p w14:paraId="7566E87B" w14:textId="77777777" w:rsidR="00EB47CB" w:rsidRDefault="00EB47CB" w:rsidP="00916CCB">
            <w:pPr>
              <w:pStyle w:val="MDPI42tablebody"/>
              <w:spacing w:line="240" w:lineRule="auto"/>
            </w:pPr>
          </w:p>
        </w:tc>
        <w:tc>
          <w:tcPr>
            <w:tcW w:w="1498" w:type="dxa"/>
            <w:shd w:val="clear" w:color="auto" w:fill="auto"/>
            <w:vAlign w:val="center"/>
          </w:tcPr>
          <w:p w14:paraId="07F1A01D" w14:textId="77777777" w:rsidR="00EB47CB" w:rsidRPr="00EA1AF3" w:rsidRDefault="00EB47CB" w:rsidP="00916CCB">
            <w:pPr>
              <w:pStyle w:val="MDPI42tablebody"/>
              <w:spacing w:line="240" w:lineRule="auto"/>
            </w:pPr>
            <w:r>
              <w:t>60</w:t>
            </w:r>
          </w:p>
        </w:tc>
        <w:tc>
          <w:tcPr>
            <w:tcW w:w="1498" w:type="dxa"/>
            <w:shd w:val="clear" w:color="auto" w:fill="auto"/>
            <w:vAlign w:val="center"/>
          </w:tcPr>
          <w:p w14:paraId="5B981B86" w14:textId="77777777" w:rsidR="00EB47CB" w:rsidRPr="00EA1AF3" w:rsidRDefault="00EB47CB" w:rsidP="00916CCB">
            <w:pPr>
              <w:pStyle w:val="MDPI42tablebody"/>
              <w:spacing w:line="240" w:lineRule="auto"/>
            </w:pPr>
            <w:r>
              <w:t>IP, BID</w:t>
            </w:r>
          </w:p>
        </w:tc>
        <w:tc>
          <w:tcPr>
            <w:tcW w:w="1453" w:type="dxa"/>
          </w:tcPr>
          <w:p w14:paraId="7564DD36" w14:textId="77777777" w:rsidR="00EB47CB" w:rsidRPr="00EA1AF3" w:rsidRDefault="00EB47CB" w:rsidP="00916CCB">
            <w:pPr>
              <w:pStyle w:val="MDPI42tablebody"/>
              <w:spacing w:line="240" w:lineRule="auto"/>
            </w:pPr>
            <w:r>
              <w:t>EBOV</w:t>
            </w:r>
          </w:p>
        </w:tc>
        <w:tc>
          <w:tcPr>
            <w:tcW w:w="1453" w:type="dxa"/>
          </w:tcPr>
          <w:p w14:paraId="39875249" w14:textId="77777777" w:rsidR="00EB47CB" w:rsidRPr="00EA1AF3" w:rsidRDefault="00EB47CB" w:rsidP="00916CCB">
            <w:pPr>
              <w:pStyle w:val="MDPI42tablebody"/>
              <w:spacing w:line="240" w:lineRule="auto"/>
            </w:pPr>
            <w:r>
              <w:t xml:space="preserve">10 </w:t>
            </w:r>
            <w:r>
              <w:rPr>
                <w:vertAlign w:val="superscript"/>
              </w:rPr>
              <w:t>6</w:t>
            </w:r>
          </w:p>
        </w:tc>
        <w:tc>
          <w:tcPr>
            <w:tcW w:w="1453" w:type="dxa"/>
          </w:tcPr>
          <w:p w14:paraId="176C8321" w14:textId="29B910CC" w:rsidR="00EB47CB" w:rsidRPr="00C87CC0" w:rsidRDefault="00916CCB" w:rsidP="00916CCB">
            <w:pPr>
              <w:pStyle w:val="MDPI42tablebody"/>
              <w:spacing w:line="240" w:lineRule="auto"/>
              <w:rPr>
                <w:highlight w:val="yellow"/>
              </w:rPr>
            </w:pPr>
            <w:r>
              <w:fldChar w:fldCharType="begin"/>
            </w:r>
            <w:r w:rsidR="00785F66">
              <w:instrText>ADDIN F1000_CSL_CITATION&lt;~#@#~&gt;[{"DOI":"10.1021/acsinfecdis.5b00030","First":false,"Last":false,"PMID":"27622822","abstract":"A systematic screen of FDA-approved drugs was performed to identify compounds with in vitro antiviral activities against Ebola virus (EBOV). Compounds active (&gt;50% viral inhibition and &lt; 30% cellular toxicity) at a single concentration were tested in dose-response assays to quantitate the antiviral activities in replication and viral entry assays as well as cytotoxicity in the Vero cell line used to conduct these assays. On the basis of the approved human dosing, toxicity/tolerability, and pharmacokinetic data, seven of these in vitro hits from different pharmacological classes (chloroquine (CQ), amiodarone, prochlorperazine, benztropine, azithromycin, chlortetracycline, and clomiphene) were evaluated for their in vivo efficacy at a single dose and were administered via either intraperitoneal (ip) or oral route. Initially, azithromycin (100 mg/kg, twice daily, ip), CQ (90 mg/kg, twice daily, ip), and amiodarone (60 mg/kg, twice daily, ip) demonstrated significant increases in survival in the mouse model. After repeat evaluation, only CQ was found to reproducibly give significant efficacy in the mouse model with this dosing regimen. Azithromycin and CQ were also tested in a guinea pig model of EBOV infection over a range of doses, but none of the doses increased survival, and drug-related toxicity was observed at lower doses than in the mouse. These results show the benefits and specific challenges associated with drug repurposing and highlight the need for careful evaluation of approved drugs as rapidly deployable countermeasures against future pandemics. ","author":[{"family":"Madrid","given":"Peter B"},{"family":"Panchal","given":"Rekha G"},{"family":"Warren","given":"Travis K"},{"family":"Shurtleff","given":"Amy C"},{"family":"Endsley","given":"Aaron N"},{"family":"Green","given":"Carol E"},{"family":"Kolokoltsov","given":"Andrey"},{"family":"Davey","given":"Robert"},{"family":"Manger","given":"Ian D"},{"family":"Gilfillan","given":"Lynne"},{"family":"Bavari","given":"Sina"},{"family":"Tanga","given":"Mary J"}],"authorYearDisplayFormat":false,"citation-label":"843213","container-title":"ACS Infectious Diseases","container-title-short":"ACS Infect. Dis.","id":"843213","invisible":false,"issue":"7","issued":{"date-parts":[["2015","7","10"]]},"journalAbbreviation":"ACS Infect. Dis.","page":"317-326","suppress-author":false,"title":"Evaluation of ebola virus inhibitors for drug repurposing.","type":"article-journal","volume":"1"}]</w:instrText>
            </w:r>
            <w:r>
              <w:fldChar w:fldCharType="separate"/>
            </w:r>
            <w:r w:rsidR="00785F66" w:rsidRPr="00785F66">
              <w:rPr>
                <w:noProof/>
              </w:rPr>
              <w:t>[9]</w:t>
            </w:r>
            <w:r>
              <w:fldChar w:fldCharType="end"/>
            </w:r>
          </w:p>
        </w:tc>
      </w:tr>
      <w:tr w:rsidR="00EB47CB" w:rsidRPr="00EA1AF3" w14:paraId="1B0A1CBB" w14:textId="77777777" w:rsidTr="00916CCB">
        <w:trPr>
          <w:jc w:val="center"/>
        </w:trPr>
        <w:tc>
          <w:tcPr>
            <w:tcW w:w="1501" w:type="dxa"/>
            <w:shd w:val="clear" w:color="auto" w:fill="auto"/>
            <w:vAlign w:val="center"/>
          </w:tcPr>
          <w:p w14:paraId="4CFDD241" w14:textId="77777777" w:rsidR="00EB47CB" w:rsidRDefault="00EB47CB" w:rsidP="00916CCB">
            <w:pPr>
              <w:pStyle w:val="MDPI42tablebody"/>
              <w:spacing w:line="240" w:lineRule="auto"/>
            </w:pPr>
            <w:r>
              <w:t>Piperacetazine</w:t>
            </w:r>
          </w:p>
        </w:tc>
        <w:tc>
          <w:tcPr>
            <w:tcW w:w="1498" w:type="dxa"/>
            <w:shd w:val="clear" w:color="auto" w:fill="auto"/>
            <w:vAlign w:val="center"/>
          </w:tcPr>
          <w:p w14:paraId="4077F2C3" w14:textId="77777777" w:rsidR="00EB47CB" w:rsidRPr="00EA1AF3" w:rsidRDefault="00EB47CB" w:rsidP="00916CCB">
            <w:pPr>
              <w:pStyle w:val="MDPI42tablebody"/>
              <w:spacing w:line="240" w:lineRule="auto"/>
            </w:pPr>
            <w:r>
              <w:t>nd</w:t>
            </w:r>
          </w:p>
        </w:tc>
        <w:tc>
          <w:tcPr>
            <w:tcW w:w="1498" w:type="dxa"/>
            <w:shd w:val="clear" w:color="auto" w:fill="auto"/>
            <w:vAlign w:val="center"/>
          </w:tcPr>
          <w:p w14:paraId="54A8F2F0" w14:textId="77777777" w:rsidR="00EB47CB" w:rsidRPr="00EA1AF3" w:rsidRDefault="00EB47CB" w:rsidP="00916CCB">
            <w:pPr>
              <w:pStyle w:val="MDPI42tablebody"/>
              <w:spacing w:line="240" w:lineRule="auto"/>
            </w:pPr>
            <w:r>
              <w:t>nd</w:t>
            </w:r>
          </w:p>
        </w:tc>
        <w:tc>
          <w:tcPr>
            <w:tcW w:w="1453" w:type="dxa"/>
          </w:tcPr>
          <w:p w14:paraId="707CC1B1" w14:textId="77777777" w:rsidR="00EB47CB" w:rsidRPr="00EA1AF3" w:rsidRDefault="00EB47CB" w:rsidP="00916CCB">
            <w:pPr>
              <w:pStyle w:val="MDPI42tablebody"/>
              <w:spacing w:line="240" w:lineRule="auto"/>
            </w:pPr>
            <w:r>
              <w:t>nd</w:t>
            </w:r>
          </w:p>
        </w:tc>
        <w:tc>
          <w:tcPr>
            <w:tcW w:w="1453" w:type="dxa"/>
          </w:tcPr>
          <w:p w14:paraId="7D1FA1B4" w14:textId="77777777" w:rsidR="00EB47CB" w:rsidRPr="00EA1AF3" w:rsidRDefault="00EB47CB" w:rsidP="00916CCB">
            <w:pPr>
              <w:pStyle w:val="MDPI42tablebody"/>
              <w:spacing w:line="240" w:lineRule="auto"/>
            </w:pPr>
            <w:r>
              <w:t>nd</w:t>
            </w:r>
          </w:p>
        </w:tc>
        <w:tc>
          <w:tcPr>
            <w:tcW w:w="1453" w:type="dxa"/>
          </w:tcPr>
          <w:p w14:paraId="418B60B7" w14:textId="77777777" w:rsidR="00EB47CB" w:rsidRPr="00C87CC0" w:rsidRDefault="00EB47CB" w:rsidP="00916CCB">
            <w:pPr>
              <w:pStyle w:val="MDPI42tablebody"/>
              <w:spacing w:line="240" w:lineRule="auto"/>
              <w:rPr>
                <w:highlight w:val="yellow"/>
              </w:rPr>
            </w:pPr>
            <w:r w:rsidRPr="007D32BF">
              <w:t>nd</w:t>
            </w:r>
          </w:p>
        </w:tc>
      </w:tr>
      <w:tr w:rsidR="00EB47CB" w:rsidRPr="00EA1AF3" w14:paraId="7D63017E" w14:textId="77777777" w:rsidTr="00916CCB">
        <w:trPr>
          <w:jc w:val="center"/>
        </w:trPr>
        <w:tc>
          <w:tcPr>
            <w:tcW w:w="1501" w:type="dxa"/>
            <w:shd w:val="clear" w:color="auto" w:fill="auto"/>
            <w:vAlign w:val="center"/>
          </w:tcPr>
          <w:p w14:paraId="6DFCFA03" w14:textId="77777777" w:rsidR="00EB47CB" w:rsidRDefault="00EB47CB" w:rsidP="00916CCB">
            <w:pPr>
              <w:pStyle w:val="MDPI42tablebody"/>
              <w:spacing w:line="240" w:lineRule="auto"/>
            </w:pPr>
            <w:r>
              <w:t>Sertraline</w:t>
            </w:r>
          </w:p>
        </w:tc>
        <w:tc>
          <w:tcPr>
            <w:tcW w:w="1498" w:type="dxa"/>
            <w:shd w:val="clear" w:color="auto" w:fill="auto"/>
            <w:vAlign w:val="center"/>
          </w:tcPr>
          <w:p w14:paraId="1D103B41" w14:textId="77777777" w:rsidR="00EB47CB" w:rsidRPr="00EA1AF3" w:rsidRDefault="00EB47CB" w:rsidP="00916CCB">
            <w:pPr>
              <w:pStyle w:val="MDPI42tablebody"/>
              <w:spacing w:line="240" w:lineRule="auto"/>
            </w:pPr>
            <w:r>
              <w:t>10</w:t>
            </w:r>
          </w:p>
        </w:tc>
        <w:tc>
          <w:tcPr>
            <w:tcW w:w="1498" w:type="dxa"/>
            <w:shd w:val="clear" w:color="auto" w:fill="auto"/>
            <w:vAlign w:val="center"/>
          </w:tcPr>
          <w:p w14:paraId="12BDF153" w14:textId="77777777" w:rsidR="00EB47CB" w:rsidRPr="00EA1AF3" w:rsidRDefault="00EB47CB" w:rsidP="00916CCB">
            <w:pPr>
              <w:pStyle w:val="MDPI42tablebody"/>
              <w:spacing w:line="240" w:lineRule="auto"/>
            </w:pPr>
            <w:r>
              <w:t>IP, BID</w:t>
            </w:r>
          </w:p>
        </w:tc>
        <w:tc>
          <w:tcPr>
            <w:tcW w:w="1453" w:type="dxa"/>
          </w:tcPr>
          <w:p w14:paraId="1BDFC649" w14:textId="77777777" w:rsidR="00EB47CB" w:rsidRPr="00EA1AF3" w:rsidRDefault="00EB47CB" w:rsidP="00916CCB">
            <w:pPr>
              <w:pStyle w:val="MDPI42tablebody"/>
              <w:spacing w:line="240" w:lineRule="auto"/>
            </w:pPr>
            <w:r>
              <w:t>EBOV</w:t>
            </w:r>
          </w:p>
        </w:tc>
        <w:tc>
          <w:tcPr>
            <w:tcW w:w="1453" w:type="dxa"/>
          </w:tcPr>
          <w:p w14:paraId="72C69CC8" w14:textId="77777777" w:rsidR="00EB47CB" w:rsidRPr="00EA1AF3" w:rsidRDefault="00EB47CB" w:rsidP="00916CCB">
            <w:pPr>
              <w:pStyle w:val="MDPI42tablebody"/>
              <w:spacing w:line="240" w:lineRule="auto"/>
            </w:pPr>
            <w:r>
              <w:t>70</w:t>
            </w:r>
          </w:p>
        </w:tc>
        <w:tc>
          <w:tcPr>
            <w:tcW w:w="1453" w:type="dxa"/>
          </w:tcPr>
          <w:p w14:paraId="4879A2AF" w14:textId="2146CF32" w:rsidR="00EB47CB" w:rsidRPr="00C87CC0" w:rsidRDefault="00916CCB" w:rsidP="00916CCB">
            <w:pPr>
              <w:pStyle w:val="MDPI42tablebody"/>
              <w:spacing w:line="240" w:lineRule="auto"/>
              <w:rPr>
                <w:highlight w:val="yellow"/>
              </w:rPr>
            </w:pPr>
            <w:r>
              <w:fldChar w:fldCharType="begin"/>
            </w:r>
            <w:r w:rsidR="00785F66">
              <w:instrText>ADDIN F1000_CSL_CITATION&lt;~#@#~&gt;[{"DOI":"10.1126/scitranslmed.aaa5597","First":false,"Last":false,"PMID":"26041706","abstract":"Currently, no approved therapeutics exist to treat or prevent infections induced by Ebola viruses, and recent events have demonstrated an urgent need for rapid discovery of new treatments. Repurposing approved drugs for emerging infections remains a critical resource for potential antiviral therapies. We tested ~2600 approved drugs and molecular probes in an in vitro infection assay using the type species, Zaire ebolavirus. Selective antiviral activity was found for 80 U.S. Food and Drug Administration-approved drugs spanning multiple mechanistic classes, including selective estrogen receptor modulators, antihistamines, calcium channel blockers, and antidepressants. Results using an in vivo murine Ebola virus infection model confirmed the protective ability of several drugs, such as bepridil and sertraline. Viral entry assays indicated that most of these antiviral drugs block a late stage of viral entry. By nature of their approved status, these drugs have the potential to be rapidly advanced to clinical settings and used as therapeutic countermeasures for Ebola virus infections. &lt;br&gt;&lt;br&gt;Copyright © 2015, American Association for the Advancement of Science.","author":[{"family":"Johansen","given":"Lisa M"},{"family":"DeWald","given":"Lisa Evans"},{"family":"Shoemaker","given":"Charles J"},{"family":"Hoffstrom","given":"Benjamin G"},{"family":"Lear-Rooney","given":"Calli M"},{"family":"Stossel","given":"Andrea"},{"family":"Nelson","given":"Elizabeth"},{"family":"Delos","given":"Sue E"},{"family":"Simmons","given":"James A"},{"family":"Grenier","given":"Jill M"},{"family":"Pierce","given":"Laura T"},{"family":"Pajouhesh","given":"Hassan"},{"family":"Lehár","given":"Joseph"},{"family":"Hensley","given":"Lisa E"},{"family":"Glass","given":"Pamela J"},{"family":"White","given":"Judith M"},{"family":"Olinger","given":"Gene G"}],"authorYearDisplayFormat":false,"citation-label":"426392","container-title":"Science Translational Medicine","container-title-short":"Sci. Transl. Med.","id":"426392","invisible":false,"issue":"290","issued":{"date-parts":[["2015","6","3"]]},"journalAbbreviation":"Sci. Transl. Med.","page":"290ra89","suppress-author":false,"title":"A screen of approved drugs and molecular probes identifies therapeutics with anti-Ebola virus activity.","type":"article-journal","volume":"7"}]</w:instrText>
            </w:r>
            <w:r>
              <w:fldChar w:fldCharType="separate"/>
            </w:r>
            <w:r w:rsidR="00785F66" w:rsidRPr="00785F66">
              <w:rPr>
                <w:noProof/>
              </w:rPr>
              <w:t>[8]</w:t>
            </w:r>
            <w:r>
              <w:fldChar w:fldCharType="end"/>
            </w:r>
          </w:p>
        </w:tc>
      </w:tr>
      <w:tr w:rsidR="00EB47CB" w:rsidRPr="00EA1AF3" w14:paraId="05254A75" w14:textId="77777777" w:rsidTr="00916CCB">
        <w:trPr>
          <w:jc w:val="center"/>
        </w:trPr>
        <w:tc>
          <w:tcPr>
            <w:tcW w:w="1501" w:type="dxa"/>
            <w:shd w:val="clear" w:color="auto" w:fill="auto"/>
            <w:vAlign w:val="center"/>
          </w:tcPr>
          <w:p w14:paraId="5A3D2A85" w14:textId="77777777" w:rsidR="00EB47CB" w:rsidRDefault="00EB47CB" w:rsidP="00916CCB">
            <w:pPr>
              <w:pStyle w:val="MDPI42tablebody"/>
              <w:spacing w:line="240" w:lineRule="auto"/>
            </w:pPr>
            <w:r>
              <w:t>Toremifene</w:t>
            </w:r>
          </w:p>
        </w:tc>
        <w:tc>
          <w:tcPr>
            <w:tcW w:w="1498" w:type="dxa"/>
            <w:shd w:val="clear" w:color="auto" w:fill="auto"/>
            <w:vAlign w:val="center"/>
          </w:tcPr>
          <w:p w14:paraId="779511F2" w14:textId="77777777" w:rsidR="00EB47CB" w:rsidRPr="00EA1AF3" w:rsidRDefault="00EB47CB" w:rsidP="00916CCB">
            <w:pPr>
              <w:pStyle w:val="MDPI42tablebody"/>
              <w:spacing w:line="240" w:lineRule="auto"/>
            </w:pPr>
            <w:r>
              <w:t>60</w:t>
            </w:r>
          </w:p>
        </w:tc>
        <w:tc>
          <w:tcPr>
            <w:tcW w:w="1498" w:type="dxa"/>
            <w:shd w:val="clear" w:color="auto" w:fill="auto"/>
            <w:vAlign w:val="center"/>
          </w:tcPr>
          <w:p w14:paraId="2CDE64C1" w14:textId="77777777" w:rsidR="00EB47CB" w:rsidRPr="00EA1AF3" w:rsidRDefault="00EB47CB" w:rsidP="00916CCB">
            <w:pPr>
              <w:pStyle w:val="MDPI42tablebody"/>
              <w:spacing w:line="240" w:lineRule="auto"/>
            </w:pPr>
            <w:r>
              <w:t>IP, QOD</w:t>
            </w:r>
          </w:p>
        </w:tc>
        <w:tc>
          <w:tcPr>
            <w:tcW w:w="1453" w:type="dxa"/>
          </w:tcPr>
          <w:p w14:paraId="6ACC130E" w14:textId="77777777" w:rsidR="00EB47CB" w:rsidRPr="00EA1AF3" w:rsidRDefault="00EB47CB" w:rsidP="00916CCB">
            <w:pPr>
              <w:pStyle w:val="MDPI42tablebody"/>
              <w:spacing w:line="240" w:lineRule="auto"/>
            </w:pPr>
            <w:r>
              <w:t>EBOV</w:t>
            </w:r>
          </w:p>
        </w:tc>
        <w:tc>
          <w:tcPr>
            <w:tcW w:w="1453" w:type="dxa"/>
          </w:tcPr>
          <w:p w14:paraId="32040336" w14:textId="77777777" w:rsidR="00EB47CB" w:rsidRPr="00EA1AF3" w:rsidRDefault="00EB47CB" w:rsidP="00916CCB">
            <w:pPr>
              <w:pStyle w:val="MDPI42tablebody"/>
              <w:spacing w:line="240" w:lineRule="auto"/>
            </w:pPr>
            <w:r>
              <w:t>50</w:t>
            </w:r>
          </w:p>
        </w:tc>
        <w:tc>
          <w:tcPr>
            <w:tcW w:w="1453" w:type="dxa"/>
          </w:tcPr>
          <w:p w14:paraId="5EFC03A9" w14:textId="6170A36F" w:rsidR="00EB47CB" w:rsidRPr="00C87CC0" w:rsidRDefault="00916CCB" w:rsidP="00916CCB">
            <w:pPr>
              <w:pStyle w:val="MDPI42tablebody"/>
              <w:spacing w:line="240" w:lineRule="auto"/>
              <w:rPr>
                <w:highlight w:val="yellow"/>
              </w:rPr>
            </w:pPr>
            <w:r>
              <w:fldChar w:fldCharType="begin"/>
            </w:r>
            <w:r w:rsidR="00785F66">
              <w:instrText>ADDIN F1000_CSL_CITATION&lt;~#@#~&gt;[{"DOI":"10.1126/scitranslmed.3005471","First":false,"Last":false,"PMCID":"PMC3955358","PMID":"23785035","abstract":"Ebola viruses remain a substantial threat to both civilian and military populations as bioweapons, during sporadic outbreaks, and from the possibility of accidental importation from endemic regions by infected individuals. Currently, no approved therapeutics exist to treat or prevent infection by Ebola viruses. Therefore, we performed an in vitro screen of Food and Drug Administration (FDA)- and ex-US-approved drugs and selected molecular probes to identify drugs with antiviral activity against the type species Zaire ebolavirus (EBOV). From this screen, we identified a set of selective estrogen receptor modulators (SERMs), including clomiphene and toremifene, which act as potent inhibitors of EBOV infection. Anti-EBOV activity was confirmed for both of these SERMs in an in vivo mouse infection model. This anti-EBOV activity occurred even in the absence of detectable estrogen receptor expression, and both SERMs inhibited virus entry after internalization, suggesting that clomiphene and toremifene are not working through classical pathways associated with the estrogen receptor. Instead, the response appeared to be an off-target effect where the compounds interfere with a step late in viral entry and likely affect the triggering of fusion. These data support the screening of readily available approved drugs to identify therapeutics for the Ebola viruses and other infectious diseases. The SERM compounds described in this report are an immediately actionable class of approved drugs that can be repurposed for treatment of filovirus infections.","author":[{"family":"Johansen","given":"Lisa M"},{"family":"Brannan","given":"Jennifer M"},{"family":"Delos","given":"Sue E"},{"family":"Shoemaker","given":"Charles J"},{"family":"Stossel","given":"Andrea"},{"family":"Lear","given":"Calli"},{"family":"Hoffstrom","given":"Benjamin G"},{"family":"Dewald","given":"Lisa Evans"},{"family":"Schornberg","given":"Kathryn L"},{"family":"Scully","given":"Corinne"},{"family":"Lehár","given":"Joseph"},{"family":"Hensley","given":"Lisa E"},{"family":"White","given":"Judith M"},{"family":"Olinger","given":"Gene G"}],"authorYearDisplayFormat":false,"citation-label":"30640","container-title":"Science Translational Medicine","container-title-short":"Sci. Transl. Med.","id":"30640","invisible":false,"issue":"190","issued":{"date-parts":[["2013","6","19"]]},"journalAbbreviation":"Sci. Transl. Med.","page":"190ra79","suppress-author":false,"title":"FDA-approved selective estrogen receptor modulators inhibit Ebola virus infection.","type":"article-journal","volume":"5"}]</w:instrText>
            </w:r>
            <w:r>
              <w:fldChar w:fldCharType="separate"/>
            </w:r>
            <w:r w:rsidR="00785F66" w:rsidRPr="00785F66">
              <w:rPr>
                <w:noProof/>
              </w:rPr>
              <w:t>[11]</w:t>
            </w:r>
            <w:r>
              <w:fldChar w:fldCharType="end"/>
            </w:r>
          </w:p>
        </w:tc>
      </w:tr>
    </w:tbl>
    <w:p w14:paraId="647E264E" w14:textId="6470BFF3" w:rsidR="007D32BF" w:rsidRDefault="00EB47CB" w:rsidP="00527742">
      <w:pPr>
        <w:spacing w:line="260" w:lineRule="atLeast"/>
        <w:jc w:val="both"/>
        <w:rPr>
          <w:rFonts w:ascii="Palatino Linotype" w:hAnsi="Palatino Linotype"/>
          <w:sz w:val="18"/>
          <w:szCs w:val="18"/>
        </w:rPr>
      </w:pPr>
      <w:r w:rsidRPr="00EC3716">
        <w:rPr>
          <w:rFonts w:ascii="Palatino Linotype" w:hAnsi="Palatino Linotype"/>
          <w:b/>
          <w:sz w:val="18"/>
          <w:szCs w:val="18"/>
        </w:rPr>
        <w:t xml:space="preserve">Supplementary Table </w:t>
      </w:r>
      <w:r>
        <w:rPr>
          <w:rFonts w:ascii="Palatino Linotype" w:hAnsi="Palatino Linotype"/>
          <w:b/>
          <w:sz w:val="18"/>
          <w:szCs w:val="18"/>
        </w:rPr>
        <w:t>6</w:t>
      </w:r>
      <w:r w:rsidRPr="00EC3716">
        <w:rPr>
          <w:rFonts w:ascii="Palatino Linotype" w:hAnsi="Palatino Linotype"/>
          <w:b/>
          <w:sz w:val="18"/>
          <w:szCs w:val="18"/>
        </w:rPr>
        <w:t>. Prior studies of drug efficacies as single agents in mouse models of lethal EBOV infection</w:t>
      </w:r>
      <w:r w:rsidRPr="00EC3716">
        <w:rPr>
          <w:rFonts w:ascii="Palatino Linotype" w:hAnsi="Palatino Linotype"/>
          <w:sz w:val="18"/>
          <w:szCs w:val="18"/>
        </w:rPr>
        <w:t xml:space="preserve">. For the studies described in </w:t>
      </w:r>
      <w:r w:rsidR="007A38C5">
        <w:rPr>
          <w:rFonts w:ascii="Palatino Linotype" w:hAnsi="Palatino Linotype"/>
          <w:sz w:val="18"/>
          <w:szCs w:val="18"/>
        </w:rPr>
        <w:t>*(</w:t>
      </w:r>
      <w:r w:rsidR="007A38C5" w:rsidRPr="00F8659C">
        <w:rPr>
          <w:rFonts w:ascii="Palatino Linotype" w:hAnsi="Palatino Linotype"/>
          <w:sz w:val="18"/>
          <w:szCs w:val="18"/>
        </w:rPr>
        <w:t xml:space="preserve">Supplementary Figure </w:t>
      </w:r>
      <w:r w:rsidR="007A38C5">
        <w:rPr>
          <w:rFonts w:ascii="Palatino Linotype" w:hAnsi="Palatino Linotype"/>
          <w:sz w:val="18"/>
          <w:szCs w:val="18"/>
        </w:rPr>
        <w:t>5, this study</w:t>
      </w:r>
      <w:r w:rsidR="0023779E">
        <w:rPr>
          <w:rFonts w:ascii="Palatino Linotype" w:hAnsi="Palatino Linotype"/>
          <w:sz w:val="18"/>
          <w:szCs w:val="18"/>
        </w:rPr>
        <w:t>)</w:t>
      </w:r>
      <w:r w:rsidR="007A38C5">
        <w:rPr>
          <w:rFonts w:ascii="Palatino Linotype" w:hAnsi="Palatino Linotype"/>
          <w:sz w:val="18"/>
          <w:szCs w:val="18"/>
        </w:rPr>
        <w:t xml:space="preserve"> and in </w:t>
      </w:r>
      <w:r w:rsidR="002D67CF" w:rsidRPr="007E5C2B">
        <w:rPr>
          <w:rFonts w:ascii="Palatino Linotype" w:hAnsi="Palatino Linotype"/>
          <w:sz w:val="18"/>
          <w:szCs w:val="18"/>
        </w:rPr>
        <w:t>R</w:t>
      </w:r>
      <w:r w:rsidRPr="007E5C2B">
        <w:rPr>
          <w:rFonts w:ascii="Palatino Linotype" w:hAnsi="Palatino Linotype"/>
          <w:sz w:val="18"/>
          <w:szCs w:val="18"/>
        </w:rPr>
        <w:t xml:space="preserve">eferences </w:t>
      </w:r>
      <w:r w:rsidR="002D67CF" w:rsidRPr="007E5C2B">
        <w:rPr>
          <w:rFonts w:ascii="Palatino Linotype" w:hAnsi="Palatino Linotype"/>
          <w:sz w:val="18"/>
          <w:szCs w:val="18"/>
        </w:rPr>
        <w:t>8, 10</w:t>
      </w:r>
      <w:r w:rsidRPr="007E5C2B">
        <w:rPr>
          <w:rFonts w:ascii="Palatino Linotype" w:hAnsi="Palatino Linotype"/>
          <w:sz w:val="18"/>
          <w:szCs w:val="18"/>
        </w:rPr>
        <w:t xml:space="preserve"> and </w:t>
      </w:r>
      <w:r w:rsidR="002D67CF">
        <w:rPr>
          <w:rFonts w:ascii="Palatino Linotype" w:hAnsi="Palatino Linotype"/>
          <w:sz w:val="18"/>
          <w:szCs w:val="18"/>
        </w:rPr>
        <w:t>11</w:t>
      </w:r>
      <w:r w:rsidRPr="00EC3716">
        <w:rPr>
          <w:rFonts w:ascii="Palatino Linotype" w:hAnsi="Palatino Linotype"/>
          <w:sz w:val="18"/>
          <w:szCs w:val="18"/>
        </w:rPr>
        <w:t>, mice were treated on d</w:t>
      </w:r>
      <w:r w:rsidR="0023779E">
        <w:rPr>
          <w:rFonts w:ascii="Palatino Linotype" w:hAnsi="Palatino Linotype"/>
          <w:sz w:val="18"/>
          <w:szCs w:val="18"/>
        </w:rPr>
        <w:t xml:space="preserve">ay </w:t>
      </w:r>
      <w:r w:rsidRPr="00EC3716">
        <w:rPr>
          <w:rFonts w:ascii="Palatino Linotype" w:hAnsi="Palatino Linotype"/>
          <w:sz w:val="18"/>
          <w:szCs w:val="18"/>
        </w:rPr>
        <w:t xml:space="preserve">0 </w:t>
      </w:r>
      <w:r w:rsidR="0023779E">
        <w:rPr>
          <w:rFonts w:ascii="Palatino Linotype" w:hAnsi="Palatino Linotype"/>
          <w:sz w:val="18"/>
          <w:szCs w:val="18"/>
        </w:rPr>
        <w:t xml:space="preserve">(d0) </w:t>
      </w:r>
      <w:r w:rsidRPr="00EC3716">
        <w:rPr>
          <w:rFonts w:ascii="Palatino Linotype" w:hAnsi="Palatino Linotype"/>
          <w:sz w:val="18"/>
          <w:szCs w:val="18"/>
        </w:rPr>
        <w:t xml:space="preserve">and then on d1-9 as indicated (either SID, BID, or QOD) and observed for a total of 28 days. For the study described in </w:t>
      </w:r>
      <w:r w:rsidRPr="007E5C2B">
        <w:rPr>
          <w:rFonts w:ascii="Palatino Linotype" w:hAnsi="Palatino Linotype"/>
          <w:sz w:val="18"/>
          <w:szCs w:val="18"/>
        </w:rPr>
        <w:t xml:space="preserve">Reference </w:t>
      </w:r>
      <w:r w:rsidR="002D67CF">
        <w:rPr>
          <w:rFonts w:ascii="Palatino Linotype" w:hAnsi="Palatino Linotype"/>
          <w:sz w:val="18"/>
          <w:szCs w:val="18"/>
        </w:rPr>
        <w:t>9</w:t>
      </w:r>
      <w:r w:rsidRPr="00EC3716">
        <w:rPr>
          <w:rFonts w:ascii="Palatino Linotype" w:hAnsi="Palatino Linotype"/>
          <w:sz w:val="18"/>
          <w:szCs w:val="18"/>
        </w:rPr>
        <w:t xml:space="preserve">, mice were treated on d0 and then on d1-7 and observed for a total of 14 days. </w:t>
      </w:r>
      <w:r w:rsidRPr="005A75F1">
        <w:rPr>
          <w:rFonts w:ascii="Palatino Linotype" w:hAnsi="Palatino Linotype"/>
          <w:sz w:val="18"/>
          <w:szCs w:val="18"/>
          <w:vertAlign w:val="superscript"/>
        </w:rPr>
        <w:t>1</w:t>
      </w:r>
      <w:r w:rsidRPr="00EC3716">
        <w:rPr>
          <w:rFonts w:ascii="Palatino Linotype" w:hAnsi="Palatino Linotype"/>
          <w:sz w:val="18"/>
          <w:szCs w:val="18"/>
        </w:rPr>
        <w:t>Mice became extremely somnolent, thwarting eating and drinking, which likely contributed to low survival.</w:t>
      </w:r>
      <w:r>
        <w:rPr>
          <w:rFonts w:ascii="Palatino Linotype" w:hAnsi="Palatino Linotype"/>
          <w:sz w:val="18"/>
          <w:szCs w:val="18"/>
        </w:rPr>
        <w:t xml:space="preserve"> </w:t>
      </w:r>
      <w:r w:rsidRPr="005A75F1">
        <w:rPr>
          <w:rFonts w:ascii="Palatino Linotype" w:hAnsi="Palatino Linotype"/>
          <w:sz w:val="18"/>
          <w:szCs w:val="18"/>
          <w:vertAlign w:val="superscript"/>
        </w:rPr>
        <w:t>2</w:t>
      </w:r>
      <w:r w:rsidRPr="00EC3716">
        <w:rPr>
          <w:rFonts w:ascii="Palatino Linotype" w:hAnsi="Palatino Linotype"/>
          <w:sz w:val="18"/>
          <w:szCs w:val="18"/>
        </w:rPr>
        <w:t>20% survival was seen in the control group in the study yielding 60% survival with azithromycin.</w:t>
      </w:r>
      <w:r>
        <w:rPr>
          <w:rFonts w:ascii="Palatino Linotype" w:hAnsi="Palatino Linotype"/>
          <w:sz w:val="18"/>
          <w:szCs w:val="18"/>
        </w:rPr>
        <w:t xml:space="preserve"> </w:t>
      </w:r>
      <w:r w:rsidRPr="005A75F1">
        <w:rPr>
          <w:rFonts w:ascii="Palatino Linotype" w:hAnsi="Palatino Linotype"/>
          <w:sz w:val="18"/>
          <w:szCs w:val="18"/>
          <w:vertAlign w:val="superscript"/>
        </w:rPr>
        <w:t>3</w:t>
      </w:r>
      <w:r w:rsidRPr="00EC3716">
        <w:rPr>
          <w:rFonts w:ascii="Palatino Linotype" w:hAnsi="Palatino Linotype"/>
          <w:sz w:val="18"/>
          <w:szCs w:val="18"/>
        </w:rPr>
        <w:t xml:space="preserve">90-100% survival has been seen dosing </w:t>
      </w:r>
      <w:r w:rsidR="006F1D47">
        <w:rPr>
          <w:rFonts w:ascii="Palatino Linotype" w:hAnsi="Palatino Linotype"/>
          <w:sz w:val="18"/>
          <w:szCs w:val="18"/>
        </w:rPr>
        <w:t>with</w:t>
      </w:r>
      <w:r w:rsidRPr="00EC3716">
        <w:rPr>
          <w:rFonts w:ascii="Palatino Linotype" w:hAnsi="Palatino Linotype"/>
          <w:sz w:val="18"/>
          <w:szCs w:val="18"/>
        </w:rPr>
        <w:t xml:space="preserve"> 12 mg/kg, IP, SID (unpublished data)</w:t>
      </w:r>
      <w:r>
        <w:rPr>
          <w:rFonts w:ascii="Palatino Linotype" w:hAnsi="Palatino Linotype"/>
          <w:sz w:val="18"/>
          <w:szCs w:val="18"/>
        </w:rPr>
        <w:t xml:space="preserve">. </w:t>
      </w:r>
      <w:r w:rsidRPr="005A75F1">
        <w:rPr>
          <w:rFonts w:ascii="Palatino Linotype" w:hAnsi="Palatino Linotype"/>
          <w:sz w:val="18"/>
          <w:szCs w:val="18"/>
          <w:vertAlign w:val="superscript"/>
        </w:rPr>
        <w:t>4</w:t>
      </w:r>
      <w:r w:rsidRPr="00EC3716">
        <w:rPr>
          <w:rFonts w:ascii="Palatino Linotype" w:hAnsi="Palatino Linotype"/>
          <w:sz w:val="18"/>
          <w:szCs w:val="18"/>
        </w:rPr>
        <w:t>In the same report, 80% mice were protected if treated with 12 mg/kg bepridil, IP, SID.</w:t>
      </w:r>
      <w:r>
        <w:rPr>
          <w:rFonts w:ascii="Palatino Linotype" w:hAnsi="Palatino Linotype"/>
          <w:sz w:val="18"/>
          <w:szCs w:val="18"/>
        </w:rPr>
        <w:t xml:space="preserve"> </w:t>
      </w:r>
      <w:r w:rsidRPr="005A75F1">
        <w:rPr>
          <w:rFonts w:ascii="Palatino Linotype" w:hAnsi="Palatino Linotype"/>
          <w:sz w:val="18"/>
          <w:szCs w:val="18"/>
          <w:vertAlign w:val="superscript"/>
        </w:rPr>
        <w:t>5</w:t>
      </w:r>
      <w:r w:rsidRPr="00EC3716">
        <w:rPr>
          <w:rFonts w:ascii="Palatino Linotype" w:hAnsi="Palatino Linotype"/>
          <w:sz w:val="18"/>
          <w:szCs w:val="18"/>
        </w:rPr>
        <w:t>In the same report, a study comparing male and female mice (with fewer mice per group) yielded 60% and 40% protection of female and male mice, respectively (dosed</w:t>
      </w:r>
      <w:r w:rsidR="00390385">
        <w:rPr>
          <w:rFonts w:ascii="Palatino Linotype" w:hAnsi="Palatino Linotype"/>
          <w:sz w:val="18"/>
          <w:szCs w:val="18"/>
        </w:rPr>
        <w:t xml:space="preserve"> with </w:t>
      </w:r>
      <w:r w:rsidRPr="00EC3716">
        <w:rPr>
          <w:rFonts w:ascii="Palatino Linotype" w:hAnsi="Palatino Linotype"/>
          <w:sz w:val="18"/>
          <w:szCs w:val="18"/>
        </w:rPr>
        <w:t xml:space="preserve">12 mg/kg, IP, BID). </w:t>
      </w:r>
      <w:r w:rsidRPr="005A75F1">
        <w:rPr>
          <w:rFonts w:ascii="Palatino Linotype" w:hAnsi="Palatino Linotype"/>
          <w:sz w:val="18"/>
          <w:szCs w:val="18"/>
          <w:vertAlign w:val="superscript"/>
        </w:rPr>
        <w:t>6</w:t>
      </w:r>
      <w:r w:rsidRPr="00EC3716">
        <w:rPr>
          <w:rFonts w:ascii="Palatino Linotype" w:hAnsi="Palatino Linotype"/>
          <w:sz w:val="18"/>
          <w:szCs w:val="18"/>
        </w:rPr>
        <w:t>In the same report, no mice we</w:t>
      </w:r>
      <w:r>
        <w:rPr>
          <w:rFonts w:ascii="Palatino Linotype" w:hAnsi="Palatino Linotype"/>
          <w:sz w:val="18"/>
          <w:szCs w:val="18"/>
        </w:rPr>
        <w:t xml:space="preserve">re protected if treated with 21 </w:t>
      </w:r>
      <w:r w:rsidRPr="00EC3716">
        <w:rPr>
          <w:rFonts w:ascii="Palatino Linotype" w:hAnsi="Palatino Linotype"/>
          <w:sz w:val="18"/>
          <w:szCs w:val="18"/>
        </w:rPr>
        <w:t xml:space="preserve">mg/kg clomiphene, PO, SID. Abbreviations: BID, twice daily dosing; </w:t>
      </w:r>
      <w:r>
        <w:rPr>
          <w:rFonts w:ascii="Palatino Linotype" w:hAnsi="Palatino Linotype"/>
          <w:sz w:val="18"/>
          <w:szCs w:val="18"/>
        </w:rPr>
        <w:t>EBOV, Ebola</w:t>
      </w:r>
      <w:r w:rsidR="009D1B77">
        <w:rPr>
          <w:rFonts w:ascii="Palatino Linotype" w:hAnsi="Palatino Linotype"/>
          <w:sz w:val="18"/>
          <w:szCs w:val="18"/>
        </w:rPr>
        <w:t xml:space="preserve"> virus</w:t>
      </w:r>
      <w:r>
        <w:rPr>
          <w:rFonts w:ascii="Palatino Linotype" w:hAnsi="Palatino Linotype"/>
          <w:sz w:val="18"/>
          <w:szCs w:val="18"/>
        </w:rPr>
        <w:t xml:space="preserve">; </w:t>
      </w:r>
      <w:r w:rsidRPr="00EC3716">
        <w:rPr>
          <w:rFonts w:ascii="Palatino Linotype" w:hAnsi="Palatino Linotype"/>
          <w:sz w:val="18"/>
          <w:szCs w:val="18"/>
        </w:rPr>
        <w:t xml:space="preserve">IP, intraperitoneal; </w:t>
      </w:r>
      <w:r w:rsidR="00C8002D">
        <w:rPr>
          <w:rFonts w:ascii="Palatino Linotype" w:hAnsi="Palatino Linotype"/>
          <w:sz w:val="18"/>
          <w:szCs w:val="18"/>
        </w:rPr>
        <w:t>MARV, Marburg</w:t>
      </w:r>
      <w:r>
        <w:rPr>
          <w:rFonts w:ascii="Palatino Linotype" w:hAnsi="Palatino Linotype"/>
          <w:sz w:val="18"/>
          <w:szCs w:val="18"/>
        </w:rPr>
        <w:t xml:space="preserve">virus; </w:t>
      </w:r>
      <w:r w:rsidRPr="00EC3716">
        <w:rPr>
          <w:rFonts w:ascii="Palatino Linotype" w:hAnsi="Palatino Linotype"/>
          <w:sz w:val="18"/>
          <w:szCs w:val="18"/>
        </w:rPr>
        <w:t>nd, not done; QOD, dosing on d0, 1, 3, 5, 7, 9. SID, once daily dosing</w:t>
      </w:r>
      <w:r>
        <w:rPr>
          <w:rFonts w:ascii="Palatino Linotype" w:hAnsi="Palatino Linotype"/>
          <w:sz w:val="18"/>
          <w:szCs w:val="18"/>
        </w:rPr>
        <w:t>.</w:t>
      </w:r>
      <w:r w:rsidR="007D32BF">
        <w:rPr>
          <w:rFonts w:ascii="Palatino Linotype" w:hAnsi="Palatino Linotype"/>
          <w:sz w:val="18"/>
          <w:szCs w:val="18"/>
        </w:rPr>
        <w:t xml:space="preserve"> </w:t>
      </w:r>
    </w:p>
    <w:p w14:paraId="46B9E475" w14:textId="1B7A6565" w:rsidR="00E17664" w:rsidRDefault="00E17664" w:rsidP="00E17664">
      <w:pPr>
        <w:spacing w:before="120" w:after="240" w:line="260" w:lineRule="atLeast"/>
        <w:rPr>
          <w:rFonts w:ascii="Palatino Linotype" w:hAnsi="Palatino Linotype"/>
          <w:sz w:val="18"/>
          <w:szCs w:val="18"/>
        </w:rPr>
      </w:pPr>
    </w:p>
    <w:p w14:paraId="5D3EBB5B" w14:textId="77777777" w:rsidR="00DA185A" w:rsidRDefault="00DA185A" w:rsidP="00EB47CB">
      <w:pPr>
        <w:spacing w:before="120" w:after="240" w:line="260" w:lineRule="atLeast"/>
        <w:rPr>
          <w:rFonts w:ascii="Palatino Linotype" w:hAnsi="Palatino Linotype"/>
          <w:sz w:val="18"/>
          <w:szCs w:val="18"/>
        </w:rPr>
      </w:pPr>
    </w:p>
    <w:p w14:paraId="4AA68932" w14:textId="71EA15A8" w:rsidR="00DA185A" w:rsidRDefault="00DA185A">
      <w:pPr>
        <w:rPr>
          <w:rFonts w:ascii="Palatino Linotype" w:hAnsi="Palatino Linotype"/>
          <w:sz w:val="18"/>
          <w:szCs w:val="18"/>
        </w:rPr>
      </w:pPr>
      <w:r>
        <w:rPr>
          <w:rFonts w:ascii="Palatino Linotype" w:hAnsi="Palatino Linotype"/>
          <w:sz w:val="18"/>
          <w:szCs w:val="18"/>
        </w:rPr>
        <w:br w:type="page"/>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gridCol w:w="1939"/>
      </w:tblGrid>
      <w:tr w:rsidR="00DA185A" w:rsidRPr="0056617C" w14:paraId="5548EAE5" w14:textId="77777777" w:rsidTr="00916CCB">
        <w:trPr>
          <w:jc w:val="center"/>
        </w:trPr>
        <w:tc>
          <w:tcPr>
            <w:tcW w:w="1599" w:type="dxa"/>
            <w:tcBorders>
              <w:bottom w:val="single" w:sz="4" w:space="0" w:color="auto"/>
            </w:tcBorders>
            <w:shd w:val="clear" w:color="auto" w:fill="auto"/>
            <w:vAlign w:val="center"/>
          </w:tcPr>
          <w:p w14:paraId="256F1046" w14:textId="77777777" w:rsidR="00DA185A" w:rsidRPr="0056617C" w:rsidRDefault="00DA185A" w:rsidP="00916CCB">
            <w:pPr>
              <w:pStyle w:val="MDPI42tablebody"/>
              <w:spacing w:line="240" w:lineRule="auto"/>
              <w:rPr>
                <w:b/>
              </w:rPr>
            </w:pPr>
            <w:r>
              <w:rPr>
                <w:b/>
              </w:rPr>
              <w:lastRenderedPageBreak/>
              <w:t>Vehicle #</w:t>
            </w:r>
          </w:p>
        </w:tc>
        <w:tc>
          <w:tcPr>
            <w:tcW w:w="1599" w:type="dxa"/>
            <w:tcBorders>
              <w:bottom w:val="single" w:sz="4" w:space="0" w:color="auto"/>
            </w:tcBorders>
            <w:shd w:val="clear" w:color="auto" w:fill="auto"/>
            <w:vAlign w:val="center"/>
          </w:tcPr>
          <w:p w14:paraId="30D025C5" w14:textId="77777777" w:rsidR="00DA185A" w:rsidRDefault="00DA185A" w:rsidP="00916CCB">
            <w:pPr>
              <w:pStyle w:val="MDPI42tablebody"/>
              <w:spacing w:line="240" w:lineRule="auto"/>
              <w:rPr>
                <w:b/>
              </w:rPr>
            </w:pPr>
            <w:r>
              <w:rPr>
                <w:b/>
              </w:rPr>
              <w:t>Bepridil</w:t>
            </w:r>
          </w:p>
          <w:p w14:paraId="3C45D653" w14:textId="77777777" w:rsidR="00DA185A" w:rsidRPr="0056617C" w:rsidRDefault="00DA185A" w:rsidP="00916CCB">
            <w:pPr>
              <w:pStyle w:val="MDPI42tablebody"/>
              <w:spacing w:line="240" w:lineRule="auto"/>
              <w:rPr>
                <w:b/>
              </w:rPr>
            </w:pPr>
            <w:r>
              <w:rPr>
                <w:b/>
              </w:rPr>
              <w:t>(solubility)</w:t>
            </w:r>
          </w:p>
        </w:tc>
        <w:tc>
          <w:tcPr>
            <w:tcW w:w="1599" w:type="dxa"/>
            <w:tcBorders>
              <w:bottom w:val="single" w:sz="4" w:space="0" w:color="auto"/>
            </w:tcBorders>
          </w:tcPr>
          <w:p w14:paraId="5E3C0D3C" w14:textId="77777777" w:rsidR="00DA185A" w:rsidRDefault="00DA185A" w:rsidP="00916CCB">
            <w:pPr>
              <w:pStyle w:val="MDPI42tablebody"/>
              <w:spacing w:line="240" w:lineRule="auto"/>
              <w:rPr>
                <w:b/>
              </w:rPr>
            </w:pPr>
            <w:r>
              <w:rPr>
                <w:b/>
              </w:rPr>
              <w:t>Sertraline</w:t>
            </w:r>
          </w:p>
          <w:p w14:paraId="40D4A3E5" w14:textId="77777777" w:rsidR="00DA185A" w:rsidRPr="0056617C" w:rsidRDefault="00DA185A" w:rsidP="00916CCB">
            <w:pPr>
              <w:pStyle w:val="MDPI42tablebody"/>
              <w:spacing w:line="240" w:lineRule="auto"/>
              <w:rPr>
                <w:b/>
              </w:rPr>
            </w:pPr>
            <w:r>
              <w:rPr>
                <w:b/>
              </w:rPr>
              <w:t>(solubility)</w:t>
            </w:r>
          </w:p>
        </w:tc>
        <w:tc>
          <w:tcPr>
            <w:tcW w:w="1939" w:type="dxa"/>
            <w:tcBorders>
              <w:bottom w:val="single" w:sz="4" w:space="0" w:color="auto"/>
            </w:tcBorders>
          </w:tcPr>
          <w:p w14:paraId="38A04DA7" w14:textId="77777777" w:rsidR="00DA185A" w:rsidRDefault="00DA185A" w:rsidP="00916CCB">
            <w:pPr>
              <w:pStyle w:val="MDPI42tablebody"/>
              <w:spacing w:line="240" w:lineRule="auto"/>
              <w:rPr>
                <w:b/>
              </w:rPr>
            </w:pPr>
            <w:r>
              <w:rPr>
                <w:b/>
              </w:rPr>
              <w:t>Toremifene</w:t>
            </w:r>
          </w:p>
          <w:p w14:paraId="78CFC1C0" w14:textId="77777777" w:rsidR="00DA185A" w:rsidRPr="0056617C" w:rsidRDefault="00DA185A" w:rsidP="00916CCB">
            <w:pPr>
              <w:pStyle w:val="MDPI42tablebody"/>
              <w:spacing w:line="240" w:lineRule="auto"/>
              <w:rPr>
                <w:b/>
              </w:rPr>
            </w:pPr>
            <w:r>
              <w:rPr>
                <w:b/>
              </w:rPr>
              <w:t>(solubility)</w:t>
            </w:r>
          </w:p>
        </w:tc>
      </w:tr>
      <w:tr w:rsidR="00DA185A" w:rsidRPr="00EA1AF3" w14:paraId="0F51CC5A" w14:textId="77777777" w:rsidTr="00916CCB">
        <w:trPr>
          <w:jc w:val="center"/>
        </w:trPr>
        <w:tc>
          <w:tcPr>
            <w:tcW w:w="1599" w:type="dxa"/>
            <w:shd w:val="clear" w:color="auto" w:fill="auto"/>
            <w:vAlign w:val="center"/>
          </w:tcPr>
          <w:p w14:paraId="69682EAD" w14:textId="77777777" w:rsidR="00DA185A" w:rsidRPr="00EA1AF3" w:rsidRDefault="00DA185A" w:rsidP="00916CCB">
            <w:pPr>
              <w:pStyle w:val="MDPI42tablebody"/>
              <w:spacing w:line="240" w:lineRule="auto"/>
            </w:pPr>
            <w:r>
              <w:t>1</w:t>
            </w:r>
          </w:p>
        </w:tc>
        <w:tc>
          <w:tcPr>
            <w:tcW w:w="1599" w:type="dxa"/>
            <w:shd w:val="clear" w:color="auto" w:fill="auto"/>
            <w:vAlign w:val="center"/>
          </w:tcPr>
          <w:p w14:paraId="5CD39ABB" w14:textId="77777777" w:rsidR="00DA185A" w:rsidRPr="00EA1AF3" w:rsidRDefault="00DA185A" w:rsidP="00916CCB">
            <w:pPr>
              <w:pStyle w:val="MDPI42tablebody"/>
            </w:pPr>
            <w:r w:rsidRPr="00F40010">
              <w:t>Suspension</w:t>
            </w:r>
          </w:p>
        </w:tc>
        <w:tc>
          <w:tcPr>
            <w:tcW w:w="1599" w:type="dxa"/>
          </w:tcPr>
          <w:p w14:paraId="3CE3E9C0" w14:textId="77777777" w:rsidR="00DA185A" w:rsidRPr="00EA1AF3" w:rsidRDefault="00DA185A" w:rsidP="00916CCB">
            <w:pPr>
              <w:pStyle w:val="MDPI42tablebody"/>
            </w:pPr>
            <w:r w:rsidRPr="00F40010">
              <w:t>Suspension</w:t>
            </w:r>
          </w:p>
        </w:tc>
        <w:tc>
          <w:tcPr>
            <w:tcW w:w="1939" w:type="dxa"/>
          </w:tcPr>
          <w:p w14:paraId="0E8B4138" w14:textId="77777777" w:rsidR="00DA185A" w:rsidRPr="00EA1AF3" w:rsidRDefault="00DA185A" w:rsidP="00916CCB">
            <w:pPr>
              <w:pStyle w:val="MDPI42tablebody"/>
            </w:pPr>
            <w:r w:rsidRPr="00F40010">
              <w:t>Suspension</w:t>
            </w:r>
          </w:p>
        </w:tc>
      </w:tr>
      <w:tr w:rsidR="00DA185A" w:rsidRPr="00EA1AF3" w14:paraId="12FA63C9" w14:textId="77777777" w:rsidTr="00916CCB">
        <w:trPr>
          <w:jc w:val="center"/>
        </w:trPr>
        <w:tc>
          <w:tcPr>
            <w:tcW w:w="1599" w:type="dxa"/>
            <w:shd w:val="clear" w:color="auto" w:fill="auto"/>
            <w:vAlign w:val="center"/>
          </w:tcPr>
          <w:p w14:paraId="5019455A" w14:textId="77777777" w:rsidR="00DA185A" w:rsidRPr="00EA1AF3" w:rsidRDefault="00DA185A" w:rsidP="00916CCB">
            <w:pPr>
              <w:pStyle w:val="MDPI42tablebody"/>
              <w:spacing w:line="240" w:lineRule="auto"/>
            </w:pPr>
            <w:r>
              <w:t>2</w:t>
            </w:r>
          </w:p>
        </w:tc>
        <w:tc>
          <w:tcPr>
            <w:tcW w:w="1599" w:type="dxa"/>
            <w:shd w:val="clear" w:color="auto" w:fill="auto"/>
            <w:vAlign w:val="center"/>
          </w:tcPr>
          <w:p w14:paraId="7486716C" w14:textId="77777777" w:rsidR="00DA185A" w:rsidRPr="00EA1AF3" w:rsidRDefault="00DA185A" w:rsidP="00916CCB">
            <w:pPr>
              <w:pStyle w:val="MDPI42tablebody"/>
            </w:pPr>
            <w:r>
              <w:t>Slightly hazy</w:t>
            </w:r>
          </w:p>
        </w:tc>
        <w:tc>
          <w:tcPr>
            <w:tcW w:w="1599" w:type="dxa"/>
          </w:tcPr>
          <w:p w14:paraId="64BA335E" w14:textId="77777777" w:rsidR="00DA185A" w:rsidRPr="00EA1AF3" w:rsidRDefault="00DA185A" w:rsidP="00916CCB">
            <w:pPr>
              <w:pStyle w:val="MDPI42tablebody"/>
            </w:pPr>
            <w:r w:rsidRPr="007023F9">
              <w:t>Clear solution</w:t>
            </w:r>
          </w:p>
        </w:tc>
        <w:tc>
          <w:tcPr>
            <w:tcW w:w="1939" w:type="dxa"/>
          </w:tcPr>
          <w:p w14:paraId="56519628" w14:textId="77777777" w:rsidR="00DA185A" w:rsidRPr="00EA1AF3" w:rsidRDefault="00DA185A" w:rsidP="00916CCB">
            <w:pPr>
              <w:pStyle w:val="MDPI42tablebody"/>
            </w:pPr>
            <w:r w:rsidRPr="007023F9">
              <w:t>Clear solution</w:t>
            </w:r>
          </w:p>
        </w:tc>
      </w:tr>
      <w:tr w:rsidR="00DA185A" w:rsidRPr="00EA1AF3" w14:paraId="39A15714" w14:textId="77777777" w:rsidTr="00916CCB">
        <w:trPr>
          <w:jc w:val="center"/>
        </w:trPr>
        <w:tc>
          <w:tcPr>
            <w:tcW w:w="1599" w:type="dxa"/>
            <w:shd w:val="clear" w:color="auto" w:fill="auto"/>
            <w:vAlign w:val="center"/>
          </w:tcPr>
          <w:p w14:paraId="2AD2D509" w14:textId="77777777" w:rsidR="00DA185A" w:rsidRDefault="00DA185A" w:rsidP="00916CCB">
            <w:pPr>
              <w:pStyle w:val="MDPI42tablebody"/>
              <w:spacing w:line="240" w:lineRule="auto"/>
            </w:pPr>
            <w:r>
              <w:t>3</w:t>
            </w:r>
          </w:p>
        </w:tc>
        <w:tc>
          <w:tcPr>
            <w:tcW w:w="1599" w:type="dxa"/>
            <w:shd w:val="clear" w:color="auto" w:fill="auto"/>
            <w:vAlign w:val="center"/>
          </w:tcPr>
          <w:p w14:paraId="75438AE4" w14:textId="77777777" w:rsidR="00DA185A" w:rsidRPr="00EA1AF3" w:rsidRDefault="00DA185A" w:rsidP="00916CCB">
            <w:pPr>
              <w:pStyle w:val="MDPI42tablebody"/>
            </w:pPr>
            <w:r w:rsidRPr="00804C9E">
              <w:t>Clear solution</w:t>
            </w:r>
          </w:p>
        </w:tc>
        <w:tc>
          <w:tcPr>
            <w:tcW w:w="1599" w:type="dxa"/>
          </w:tcPr>
          <w:p w14:paraId="3B3437C0" w14:textId="77777777" w:rsidR="00DA185A" w:rsidRPr="00EA1AF3" w:rsidRDefault="00DA185A" w:rsidP="00916CCB">
            <w:pPr>
              <w:pStyle w:val="MDPI42tablebody"/>
            </w:pPr>
            <w:r w:rsidRPr="00804C9E">
              <w:t>Clear solution</w:t>
            </w:r>
          </w:p>
        </w:tc>
        <w:tc>
          <w:tcPr>
            <w:tcW w:w="1939" w:type="dxa"/>
          </w:tcPr>
          <w:p w14:paraId="5D4BA261" w14:textId="77777777" w:rsidR="00DA185A" w:rsidRPr="00EA1AF3" w:rsidRDefault="00DA185A" w:rsidP="00916CCB">
            <w:pPr>
              <w:pStyle w:val="MDPI42tablebody"/>
            </w:pPr>
            <w:r w:rsidRPr="00804C9E">
              <w:t>Suspension</w:t>
            </w:r>
          </w:p>
        </w:tc>
      </w:tr>
      <w:tr w:rsidR="00DA185A" w:rsidRPr="00EA1AF3" w14:paraId="5AB0E10E" w14:textId="77777777" w:rsidTr="00916CCB">
        <w:trPr>
          <w:jc w:val="center"/>
        </w:trPr>
        <w:tc>
          <w:tcPr>
            <w:tcW w:w="1599" w:type="dxa"/>
            <w:shd w:val="clear" w:color="auto" w:fill="auto"/>
            <w:vAlign w:val="center"/>
          </w:tcPr>
          <w:p w14:paraId="7D966D0F" w14:textId="77777777" w:rsidR="00DA185A" w:rsidRDefault="00DA185A" w:rsidP="00916CCB">
            <w:pPr>
              <w:pStyle w:val="MDPI42tablebody"/>
              <w:spacing w:line="240" w:lineRule="auto"/>
            </w:pPr>
            <w:r>
              <w:t>4</w:t>
            </w:r>
          </w:p>
        </w:tc>
        <w:tc>
          <w:tcPr>
            <w:tcW w:w="1599" w:type="dxa"/>
            <w:shd w:val="clear" w:color="auto" w:fill="auto"/>
            <w:vAlign w:val="center"/>
          </w:tcPr>
          <w:p w14:paraId="0EE2CDA4" w14:textId="77777777" w:rsidR="00DA185A" w:rsidRPr="00EA1AF3" w:rsidRDefault="00DA185A" w:rsidP="00916CCB">
            <w:pPr>
              <w:pStyle w:val="MDPI42tablebody"/>
            </w:pPr>
            <w:r w:rsidRPr="000F642B">
              <w:t>Clear solution</w:t>
            </w:r>
          </w:p>
        </w:tc>
        <w:tc>
          <w:tcPr>
            <w:tcW w:w="1599" w:type="dxa"/>
          </w:tcPr>
          <w:p w14:paraId="2DF7C35A" w14:textId="77777777" w:rsidR="00DA185A" w:rsidRPr="00EA1AF3" w:rsidRDefault="00DA185A" w:rsidP="00916CCB">
            <w:pPr>
              <w:pStyle w:val="MDPI42tablebody"/>
            </w:pPr>
            <w:r w:rsidRPr="000F642B">
              <w:t>Clear solution</w:t>
            </w:r>
          </w:p>
        </w:tc>
        <w:tc>
          <w:tcPr>
            <w:tcW w:w="1939" w:type="dxa"/>
          </w:tcPr>
          <w:p w14:paraId="150E2512" w14:textId="77777777" w:rsidR="00DA185A" w:rsidRPr="00EA1AF3" w:rsidRDefault="00DA185A" w:rsidP="00916CCB">
            <w:pPr>
              <w:pStyle w:val="MDPI42tablebody"/>
              <w:spacing w:line="240" w:lineRule="auto"/>
            </w:pPr>
            <w:r>
              <w:t>Non-</w:t>
            </w:r>
            <w:r w:rsidRPr="00D1720C">
              <w:t>homogeneous</w:t>
            </w:r>
          </w:p>
        </w:tc>
      </w:tr>
      <w:tr w:rsidR="00DA185A" w:rsidRPr="00EA1AF3" w14:paraId="3F38F92C" w14:textId="77777777" w:rsidTr="00916CCB">
        <w:trPr>
          <w:jc w:val="center"/>
        </w:trPr>
        <w:tc>
          <w:tcPr>
            <w:tcW w:w="1599" w:type="dxa"/>
            <w:shd w:val="clear" w:color="auto" w:fill="auto"/>
            <w:vAlign w:val="center"/>
          </w:tcPr>
          <w:p w14:paraId="4EB6B4CB" w14:textId="77777777" w:rsidR="00DA185A" w:rsidRDefault="00DA185A" w:rsidP="00916CCB">
            <w:pPr>
              <w:pStyle w:val="MDPI42tablebody"/>
              <w:spacing w:line="240" w:lineRule="auto"/>
            </w:pPr>
            <w:r>
              <w:t>5</w:t>
            </w:r>
          </w:p>
        </w:tc>
        <w:tc>
          <w:tcPr>
            <w:tcW w:w="1599" w:type="dxa"/>
            <w:shd w:val="clear" w:color="auto" w:fill="auto"/>
            <w:vAlign w:val="center"/>
          </w:tcPr>
          <w:p w14:paraId="5242C05D" w14:textId="77777777" w:rsidR="00DA185A" w:rsidRPr="00EA1AF3" w:rsidRDefault="00DA185A" w:rsidP="00916CCB">
            <w:pPr>
              <w:pStyle w:val="MDPI42tablebody"/>
            </w:pPr>
            <w:r w:rsidRPr="00913816">
              <w:t>Clear solution</w:t>
            </w:r>
          </w:p>
        </w:tc>
        <w:tc>
          <w:tcPr>
            <w:tcW w:w="1599" w:type="dxa"/>
          </w:tcPr>
          <w:p w14:paraId="65DA89D9" w14:textId="77777777" w:rsidR="00DA185A" w:rsidRPr="00EA1AF3" w:rsidRDefault="00DA185A" w:rsidP="00916CCB">
            <w:pPr>
              <w:pStyle w:val="MDPI42tablebody"/>
            </w:pPr>
            <w:r w:rsidRPr="00913816">
              <w:t>Clear solution</w:t>
            </w:r>
          </w:p>
        </w:tc>
        <w:tc>
          <w:tcPr>
            <w:tcW w:w="1939" w:type="dxa"/>
          </w:tcPr>
          <w:p w14:paraId="0BE7306A" w14:textId="77777777" w:rsidR="00DA185A" w:rsidRPr="00EA1AF3" w:rsidRDefault="00DA185A" w:rsidP="00916CCB">
            <w:pPr>
              <w:pStyle w:val="MDPI42tablebody"/>
            </w:pPr>
            <w:r w:rsidRPr="0006297F">
              <w:t>Suspension</w:t>
            </w:r>
          </w:p>
        </w:tc>
      </w:tr>
      <w:tr w:rsidR="00DA185A" w:rsidRPr="00EA1AF3" w14:paraId="7684DE4C" w14:textId="77777777" w:rsidTr="00916CCB">
        <w:trPr>
          <w:jc w:val="center"/>
        </w:trPr>
        <w:tc>
          <w:tcPr>
            <w:tcW w:w="1599" w:type="dxa"/>
            <w:shd w:val="clear" w:color="auto" w:fill="auto"/>
            <w:vAlign w:val="center"/>
          </w:tcPr>
          <w:p w14:paraId="07BBDC56" w14:textId="77777777" w:rsidR="00DA185A" w:rsidRDefault="00DA185A" w:rsidP="00916CCB">
            <w:pPr>
              <w:pStyle w:val="MDPI42tablebody"/>
              <w:spacing w:line="240" w:lineRule="auto"/>
            </w:pPr>
            <w:r>
              <w:t>6</w:t>
            </w:r>
          </w:p>
        </w:tc>
        <w:tc>
          <w:tcPr>
            <w:tcW w:w="1599" w:type="dxa"/>
            <w:shd w:val="clear" w:color="auto" w:fill="auto"/>
            <w:vAlign w:val="center"/>
          </w:tcPr>
          <w:p w14:paraId="4D00906E" w14:textId="77777777" w:rsidR="00DA185A" w:rsidRPr="00EA1AF3" w:rsidRDefault="00DA185A" w:rsidP="00916CCB">
            <w:pPr>
              <w:pStyle w:val="MDPI42tablebody"/>
            </w:pPr>
            <w:r w:rsidRPr="00703B56">
              <w:t>Clear solution</w:t>
            </w:r>
          </w:p>
        </w:tc>
        <w:tc>
          <w:tcPr>
            <w:tcW w:w="1599" w:type="dxa"/>
          </w:tcPr>
          <w:p w14:paraId="29B1A6DA" w14:textId="77777777" w:rsidR="00DA185A" w:rsidRPr="00EA1AF3" w:rsidRDefault="00DA185A" w:rsidP="00916CCB">
            <w:pPr>
              <w:pStyle w:val="MDPI42tablebody"/>
            </w:pPr>
            <w:r w:rsidRPr="00703B56">
              <w:t>Clear solution</w:t>
            </w:r>
          </w:p>
        </w:tc>
        <w:tc>
          <w:tcPr>
            <w:tcW w:w="1939" w:type="dxa"/>
          </w:tcPr>
          <w:p w14:paraId="1F5AB956" w14:textId="77777777" w:rsidR="00DA185A" w:rsidRPr="00EA1AF3" w:rsidRDefault="00DA185A" w:rsidP="00916CCB">
            <w:pPr>
              <w:pStyle w:val="MDPI42tablebody"/>
            </w:pPr>
            <w:r w:rsidRPr="0006297F">
              <w:t>Suspension</w:t>
            </w:r>
          </w:p>
        </w:tc>
      </w:tr>
      <w:tr w:rsidR="00DA185A" w:rsidRPr="00EA1AF3" w14:paraId="74A11F8C" w14:textId="77777777" w:rsidTr="00916CCB">
        <w:trPr>
          <w:jc w:val="center"/>
        </w:trPr>
        <w:tc>
          <w:tcPr>
            <w:tcW w:w="1599" w:type="dxa"/>
            <w:shd w:val="clear" w:color="auto" w:fill="auto"/>
            <w:vAlign w:val="center"/>
          </w:tcPr>
          <w:p w14:paraId="62510371" w14:textId="77777777" w:rsidR="00DA185A" w:rsidRDefault="00DA185A" w:rsidP="00916CCB">
            <w:pPr>
              <w:pStyle w:val="MDPI42tablebody"/>
              <w:spacing w:line="240" w:lineRule="auto"/>
            </w:pPr>
            <w:r>
              <w:t>7</w:t>
            </w:r>
          </w:p>
        </w:tc>
        <w:tc>
          <w:tcPr>
            <w:tcW w:w="1599" w:type="dxa"/>
            <w:shd w:val="clear" w:color="auto" w:fill="auto"/>
            <w:vAlign w:val="center"/>
          </w:tcPr>
          <w:p w14:paraId="58FDED60" w14:textId="77777777" w:rsidR="00DA185A" w:rsidRPr="00EA1AF3" w:rsidRDefault="00DA185A" w:rsidP="00916CCB">
            <w:pPr>
              <w:pStyle w:val="MDPI42tablebody"/>
            </w:pPr>
            <w:r w:rsidRPr="00415ABD">
              <w:t>Clear solution</w:t>
            </w:r>
          </w:p>
        </w:tc>
        <w:tc>
          <w:tcPr>
            <w:tcW w:w="1599" w:type="dxa"/>
          </w:tcPr>
          <w:p w14:paraId="20886839" w14:textId="77777777" w:rsidR="00DA185A" w:rsidRPr="00EA1AF3" w:rsidRDefault="00DA185A" w:rsidP="00916CCB">
            <w:pPr>
              <w:pStyle w:val="MDPI42tablebody"/>
            </w:pPr>
            <w:r w:rsidRPr="00415ABD">
              <w:t>Clear solution</w:t>
            </w:r>
          </w:p>
        </w:tc>
        <w:tc>
          <w:tcPr>
            <w:tcW w:w="1939" w:type="dxa"/>
          </w:tcPr>
          <w:p w14:paraId="2C131F36" w14:textId="77777777" w:rsidR="00DA185A" w:rsidRPr="00EA1AF3" w:rsidRDefault="00DA185A" w:rsidP="00916CCB">
            <w:pPr>
              <w:pStyle w:val="MDPI42tablebody"/>
            </w:pPr>
            <w:r w:rsidRPr="00415ABD">
              <w:t>Clear solution</w:t>
            </w:r>
          </w:p>
        </w:tc>
      </w:tr>
      <w:tr w:rsidR="00DA185A" w:rsidRPr="00EA1AF3" w14:paraId="317ED6A1" w14:textId="77777777" w:rsidTr="00916CCB">
        <w:trPr>
          <w:jc w:val="center"/>
        </w:trPr>
        <w:tc>
          <w:tcPr>
            <w:tcW w:w="1599" w:type="dxa"/>
            <w:shd w:val="clear" w:color="auto" w:fill="auto"/>
            <w:vAlign w:val="center"/>
          </w:tcPr>
          <w:p w14:paraId="64444241" w14:textId="77777777" w:rsidR="00DA185A" w:rsidRDefault="00DA185A" w:rsidP="00916CCB">
            <w:pPr>
              <w:pStyle w:val="MDPI42tablebody"/>
              <w:spacing w:line="240" w:lineRule="auto"/>
            </w:pPr>
            <w:r>
              <w:t>8</w:t>
            </w:r>
          </w:p>
        </w:tc>
        <w:tc>
          <w:tcPr>
            <w:tcW w:w="1599" w:type="dxa"/>
            <w:shd w:val="clear" w:color="auto" w:fill="auto"/>
            <w:vAlign w:val="center"/>
          </w:tcPr>
          <w:p w14:paraId="29AEB652" w14:textId="77777777" w:rsidR="00DA185A" w:rsidRPr="00EA1AF3" w:rsidRDefault="00DA185A" w:rsidP="00916CCB">
            <w:pPr>
              <w:pStyle w:val="MDPI42tablebody"/>
            </w:pPr>
            <w:r w:rsidRPr="00415ABD">
              <w:t>Clear solution</w:t>
            </w:r>
          </w:p>
        </w:tc>
        <w:tc>
          <w:tcPr>
            <w:tcW w:w="1599" w:type="dxa"/>
          </w:tcPr>
          <w:p w14:paraId="2E95212F" w14:textId="77777777" w:rsidR="00DA185A" w:rsidRPr="00EA1AF3" w:rsidRDefault="00DA185A" w:rsidP="00916CCB">
            <w:pPr>
              <w:pStyle w:val="MDPI42tablebody"/>
            </w:pPr>
            <w:r w:rsidRPr="00415ABD">
              <w:t>Clear solution</w:t>
            </w:r>
          </w:p>
        </w:tc>
        <w:tc>
          <w:tcPr>
            <w:tcW w:w="1939" w:type="dxa"/>
          </w:tcPr>
          <w:p w14:paraId="2A26E729" w14:textId="77777777" w:rsidR="00DA185A" w:rsidRPr="00EA1AF3" w:rsidRDefault="00DA185A" w:rsidP="00916CCB">
            <w:pPr>
              <w:pStyle w:val="MDPI42tablebody"/>
            </w:pPr>
            <w:r w:rsidRPr="00415ABD">
              <w:t>Clear solution</w:t>
            </w:r>
          </w:p>
        </w:tc>
      </w:tr>
      <w:tr w:rsidR="00DA185A" w:rsidRPr="00EA1AF3" w14:paraId="5F6BC2E8" w14:textId="77777777" w:rsidTr="00916CCB">
        <w:trPr>
          <w:jc w:val="center"/>
        </w:trPr>
        <w:tc>
          <w:tcPr>
            <w:tcW w:w="1599" w:type="dxa"/>
            <w:shd w:val="clear" w:color="auto" w:fill="auto"/>
            <w:vAlign w:val="center"/>
          </w:tcPr>
          <w:p w14:paraId="69FCA3F2" w14:textId="77777777" w:rsidR="00DA185A" w:rsidRDefault="00DA185A" w:rsidP="00916CCB">
            <w:pPr>
              <w:pStyle w:val="MDPI42tablebody"/>
              <w:spacing w:line="240" w:lineRule="auto"/>
            </w:pPr>
            <w:r>
              <w:t>9</w:t>
            </w:r>
          </w:p>
        </w:tc>
        <w:tc>
          <w:tcPr>
            <w:tcW w:w="1599" w:type="dxa"/>
            <w:shd w:val="clear" w:color="auto" w:fill="auto"/>
            <w:vAlign w:val="center"/>
          </w:tcPr>
          <w:p w14:paraId="1C2A635E" w14:textId="77777777" w:rsidR="00DA185A" w:rsidRPr="00EA1AF3" w:rsidRDefault="00DA185A" w:rsidP="00916CCB">
            <w:pPr>
              <w:pStyle w:val="MDPI42tablebody"/>
            </w:pPr>
            <w:r w:rsidRPr="00415ABD">
              <w:t>Clear solution</w:t>
            </w:r>
          </w:p>
        </w:tc>
        <w:tc>
          <w:tcPr>
            <w:tcW w:w="1599" w:type="dxa"/>
          </w:tcPr>
          <w:p w14:paraId="2132C892" w14:textId="77777777" w:rsidR="00DA185A" w:rsidRPr="00EA1AF3" w:rsidRDefault="00DA185A" w:rsidP="00916CCB">
            <w:pPr>
              <w:pStyle w:val="MDPI42tablebody"/>
            </w:pPr>
            <w:r w:rsidRPr="00415ABD">
              <w:t>Clear solution</w:t>
            </w:r>
          </w:p>
        </w:tc>
        <w:tc>
          <w:tcPr>
            <w:tcW w:w="1939" w:type="dxa"/>
          </w:tcPr>
          <w:p w14:paraId="34453E17" w14:textId="77777777" w:rsidR="00DA185A" w:rsidRPr="00EA1AF3" w:rsidRDefault="00DA185A" w:rsidP="00916CCB">
            <w:pPr>
              <w:pStyle w:val="MDPI42tablebody"/>
            </w:pPr>
            <w:r w:rsidRPr="00415ABD">
              <w:t>Clear solution</w:t>
            </w:r>
          </w:p>
        </w:tc>
      </w:tr>
      <w:tr w:rsidR="00DA185A" w:rsidRPr="00EA1AF3" w14:paraId="4108F461" w14:textId="77777777" w:rsidTr="00916CCB">
        <w:trPr>
          <w:jc w:val="center"/>
        </w:trPr>
        <w:tc>
          <w:tcPr>
            <w:tcW w:w="1599" w:type="dxa"/>
            <w:shd w:val="clear" w:color="auto" w:fill="auto"/>
            <w:vAlign w:val="center"/>
          </w:tcPr>
          <w:p w14:paraId="44213438" w14:textId="77777777" w:rsidR="00DA185A" w:rsidRDefault="00DA185A" w:rsidP="00916CCB">
            <w:pPr>
              <w:pStyle w:val="MDPI42tablebody"/>
              <w:spacing w:line="240" w:lineRule="auto"/>
            </w:pPr>
            <w:r>
              <w:t>10</w:t>
            </w:r>
          </w:p>
        </w:tc>
        <w:tc>
          <w:tcPr>
            <w:tcW w:w="1599" w:type="dxa"/>
            <w:shd w:val="clear" w:color="auto" w:fill="auto"/>
            <w:vAlign w:val="center"/>
          </w:tcPr>
          <w:p w14:paraId="48DD1E70" w14:textId="77777777" w:rsidR="00DA185A" w:rsidRPr="00EA1AF3" w:rsidRDefault="00DA185A" w:rsidP="00916CCB">
            <w:pPr>
              <w:pStyle w:val="MDPI42tablebody"/>
            </w:pPr>
            <w:r w:rsidRPr="00D117AE">
              <w:t>Clear solution</w:t>
            </w:r>
          </w:p>
        </w:tc>
        <w:tc>
          <w:tcPr>
            <w:tcW w:w="1599" w:type="dxa"/>
          </w:tcPr>
          <w:p w14:paraId="65E57D36" w14:textId="77777777" w:rsidR="00DA185A" w:rsidRPr="00EA1AF3" w:rsidRDefault="00DA185A" w:rsidP="00916CCB">
            <w:pPr>
              <w:pStyle w:val="MDPI42tablebody"/>
            </w:pPr>
            <w:r w:rsidRPr="00D117AE">
              <w:t>Clear solution</w:t>
            </w:r>
          </w:p>
        </w:tc>
        <w:tc>
          <w:tcPr>
            <w:tcW w:w="1939" w:type="dxa"/>
          </w:tcPr>
          <w:p w14:paraId="3001683F" w14:textId="77777777" w:rsidR="00DA185A" w:rsidRPr="00EA1AF3" w:rsidRDefault="00DA185A" w:rsidP="00916CCB">
            <w:pPr>
              <w:pStyle w:val="MDPI42tablebody"/>
            </w:pPr>
            <w:r w:rsidRPr="00D117AE">
              <w:t>Insoluble</w:t>
            </w:r>
          </w:p>
        </w:tc>
      </w:tr>
    </w:tbl>
    <w:p w14:paraId="0F940F9F" w14:textId="77777777" w:rsidR="00DA185A" w:rsidRPr="00B03536" w:rsidRDefault="00DA185A" w:rsidP="00DA185A">
      <w:pPr>
        <w:spacing w:before="240" w:line="260" w:lineRule="atLeast"/>
        <w:rPr>
          <w:rFonts w:ascii="Palatino Linotype" w:hAnsi="Palatino Linotype"/>
          <w:sz w:val="18"/>
          <w:szCs w:val="18"/>
        </w:rPr>
      </w:pPr>
      <w:r w:rsidRPr="00B03536">
        <w:rPr>
          <w:rFonts w:ascii="Palatino Linotype" w:hAnsi="Palatino Linotype"/>
          <w:b/>
          <w:sz w:val="18"/>
          <w:szCs w:val="18"/>
        </w:rPr>
        <w:t xml:space="preserve">Supplementary Table </w:t>
      </w:r>
      <w:r>
        <w:rPr>
          <w:rFonts w:ascii="Palatino Linotype" w:hAnsi="Palatino Linotype"/>
          <w:b/>
          <w:sz w:val="18"/>
          <w:szCs w:val="18"/>
        </w:rPr>
        <w:t>7</w:t>
      </w:r>
      <w:r w:rsidRPr="00B03536">
        <w:rPr>
          <w:rFonts w:ascii="Palatino Linotype" w:hAnsi="Palatino Linotype"/>
          <w:b/>
          <w:sz w:val="18"/>
          <w:szCs w:val="18"/>
        </w:rPr>
        <w:t>. Solubility of bepridil, sertraline and toremifene in ten test vehicles.</w:t>
      </w:r>
      <w:r w:rsidRPr="00B03536">
        <w:rPr>
          <w:rFonts w:ascii="Palatino Linotype" w:hAnsi="Palatino Linotype"/>
          <w:sz w:val="18"/>
          <w:szCs w:val="18"/>
        </w:rPr>
        <w:t xml:space="preserve"> The vehicle formulations were: #1, Aqueous Suspension Vehicle; #2, 20% Captisol in water; #3, 37.5% PEG 400/ 37.5% Tween 20/25% Capmul MCM NF; #4, Vegetable Oil; #5, PEG 400; #6, 10% Solutol/90% PEG 400; #7, 5% NMP/95% PEG 300; #8, 80% PEG 400/ 20% of 0.1% Tween-20 in Water; #9, 3% NMP/45% PEG300/12% ethanol/40% sterile water; #10, 40% Propylene Glycol/30% Solutol HS 15/30% Sterile Water. Drug concentrations were: Bepridil, 25 mg/ml; Sertraline, 3 mg/ml; toremifene, 8.4 mg/ml. See </w:t>
      </w:r>
      <w:r>
        <w:rPr>
          <w:rFonts w:ascii="Palatino Linotype" w:hAnsi="Palatino Linotype"/>
          <w:sz w:val="18"/>
          <w:szCs w:val="18"/>
        </w:rPr>
        <w:t xml:space="preserve">the </w:t>
      </w:r>
      <w:r w:rsidRPr="00B03536">
        <w:rPr>
          <w:rFonts w:ascii="Palatino Linotype" w:hAnsi="Palatino Linotype"/>
          <w:sz w:val="18"/>
          <w:szCs w:val="18"/>
        </w:rPr>
        <w:t>Supplementary Doc</w:t>
      </w:r>
      <w:r>
        <w:rPr>
          <w:rFonts w:ascii="Palatino Linotype" w:hAnsi="Palatino Linotype"/>
          <w:sz w:val="18"/>
          <w:szCs w:val="18"/>
        </w:rPr>
        <w:t xml:space="preserve">ument </w:t>
      </w:r>
      <w:r w:rsidRPr="00B03536">
        <w:rPr>
          <w:rFonts w:ascii="Palatino Linotype" w:hAnsi="Palatino Linotype"/>
          <w:sz w:val="18"/>
          <w:szCs w:val="18"/>
        </w:rPr>
        <w:t>for details on sample preparation.</w:t>
      </w:r>
    </w:p>
    <w:p w14:paraId="3C4DCDB6" w14:textId="1FBAFDDB" w:rsidR="00102726" w:rsidRDefault="00102726">
      <w:pPr>
        <w:rPr>
          <w:rFonts w:ascii="Palatino Linotype" w:hAnsi="Palatino Linotype"/>
          <w:sz w:val="18"/>
          <w:szCs w:val="18"/>
        </w:rPr>
      </w:pPr>
      <w:r>
        <w:rPr>
          <w:rFonts w:ascii="Palatino Linotype" w:hAnsi="Palatino Linotype"/>
          <w:sz w:val="18"/>
          <w:szCs w:val="18"/>
        </w:rPr>
        <w:br w:type="page"/>
      </w:r>
    </w:p>
    <w:p w14:paraId="63A98ACE" w14:textId="77777777" w:rsidR="00DA185A" w:rsidRDefault="00DA185A" w:rsidP="00EB47CB">
      <w:pPr>
        <w:spacing w:before="120" w:after="240" w:line="260" w:lineRule="atLeast"/>
        <w:rPr>
          <w:rFonts w:ascii="Palatino Linotype" w:hAnsi="Palatino Linotype"/>
          <w:sz w:val="18"/>
          <w:szCs w:val="18"/>
        </w:rPr>
      </w:pPr>
    </w:p>
    <w:p w14:paraId="7A3EEF47" w14:textId="77777777" w:rsidR="00102726" w:rsidRDefault="00102726" w:rsidP="00EB47CB">
      <w:pPr>
        <w:spacing w:before="120" w:after="240" w:line="260" w:lineRule="atLeast"/>
        <w:rPr>
          <w:rFonts w:ascii="Palatino Linotype" w:hAnsi="Palatino Linotype"/>
          <w:sz w:val="18"/>
          <w:szCs w:val="18"/>
        </w:rPr>
      </w:pPr>
    </w:p>
    <w:p w14:paraId="5B6E6CF4" w14:textId="77777777" w:rsidR="00102726" w:rsidRDefault="00102726" w:rsidP="00EB47CB">
      <w:pPr>
        <w:spacing w:before="120" w:after="240" w:line="260" w:lineRule="atLeast"/>
        <w:rPr>
          <w:rFonts w:ascii="Palatino Linotype" w:hAnsi="Palatino Linotype"/>
          <w:sz w:val="18"/>
          <w:szCs w:val="18"/>
        </w:rPr>
      </w:pP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gridCol w:w="1599"/>
      </w:tblGrid>
      <w:tr w:rsidR="00CD09DF" w:rsidRPr="0056617C" w14:paraId="0F5FE2C9" w14:textId="77777777" w:rsidTr="00916CCB">
        <w:trPr>
          <w:jc w:val="center"/>
        </w:trPr>
        <w:tc>
          <w:tcPr>
            <w:tcW w:w="1599" w:type="dxa"/>
            <w:tcBorders>
              <w:bottom w:val="single" w:sz="4" w:space="0" w:color="auto"/>
            </w:tcBorders>
            <w:shd w:val="clear" w:color="auto" w:fill="auto"/>
            <w:vAlign w:val="center"/>
          </w:tcPr>
          <w:p w14:paraId="68CDB30E" w14:textId="77777777" w:rsidR="00CD09DF" w:rsidRPr="0056617C" w:rsidRDefault="00CD09DF" w:rsidP="00916CCB">
            <w:pPr>
              <w:pStyle w:val="MDPI42tablebody"/>
              <w:spacing w:line="240" w:lineRule="auto"/>
              <w:rPr>
                <w:b/>
              </w:rPr>
            </w:pPr>
            <w:r>
              <w:rPr>
                <w:b/>
              </w:rPr>
              <w:t>Drug 1</w:t>
            </w:r>
          </w:p>
        </w:tc>
        <w:tc>
          <w:tcPr>
            <w:tcW w:w="1599" w:type="dxa"/>
            <w:tcBorders>
              <w:bottom w:val="single" w:sz="4" w:space="0" w:color="auto"/>
            </w:tcBorders>
            <w:shd w:val="clear" w:color="auto" w:fill="auto"/>
            <w:vAlign w:val="center"/>
          </w:tcPr>
          <w:p w14:paraId="365B1E31" w14:textId="77777777" w:rsidR="00CD09DF" w:rsidRPr="0056617C" w:rsidRDefault="00CD09DF" w:rsidP="00916CCB">
            <w:pPr>
              <w:pStyle w:val="MDPI42tablebody"/>
              <w:spacing w:line="240" w:lineRule="auto"/>
              <w:rPr>
                <w:b/>
              </w:rPr>
            </w:pPr>
            <w:r>
              <w:rPr>
                <w:b/>
              </w:rPr>
              <w:t>Drug 2</w:t>
            </w:r>
          </w:p>
        </w:tc>
        <w:tc>
          <w:tcPr>
            <w:tcW w:w="1599" w:type="dxa"/>
            <w:tcBorders>
              <w:bottom w:val="single" w:sz="4" w:space="0" w:color="auto"/>
            </w:tcBorders>
            <w:shd w:val="clear" w:color="auto" w:fill="auto"/>
            <w:vAlign w:val="center"/>
          </w:tcPr>
          <w:p w14:paraId="60A20C2D" w14:textId="77777777" w:rsidR="00CD09DF" w:rsidRDefault="00CD09DF" w:rsidP="00916CCB">
            <w:pPr>
              <w:pStyle w:val="MDPI42tablebody"/>
              <w:spacing w:line="240" w:lineRule="auto"/>
              <w:rPr>
                <w:b/>
              </w:rPr>
            </w:pPr>
            <w:r>
              <w:rPr>
                <w:b/>
              </w:rPr>
              <w:t>MacSynery</w:t>
            </w:r>
          </w:p>
          <w:p w14:paraId="43B9F409" w14:textId="77777777" w:rsidR="00CD09DF" w:rsidRPr="0056617C" w:rsidRDefault="00CD09DF" w:rsidP="00916CCB">
            <w:pPr>
              <w:pStyle w:val="MDPI42tablebody"/>
              <w:spacing w:line="240" w:lineRule="auto"/>
              <w:rPr>
                <w:b/>
              </w:rPr>
            </w:pPr>
            <w:r>
              <w:rPr>
                <w:b/>
              </w:rPr>
              <w:t>(Av. LogV)</w:t>
            </w:r>
          </w:p>
        </w:tc>
        <w:tc>
          <w:tcPr>
            <w:tcW w:w="1599" w:type="dxa"/>
            <w:tcBorders>
              <w:bottom w:val="single" w:sz="4" w:space="0" w:color="auto"/>
            </w:tcBorders>
          </w:tcPr>
          <w:p w14:paraId="4FD3E75E" w14:textId="77777777" w:rsidR="00CD09DF" w:rsidRPr="0056617C" w:rsidRDefault="00CD09DF" w:rsidP="00916CCB">
            <w:pPr>
              <w:pStyle w:val="MDPI42tablebody"/>
              <w:spacing w:line="240" w:lineRule="auto"/>
              <w:rPr>
                <w:b/>
              </w:rPr>
            </w:pPr>
            <w:r>
              <w:rPr>
                <w:b/>
              </w:rPr>
              <w:t>n</w:t>
            </w:r>
          </w:p>
        </w:tc>
      </w:tr>
      <w:tr w:rsidR="00CD09DF" w:rsidRPr="00EA1AF3" w14:paraId="6AB31563" w14:textId="77777777" w:rsidTr="00916CCB">
        <w:trPr>
          <w:jc w:val="center"/>
        </w:trPr>
        <w:tc>
          <w:tcPr>
            <w:tcW w:w="1599" w:type="dxa"/>
            <w:shd w:val="clear" w:color="auto" w:fill="auto"/>
            <w:vAlign w:val="center"/>
          </w:tcPr>
          <w:p w14:paraId="6C8BE021" w14:textId="77777777" w:rsidR="00CD09DF" w:rsidRPr="00EA1AF3" w:rsidRDefault="00CD09DF" w:rsidP="00916CCB">
            <w:pPr>
              <w:pStyle w:val="MDPI42tablebody"/>
              <w:spacing w:line="240" w:lineRule="auto"/>
            </w:pPr>
            <w:r>
              <w:t>Aripiprazole</w:t>
            </w:r>
          </w:p>
        </w:tc>
        <w:tc>
          <w:tcPr>
            <w:tcW w:w="1599" w:type="dxa"/>
            <w:shd w:val="clear" w:color="auto" w:fill="auto"/>
            <w:vAlign w:val="center"/>
          </w:tcPr>
          <w:p w14:paraId="4D224B26" w14:textId="77777777" w:rsidR="00CD09DF" w:rsidRPr="00EA1AF3" w:rsidRDefault="00CD09DF" w:rsidP="00916CCB">
            <w:pPr>
              <w:pStyle w:val="MDPI42tablebody"/>
              <w:spacing w:line="240" w:lineRule="auto"/>
            </w:pPr>
            <w:r>
              <w:t>Piperacetazine</w:t>
            </w:r>
          </w:p>
        </w:tc>
        <w:tc>
          <w:tcPr>
            <w:tcW w:w="1599" w:type="dxa"/>
            <w:shd w:val="clear" w:color="auto" w:fill="auto"/>
            <w:vAlign w:val="center"/>
          </w:tcPr>
          <w:p w14:paraId="37A9BFB4" w14:textId="77777777" w:rsidR="00CD09DF" w:rsidRPr="00EA1AF3" w:rsidRDefault="00CD09DF" w:rsidP="00916CCB">
            <w:pPr>
              <w:pStyle w:val="MDPI42tablebody"/>
              <w:spacing w:line="240" w:lineRule="auto"/>
            </w:pPr>
            <w:r>
              <w:t>15.0</w:t>
            </w:r>
          </w:p>
        </w:tc>
        <w:tc>
          <w:tcPr>
            <w:tcW w:w="1599" w:type="dxa"/>
          </w:tcPr>
          <w:p w14:paraId="062C4080" w14:textId="77777777" w:rsidR="00CD09DF" w:rsidRPr="00EA1AF3" w:rsidRDefault="00CD09DF" w:rsidP="00916CCB">
            <w:pPr>
              <w:pStyle w:val="MDPI42tablebody"/>
              <w:spacing w:line="240" w:lineRule="auto"/>
            </w:pPr>
            <w:r>
              <w:t xml:space="preserve">2 </w:t>
            </w:r>
            <w:r w:rsidRPr="00DA32D2">
              <w:rPr>
                <w:vertAlign w:val="superscript"/>
              </w:rPr>
              <w:t>1</w:t>
            </w:r>
          </w:p>
        </w:tc>
      </w:tr>
      <w:tr w:rsidR="00CD09DF" w:rsidRPr="00EA1AF3" w14:paraId="2F3C830F" w14:textId="77777777" w:rsidTr="00916CCB">
        <w:trPr>
          <w:jc w:val="center"/>
        </w:trPr>
        <w:tc>
          <w:tcPr>
            <w:tcW w:w="1599" w:type="dxa"/>
            <w:shd w:val="clear" w:color="auto" w:fill="auto"/>
            <w:vAlign w:val="center"/>
          </w:tcPr>
          <w:p w14:paraId="73485B37" w14:textId="77777777" w:rsidR="00CD09DF" w:rsidRPr="00EA1AF3" w:rsidRDefault="00CD09DF" w:rsidP="00916CCB">
            <w:pPr>
              <w:pStyle w:val="MDPI42tablebody"/>
              <w:spacing w:line="240" w:lineRule="auto"/>
            </w:pPr>
            <w:r>
              <w:t>Aripiprazole</w:t>
            </w:r>
          </w:p>
        </w:tc>
        <w:tc>
          <w:tcPr>
            <w:tcW w:w="1599" w:type="dxa"/>
            <w:shd w:val="clear" w:color="auto" w:fill="auto"/>
            <w:vAlign w:val="center"/>
          </w:tcPr>
          <w:p w14:paraId="39E04E88" w14:textId="77777777" w:rsidR="00CD09DF" w:rsidRPr="00EA1AF3" w:rsidRDefault="00CD09DF" w:rsidP="00916CCB">
            <w:pPr>
              <w:pStyle w:val="MDPI42tablebody"/>
              <w:spacing w:line="240" w:lineRule="auto"/>
            </w:pPr>
            <w:r>
              <w:t>Amodiaquine</w:t>
            </w:r>
          </w:p>
        </w:tc>
        <w:tc>
          <w:tcPr>
            <w:tcW w:w="1599" w:type="dxa"/>
            <w:shd w:val="clear" w:color="auto" w:fill="auto"/>
            <w:vAlign w:val="center"/>
          </w:tcPr>
          <w:p w14:paraId="6D31937E" w14:textId="77777777" w:rsidR="00CD09DF" w:rsidRPr="00EA1AF3" w:rsidRDefault="00CD09DF" w:rsidP="00916CCB">
            <w:pPr>
              <w:pStyle w:val="MDPI42tablebody"/>
              <w:spacing w:line="240" w:lineRule="auto"/>
            </w:pPr>
            <w:r>
              <w:t>3.2</w:t>
            </w:r>
          </w:p>
        </w:tc>
        <w:tc>
          <w:tcPr>
            <w:tcW w:w="1599" w:type="dxa"/>
          </w:tcPr>
          <w:p w14:paraId="21F42BAE" w14:textId="77777777" w:rsidR="00CD09DF" w:rsidRPr="00EA1AF3" w:rsidRDefault="00CD09DF" w:rsidP="00916CCB">
            <w:pPr>
              <w:pStyle w:val="MDPI42tablebody"/>
              <w:spacing w:line="240" w:lineRule="auto"/>
            </w:pPr>
            <w:r>
              <w:t>3</w:t>
            </w:r>
          </w:p>
        </w:tc>
      </w:tr>
      <w:tr w:rsidR="00CD09DF" w:rsidRPr="00EA1AF3" w14:paraId="1D29CC45" w14:textId="77777777" w:rsidTr="00916CCB">
        <w:trPr>
          <w:jc w:val="center"/>
        </w:trPr>
        <w:tc>
          <w:tcPr>
            <w:tcW w:w="1599" w:type="dxa"/>
            <w:shd w:val="clear" w:color="auto" w:fill="auto"/>
            <w:vAlign w:val="center"/>
          </w:tcPr>
          <w:p w14:paraId="3F7CAFEA" w14:textId="77777777" w:rsidR="00CD09DF" w:rsidRPr="00EA1AF3" w:rsidRDefault="00CD09DF" w:rsidP="00916CCB">
            <w:pPr>
              <w:pStyle w:val="MDPI42tablebody"/>
              <w:spacing w:line="240" w:lineRule="auto"/>
            </w:pPr>
            <w:r>
              <w:t>Aripiprazole</w:t>
            </w:r>
          </w:p>
        </w:tc>
        <w:tc>
          <w:tcPr>
            <w:tcW w:w="1599" w:type="dxa"/>
            <w:shd w:val="clear" w:color="auto" w:fill="auto"/>
            <w:vAlign w:val="center"/>
          </w:tcPr>
          <w:p w14:paraId="2D757934" w14:textId="77777777" w:rsidR="00CD09DF" w:rsidRPr="00EA1AF3" w:rsidRDefault="00CD09DF" w:rsidP="00916CCB">
            <w:pPr>
              <w:pStyle w:val="MDPI42tablebody"/>
              <w:spacing w:line="240" w:lineRule="auto"/>
            </w:pPr>
            <w:r>
              <w:t>Bepridil</w:t>
            </w:r>
          </w:p>
        </w:tc>
        <w:tc>
          <w:tcPr>
            <w:tcW w:w="1599" w:type="dxa"/>
            <w:shd w:val="clear" w:color="auto" w:fill="auto"/>
            <w:vAlign w:val="center"/>
          </w:tcPr>
          <w:p w14:paraId="0EB78787" w14:textId="77777777" w:rsidR="00CD09DF" w:rsidRPr="00EA1AF3" w:rsidRDefault="00CD09DF" w:rsidP="00916CCB">
            <w:pPr>
              <w:pStyle w:val="MDPI42tablebody"/>
              <w:spacing w:line="240" w:lineRule="auto"/>
            </w:pPr>
            <w:r>
              <w:t>7.5</w:t>
            </w:r>
          </w:p>
        </w:tc>
        <w:tc>
          <w:tcPr>
            <w:tcW w:w="1599" w:type="dxa"/>
          </w:tcPr>
          <w:p w14:paraId="31D6EC08" w14:textId="77777777" w:rsidR="00CD09DF" w:rsidRPr="00EA1AF3" w:rsidRDefault="00CD09DF" w:rsidP="00916CCB">
            <w:pPr>
              <w:pStyle w:val="MDPI42tablebody"/>
              <w:spacing w:line="240" w:lineRule="auto"/>
            </w:pPr>
            <w:r>
              <w:t>2</w:t>
            </w:r>
          </w:p>
        </w:tc>
      </w:tr>
      <w:tr w:rsidR="00CD09DF" w:rsidRPr="00EA1AF3" w14:paraId="480F5A6E" w14:textId="77777777" w:rsidTr="00916CCB">
        <w:trPr>
          <w:jc w:val="center"/>
        </w:trPr>
        <w:tc>
          <w:tcPr>
            <w:tcW w:w="1599" w:type="dxa"/>
            <w:shd w:val="clear" w:color="auto" w:fill="auto"/>
            <w:vAlign w:val="center"/>
          </w:tcPr>
          <w:p w14:paraId="678E32FA" w14:textId="77777777" w:rsidR="00CD09DF" w:rsidRDefault="00CD09DF" w:rsidP="00916CCB">
            <w:pPr>
              <w:pStyle w:val="MDPI42tablebody"/>
              <w:spacing w:line="240" w:lineRule="auto"/>
            </w:pPr>
            <w:r>
              <w:t>Favipiravir</w:t>
            </w:r>
          </w:p>
        </w:tc>
        <w:tc>
          <w:tcPr>
            <w:tcW w:w="1599" w:type="dxa"/>
            <w:shd w:val="clear" w:color="auto" w:fill="auto"/>
            <w:vAlign w:val="center"/>
          </w:tcPr>
          <w:p w14:paraId="55469EB3" w14:textId="77777777" w:rsidR="00CD09DF" w:rsidRDefault="00CD09DF" w:rsidP="00916CCB">
            <w:pPr>
              <w:pStyle w:val="MDPI42tablebody"/>
              <w:spacing w:line="240" w:lineRule="auto"/>
            </w:pPr>
            <w:r>
              <w:t>Bepridil</w:t>
            </w:r>
          </w:p>
        </w:tc>
        <w:tc>
          <w:tcPr>
            <w:tcW w:w="1599" w:type="dxa"/>
            <w:shd w:val="clear" w:color="auto" w:fill="auto"/>
            <w:vAlign w:val="center"/>
          </w:tcPr>
          <w:p w14:paraId="114318DD" w14:textId="77777777" w:rsidR="00CD09DF" w:rsidRDefault="00CD09DF" w:rsidP="00916CCB">
            <w:pPr>
              <w:pStyle w:val="MDPI42tablebody"/>
              <w:spacing w:line="240" w:lineRule="auto"/>
            </w:pPr>
            <w:r>
              <w:t>0.0</w:t>
            </w:r>
          </w:p>
        </w:tc>
        <w:tc>
          <w:tcPr>
            <w:tcW w:w="1599" w:type="dxa"/>
          </w:tcPr>
          <w:p w14:paraId="561D95F9" w14:textId="77777777" w:rsidR="00CD09DF" w:rsidRDefault="00CD09DF" w:rsidP="00916CCB">
            <w:pPr>
              <w:pStyle w:val="MDPI42tablebody"/>
              <w:spacing w:line="240" w:lineRule="auto"/>
            </w:pPr>
            <w:r>
              <w:t>3</w:t>
            </w:r>
          </w:p>
        </w:tc>
      </w:tr>
      <w:tr w:rsidR="00CD09DF" w:rsidRPr="00EA1AF3" w14:paraId="6929458A" w14:textId="77777777" w:rsidTr="00916CCB">
        <w:trPr>
          <w:jc w:val="center"/>
        </w:trPr>
        <w:tc>
          <w:tcPr>
            <w:tcW w:w="1599" w:type="dxa"/>
            <w:shd w:val="clear" w:color="auto" w:fill="auto"/>
            <w:vAlign w:val="center"/>
          </w:tcPr>
          <w:p w14:paraId="100D1A29" w14:textId="77777777" w:rsidR="00CD09DF" w:rsidRDefault="00CD09DF" w:rsidP="00916CCB">
            <w:pPr>
              <w:pStyle w:val="MDPI42tablebody"/>
              <w:spacing w:line="240" w:lineRule="auto"/>
            </w:pPr>
            <w:r>
              <w:t>Favipiravir</w:t>
            </w:r>
          </w:p>
        </w:tc>
        <w:tc>
          <w:tcPr>
            <w:tcW w:w="1599" w:type="dxa"/>
            <w:shd w:val="clear" w:color="auto" w:fill="auto"/>
            <w:vAlign w:val="center"/>
          </w:tcPr>
          <w:p w14:paraId="61B15575" w14:textId="77777777" w:rsidR="00CD09DF" w:rsidRDefault="00CD09DF" w:rsidP="00916CCB">
            <w:pPr>
              <w:pStyle w:val="MDPI42tablebody"/>
              <w:spacing w:line="240" w:lineRule="auto"/>
            </w:pPr>
            <w:r>
              <w:t>Amodiaquine</w:t>
            </w:r>
          </w:p>
        </w:tc>
        <w:tc>
          <w:tcPr>
            <w:tcW w:w="1599" w:type="dxa"/>
            <w:shd w:val="clear" w:color="auto" w:fill="auto"/>
            <w:vAlign w:val="center"/>
          </w:tcPr>
          <w:p w14:paraId="6B285D0B" w14:textId="77777777" w:rsidR="00CD09DF" w:rsidRDefault="00CD09DF" w:rsidP="00916CCB">
            <w:pPr>
              <w:pStyle w:val="MDPI42tablebody"/>
              <w:spacing w:line="240" w:lineRule="auto"/>
            </w:pPr>
            <w:r>
              <w:t>7.6</w:t>
            </w:r>
          </w:p>
        </w:tc>
        <w:tc>
          <w:tcPr>
            <w:tcW w:w="1599" w:type="dxa"/>
          </w:tcPr>
          <w:p w14:paraId="06864C49" w14:textId="77777777" w:rsidR="00CD09DF" w:rsidRDefault="00CD09DF" w:rsidP="00916CCB">
            <w:pPr>
              <w:pStyle w:val="MDPI42tablebody"/>
              <w:spacing w:line="240" w:lineRule="auto"/>
            </w:pPr>
            <w:r>
              <w:t>3</w:t>
            </w:r>
          </w:p>
        </w:tc>
      </w:tr>
      <w:tr w:rsidR="00CD09DF" w:rsidRPr="00EA1AF3" w14:paraId="1DB618EB" w14:textId="77777777" w:rsidTr="00916CCB">
        <w:trPr>
          <w:jc w:val="center"/>
        </w:trPr>
        <w:tc>
          <w:tcPr>
            <w:tcW w:w="1599" w:type="dxa"/>
            <w:shd w:val="clear" w:color="auto" w:fill="auto"/>
            <w:vAlign w:val="center"/>
          </w:tcPr>
          <w:p w14:paraId="6F5DA1BC" w14:textId="77777777" w:rsidR="00CD09DF" w:rsidRDefault="00CD09DF" w:rsidP="00916CCB">
            <w:pPr>
              <w:pStyle w:val="MDPI42tablebody"/>
              <w:spacing w:line="240" w:lineRule="auto"/>
            </w:pPr>
            <w:r>
              <w:t>Favipiravir</w:t>
            </w:r>
          </w:p>
        </w:tc>
        <w:tc>
          <w:tcPr>
            <w:tcW w:w="1599" w:type="dxa"/>
            <w:shd w:val="clear" w:color="auto" w:fill="auto"/>
            <w:vAlign w:val="center"/>
          </w:tcPr>
          <w:p w14:paraId="7612AAFF" w14:textId="77777777" w:rsidR="00CD09DF" w:rsidRDefault="00CD09DF" w:rsidP="00916CCB">
            <w:pPr>
              <w:pStyle w:val="MDPI42tablebody"/>
              <w:spacing w:line="240" w:lineRule="auto"/>
            </w:pPr>
            <w:r>
              <w:t>Aripiprazole</w:t>
            </w:r>
          </w:p>
        </w:tc>
        <w:tc>
          <w:tcPr>
            <w:tcW w:w="1599" w:type="dxa"/>
            <w:shd w:val="clear" w:color="auto" w:fill="auto"/>
            <w:vAlign w:val="center"/>
          </w:tcPr>
          <w:p w14:paraId="4536E2A9" w14:textId="77777777" w:rsidR="00CD09DF" w:rsidRDefault="00CD09DF" w:rsidP="00916CCB">
            <w:pPr>
              <w:pStyle w:val="MDPI42tablebody"/>
              <w:spacing w:line="240" w:lineRule="auto"/>
            </w:pPr>
            <w:r>
              <w:t>2.</w:t>
            </w:r>
            <w:r w:rsidRPr="00DA32D2">
              <w:t>0</w:t>
            </w:r>
          </w:p>
        </w:tc>
        <w:tc>
          <w:tcPr>
            <w:tcW w:w="1599" w:type="dxa"/>
          </w:tcPr>
          <w:p w14:paraId="65A24821" w14:textId="77777777" w:rsidR="00CD09DF" w:rsidRDefault="00CD09DF" w:rsidP="00916CCB">
            <w:pPr>
              <w:pStyle w:val="MDPI42tablebody"/>
              <w:spacing w:line="240" w:lineRule="auto"/>
            </w:pPr>
            <w:r>
              <w:t>3</w:t>
            </w:r>
          </w:p>
        </w:tc>
      </w:tr>
      <w:tr w:rsidR="00CD09DF" w:rsidRPr="00EA1AF3" w14:paraId="09B1BEF6" w14:textId="77777777" w:rsidTr="00916CCB">
        <w:trPr>
          <w:jc w:val="center"/>
        </w:trPr>
        <w:tc>
          <w:tcPr>
            <w:tcW w:w="1599" w:type="dxa"/>
            <w:shd w:val="clear" w:color="auto" w:fill="auto"/>
            <w:vAlign w:val="center"/>
          </w:tcPr>
          <w:p w14:paraId="6DE6BDAB" w14:textId="77777777" w:rsidR="00CD09DF" w:rsidRDefault="00CD09DF" w:rsidP="00916CCB">
            <w:pPr>
              <w:pStyle w:val="MDPI42tablebody"/>
              <w:spacing w:line="240" w:lineRule="auto"/>
            </w:pPr>
            <w:r>
              <w:t>Favipiravir</w:t>
            </w:r>
          </w:p>
        </w:tc>
        <w:tc>
          <w:tcPr>
            <w:tcW w:w="1599" w:type="dxa"/>
            <w:shd w:val="clear" w:color="auto" w:fill="auto"/>
            <w:vAlign w:val="center"/>
          </w:tcPr>
          <w:p w14:paraId="48074234" w14:textId="77777777" w:rsidR="00CD09DF" w:rsidRDefault="00CD09DF" w:rsidP="00916CCB">
            <w:pPr>
              <w:pStyle w:val="MDPI42tablebody"/>
              <w:spacing w:line="240" w:lineRule="auto"/>
            </w:pPr>
            <w:r>
              <w:t>Ribavarin</w:t>
            </w:r>
          </w:p>
        </w:tc>
        <w:tc>
          <w:tcPr>
            <w:tcW w:w="1599" w:type="dxa"/>
            <w:shd w:val="clear" w:color="auto" w:fill="auto"/>
            <w:vAlign w:val="center"/>
          </w:tcPr>
          <w:p w14:paraId="5983B31C" w14:textId="77777777" w:rsidR="00CD09DF" w:rsidRDefault="00CD09DF" w:rsidP="00916CCB">
            <w:pPr>
              <w:pStyle w:val="MDPI42tablebody"/>
              <w:spacing w:line="240" w:lineRule="auto"/>
            </w:pPr>
            <w:r>
              <w:t>2.8</w:t>
            </w:r>
          </w:p>
        </w:tc>
        <w:tc>
          <w:tcPr>
            <w:tcW w:w="1599" w:type="dxa"/>
          </w:tcPr>
          <w:p w14:paraId="2C7B1A6E" w14:textId="77777777" w:rsidR="00CD09DF" w:rsidRDefault="00CD09DF" w:rsidP="00916CCB">
            <w:pPr>
              <w:pStyle w:val="MDPI42tablebody"/>
              <w:spacing w:line="240" w:lineRule="auto"/>
            </w:pPr>
            <w:r>
              <w:t>3</w:t>
            </w:r>
          </w:p>
        </w:tc>
      </w:tr>
      <w:tr w:rsidR="00CD09DF" w:rsidRPr="00EA1AF3" w14:paraId="6454FAFF" w14:textId="77777777" w:rsidTr="00916CCB">
        <w:trPr>
          <w:jc w:val="center"/>
        </w:trPr>
        <w:tc>
          <w:tcPr>
            <w:tcW w:w="1599" w:type="dxa"/>
            <w:shd w:val="clear" w:color="auto" w:fill="auto"/>
            <w:vAlign w:val="center"/>
          </w:tcPr>
          <w:p w14:paraId="02F7A469" w14:textId="77777777" w:rsidR="00CD09DF" w:rsidRDefault="00CD09DF" w:rsidP="00916CCB">
            <w:pPr>
              <w:pStyle w:val="MDPI42tablebody"/>
              <w:spacing w:line="240" w:lineRule="auto"/>
            </w:pPr>
            <w:r>
              <w:t>Favipiravir</w:t>
            </w:r>
          </w:p>
        </w:tc>
        <w:tc>
          <w:tcPr>
            <w:tcW w:w="1599" w:type="dxa"/>
            <w:shd w:val="clear" w:color="auto" w:fill="auto"/>
            <w:vAlign w:val="center"/>
          </w:tcPr>
          <w:p w14:paraId="716AF6BB" w14:textId="77777777" w:rsidR="00CD09DF" w:rsidRDefault="00CD09DF" w:rsidP="00916CCB">
            <w:pPr>
              <w:pStyle w:val="MDPI42tablebody"/>
              <w:spacing w:line="240" w:lineRule="auto"/>
            </w:pPr>
            <w:r>
              <w:t>Sertraline</w:t>
            </w:r>
          </w:p>
        </w:tc>
        <w:tc>
          <w:tcPr>
            <w:tcW w:w="1599" w:type="dxa"/>
            <w:shd w:val="clear" w:color="auto" w:fill="auto"/>
            <w:vAlign w:val="center"/>
          </w:tcPr>
          <w:p w14:paraId="2F8852AE" w14:textId="77777777" w:rsidR="00CD09DF" w:rsidRDefault="00CD09DF" w:rsidP="00916CCB">
            <w:pPr>
              <w:pStyle w:val="MDPI42tablebody"/>
              <w:spacing w:line="240" w:lineRule="auto"/>
            </w:pPr>
            <w:r>
              <w:t>0.9</w:t>
            </w:r>
          </w:p>
        </w:tc>
        <w:tc>
          <w:tcPr>
            <w:tcW w:w="1599" w:type="dxa"/>
          </w:tcPr>
          <w:p w14:paraId="1BD8B99A" w14:textId="77777777" w:rsidR="00CD09DF" w:rsidRDefault="00CD09DF" w:rsidP="00916CCB">
            <w:pPr>
              <w:pStyle w:val="MDPI42tablebody"/>
              <w:spacing w:line="240" w:lineRule="auto"/>
            </w:pPr>
            <w:r>
              <w:t>2</w:t>
            </w:r>
          </w:p>
        </w:tc>
      </w:tr>
      <w:tr w:rsidR="00CD09DF" w:rsidRPr="00EA1AF3" w14:paraId="4739FDC4" w14:textId="77777777" w:rsidTr="00916CCB">
        <w:trPr>
          <w:jc w:val="center"/>
        </w:trPr>
        <w:tc>
          <w:tcPr>
            <w:tcW w:w="1599" w:type="dxa"/>
            <w:shd w:val="clear" w:color="auto" w:fill="auto"/>
            <w:vAlign w:val="center"/>
          </w:tcPr>
          <w:p w14:paraId="2B2DEF5D" w14:textId="77777777" w:rsidR="00CD09DF" w:rsidRDefault="00CD09DF" w:rsidP="00916CCB">
            <w:pPr>
              <w:pStyle w:val="MDPI42tablebody"/>
              <w:spacing w:line="240" w:lineRule="auto"/>
            </w:pPr>
            <w:r>
              <w:t>Favipiravir</w:t>
            </w:r>
          </w:p>
        </w:tc>
        <w:tc>
          <w:tcPr>
            <w:tcW w:w="1599" w:type="dxa"/>
            <w:shd w:val="clear" w:color="auto" w:fill="auto"/>
            <w:vAlign w:val="center"/>
          </w:tcPr>
          <w:p w14:paraId="1C449DC0" w14:textId="77777777" w:rsidR="00CD09DF" w:rsidRDefault="00CD09DF" w:rsidP="00916CCB">
            <w:pPr>
              <w:pStyle w:val="MDPI42tablebody"/>
              <w:spacing w:line="240" w:lineRule="auto"/>
            </w:pPr>
            <w:r>
              <w:t>Toremifene</w:t>
            </w:r>
          </w:p>
        </w:tc>
        <w:tc>
          <w:tcPr>
            <w:tcW w:w="1599" w:type="dxa"/>
            <w:shd w:val="clear" w:color="auto" w:fill="auto"/>
            <w:vAlign w:val="center"/>
          </w:tcPr>
          <w:p w14:paraId="0F6495DC" w14:textId="77777777" w:rsidR="00CD09DF" w:rsidRDefault="00CD09DF" w:rsidP="00916CCB">
            <w:pPr>
              <w:pStyle w:val="MDPI42tablebody"/>
              <w:spacing w:line="240" w:lineRule="auto"/>
            </w:pPr>
            <w:r>
              <w:t>0.1</w:t>
            </w:r>
          </w:p>
        </w:tc>
        <w:tc>
          <w:tcPr>
            <w:tcW w:w="1599" w:type="dxa"/>
          </w:tcPr>
          <w:p w14:paraId="20D5DADC" w14:textId="77777777" w:rsidR="00CD09DF" w:rsidRDefault="00CD09DF" w:rsidP="00916CCB">
            <w:pPr>
              <w:pStyle w:val="MDPI42tablebody"/>
              <w:spacing w:line="240" w:lineRule="auto"/>
            </w:pPr>
            <w:r>
              <w:t>2</w:t>
            </w:r>
          </w:p>
        </w:tc>
      </w:tr>
      <w:tr w:rsidR="00CD09DF" w:rsidRPr="00EA1AF3" w14:paraId="5A69BC04" w14:textId="77777777" w:rsidTr="00916CCB">
        <w:trPr>
          <w:jc w:val="center"/>
        </w:trPr>
        <w:tc>
          <w:tcPr>
            <w:tcW w:w="1599" w:type="dxa"/>
            <w:shd w:val="clear" w:color="auto" w:fill="auto"/>
            <w:vAlign w:val="center"/>
          </w:tcPr>
          <w:p w14:paraId="16C92BDC" w14:textId="77777777" w:rsidR="00CD09DF" w:rsidRDefault="00CD09DF" w:rsidP="00916CCB">
            <w:pPr>
              <w:pStyle w:val="MDPI42tablebody"/>
              <w:spacing w:line="240" w:lineRule="auto"/>
            </w:pPr>
            <w:r>
              <w:t>Favipiravir</w:t>
            </w:r>
          </w:p>
        </w:tc>
        <w:tc>
          <w:tcPr>
            <w:tcW w:w="1599" w:type="dxa"/>
            <w:shd w:val="clear" w:color="auto" w:fill="auto"/>
            <w:vAlign w:val="center"/>
          </w:tcPr>
          <w:p w14:paraId="3EA460BA" w14:textId="77777777" w:rsidR="00CD09DF" w:rsidRDefault="00CD09DF" w:rsidP="00916CCB">
            <w:pPr>
              <w:pStyle w:val="MDPI42tablebody"/>
              <w:spacing w:line="240" w:lineRule="auto"/>
            </w:pPr>
            <w:r>
              <w:t>Azithromycin</w:t>
            </w:r>
          </w:p>
        </w:tc>
        <w:tc>
          <w:tcPr>
            <w:tcW w:w="1599" w:type="dxa"/>
            <w:shd w:val="clear" w:color="auto" w:fill="auto"/>
            <w:vAlign w:val="center"/>
          </w:tcPr>
          <w:p w14:paraId="431F9630" w14:textId="77777777" w:rsidR="00CD09DF" w:rsidRDefault="00CD09DF" w:rsidP="00916CCB">
            <w:pPr>
              <w:pStyle w:val="MDPI42tablebody"/>
              <w:spacing w:line="240" w:lineRule="auto"/>
            </w:pPr>
            <w:r>
              <w:t>1.4</w:t>
            </w:r>
          </w:p>
        </w:tc>
        <w:tc>
          <w:tcPr>
            <w:tcW w:w="1599" w:type="dxa"/>
          </w:tcPr>
          <w:p w14:paraId="2DD18861" w14:textId="77777777" w:rsidR="00CD09DF" w:rsidRDefault="00CD09DF" w:rsidP="00916CCB">
            <w:pPr>
              <w:pStyle w:val="MDPI42tablebody"/>
              <w:spacing w:line="240" w:lineRule="auto"/>
            </w:pPr>
            <w:r>
              <w:t>2</w:t>
            </w:r>
          </w:p>
        </w:tc>
      </w:tr>
      <w:tr w:rsidR="00CD09DF" w:rsidRPr="00EA1AF3" w14:paraId="05BD1E7B" w14:textId="77777777" w:rsidTr="00916CCB">
        <w:trPr>
          <w:jc w:val="center"/>
        </w:trPr>
        <w:tc>
          <w:tcPr>
            <w:tcW w:w="1599" w:type="dxa"/>
            <w:shd w:val="clear" w:color="auto" w:fill="auto"/>
            <w:vAlign w:val="center"/>
          </w:tcPr>
          <w:p w14:paraId="255EC9EF" w14:textId="77777777" w:rsidR="00CD09DF" w:rsidRDefault="00CD09DF" w:rsidP="00916CCB">
            <w:pPr>
              <w:pStyle w:val="MDPI42tablebody"/>
              <w:spacing w:line="240" w:lineRule="auto"/>
            </w:pPr>
            <w:r>
              <w:t>Favipiravir</w:t>
            </w:r>
          </w:p>
        </w:tc>
        <w:tc>
          <w:tcPr>
            <w:tcW w:w="1599" w:type="dxa"/>
            <w:shd w:val="clear" w:color="auto" w:fill="auto"/>
            <w:vAlign w:val="center"/>
          </w:tcPr>
          <w:p w14:paraId="40759F8E" w14:textId="77777777" w:rsidR="00CD09DF" w:rsidRDefault="00CD09DF" w:rsidP="00916CCB">
            <w:pPr>
              <w:pStyle w:val="MDPI42tablebody"/>
              <w:spacing w:line="240" w:lineRule="auto"/>
            </w:pPr>
            <w:r>
              <w:t>Clomiphene</w:t>
            </w:r>
          </w:p>
        </w:tc>
        <w:tc>
          <w:tcPr>
            <w:tcW w:w="1599" w:type="dxa"/>
            <w:shd w:val="clear" w:color="auto" w:fill="auto"/>
            <w:vAlign w:val="center"/>
          </w:tcPr>
          <w:p w14:paraId="7B76DA3B" w14:textId="77777777" w:rsidR="00CD09DF" w:rsidRDefault="00CD09DF" w:rsidP="00916CCB">
            <w:pPr>
              <w:pStyle w:val="MDPI42tablebody"/>
              <w:spacing w:line="240" w:lineRule="auto"/>
            </w:pPr>
            <w:r>
              <w:t>1.3</w:t>
            </w:r>
          </w:p>
        </w:tc>
        <w:tc>
          <w:tcPr>
            <w:tcW w:w="1599" w:type="dxa"/>
          </w:tcPr>
          <w:p w14:paraId="199F0CDC" w14:textId="77777777" w:rsidR="00CD09DF" w:rsidRDefault="00CD09DF" w:rsidP="00916CCB">
            <w:pPr>
              <w:pStyle w:val="MDPI42tablebody"/>
              <w:spacing w:line="240" w:lineRule="auto"/>
            </w:pPr>
            <w:r>
              <w:t>2</w:t>
            </w:r>
          </w:p>
        </w:tc>
      </w:tr>
      <w:tr w:rsidR="00CD09DF" w:rsidRPr="00EA1AF3" w14:paraId="072735B2" w14:textId="77777777" w:rsidTr="00916CCB">
        <w:trPr>
          <w:jc w:val="center"/>
        </w:trPr>
        <w:tc>
          <w:tcPr>
            <w:tcW w:w="1599" w:type="dxa"/>
            <w:shd w:val="clear" w:color="auto" w:fill="auto"/>
            <w:vAlign w:val="center"/>
          </w:tcPr>
          <w:p w14:paraId="4346FDE5" w14:textId="77777777" w:rsidR="00CD09DF" w:rsidRDefault="00CD09DF" w:rsidP="00916CCB">
            <w:pPr>
              <w:pStyle w:val="MDPI42tablebody"/>
              <w:spacing w:line="240" w:lineRule="auto"/>
            </w:pPr>
            <w:r>
              <w:t>Favipiravir</w:t>
            </w:r>
          </w:p>
        </w:tc>
        <w:tc>
          <w:tcPr>
            <w:tcW w:w="1599" w:type="dxa"/>
            <w:shd w:val="clear" w:color="auto" w:fill="auto"/>
            <w:vAlign w:val="center"/>
          </w:tcPr>
          <w:p w14:paraId="15871049" w14:textId="77777777" w:rsidR="00CD09DF" w:rsidRDefault="00CD09DF" w:rsidP="00916CCB">
            <w:pPr>
              <w:pStyle w:val="MDPI42tablebody"/>
              <w:spacing w:line="240" w:lineRule="auto"/>
            </w:pPr>
            <w:r>
              <w:t>Favipiravir</w:t>
            </w:r>
          </w:p>
        </w:tc>
        <w:tc>
          <w:tcPr>
            <w:tcW w:w="1599" w:type="dxa"/>
            <w:shd w:val="clear" w:color="auto" w:fill="auto"/>
            <w:vAlign w:val="center"/>
          </w:tcPr>
          <w:p w14:paraId="79888F0B" w14:textId="77777777" w:rsidR="00CD09DF" w:rsidRDefault="00CD09DF" w:rsidP="00916CCB">
            <w:pPr>
              <w:pStyle w:val="MDPI42tablebody"/>
              <w:spacing w:line="240" w:lineRule="auto"/>
            </w:pPr>
            <w:r>
              <w:t>0.0</w:t>
            </w:r>
          </w:p>
        </w:tc>
        <w:tc>
          <w:tcPr>
            <w:tcW w:w="1599" w:type="dxa"/>
          </w:tcPr>
          <w:p w14:paraId="06E480A0" w14:textId="77777777" w:rsidR="00CD09DF" w:rsidRDefault="00CD09DF" w:rsidP="00916CCB">
            <w:pPr>
              <w:pStyle w:val="MDPI42tablebody"/>
              <w:spacing w:line="240" w:lineRule="auto"/>
            </w:pPr>
            <w:r>
              <w:t>2</w:t>
            </w:r>
          </w:p>
        </w:tc>
      </w:tr>
    </w:tbl>
    <w:p w14:paraId="0643B0A7" w14:textId="5EE021EC" w:rsidR="00CD09DF" w:rsidRPr="00B06F05" w:rsidRDefault="00CD09DF" w:rsidP="00CD09DF">
      <w:pPr>
        <w:spacing w:before="240" w:line="260" w:lineRule="atLeast"/>
        <w:rPr>
          <w:rFonts w:ascii="Palatino Linotype" w:hAnsi="Palatino Linotype"/>
          <w:sz w:val="18"/>
          <w:szCs w:val="18"/>
        </w:rPr>
      </w:pPr>
      <w:r w:rsidRPr="00B06F05">
        <w:rPr>
          <w:rFonts w:ascii="Palatino Linotype" w:hAnsi="Palatino Linotype"/>
          <w:b/>
          <w:sz w:val="18"/>
          <w:szCs w:val="18"/>
        </w:rPr>
        <w:t xml:space="preserve">Supplementary Table 8. Additional </w:t>
      </w:r>
      <w:r w:rsidRPr="00B06F05">
        <w:rPr>
          <w:rFonts w:ascii="Palatino Linotype" w:hAnsi="Palatino Linotype"/>
          <w:b/>
          <w:i/>
          <w:sz w:val="18"/>
          <w:szCs w:val="18"/>
        </w:rPr>
        <w:t>in vitro</w:t>
      </w:r>
      <w:r w:rsidRPr="00B06F05">
        <w:rPr>
          <w:rFonts w:ascii="Palatino Linotype" w:hAnsi="Palatino Linotype"/>
          <w:b/>
          <w:sz w:val="18"/>
          <w:szCs w:val="18"/>
        </w:rPr>
        <w:t xml:space="preserve"> drug synergy tests.</w:t>
      </w:r>
      <w:r w:rsidRPr="00B06F05">
        <w:rPr>
          <w:rFonts w:ascii="Palatino Linotype" w:hAnsi="Palatino Linotype"/>
          <w:sz w:val="18"/>
          <w:szCs w:val="18"/>
        </w:rPr>
        <w:t xml:space="preserve"> All synergy tests were performed in Huh7 cells with Ebov/Mak at moi 0.21 and analyzed using MacSynergy software as described in </w:t>
      </w:r>
      <w:r w:rsidR="00916CCB">
        <w:rPr>
          <w:rFonts w:ascii="Palatino Linotype" w:hAnsi="Palatino Linotype"/>
          <w:sz w:val="18"/>
          <w:szCs w:val="18"/>
        </w:rPr>
        <w:fldChar w:fldCharType="begin"/>
      </w:r>
      <w:r w:rsidR="00785F66">
        <w:rPr>
          <w:rFonts w:ascii="Palatino Linotype" w:hAnsi="Palatino Linotype"/>
          <w:sz w:val="18"/>
          <w:szCs w:val="18"/>
        </w:rPr>
        <w:instrText>ADDIN F1000_CSL_CITATION&lt;~#@#~&gt;[{"DOI":"10.1093/infdis/jiy304","First":false,"Last":false,"PMCID":"PMC6249579","PMID":"29939303","abstract":"&lt;strong&gt;Background:&lt;/strong&gt; A need to develop therapeutics to treat Ebola virus disease patients in remote and resource-challenged settings remains in the wake of the 2013-2016 epidemic in West Africa. Toward this goal, we screened drugs under consideration as treatment options and other drugs of interest, most being small molecules approved by the Food and Drug Administration. Drugs demonstrating in vitro antiviral activity were advanced for evaluation in combinations because of advantages often provided by drug cocktails.&lt;br&gt;&lt;br&gt;&lt;strong&gt;Methods:&lt;/strong&gt; Drugs were screened for blockade of Ebola virus infection in cultured cells. Twelve drugs were tested in all (78 pair-wise) combinations, and 3 were tested in a subset of combinations.&lt;br&gt;&lt;br&gt;&lt;strong&gt;Results:&lt;/strong&gt; Multiple synergistic drug pairs emerged, with the majority comprising 2 entry inhibitors. For the pairs of entry inhibitors studied, synergy was demonstrated at the level of virus entry into host cells. Highly synergistic pairs included aripiprazole/piperacetazine, sertraline/toremifene, sertraline/bepridil, and amodiaquine/clomiphene.&lt;br&gt;&lt;br&gt;&lt;strong&gt;Conclusions:&lt;/strong&gt; Our study shows the feasibility of identifying pairs of approved drugs that synergistically block Ebola virus infection in cell cultures. We discuss our findings in terms of the theoretic ability of these or alternate combinations to reach therapeutic levels. Future research will assess selected combinations in small-animal models of Ebola virus disease.","author":[{"family":"Dyall","given":"Julie"},{"family":"Nelson","given":"Elizabeth A"},{"family":"DeWald","given":"Lisa Evans"},{"family":"Guha","given":"Rajarshi"},{"family":"Hart","given":"Brit J"},{"family":"Zhou","given":"Huanying"},{"family":"Postnikova","given":"Elena"},{"family":"Logue","given":"James"},{"family":"Vargas","given":"Walter M"},{"family":"Gross","given":"Robin"},{"family":"Michelotti","given":"Julia"},{"family":"Deiuliis","given":"Nicole"},{"family":"Bennett","given":"Richard S"},{"family":"Crozier","given":"Ian"},{"family":"Holbrook","given":"Michael R"},{"family":"Morris","given":"Patrick J"},{"family":"Klumpp-Thomas","given":"Carleen"},{"family":"McKnight","given":"Crystal"},{"family":"Mierzwa","given":"Tim"},{"family":"Shinn","given":"Paul"},{"family":"Glass","given":"Pamela J"},{"family":"Johansen","given":"Lisa M"},{"family":"Jahrling","given":"Peter B"},{"family":"Hensley","given":"Lisa E"},{"family":"Olinger","given":"Gene G"},{"family":"Thomas","given":"Craig"},{"family":"White","given":"Judith M"}],"authorYearDisplayFormat":false,"citation-label":"6723629","container-title":"The Journal of Infectious Diseases","container-title-short":"J. Infect. Dis.","id":"6723629","invisible":false,"issue":"suppl_5","issued":{"date-parts":[["2018","11","22"]]},"journalAbbreviation":"J. Infect. Dis.","page":"S672-S678","suppress-author":false,"title":"Identification of combinations of approved drugs with synergistic activity against ebola virus in cell cultures.","type":"article-journal","volume":"218"}]</w:instrText>
      </w:r>
      <w:r w:rsidR="00916CCB">
        <w:rPr>
          <w:rFonts w:ascii="Palatino Linotype" w:hAnsi="Palatino Linotype"/>
          <w:sz w:val="18"/>
          <w:szCs w:val="18"/>
        </w:rPr>
        <w:fldChar w:fldCharType="separate"/>
      </w:r>
      <w:r w:rsidR="00785F66" w:rsidRPr="00785F66">
        <w:rPr>
          <w:rFonts w:ascii="Palatino Linotype" w:hAnsi="Palatino Linotype"/>
          <w:noProof/>
          <w:sz w:val="18"/>
          <w:szCs w:val="18"/>
        </w:rPr>
        <w:t>[1]</w:t>
      </w:r>
      <w:r w:rsidR="00916CCB">
        <w:rPr>
          <w:rFonts w:ascii="Palatino Linotype" w:hAnsi="Palatino Linotype"/>
          <w:sz w:val="18"/>
          <w:szCs w:val="18"/>
        </w:rPr>
        <w:fldChar w:fldCharType="end"/>
      </w:r>
      <w:r w:rsidRPr="00B06F05">
        <w:rPr>
          <w:rFonts w:ascii="Palatino Linotype" w:hAnsi="Palatino Linotype"/>
          <w:sz w:val="18"/>
          <w:szCs w:val="18"/>
        </w:rPr>
        <w:t xml:space="preserve">. Data are presented at the 99.9% confidence level. </w:t>
      </w:r>
      <w:r w:rsidRPr="00B06F05">
        <w:rPr>
          <w:rFonts w:ascii="Palatino Linotype" w:hAnsi="Palatino Linotype"/>
          <w:sz w:val="18"/>
          <w:szCs w:val="18"/>
          <w:vertAlign w:val="superscript"/>
        </w:rPr>
        <w:t>1</w:t>
      </w:r>
      <w:r w:rsidRPr="00B06F05">
        <w:rPr>
          <w:rFonts w:ascii="Palatino Linotype" w:hAnsi="Palatino Linotype"/>
          <w:sz w:val="18"/>
          <w:szCs w:val="18"/>
        </w:rPr>
        <w:t>In a third test using higher top doses of both drugs, the LogV was 71.95, which may be erroneous (https://www.uab.edu/images/pediatrics/ID/MacSynergy.pdf). Abbreviations: Av. LogV, average log volume; n, number of replicate experiments; each experiment performed in triplicate plates.</w:t>
      </w:r>
    </w:p>
    <w:p w14:paraId="74688546" w14:textId="77777777" w:rsidR="00CD09DF" w:rsidRDefault="00CD09DF" w:rsidP="00EB47CB">
      <w:pPr>
        <w:spacing w:before="120" w:after="240" w:line="260" w:lineRule="atLeast"/>
        <w:rPr>
          <w:rFonts w:ascii="Palatino Linotype" w:hAnsi="Palatino Linotype"/>
          <w:sz w:val="18"/>
          <w:szCs w:val="18"/>
        </w:rPr>
      </w:pPr>
    </w:p>
    <w:p w14:paraId="151FAC57" w14:textId="77777777" w:rsidR="00EB47CB" w:rsidRPr="0072562F" w:rsidRDefault="00EB47CB" w:rsidP="0072562F">
      <w:pPr>
        <w:spacing w:line="260" w:lineRule="atLeast"/>
        <w:rPr>
          <w:rFonts w:ascii="Palatino Linotype" w:hAnsi="Palatino Linotype" w:cs="Times New Roman"/>
          <w:bCs/>
          <w:sz w:val="20"/>
          <w:szCs w:val="20"/>
        </w:rPr>
      </w:pPr>
    </w:p>
    <w:p w14:paraId="60A524F1" w14:textId="68A218D9" w:rsidR="00916CCB" w:rsidRDefault="00916CCB">
      <w:r>
        <w:br w:type="page"/>
      </w:r>
    </w:p>
    <w:p w14:paraId="2DA01B8B" w14:textId="2A67DB7D" w:rsidR="008A1241" w:rsidRPr="00527742" w:rsidRDefault="00527742">
      <w:pPr>
        <w:rPr>
          <w:rFonts w:ascii="Palatino Linotype" w:hAnsi="Palatino Linotype"/>
          <w:sz w:val="18"/>
          <w:szCs w:val="18"/>
        </w:rPr>
      </w:pPr>
      <w:r w:rsidRPr="00527742">
        <w:rPr>
          <w:rFonts w:ascii="Palatino Linotype" w:hAnsi="Palatino Linotype"/>
          <w:sz w:val="18"/>
          <w:szCs w:val="18"/>
        </w:rPr>
        <w:lastRenderedPageBreak/>
        <w:t>References</w:t>
      </w:r>
      <w:r w:rsidR="00E55442">
        <w:rPr>
          <w:rFonts w:ascii="Palatino Linotype" w:hAnsi="Palatino Linotype"/>
          <w:sz w:val="18"/>
          <w:szCs w:val="18"/>
        </w:rPr>
        <w:t xml:space="preserve"> to Supplemental Tables, Finch et</w:t>
      </w:r>
      <w:bookmarkStart w:id="0" w:name="_GoBack"/>
      <w:bookmarkEnd w:id="0"/>
      <w:r w:rsidR="00E55442">
        <w:rPr>
          <w:rFonts w:ascii="Palatino Linotype" w:hAnsi="Palatino Linotype"/>
          <w:sz w:val="18"/>
          <w:szCs w:val="18"/>
        </w:rPr>
        <w:t xml:space="preserve"> al, 2021</w:t>
      </w:r>
    </w:p>
    <w:p w14:paraId="4E80D4F7" w14:textId="77777777" w:rsidR="00785F66" w:rsidRPr="00527742" w:rsidRDefault="00916CCB">
      <w:pPr>
        <w:widowControl w:val="0"/>
        <w:autoSpaceDE w:val="0"/>
        <w:autoSpaceDN w:val="0"/>
        <w:adjustRightInd w:val="0"/>
        <w:rPr>
          <w:rFonts w:ascii="Palatino Linotype" w:hAnsi="Palatino Linotype"/>
          <w:noProof/>
          <w:sz w:val="18"/>
          <w:szCs w:val="18"/>
        </w:rPr>
      </w:pPr>
      <w:r w:rsidRPr="00527742">
        <w:rPr>
          <w:rFonts w:ascii="Palatino Linotype" w:hAnsi="Palatino Linotype"/>
          <w:sz w:val="18"/>
          <w:szCs w:val="18"/>
        </w:rPr>
        <w:fldChar w:fldCharType="begin"/>
      </w:r>
      <w:r w:rsidR="00785F66" w:rsidRPr="00527742">
        <w:rPr>
          <w:rFonts w:ascii="Palatino Linotype" w:hAnsi="Palatino Linotype"/>
          <w:sz w:val="18"/>
          <w:szCs w:val="18"/>
        </w:rPr>
        <w:instrText>ADDIN F1000_CSL_BIBLIOGRAPHY</w:instrText>
      </w:r>
      <w:r w:rsidRPr="00527742">
        <w:rPr>
          <w:rFonts w:ascii="Palatino Linotype" w:hAnsi="Palatino Linotype"/>
          <w:sz w:val="18"/>
          <w:szCs w:val="18"/>
        </w:rPr>
        <w:fldChar w:fldCharType="separate"/>
      </w:r>
    </w:p>
    <w:p w14:paraId="3F76DC40"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1. Dyall, J.; Nelson, E. A.; DeWald, L. E.; Guha, R.; Hart, B. J.; Zhou, H.; Postnikova, E.; Logue, J.; Vargas, W. M.; Gross, R.; Michelotti, J.; Deiuliis, N.; Bennett, R. S.; Crozier, I.; Holbrook, M. R.; Morris, P. J.; Klumpp-Thomas, C.; McKnight, C.; Mierzwa, T.; Shinn, P.; Glass, P. J.; Johansen, L. M.; Jahrling, P. B.; Hensley, L. E.; Olinger, G. G.; Thomas, C.; White, J. M. Identification of combinations of approved drugs with synergistic activity against ebola virus in cell cultures. </w:t>
      </w:r>
      <w:r w:rsidRPr="00527742">
        <w:rPr>
          <w:rFonts w:ascii="Palatino Linotype" w:hAnsi="Palatino Linotype"/>
          <w:i/>
          <w:iCs/>
          <w:noProof/>
          <w:sz w:val="18"/>
          <w:szCs w:val="18"/>
        </w:rPr>
        <w:t>J. Infect. Dis.</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2018</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218</w:t>
      </w:r>
      <w:r w:rsidRPr="00527742">
        <w:rPr>
          <w:rFonts w:ascii="Palatino Linotype" w:hAnsi="Palatino Linotype"/>
          <w:noProof/>
          <w:sz w:val="18"/>
          <w:szCs w:val="18"/>
        </w:rPr>
        <w:t>, S672–S678.</w:t>
      </w:r>
    </w:p>
    <w:p w14:paraId="4DEC58E4"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2. Wada, Y.; Cardinale, I.; Khatcherian, A.; Chu, J.; Kantor, A. B.; Gottlieb, A. B.; Tatsuta, N.; Jacobson, E.; Barsoum, J.; Krueger, J. G. Apilimod inhibits the production of IL-12 and IL-23 and reduces dendritic cell infiltration in psoriasis. </w:t>
      </w:r>
      <w:r w:rsidRPr="00527742">
        <w:rPr>
          <w:rFonts w:ascii="Palatino Linotype" w:hAnsi="Palatino Linotype"/>
          <w:i/>
          <w:iCs/>
          <w:noProof/>
          <w:sz w:val="18"/>
          <w:szCs w:val="18"/>
        </w:rPr>
        <w:t>PLoS One</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2012</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7</w:t>
      </w:r>
      <w:r w:rsidRPr="00527742">
        <w:rPr>
          <w:rFonts w:ascii="Palatino Linotype" w:hAnsi="Palatino Linotype"/>
          <w:noProof/>
          <w:sz w:val="18"/>
          <w:szCs w:val="18"/>
        </w:rPr>
        <w:t>, e35069.</w:t>
      </w:r>
    </w:p>
    <w:p w14:paraId="7F1B1444"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3. Mallikaarjun, S.; Salazar, D. E.; Bramer, S. L. Pharmacokinetics, tolerability, and safety of aripiprazole following multiple oral dosing in normal healthy volunteers. </w:t>
      </w:r>
      <w:r w:rsidRPr="00527742">
        <w:rPr>
          <w:rFonts w:ascii="Palatino Linotype" w:hAnsi="Palatino Linotype"/>
          <w:i/>
          <w:iCs/>
          <w:noProof/>
          <w:sz w:val="18"/>
          <w:szCs w:val="18"/>
        </w:rPr>
        <w:t>J. Clin. Pharmacol.</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2004</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44</w:t>
      </w:r>
      <w:r w:rsidRPr="00527742">
        <w:rPr>
          <w:rFonts w:ascii="Palatino Linotype" w:hAnsi="Palatino Linotype"/>
          <w:noProof/>
          <w:sz w:val="18"/>
          <w:szCs w:val="18"/>
        </w:rPr>
        <w:t>, 179–187.</w:t>
      </w:r>
    </w:p>
    <w:p w14:paraId="4CE5750E"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4. Wu, W. N.; Pritchard, J. F.; Ng, K. T.; Hills, J. F.; Uetz, J. A.; Yorgey, K. A.; McKown, L. A.; O’Neill, P. J. Disposition of bepridil in laboratory animals and man. </w:t>
      </w:r>
      <w:r w:rsidRPr="00527742">
        <w:rPr>
          <w:rFonts w:ascii="Palatino Linotype" w:hAnsi="Palatino Linotype"/>
          <w:i/>
          <w:iCs/>
          <w:noProof/>
          <w:sz w:val="18"/>
          <w:szCs w:val="18"/>
        </w:rPr>
        <w:t>Xenobiotica</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1992</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22</w:t>
      </w:r>
      <w:r w:rsidRPr="00527742">
        <w:rPr>
          <w:rFonts w:ascii="Palatino Linotype" w:hAnsi="Palatino Linotype"/>
          <w:noProof/>
          <w:sz w:val="18"/>
          <w:szCs w:val="18"/>
        </w:rPr>
        <w:t>, 153–169.</w:t>
      </w:r>
    </w:p>
    <w:p w14:paraId="19C879C6"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5. Ghobadi, C.; Mirhosseini, N.; Shiran, M. R.; Moghadamnia, A.; Lennard, M. S.; Ledger, W. L.; Rostami-Hodjegan, A. Single-dose pharmacokinetic study of clomiphene citrate isomers in anovular patients with polycystic ovary disease. </w:t>
      </w:r>
      <w:r w:rsidRPr="00527742">
        <w:rPr>
          <w:rFonts w:ascii="Palatino Linotype" w:hAnsi="Palatino Linotype"/>
          <w:i/>
          <w:iCs/>
          <w:noProof/>
          <w:sz w:val="18"/>
          <w:szCs w:val="18"/>
        </w:rPr>
        <w:t>J. Clin. Pharmacol.</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2009</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49</w:t>
      </w:r>
      <w:r w:rsidRPr="00527742">
        <w:rPr>
          <w:rFonts w:ascii="Palatino Linotype" w:hAnsi="Palatino Linotype"/>
          <w:noProof/>
          <w:sz w:val="18"/>
          <w:szCs w:val="18"/>
        </w:rPr>
        <w:t>, 147–154.</w:t>
      </w:r>
    </w:p>
    <w:p w14:paraId="3AF452AF"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6. Ronfeld, R. A.; Tremaine, L. M.; Wilner, K. D. Pharmacokinetics of sertraline and its N-demethyl metabolite in elderly and young male and female volunteers. </w:t>
      </w:r>
      <w:r w:rsidRPr="00527742">
        <w:rPr>
          <w:rFonts w:ascii="Palatino Linotype" w:hAnsi="Palatino Linotype"/>
          <w:i/>
          <w:iCs/>
          <w:noProof/>
          <w:sz w:val="18"/>
          <w:szCs w:val="18"/>
        </w:rPr>
        <w:t>Clin Pharmacokinet</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1997</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32 Suppl 1</w:t>
      </w:r>
      <w:r w:rsidRPr="00527742">
        <w:rPr>
          <w:rFonts w:ascii="Palatino Linotype" w:hAnsi="Palatino Linotype"/>
          <w:noProof/>
          <w:sz w:val="18"/>
          <w:szCs w:val="18"/>
        </w:rPr>
        <w:t>, 22–30.</w:t>
      </w:r>
    </w:p>
    <w:p w14:paraId="4A14CE6D"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7. Anttila, M.; Valavaara, R.; Kivinen, S.; Mäenpää, J. Pharmacokinetics of toremifene. </w:t>
      </w:r>
      <w:r w:rsidRPr="00527742">
        <w:rPr>
          <w:rFonts w:ascii="Palatino Linotype" w:hAnsi="Palatino Linotype"/>
          <w:i/>
          <w:iCs/>
          <w:noProof/>
          <w:sz w:val="18"/>
          <w:szCs w:val="18"/>
        </w:rPr>
        <w:t>J Steroid Biochem</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1990</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36</w:t>
      </w:r>
      <w:r w:rsidRPr="00527742">
        <w:rPr>
          <w:rFonts w:ascii="Palatino Linotype" w:hAnsi="Palatino Linotype"/>
          <w:noProof/>
          <w:sz w:val="18"/>
          <w:szCs w:val="18"/>
        </w:rPr>
        <w:t>, 249–252.</w:t>
      </w:r>
    </w:p>
    <w:p w14:paraId="1B40170C"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8. Johansen, L. M.; DeWald, L. E.; Shoemaker, C. J.; Hoffstrom, B. G.; Lear-Rooney, C. M.; Stossel, A.; Nelson, E.; Delos, S. E.; Simmons, J. A.; Grenier, J. M.; Pierce, L. T.; Pajouhesh, H.; Lehár, J.; Hensley, L. E.; Glass, P. J.; White, J. M.; Olinger, G. G. A screen of approved drugs and molecular probes identifies therapeutics with anti-Ebola virus activity. </w:t>
      </w:r>
      <w:r w:rsidRPr="00527742">
        <w:rPr>
          <w:rFonts w:ascii="Palatino Linotype" w:hAnsi="Palatino Linotype"/>
          <w:i/>
          <w:iCs/>
          <w:noProof/>
          <w:sz w:val="18"/>
          <w:szCs w:val="18"/>
        </w:rPr>
        <w:t>Sci. Transl. Med.</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2015</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7</w:t>
      </w:r>
      <w:r w:rsidRPr="00527742">
        <w:rPr>
          <w:rFonts w:ascii="Palatino Linotype" w:hAnsi="Palatino Linotype"/>
          <w:noProof/>
          <w:sz w:val="18"/>
          <w:szCs w:val="18"/>
        </w:rPr>
        <w:t>, 290ra89.</w:t>
      </w:r>
    </w:p>
    <w:p w14:paraId="04C0ECF9"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9. Madrid, P. B.; Panchal, R. G.; Warren, T. K.; Shurtleff, A. C.; Endsley, A. N.; Green, C. E.; Kolokoltsov, A.; Davey, R.; Manger, I. D.; Gilfillan, L.; Bavari, S.; Tanga, M. J. Evaluation of ebola virus inhibitors for drug repurposing. </w:t>
      </w:r>
      <w:r w:rsidRPr="00527742">
        <w:rPr>
          <w:rFonts w:ascii="Palatino Linotype" w:hAnsi="Palatino Linotype"/>
          <w:i/>
          <w:iCs/>
          <w:noProof/>
          <w:sz w:val="18"/>
          <w:szCs w:val="18"/>
        </w:rPr>
        <w:t>ACS Infect. Dis.</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2015</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1</w:t>
      </w:r>
      <w:r w:rsidRPr="00527742">
        <w:rPr>
          <w:rFonts w:ascii="Palatino Linotype" w:hAnsi="Palatino Linotype"/>
          <w:noProof/>
          <w:sz w:val="18"/>
          <w:szCs w:val="18"/>
        </w:rPr>
        <w:t>, 317–326.</w:t>
      </w:r>
    </w:p>
    <w:p w14:paraId="784FB61D"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10. DeWald, L. E.; Dyall, J.; Sword, J. M.; Torzewski, L.; Zhou, H.; Postnikova, E.; Kollins, E.; Alexander, I.; Gross, R.; Cong, Y.; Gerhardt, D. M.; Johnson, R. F.; Olinger, G. G.; Holbrook, M. R.; Hensley, L. E.; Jahrling, P. B. The calcium channel blocker bepridil demonstrates efficacy in the murine model of marburg virus disease. </w:t>
      </w:r>
      <w:r w:rsidRPr="00527742">
        <w:rPr>
          <w:rFonts w:ascii="Palatino Linotype" w:hAnsi="Palatino Linotype"/>
          <w:i/>
          <w:iCs/>
          <w:noProof/>
          <w:sz w:val="18"/>
          <w:szCs w:val="18"/>
        </w:rPr>
        <w:t>J. Infect. Dis.</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2018</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218</w:t>
      </w:r>
      <w:r w:rsidRPr="00527742">
        <w:rPr>
          <w:rFonts w:ascii="Palatino Linotype" w:hAnsi="Palatino Linotype"/>
          <w:noProof/>
          <w:sz w:val="18"/>
          <w:szCs w:val="18"/>
        </w:rPr>
        <w:t>, S588–S591.</w:t>
      </w:r>
    </w:p>
    <w:p w14:paraId="250A7671" w14:textId="77777777" w:rsidR="00785F66" w:rsidRPr="00527742" w:rsidRDefault="00785F66" w:rsidP="00527742">
      <w:pPr>
        <w:widowControl w:val="0"/>
        <w:autoSpaceDE w:val="0"/>
        <w:autoSpaceDN w:val="0"/>
        <w:adjustRightInd w:val="0"/>
        <w:ind w:left="180" w:hanging="180"/>
        <w:rPr>
          <w:rFonts w:ascii="Palatino Linotype" w:hAnsi="Palatino Linotype"/>
          <w:noProof/>
          <w:sz w:val="18"/>
          <w:szCs w:val="18"/>
        </w:rPr>
      </w:pPr>
      <w:r w:rsidRPr="00527742">
        <w:rPr>
          <w:rFonts w:ascii="Palatino Linotype" w:hAnsi="Palatino Linotype"/>
          <w:noProof/>
          <w:sz w:val="18"/>
          <w:szCs w:val="18"/>
        </w:rPr>
        <w:t xml:space="preserve">11. Johansen, L. M.; Brannan, J. M.; Delos, S. E.; Shoemaker, C. J.; Stossel, A.; Lear, C.; Hoffstrom, B. G.; Dewald, L. E.; Schornberg, K. L.; Scully, C.; Lehár, J.; Hensley, L. E.; White, J. M.; Olinger, G. G. FDA-approved selective estrogen receptor modulators inhibit Ebola virus infection. </w:t>
      </w:r>
      <w:r w:rsidRPr="00527742">
        <w:rPr>
          <w:rFonts w:ascii="Palatino Linotype" w:hAnsi="Palatino Linotype"/>
          <w:i/>
          <w:iCs/>
          <w:noProof/>
          <w:sz w:val="18"/>
          <w:szCs w:val="18"/>
        </w:rPr>
        <w:t>Sci. Transl. Med.</w:t>
      </w:r>
      <w:r w:rsidRPr="00527742">
        <w:rPr>
          <w:rFonts w:ascii="Palatino Linotype" w:hAnsi="Palatino Linotype"/>
          <w:noProof/>
          <w:sz w:val="18"/>
          <w:szCs w:val="18"/>
        </w:rPr>
        <w:t xml:space="preserve"> </w:t>
      </w:r>
      <w:r w:rsidRPr="00527742">
        <w:rPr>
          <w:rFonts w:ascii="Palatino Linotype" w:hAnsi="Palatino Linotype"/>
          <w:b/>
          <w:bCs/>
          <w:noProof/>
          <w:sz w:val="18"/>
          <w:szCs w:val="18"/>
        </w:rPr>
        <w:t>2013</w:t>
      </w:r>
      <w:r w:rsidRPr="00527742">
        <w:rPr>
          <w:rFonts w:ascii="Palatino Linotype" w:hAnsi="Palatino Linotype"/>
          <w:noProof/>
          <w:sz w:val="18"/>
          <w:szCs w:val="18"/>
        </w:rPr>
        <w:t xml:space="preserve">, </w:t>
      </w:r>
      <w:r w:rsidRPr="00527742">
        <w:rPr>
          <w:rFonts w:ascii="Palatino Linotype" w:hAnsi="Palatino Linotype"/>
          <w:i/>
          <w:iCs/>
          <w:noProof/>
          <w:sz w:val="18"/>
          <w:szCs w:val="18"/>
        </w:rPr>
        <w:t>5</w:t>
      </w:r>
      <w:r w:rsidRPr="00527742">
        <w:rPr>
          <w:rFonts w:ascii="Palatino Linotype" w:hAnsi="Palatino Linotype"/>
          <w:noProof/>
          <w:sz w:val="18"/>
          <w:szCs w:val="18"/>
        </w:rPr>
        <w:t>, 190ra79.</w:t>
      </w:r>
    </w:p>
    <w:p w14:paraId="62286A4A" w14:textId="5015D0C8" w:rsidR="00916CCB" w:rsidRDefault="00916CCB" w:rsidP="00785F66">
      <w:pPr>
        <w:widowControl w:val="0"/>
        <w:autoSpaceDE w:val="0"/>
        <w:autoSpaceDN w:val="0"/>
        <w:adjustRightInd w:val="0"/>
      </w:pPr>
      <w:r w:rsidRPr="00527742">
        <w:rPr>
          <w:rFonts w:ascii="Palatino Linotype" w:hAnsi="Palatino Linotype"/>
          <w:sz w:val="18"/>
          <w:szCs w:val="18"/>
        </w:rPr>
        <w:fldChar w:fldCharType="end"/>
      </w:r>
    </w:p>
    <w:sectPr w:rsidR="00916CCB" w:rsidSect="00272915">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DBCC5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F90" w16cex:dateUtc="2021-01-22T1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DBCC540" w16cid:durableId="23B55F9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lson, Elizabeth (en2b)">
    <w15:presenceInfo w15:providerId="AD" w15:userId="S::en2b@virginia.edu::2111b3f0-e935-4fc2-bda9-7b13a88bae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43A"/>
    <w:rsid w:val="00006A8D"/>
    <w:rsid w:val="0007743A"/>
    <w:rsid w:val="00102726"/>
    <w:rsid w:val="00106976"/>
    <w:rsid w:val="001325BC"/>
    <w:rsid w:val="001766F1"/>
    <w:rsid w:val="0023779E"/>
    <w:rsid w:val="00253E1B"/>
    <w:rsid w:val="00272915"/>
    <w:rsid w:val="002D67CF"/>
    <w:rsid w:val="00390385"/>
    <w:rsid w:val="003C0B12"/>
    <w:rsid w:val="003E7E0B"/>
    <w:rsid w:val="00527742"/>
    <w:rsid w:val="006E5835"/>
    <w:rsid w:val="006F1D47"/>
    <w:rsid w:val="006F735B"/>
    <w:rsid w:val="0072562F"/>
    <w:rsid w:val="00785F66"/>
    <w:rsid w:val="007A38C5"/>
    <w:rsid w:val="007D32BF"/>
    <w:rsid w:val="007E5C2B"/>
    <w:rsid w:val="008A1241"/>
    <w:rsid w:val="008B59A5"/>
    <w:rsid w:val="008C7E76"/>
    <w:rsid w:val="00916CCB"/>
    <w:rsid w:val="00920965"/>
    <w:rsid w:val="0092708A"/>
    <w:rsid w:val="009718D3"/>
    <w:rsid w:val="009C7E91"/>
    <w:rsid w:val="009D1B77"/>
    <w:rsid w:val="00A80376"/>
    <w:rsid w:val="00A861FB"/>
    <w:rsid w:val="00B06F05"/>
    <w:rsid w:val="00C8002D"/>
    <w:rsid w:val="00CD09DF"/>
    <w:rsid w:val="00D74F69"/>
    <w:rsid w:val="00D82CC7"/>
    <w:rsid w:val="00DA185A"/>
    <w:rsid w:val="00E17664"/>
    <w:rsid w:val="00E55442"/>
    <w:rsid w:val="00EB4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644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3authornames">
    <w:name w:val="MDPI_1.3_authornames"/>
    <w:basedOn w:val="Normal"/>
    <w:next w:val="Normal"/>
    <w:qFormat/>
    <w:rsid w:val="0007743A"/>
    <w:pPr>
      <w:adjustRightInd w:val="0"/>
      <w:snapToGrid w:val="0"/>
      <w:spacing w:after="120" w:line="260" w:lineRule="atLeast"/>
    </w:pPr>
    <w:rPr>
      <w:rFonts w:ascii="Palatino Linotype" w:eastAsia="Times New Roman" w:hAnsi="Palatino Linotype" w:cs="Times New Roman"/>
      <w:b/>
      <w:color w:val="000000"/>
      <w:sz w:val="20"/>
      <w:szCs w:val="22"/>
      <w:lang w:eastAsia="de-DE" w:bidi="en-US"/>
    </w:rPr>
  </w:style>
  <w:style w:type="table" w:styleId="TableGrid">
    <w:name w:val="Table Grid"/>
    <w:basedOn w:val="TableNormal"/>
    <w:uiPriority w:val="39"/>
    <w:rsid w:val="009718D3"/>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DPI42tablebody">
    <w:name w:val="MDPI_4.2_table_body"/>
    <w:qFormat/>
    <w:rsid w:val="00D82CC7"/>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character" w:styleId="CommentReference">
    <w:name w:val="annotation reference"/>
    <w:basedOn w:val="DefaultParagraphFont"/>
    <w:uiPriority w:val="99"/>
    <w:semiHidden/>
    <w:unhideWhenUsed/>
    <w:rsid w:val="006E5835"/>
    <w:rPr>
      <w:sz w:val="16"/>
      <w:szCs w:val="16"/>
    </w:rPr>
  </w:style>
  <w:style w:type="paragraph" w:styleId="CommentText">
    <w:name w:val="annotation text"/>
    <w:basedOn w:val="Normal"/>
    <w:link w:val="CommentTextChar"/>
    <w:uiPriority w:val="99"/>
    <w:semiHidden/>
    <w:unhideWhenUsed/>
    <w:rsid w:val="006E5835"/>
    <w:rPr>
      <w:sz w:val="20"/>
      <w:szCs w:val="20"/>
    </w:rPr>
  </w:style>
  <w:style w:type="character" w:customStyle="1" w:styleId="CommentTextChar">
    <w:name w:val="Comment Text Char"/>
    <w:basedOn w:val="DefaultParagraphFont"/>
    <w:link w:val="CommentText"/>
    <w:uiPriority w:val="99"/>
    <w:semiHidden/>
    <w:rsid w:val="006E5835"/>
    <w:rPr>
      <w:sz w:val="20"/>
      <w:szCs w:val="20"/>
    </w:rPr>
  </w:style>
  <w:style w:type="paragraph" w:styleId="CommentSubject">
    <w:name w:val="annotation subject"/>
    <w:basedOn w:val="CommentText"/>
    <w:next w:val="CommentText"/>
    <w:link w:val="CommentSubjectChar"/>
    <w:uiPriority w:val="99"/>
    <w:semiHidden/>
    <w:unhideWhenUsed/>
    <w:rsid w:val="006E5835"/>
    <w:rPr>
      <w:b/>
      <w:bCs/>
    </w:rPr>
  </w:style>
  <w:style w:type="character" w:customStyle="1" w:styleId="CommentSubjectChar">
    <w:name w:val="Comment Subject Char"/>
    <w:basedOn w:val="CommentTextChar"/>
    <w:link w:val="CommentSubject"/>
    <w:uiPriority w:val="99"/>
    <w:semiHidden/>
    <w:rsid w:val="006E5835"/>
    <w:rPr>
      <w:b/>
      <w:bCs/>
      <w:sz w:val="20"/>
      <w:szCs w:val="20"/>
    </w:rPr>
  </w:style>
  <w:style w:type="paragraph" w:styleId="BalloonText">
    <w:name w:val="Balloon Text"/>
    <w:basedOn w:val="Normal"/>
    <w:link w:val="BalloonTextChar"/>
    <w:uiPriority w:val="99"/>
    <w:semiHidden/>
    <w:unhideWhenUsed/>
    <w:rsid w:val="006E583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5835"/>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3authornames">
    <w:name w:val="MDPI_1.3_authornames"/>
    <w:basedOn w:val="Normal"/>
    <w:next w:val="Normal"/>
    <w:qFormat/>
    <w:rsid w:val="0007743A"/>
    <w:pPr>
      <w:adjustRightInd w:val="0"/>
      <w:snapToGrid w:val="0"/>
      <w:spacing w:after="120" w:line="260" w:lineRule="atLeast"/>
    </w:pPr>
    <w:rPr>
      <w:rFonts w:ascii="Palatino Linotype" w:eastAsia="Times New Roman" w:hAnsi="Palatino Linotype" w:cs="Times New Roman"/>
      <w:b/>
      <w:color w:val="000000"/>
      <w:sz w:val="20"/>
      <w:szCs w:val="22"/>
      <w:lang w:eastAsia="de-DE" w:bidi="en-US"/>
    </w:rPr>
  </w:style>
  <w:style w:type="table" w:styleId="TableGrid">
    <w:name w:val="Table Grid"/>
    <w:basedOn w:val="TableNormal"/>
    <w:uiPriority w:val="39"/>
    <w:rsid w:val="009718D3"/>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DPI42tablebody">
    <w:name w:val="MDPI_4.2_table_body"/>
    <w:qFormat/>
    <w:rsid w:val="00D82CC7"/>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character" w:styleId="CommentReference">
    <w:name w:val="annotation reference"/>
    <w:basedOn w:val="DefaultParagraphFont"/>
    <w:uiPriority w:val="99"/>
    <w:semiHidden/>
    <w:unhideWhenUsed/>
    <w:rsid w:val="006E5835"/>
    <w:rPr>
      <w:sz w:val="16"/>
      <w:szCs w:val="16"/>
    </w:rPr>
  </w:style>
  <w:style w:type="paragraph" w:styleId="CommentText">
    <w:name w:val="annotation text"/>
    <w:basedOn w:val="Normal"/>
    <w:link w:val="CommentTextChar"/>
    <w:uiPriority w:val="99"/>
    <w:semiHidden/>
    <w:unhideWhenUsed/>
    <w:rsid w:val="006E5835"/>
    <w:rPr>
      <w:sz w:val="20"/>
      <w:szCs w:val="20"/>
    </w:rPr>
  </w:style>
  <w:style w:type="character" w:customStyle="1" w:styleId="CommentTextChar">
    <w:name w:val="Comment Text Char"/>
    <w:basedOn w:val="DefaultParagraphFont"/>
    <w:link w:val="CommentText"/>
    <w:uiPriority w:val="99"/>
    <w:semiHidden/>
    <w:rsid w:val="006E5835"/>
    <w:rPr>
      <w:sz w:val="20"/>
      <w:szCs w:val="20"/>
    </w:rPr>
  </w:style>
  <w:style w:type="paragraph" w:styleId="CommentSubject">
    <w:name w:val="annotation subject"/>
    <w:basedOn w:val="CommentText"/>
    <w:next w:val="CommentText"/>
    <w:link w:val="CommentSubjectChar"/>
    <w:uiPriority w:val="99"/>
    <w:semiHidden/>
    <w:unhideWhenUsed/>
    <w:rsid w:val="006E5835"/>
    <w:rPr>
      <w:b/>
      <w:bCs/>
    </w:rPr>
  </w:style>
  <w:style w:type="character" w:customStyle="1" w:styleId="CommentSubjectChar">
    <w:name w:val="Comment Subject Char"/>
    <w:basedOn w:val="CommentTextChar"/>
    <w:link w:val="CommentSubject"/>
    <w:uiPriority w:val="99"/>
    <w:semiHidden/>
    <w:rsid w:val="006E5835"/>
    <w:rPr>
      <w:b/>
      <w:bCs/>
      <w:sz w:val="20"/>
      <w:szCs w:val="20"/>
    </w:rPr>
  </w:style>
  <w:style w:type="paragraph" w:styleId="BalloonText">
    <w:name w:val="Balloon Text"/>
    <w:basedOn w:val="Normal"/>
    <w:link w:val="BalloonTextChar"/>
    <w:uiPriority w:val="99"/>
    <w:semiHidden/>
    <w:unhideWhenUsed/>
    <w:rsid w:val="006E583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583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6/09/relationships/commentsIds" Target="commentsIds.xml"/><Relationship Id="rId9" Type="http://schemas.microsoft.com/office/2018/08/relationships/commentsExtensible" Target="commentsExtensible.xml"/><Relationship Id="rId10"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8237</Words>
  <Characters>46954</Characters>
  <Application>Microsoft Macintosh Word</Application>
  <DocSecurity>0</DocSecurity>
  <Lines>391</Lines>
  <Paragraphs>110</Paragraphs>
  <ScaleCrop>false</ScaleCrop>
  <Company>University of Virginia</Company>
  <LinksUpToDate>false</LinksUpToDate>
  <CharactersWithSpaces>55081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White</dc:creator>
  <cp:keywords/>
  <dc:description/>
  <cp:lastModifiedBy>Judith White</cp:lastModifiedBy>
  <cp:revision>14</cp:revision>
  <dcterms:created xsi:type="dcterms:W3CDTF">2021-01-22T19:32:00Z</dcterms:created>
  <dcterms:modified xsi:type="dcterms:W3CDTF">2021-01-28T13:45:00Z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Id">
    <vt:lpwstr>http://www.zotero.org/styles/microorganisms</vt:lpwstr>
  </property>
  <property fmtid="{D5CDD505-2E9C-101B-9397-08002B2CF9AE}" pid="3" name="InsertAsFootnote">
    <vt:lpwstr>0</vt:lpwstr>
  </property>
</Properties>
</file>