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33DDA" w14:textId="0B868045" w:rsidR="00F832FB" w:rsidRPr="00A358DA" w:rsidRDefault="00572FAD" w:rsidP="00F832FB">
      <w:pPr>
        <w:pStyle w:val="MDPI11articletype"/>
      </w:pPr>
      <w:r>
        <w:t xml:space="preserve">Supplementary </w:t>
      </w:r>
      <w:r w:rsidR="00EA7FF9">
        <w:t>Materials</w:t>
      </w:r>
      <w:bookmarkStart w:id="0" w:name="_GoBack"/>
      <w:bookmarkEnd w:id="0"/>
    </w:p>
    <w:p w14:paraId="07A8B083" w14:textId="77777777" w:rsidR="00F832FB" w:rsidRPr="00A358DA" w:rsidRDefault="00F832FB" w:rsidP="00F832FB">
      <w:pPr>
        <w:pStyle w:val="MDPI12title"/>
      </w:pPr>
      <w:r w:rsidRPr="00A358DA">
        <w:t>The effect of Ni-</w:t>
      </w:r>
      <w:r>
        <w:t>M</w:t>
      </w:r>
      <w:r w:rsidRPr="009B2B02">
        <w:t>odified</w:t>
      </w:r>
      <w:r w:rsidRPr="00A358DA">
        <w:t xml:space="preserve"> LSFCO </w:t>
      </w:r>
      <w:r>
        <w:t>P</w:t>
      </w:r>
      <w:r w:rsidRPr="009B2B02">
        <w:t xml:space="preserve">romoting </w:t>
      </w:r>
      <w:r>
        <w:t>L</w:t>
      </w:r>
      <w:r w:rsidRPr="009B2B02">
        <w:t>ayer</w:t>
      </w:r>
      <w:r w:rsidRPr="00A358DA">
        <w:t xml:space="preserve"> on the </w:t>
      </w:r>
      <w:r>
        <w:t>G</w:t>
      </w:r>
      <w:r w:rsidRPr="009B2B02">
        <w:t xml:space="preserve">as </w:t>
      </w:r>
      <w:r>
        <w:t>P</w:t>
      </w:r>
      <w:r w:rsidRPr="009B2B02">
        <w:t xml:space="preserve">roduced </w:t>
      </w:r>
      <w:r>
        <w:t>T</w:t>
      </w:r>
      <w:r w:rsidRPr="009B2B02">
        <w:t xml:space="preserve">hrough </w:t>
      </w:r>
      <w:r>
        <w:t>C</w:t>
      </w:r>
      <w:r w:rsidRPr="009B2B02">
        <w:t>o</w:t>
      </w:r>
      <w:r w:rsidRPr="00A358DA">
        <w:t>-electrolysis of CO</w:t>
      </w:r>
      <w:r w:rsidRPr="00A358DA">
        <w:rPr>
          <w:vertAlign w:val="subscript"/>
        </w:rPr>
        <w:t>2</w:t>
      </w:r>
      <w:r w:rsidRPr="00A358DA">
        <w:t xml:space="preserve"> and H</w:t>
      </w:r>
      <w:r w:rsidRPr="00A358DA">
        <w:rPr>
          <w:vertAlign w:val="subscript"/>
        </w:rPr>
        <w:t>2</w:t>
      </w:r>
      <w:r w:rsidRPr="00A358DA">
        <w:t xml:space="preserve">O at </w:t>
      </w:r>
      <w:r>
        <w:t>I</w:t>
      </w:r>
      <w:r w:rsidRPr="009B2B02">
        <w:t xml:space="preserve">ntermediate </w:t>
      </w:r>
      <w:r>
        <w:t>T</w:t>
      </w:r>
      <w:r w:rsidRPr="009B2B02">
        <w:t>emperatures</w:t>
      </w:r>
    </w:p>
    <w:p w14:paraId="6D883CAC" w14:textId="77777777" w:rsidR="00F832FB" w:rsidRPr="00755CCB" w:rsidRDefault="00F832FB" w:rsidP="00F832FB">
      <w:pPr>
        <w:pStyle w:val="MDPI13authornames"/>
      </w:pPr>
      <w:r w:rsidRPr="009B2B02">
        <w:t>M. Lo Faro</w:t>
      </w:r>
      <w:r w:rsidRPr="009B2B02">
        <w:rPr>
          <w:vertAlign w:val="superscript"/>
        </w:rPr>
        <w:t>1</w:t>
      </w:r>
      <w:r w:rsidRPr="009B2B02">
        <w:t>*, S. C. Zignani</w:t>
      </w:r>
      <w:r w:rsidRPr="009B2B02">
        <w:rPr>
          <w:vertAlign w:val="superscript"/>
        </w:rPr>
        <w:t>1</w:t>
      </w:r>
      <w:r w:rsidRPr="009B2B02">
        <w:t>, V. Antonucci</w:t>
      </w:r>
      <w:r w:rsidRPr="009B2B02">
        <w:rPr>
          <w:vertAlign w:val="superscript"/>
        </w:rPr>
        <w:t>1</w:t>
      </w:r>
      <w:r w:rsidRPr="009B2B02">
        <w:t>, and A. S. Aricò</w:t>
      </w:r>
      <w:r w:rsidRPr="009B2B02">
        <w:rPr>
          <w:vertAlign w:val="superscript"/>
        </w:rPr>
        <w:t>1</w:t>
      </w:r>
    </w:p>
    <w:p w14:paraId="1E8C7D56" w14:textId="77777777" w:rsidR="00F832FB" w:rsidRPr="00A358DA" w:rsidRDefault="00F832FB" w:rsidP="00F832FB">
      <w:pPr>
        <w:pStyle w:val="MDPI16affiliation"/>
        <w:ind w:left="113" w:firstLine="0"/>
      </w:pPr>
      <w:r w:rsidRPr="00A358DA">
        <w:rPr>
          <w:vertAlign w:val="superscript"/>
        </w:rPr>
        <w:t xml:space="preserve">1 </w:t>
      </w:r>
      <w:r w:rsidRPr="00A358DA">
        <w:t>Institute of Advanced Energy Technologies (ITAE) of the Italian National Research Council (CNR</w:t>
      </w:r>
      <w:r w:rsidRPr="009B2B02">
        <w:t>)</w:t>
      </w:r>
      <w:r>
        <w:t>,</w:t>
      </w:r>
      <w:r w:rsidRPr="00A358DA">
        <w:t xml:space="preserve"> </w:t>
      </w:r>
      <w:r w:rsidRPr="00755CCB">
        <w:rPr>
          <w:rFonts w:cs="Calibri"/>
          <w:iCs/>
        </w:rPr>
        <w:t>Via Salita S. Lucia sopra Contesse 5, 98126 Messina, Italy</w:t>
      </w:r>
      <w:r>
        <w:rPr>
          <w:rFonts w:cs="Calibri"/>
          <w:iCs/>
        </w:rPr>
        <w:t xml:space="preserve">; </w:t>
      </w:r>
    </w:p>
    <w:p w14:paraId="377185F7" w14:textId="6025D86B" w:rsidR="00F832FB" w:rsidRPr="003D4B05" w:rsidRDefault="00F832FB" w:rsidP="00553D62">
      <w:pPr>
        <w:pStyle w:val="MDPI16affiliation"/>
      </w:pPr>
      <w:r w:rsidRPr="00A358DA">
        <w:rPr>
          <w:b/>
        </w:rPr>
        <w:t>*</w:t>
      </w:r>
      <w:r w:rsidRPr="00A358DA">
        <w:tab/>
        <w:t>Correspondence:</w:t>
      </w:r>
      <w:r w:rsidRPr="00755CCB">
        <w:t xml:space="preserve"> </w:t>
      </w:r>
      <w:r w:rsidRPr="009B2B02">
        <w:t>Correspondence</w:t>
      </w:r>
      <w:r w:rsidRPr="00A358DA">
        <w:t>: lofaro@itae.cnr.it; Tel.: +39-090624243</w:t>
      </w:r>
    </w:p>
    <w:p w14:paraId="542FEBFD" w14:textId="77777777" w:rsidR="00553D62" w:rsidRDefault="00553D62" w:rsidP="00553D62">
      <w:pPr>
        <w:pStyle w:val="MDPI31text"/>
        <w:rPr>
          <w:lang w:val="en-GB"/>
        </w:rPr>
      </w:pPr>
    </w:p>
    <w:p w14:paraId="192D2309" w14:textId="26EC5970" w:rsidR="00F832FB" w:rsidRDefault="00F832FB" w:rsidP="00553D62">
      <w:pPr>
        <w:pStyle w:val="MDPI31text"/>
        <w:rPr>
          <w:lang w:val="en-GB"/>
        </w:rPr>
      </w:pPr>
      <w:r w:rsidRPr="00360C5B">
        <w:rPr>
          <w:lang w:val="en-GB"/>
        </w:rPr>
        <w:t xml:space="preserve">The polarization curves conducted in the temperature range 525–800°C revealed an increase in ohmic constrain compared to the bare cell investigated under similar conditions </w:t>
      </w:r>
      <w:r>
        <w:rPr>
          <w:lang w:val="en-GB"/>
        </w:rPr>
        <w:fldChar w:fldCharType="begin"/>
      </w:r>
      <w:r>
        <w:rPr>
          <w:lang w:val="en-GB"/>
        </w:rPr>
        <w:instrText xml:space="preserve"> ADDIN EN.CITE &lt;EndNote&gt;&lt;Cite&gt;&lt;Author&gt;Lo Faro&lt;/Author&gt;&lt;Year&gt;2019&lt;/Year&gt;&lt;RecNum&gt;1118&lt;/RecNum&gt;&lt;DisplayText&gt;[1]&lt;/DisplayText&gt;&lt;record&gt;&lt;rec-number&gt;1118&lt;/rec-number&gt;&lt;foreign-keys&gt;&lt;key app="EN" db-id="zrpdxx0rzttr5nerza85zv972w0xrdpt5e00" timestamp="1548415681"&gt;1118&lt;/key&gt;&lt;/foreign-keys&gt;&lt;ref-type name="Journal Article"&gt;17&lt;/ref-type&gt;&lt;contributors&gt;&lt;authors&gt;&lt;author&gt;Lo Faro, M.&lt;/author&gt;&lt;author&gt;Zignani, S. C.&lt;/author&gt;&lt;author&gt;Trocino, S.&lt;/author&gt;&lt;author&gt;Antonucci, V.&lt;/author&gt;&lt;author&gt;Aricò, A. S.&lt;/author&gt;&lt;/authors&gt;&lt;/contributors&gt;&lt;titles&gt;&lt;title&gt;New insights on the co-electrolysis of CO2 and H2O through a solid oxide electrolyser operating at intermediate temperatures&lt;/title&gt;&lt;secondary-title&gt;Electrochimica Acta&lt;/secondary-title&gt;&lt;/titles&gt;&lt;periodical&gt;&lt;full-title&gt;Electrochimica Acta&lt;/full-title&gt;&lt;/periodical&gt;&lt;pages&gt;458-464&lt;/pages&gt;&lt;volume&gt;296&lt;/volume&gt;&lt;keywords&gt;&lt;keyword&gt;Co-electrolysis&lt;/keyword&gt;&lt;keyword&gt;CO&lt;/keyword&gt;&lt;keyword&gt;Syngas&lt;/keyword&gt;&lt;keyword&gt;Methane&lt;/keyword&gt;&lt;keyword&gt;Intermediate temperature&lt;/keyword&gt;&lt;keyword&gt;Solid oxide&lt;/keyword&gt;&lt;/keywords&gt;&lt;dates&gt;&lt;year&gt;2019&lt;/year&gt;&lt;pub-dates&gt;&lt;date&gt;2019/02/10/&lt;/date&gt;&lt;/pub-dates&gt;&lt;/dates&gt;&lt;isbn&gt;0013-4686&lt;/isbn&gt;&lt;urls&gt;&lt;related-urls&gt;&lt;url&gt;http://www.sciencedirect.com/science/article/pii/S0013468618325520&lt;/url&gt;&lt;/related-urls&gt;&lt;/urls&gt;&lt;electronic-resource-num&gt;https://doi.org/10.1016/j.electacta.2018.11.079&lt;/electronic-resource-num&gt;&lt;/record&gt;&lt;/Cite&gt;&lt;/EndNote&gt;</w:instrText>
      </w:r>
      <w:r>
        <w:rPr>
          <w:lang w:val="en-GB"/>
        </w:rPr>
        <w:fldChar w:fldCharType="separate"/>
      </w:r>
      <w:r>
        <w:rPr>
          <w:noProof/>
          <w:lang w:val="en-GB"/>
        </w:rPr>
        <w:t>[</w:t>
      </w:r>
      <w:hyperlink w:anchor="_ENREF_1" w:tooltip="Lo Faro, 2019 #1118" w:history="1">
        <w:r>
          <w:rPr>
            <w:noProof/>
            <w:lang w:val="en-GB"/>
          </w:rPr>
          <w:t>1</w:t>
        </w:r>
      </w:hyperlink>
      <w:r>
        <w:rPr>
          <w:noProof/>
          <w:lang w:val="en-GB"/>
        </w:rPr>
        <w:t>]</w:t>
      </w:r>
      <w:r>
        <w:rPr>
          <w:lang w:val="en-GB"/>
        </w:rPr>
        <w:fldChar w:fldCharType="end"/>
      </w:r>
      <w:r w:rsidRPr="00360C5B">
        <w:rPr>
          <w:lang w:val="en-GB"/>
        </w:rPr>
        <w:t>. This increase is due to the additional layer coated to the cathode</w:t>
      </w:r>
      <w:r>
        <w:rPr>
          <w:lang w:val="en-GB"/>
        </w:rPr>
        <w:t>.</w:t>
      </w:r>
    </w:p>
    <w:p w14:paraId="73A5BCA0" w14:textId="77777777" w:rsidR="00F832FB" w:rsidRPr="00360C5B" w:rsidRDefault="00F832FB" w:rsidP="00553D62">
      <w:pPr>
        <w:pStyle w:val="MDPI52figure"/>
        <w:rPr>
          <w:lang w:val="en-GB"/>
        </w:rPr>
      </w:pPr>
      <w:r w:rsidRPr="003B7345">
        <w:rPr>
          <w:noProof/>
          <w:lang w:eastAsia="it-IT"/>
        </w:rPr>
        <w:drawing>
          <wp:inline distT="0" distB="0" distL="0" distR="0" wp14:anchorId="0FCB6E64" wp14:editId="0A56B5EB">
            <wp:extent cx="6115050" cy="4010025"/>
            <wp:effectExtent l="0" t="0" r="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38423458" w14:textId="77777777" w:rsidR="00F832FB" w:rsidRPr="00F832FB" w:rsidRDefault="00F832FB" w:rsidP="00553D62">
      <w:pPr>
        <w:pStyle w:val="MDPI51figurecaption"/>
        <w:rPr>
          <w:lang w:val="en-GB"/>
        </w:rPr>
      </w:pPr>
      <w:r w:rsidRPr="00553D62">
        <w:rPr>
          <w:b/>
          <w:lang w:val="en-GB"/>
        </w:rPr>
        <w:t xml:space="preserve">Figure S1. </w:t>
      </w:r>
      <w:r w:rsidRPr="00F832FB">
        <w:rPr>
          <w:lang w:val="en-GB"/>
        </w:rPr>
        <w:t>Polarization curves of the coated cell investigated in the temperature range 525–800 °C for the co-electrolysis of H</w:t>
      </w:r>
      <w:r w:rsidRPr="00F832FB">
        <w:rPr>
          <w:vertAlign w:val="subscript"/>
          <w:lang w:val="en-GB"/>
        </w:rPr>
        <w:t>2</w:t>
      </w:r>
      <w:r w:rsidRPr="00F832FB">
        <w:rPr>
          <w:lang w:val="en-GB"/>
        </w:rPr>
        <w:t>O and CO</w:t>
      </w:r>
      <w:r w:rsidRPr="00F832FB">
        <w:rPr>
          <w:vertAlign w:val="subscript"/>
          <w:lang w:val="en-GB"/>
        </w:rPr>
        <w:t>2</w:t>
      </w:r>
      <w:r w:rsidRPr="00F832FB">
        <w:rPr>
          <w:lang w:val="en-GB"/>
        </w:rPr>
        <w:t>.</w:t>
      </w:r>
    </w:p>
    <w:p w14:paraId="5EDEF54D" w14:textId="77777777" w:rsidR="00F832FB" w:rsidRPr="00F832FB" w:rsidRDefault="00F832FB" w:rsidP="00F832FB">
      <w:pPr>
        <w:spacing w:line="480" w:lineRule="auto"/>
        <w:rPr>
          <w:rFonts w:cs="Calibri"/>
          <w:szCs w:val="24"/>
          <w:lang w:val="en-GB"/>
        </w:rPr>
      </w:pPr>
    </w:p>
    <w:p w14:paraId="2A7562F1" w14:textId="77777777" w:rsidR="00F832FB" w:rsidRDefault="00F832FB" w:rsidP="00553D62">
      <w:pPr>
        <w:pStyle w:val="MDPI31text"/>
        <w:rPr>
          <w:lang w:val="en-GB"/>
        </w:rPr>
      </w:pPr>
      <w:r>
        <w:rPr>
          <w:lang w:val="en-GB"/>
        </w:rPr>
        <w:t xml:space="preserve">The figure 2S shows the impedance spectra of cell at open circuit voltage (OCV). In OCV conditions, a limited current density was circulated in the cell as that derived from the variation of 10 mV around the OCV value. The increased temperature affected positively both the series resistance (Rs, intercept with X-axis at high frequencies) and the total resistance (Rt, intercept with the x-axis at low frequencies). </w:t>
      </w:r>
      <w:proofErr w:type="gramStart"/>
      <w:r>
        <w:rPr>
          <w:lang w:val="en-GB"/>
        </w:rPr>
        <w:t>In particular, it</w:t>
      </w:r>
      <w:proofErr w:type="gramEnd"/>
      <w:r>
        <w:rPr>
          <w:lang w:val="en-GB"/>
        </w:rPr>
        <w:t xml:space="preserve"> is observed a strong effect of the temperature on the semicircle </w:t>
      </w:r>
      <w:r>
        <w:rPr>
          <w:lang w:val="en-GB"/>
        </w:rPr>
        <w:lastRenderedPageBreak/>
        <w:t xml:space="preserve">appearing at low frequencies. Low frequency semicircle is related to the reaction characterised by slow kinetics. Although further tests are necessary to uniquely assign each semicircle to each reaction, our previous papers have ascribed to the anodic reaction (oxygen evolution) the low frequency semicircle </w:t>
      </w:r>
      <w:r>
        <w:rPr>
          <w:lang w:val="en-GB"/>
        </w:rPr>
        <w:fldChar w:fldCharType="begin">
          <w:fldData xml:space="preserve">PEVuZE5vdGU+PENpdGU+PEF1dGhvcj5MbyBGYXJvPC9BdXRob3I+PFllYXI+MjAxNzwvWWVhcj48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</w:fldData>
        </w:fldChar>
      </w:r>
      <w:r>
        <w:rPr>
          <w:lang w:val="en-GB"/>
        </w:rPr>
        <w:instrText xml:space="preserve"> ADDIN EN.CITE </w:instrText>
      </w:r>
      <w:r>
        <w:rPr>
          <w:lang w:val="en-GB"/>
        </w:rPr>
        <w:fldChar w:fldCharType="begin">
          <w:fldData xml:space="preserve">PEVuZE5vdGU+PENpdGU+PEF1dGhvcj5MbyBGYXJvPC9BdXRob3I+PFllYXI+MjAxNzwvWWVhcj48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w:t>
      </w:r>
      <w:hyperlink w:anchor="_ENREF_2" w:tooltip="Lo Faro, 2017 #1080" w:history="1">
        <w:r>
          <w:rPr>
            <w:noProof/>
            <w:lang w:val="en-GB"/>
          </w:rPr>
          <w:t>2</w:t>
        </w:r>
      </w:hyperlink>
      <w:r>
        <w:rPr>
          <w:noProof/>
          <w:lang w:val="en-GB"/>
        </w:rPr>
        <w:t xml:space="preserve">, </w:t>
      </w:r>
      <w:hyperlink w:anchor="_ENREF_3" w:tooltip="Lo Faro, 2020 #1439" w:history="1">
        <w:r>
          <w:rPr>
            <w:noProof/>
            <w:lang w:val="en-GB"/>
          </w:rPr>
          <w:t>3</w:t>
        </w:r>
      </w:hyperlink>
      <w:r>
        <w:rPr>
          <w:noProof/>
          <w:lang w:val="en-GB"/>
        </w:rPr>
        <w:t>]</w:t>
      </w:r>
      <w:r>
        <w:rPr>
          <w:lang w:val="en-GB"/>
        </w:rPr>
        <w:fldChar w:fldCharType="end"/>
      </w:r>
      <w:r>
        <w:rPr>
          <w:lang w:val="en-GB"/>
        </w:rPr>
        <w:t>.</w:t>
      </w:r>
    </w:p>
    <w:p w14:paraId="74617477" w14:textId="77777777" w:rsidR="00F832FB" w:rsidRPr="00710680" w:rsidRDefault="00F832FB" w:rsidP="00553D62">
      <w:pPr>
        <w:pStyle w:val="MDPI52figure"/>
        <w:rPr>
          <w:lang w:val="en-GB"/>
        </w:rPr>
      </w:pPr>
      <w:r w:rsidRPr="003B7345">
        <w:rPr>
          <w:noProof/>
          <w:lang w:eastAsia="it-IT"/>
        </w:rPr>
        <w:drawing>
          <wp:inline distT="0" distB="0" distL="0" distR="0" wp14:anchorId="3B8DA5B4" wp14:editId="441AC01C">
            <wp:extent cx="6115050" cy="4010025"/>
            <wp:effectExtent l="0" t="0" r="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6636DE97" w14:textId="50DB4A03" w:rsidR="00F832FB" w:rsidRDefault="00553D62" w:rsidP="00553D62">
      <w:pPr>
        <w:pStyle w:val="MDPI51figurecaption"/>
        <w:rPr>
          <w:lang w:val="en-GB"/>
        </w:rPr>
      </w:pPr>
      <w:r w:rsidRPr="00553D62">
        <w:rPr>
          <w:b/>
          <w:lang w:val="en-GB"/>
        </w:rPr>
        <w:t xml:space="preserve">Figure 2. </w:t>
      </w:r>
      <w:r w:rsidR="00F832FB" w:rsidRPr="00F832FB">
        <w:rPr>
          <w:lang w:val="en-GB"/>
        </w:rPr>
        <w:t>Impedance spectra of the coated cell investigated at OCV in the temperature range 525–800 °C for the co-electrolysis of H</w:t>
      </w:r>
      <w:r w:rsidR="00F832FB" w:rsidRPr="00F832FB">
        <w:rPr>
          <w:vertAlign w:val="subscript"/>
          <w:lang w:val="en-GB"/>
        </w:rPr>
        <w:t>2</w:t>
      </w:r>
      <w:r w:rsidR="00F832FB" w:rsidRPr="00F832FB">
        <w:rPr>
          <w:lang w:val="en-GB"/>
        </w:rPr>
        <w:t>O and CO</w:t>
      </w:r>
      <w:r w:rsidR="00F832FB" w:rsidRPr="00F832FB">
        <w:rPr>
          <w:vertAlign w:val="subscript"/>
          <w:lang w:val="en-GB"/>
        </w:rPr>
        <w:t>2</w:t>
      </w:r>
      <w:r w:rsidR="00F832FB" w:rsidRPr="00F832FB">
        <w:rPr>
          <w:lang w:val="en-GB"/>
        </w:rPr>
        <w:t>.</w:t>
      </w:r>
    </w:p>
    <w:p w14:paraId="62064449" w14:textId="77777777" w:rsidR="00F832FB" w:rsidRDefault="00F832FB" w:rsidP="00553D62">
      <w:pPr>
        <w:pStyle w:val="MDPI31text"/>
        <w:rPr>
          <w:lang w:val="en-GB"/>
        </w:rPr>
      </w:pPr>
      <w:r w:rsidRPr="0029107A">
        <w:rPr>
          <w:lang w:val="en-GB"/>
        </w:rPr>
        <w:t xml:space="preserve">A similar trend with the temperature was observed for the EIS analysis conducted at 1.3 V. Nevertheless, at below temperatures, just a barely third semicircle was observed at high frequencies </w:t>
      </w:r>
      <w:proofErr w:type="gramStart"/>
      <w:r w:rsidRPr="0029107A">
        <w:rPr>
          <w:lang w:val="en-GB"/>
        </w:rPr>
        <w:t>as a consequence of</w:t>
      </w:r>
      <w:proofErr w:type="gramEnd"/>
      <w:r w:rsidRPr="0029107A">
        <w:rPr>
          <w:lang w:val="en-GB"/>
        </w:rPr>
        <w:t xml:space="preserve"> the different kinetics for reducing H</w:t>
      </w:r>
      <w:r w:rsidRPr="0029107A">
        <w:rPr>
          <w:vertAlign w:val="subscript"/>
          <w:lang w:val="en-GB"/>
        </w:rPr>
        <w:t>2</w:t>
      </w:r>
      <w:r w:rsidRPr="0029107A">
        <w:rPr>
          <w:lang w:val="en-GB"/>
        </w:rPr>
        <w:t>O and CO</w:t>
      </w:r>
      <w:r w:rsidRPr="0029107A">
        <w:rPr>
          <w:vertAlign w:val="subscript"/>
          <w:lang w:val="en-GB"/>
        </w:rPr>
        <w:t>2</w:t>
      </w:r>
      <w:r w:rsidRPr="0029107A">
        <w:rPr>
          <w:lang w:val="en-GB"/>
        </w:rPr>
        <w:t>.</w:t>
      </w:r>
    </w:p>
    <w:p w14:paraId="257680E8" w14:textId="77777777" w:rsidR="00F832FB" w:rsidRPr="0029107A" w:rsidRDefault="00F832FB" w:rsidP="00553D62">
      <w:pPr>
        <w:pStyle w:val="MDPI52figure"/>
        <w:rPr>
          <w:lang w:val="en-GB"/>
        </w:rPr>
      </w:pPr>
      <w:r w:rsidRPr="003B7345">
        <w:rPr>
          <w:noProof/>
          <w:lang w:eastAsia="it-IT"/>
        </w:rPr>
        <w:lastRenderedPageBreak/>
        <w:drawing>
          <wp:inline distT="0" distB="0" distL="0" distR="0" wp14:anchorId="5148C438" wp14:editId="6F9C6E36">
            <wp:extent cx="6115050" cy="4010025"/>
            <wp:effectExtent l="0" t="0" r="0" b="0"/>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14:paraId="7325BF63" w14:textId="00474CA6" w:rsidR="00F832FB" w:rsidRDefault="00553D62" w:rsidP="00553D62">
      <w:pPr>
        <w:pStyle w:val="MDPI51figurecaption"/>
        <w:rPr>
          <w:lang w:val="en-GB"/>
        </w:rPr>
      </w:pPr>
      <w:r w:rsidRPr="00553D62">
        <w:rPr>
          <w:b/>
          <w:lang w:val="en-GB"/>
        </w:rPr>
        <w:t xml:space="preserve">Figure 3. </w:t>
      </w:r>
      <w:r w:rsidR="00F832FB" w:rsidRPr="00F832FB">
        <w:rPr>
          <w:lang w:val="en-GB"/>
        </w:rPr>
        <w:t>Impedance spectra of the coated cell investigated at 1.3 V in the temperature range 525–800 °C for the co-electrolysis of H</w:t>
      </w:r>
      <w:r w:rsidR="00F832FB" w:rsidRPr="00F832FB">
        <w:rPr>
          <w:vertAlign w:val="subscript"/>
          <w:lang w:val="en-GB"/>
        </w:rPr>
        <w:t>2</w:t>
      </w:r>
      <w:r w:rsidR="00F832FB" w:rsidRPr="00F832FB">
        <w:rPr>
          <w:lang w:val="en-GB"/>
        </w:rPr>
        <w:t>O and CO</w:t>
      </w:r>
      <w:r w:rsidR="00F832FB" w:rsidRPr="00F832FB">
        <w:rPr>
          <w:vertAlign w:val="subscript"/>
          <w:lang w:val="en-GB"/>
        </w:rPr>
        <w:t>2</w:t>
      </w:r>
      <w:r w:rsidR="00F832FB" w:rsidRPr="00F832FB">
        <w:rPr>
          <w:lang w:val="en-GB"/>
        </w:rPr>
        <w:t>.</w:t>
      </w:r>
    </w:p>
    <w:p w14:paraId="0A2C3A4B" w14:textId="77777777" w:rsidR="00F832FB" w:rsidRDefault="00F832FB" w:rsidP="00553D62">
      <w:pPr>
        <w:pStyle w:val="MDPI31text"/>
        <w:rPr>
          <w:lang w:val="en-GB"/>
        </w:rPr>
      </w:pPr>
      <w:r>
        <w:rPr>
          <w:lang w:val="en-GB"/>
        </w:rPr>
        <w:t>In Figure S4 and S5 are reported the gas-chromatograms of cell operating at 150 mA cm</w:t>
      </w:r>
      <w:r w:rsidRPr="000C1556">
        <w:rPr>
          <w:vertAlign w:val="superscript"/>
          <w:lang w:val="en-GB"/>
        </w:rPr>
        <w:t>-2</w:t>
      </w:r>
      <w:r>
        <w:rPr>
          <w:lang w:val="en-GB"/>
        </w:rPr>
        <w:t xml:space="preserve"> and under OCV. These chromatograms were achieved using a Molsieve column (S4) and a Pore-Plot Q (S5) which are suitable for the separation of permanent gases and low weighted hydrocarbons, respectively. </w:t>
      </w:r>
    </w:p>
    <w:p w14:paraId="5DC51680" w14:textId="77777777" w:rsidR="00F832FB" w:rsidRDefault="00F832FB" w:rsidP="00F832FB">
      <w:pPr>
        <w:spacing w:line="480" w:lineRule="auto"/>
        <w:rPr>
          <w:lang w:val="en-GB"/>
        </w:rPr>
      </w:pPr>
    </w:p>
    <w:p w14:paraId="6CFD22BC" w14:textId="77777777" w:rsidR="00F832FB" w:rsidRDefault="00F832FB" w:rsidP="00F832FB">
      <w:pPr>
        <w:spacing w:line="480" w:lineRule="auto"/>
        <w:rPr>
          <w:lang w:val="en-GB"/>
        </w:rPr>
      </w:pPr>
    </w:p>
    <w:p w14:paraId="462A7843" w14:textId="77777777" w:rsidR="00F832FB" w:rsidRDefault="00F832FB" w:rsidP="00F832FB">
      <w:pPr>
        <w:spacing w:line="480" w:lineRule="auto"/>
        <w:rPr>
          <w:lang w:val="en-GB"/>
        </w:rPr>
      </w:pPr>
    </w:p>
    <w:p w14:paraId="665486D1" w14:textId="77777777" w:rsidR="00F832FB" w:rsidRDefault="00F832FB" w:rsidP="00553D62">
      <w:pPr>
        <w:pStyle w:val="MDPI52figure"/>
        <w:rPr>
          <w:lang w:val="en-GB"/>
        </w:rPr>
      </w:pPr>
      <w:r w:rsidRPr="003B7345">
        <w:rPr>
          <w:noProof/>
          <w:lang w:eastAsia="it-IT"/>
        </w:rPr>
        <w:lastRenderedPageBreak/>
        <w:drawing>
          <wp:inline distT="0" distB="0" distL="0" distR="0" wp14:anchorId="5F3CED99" wp14:editId="3F73FAA5">
            <wp:extent cx="6115050" cy="7077075"/>
            <wp:effectExtent l="0" t="0" r="0" b="0"/>
            <wp:docPr id="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7077075"/>
                    </a:xfrm>
                    <a:prstGeom prst="rect">
                      <a:avLst/>
                    </a:prstGeom>
                    <a:noFill/>
                    <a:ln>
                      <a:noFill/>
                    </a:ln>
                  </pic:spPr>
                </pic:pic>
              </a:graphicData>
            </a:graphic>
          </wp:inline>
        </w:drawing>
      </w:r>
    </w:p>
    <w:p w14:paraId="53C4F005" w14:textId="4A541E66" w:rsidR="00F832FB" w:rsidRDefault="00F832FB" w:rsidP="00553D62">
      <w:pPr>
        <w:pStyle w:val="MDPI51figurecaption"/>
        <w:rPr>
          <w:lang w:val="en-GB"/>
        </w:rPr>
      </w:pPr>
      <w:r w:rsidRPr="00553D62">
        <w:rPr>
          <w:b/>
          <w:lang w:val="en-GB"/>
        </w:rPr>
        <w:t xml:space="preserve">Figure S4. </w:t>
      </w:r>
      <w:r w:rsidRPr="00F832FB">
        <w:rPr>
          <w:lang w:val="en-GB"/>
        </w:rPr>
        <w:t>Analytes separated with a Molsieve Column and revealed with TCD. Gas-Chromatograms of outlet from cathode chamber of cell operating at 525 °C operating at 150 mA cm</w:t>
      </w:r>
      <w:r w:rsidRPr="00F832FB">
        <w:rPr>
          <w:vertAlign w:val="superscript"/>
          <w:lang w:val="en-GB"/>
        </w:rPr>
        <w:t>-2</w:t>
      </w:r>
      <w:r w:rsidRPr="00F832FB">
        <w:rPr>
          <w:lang w:val="en-GB"/>
        </w:rPr>
        <w:t xml:space="preserve"> (a) and under OCV (b)</w:t>
      </w:r>
      <w:r w:rsidR="00553D62">
        <w:rPr>
          <w:lang w:val="en-GB"/>
        </w:rPr>
        <w:t>.</w:t>
      </w:r>
    </w:p>
    <w:p w14:paraId="4538BF77" w14:textId="77777777" w:rsidR="00F832FB" w:rsidRDefault="00F832FB" w:rsidP="00F832FB">
      <w:pPr>
        <w:spacing w:line="480" w:lineRule="auto"/>
        <w:rPr>
          <w:lang w:val="en-GB"/>
        </w:rPr>
      </w:pPr>
    </w:p>
    <w:p w14:paraId="2D16154B" w14:textId="77777777" w:rsidR="00F832FB" w:rsidRDefault="00F832FB" w:rsidP="00553D62">
      <w:pPr>
        <w:pStyle w:val="MDPI52figure"/>
        <w:rPr>
          <w:lang w:val="en-GB"/>
        </w:rPr>
      </w:pPr>
      <w:r w:rsidRPr="003B7345">
        <w:rPr>
          <w:noProof/>
          <w:lang w:eastAsia="it-IT"/>
        </w:rPr>
        <w:lastRenderedPageBreak/>
        <w:drawing>
          <wp:inline distT="0" distB="0" distL="0" distR="0" wp14:anchorId="5F6373A4" wp14:editId="05584368">
            <wp:extent cx="6124575" cy="4229100"/>
            <wp:effectExtent l="0" t="0" r="0" b="0"/>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4229100"/>
                    </a:xfrm>
                    <a:prstGeom prst="rect">
                      <a:avLst/>
                    </a:prstGeom>
                    <a:noFill/>
                    <a:ln>
                      <a:noFill/>
                    </a:ln>
                  </pic:spPr>
                </pic:pic>
              </a:graphicData>
            </a:graphic>
          </wp:inline>
        </w:drawing>
      </w:r>
    </w:p>
    <w:p w14:paraId="62C1D04E" w14:textId="7E550660" w:rsidR="00F832FB" w:rsidRPr="00F808BB" w:rsidRDefault="00553D62" w:rsidP="00553D62">
      <w:pPr>
        <w:pStyle w:val="MDPI51figurecaption"/>
        <w:rPr>
          <w:lang w:val="en-GB"/>
        </w:rPr>
      </w:pPr>
      <w:r w:rsidRPr="00553D62">
        <w:rPr>
          <w:b/>
          <w:lang w:val="en-GB"/>
        </w:rPr>
        <w:t xml:space="preserve">Figure 5. </w:t>
      </w:r>
      <w:r w:rsidR="00F832FB" w:rsidRPr="00F832FB">
        <w:rPr>
          <w:lang w:val="en-GB"/>
        </w:rPr>
        <w:t>Analytes separated with a Pore-Plot Q Column and revealed with TCD. Gas-Chromatograms of outlet from cathode chamber of cell operating at 525 °C operating at 150 mA cm</w:t>
      </w:r>
      <w:r w:rsidR="00F832FB" w:rsidRPr="00F832FB">
        <w:rPr>
          <w:vertAlign w:val="superscript"/>
          <w:lang w:val="en-GB"/>
        </w:rPr>
        <w:t>-2</w:t>
      </w:r>
      <w:r w:rsidR="00F832FB" w:rsidRPr="00F832FB">
        <w:rPr>
          <w:lang w:val="en-GB"/>
        </w:rPr>
        <w:t xml:space="preserve"> (a) and under OCV (b)</w:t>
      </w:r>
      <w:r>
        <w:rPr>
          <w:lang w:val="en-GB"/>
        </w:rPr>
        <w:t>.</w:t>
      </w:r>
    </w:p>
    <w:p w14:paraId="68E27A42" w14:textId="6041F54F" w:rsidR="00F832FB" w:rsidRDefault="00F832FB" w:rsidP="005C0726">
      <w:pPr>
        <w:pStyle w:val="MDPI31text"/>
        <w:rPr>
          <w:lang w:val="en-GB"/>
        </w:rPr>
      </w:pPr>
      <w:r>
        <w:rPr>
          <w:lang w:val="en-GB"/>
        </w:rPr>
        <w:t>The gas-chromatographic data concerning C-based molecules where treated according to the following equation:</w:t>
      </w:r>
    </w:p>
    <w:tbl>
      <w:tblPr>
        <w:tblW w:w="0" w:type="auto"/>
        <w:jc w:val="center"/>
        <w:tblLayout w:type="fixed"/>
        <w:tblLook w:val="0000" w:firstRow="0" w:lastRow="0" w:firstColumn="0" w:lastColumn="0" w:noHBand="0" w:noVBand="0"/>
      </w:tblPr>
      <w:tblGrid>
        <w:gridCol w:w="8220"/>
        <w:gridCol w:w="646"/>
      </w:tblGrid>
      <w:tr w:rsidR="00553D62" w14:paraId="41BC892B" w14:textId="77777777" w:rsidTr="00553D62">
        <w:tblPrEx>
          <w:tblCellMar>
            <w:top w:w="0" w:type="dxa"/>
            <w:bottom w:w="0" w:type="dxa"/>
          </w:tblCellMar>
        </w:tblPrEx>
        <w:trPr>
          <w:trHeight w:val="340"/>
          <w:jc w:val="center"/>
        </w:trPr>
        <w:tc>
          <w:tcPr>
            <w:tcW w:w="8220" w:type="dxa"/>
            <w:shd w:val="clear" w:color="auto" w:fill="auto"/>
            <w:vAlign w:val="center"/>
          </w:tcPr>
          <w:p w14:paraId="0791FD41" w14:textId="78E70C1C" w:rsidR="00553D62" w:rsidRDefault="00553D62" w:rsidP="00553D62">
            <w:pPr>
              <w:spacing w:before="120" w:after="120" w:line="260" w:lineRule="atLeast"/>
              <w:ind w:left="706"/>
              <w:jc w:val="center"/>
              <w:rPr>
                <w:lang w:val="pt-PT"/>
              </w:rPr>
            </w:pPr>
            <m:oMathPara>
              <m:oMath>
                <m:r>
                  <w:rPr>
                    <w:rFonts w:ascii="Cambria Math" w:hAnsi="Cambria Math"/>
                    <w:lang w:val="en-GB"/>
                  </w:rPr>
                  <m:t>Carbon</m:t>
                </m:r>
                <m:r>
                  <w:rPr>
                    <w:rFonts w:ascii="Cambria Math" w:hAnsi="Cambria Math"/>
                    <w:lang w:val="pt-PT"/>
                  </w:rPr>
                  <m:t xml:space="preserve"> </m:t>
                </m:r>
                <m:r>
                  <w:rPr>
                    <w:rFonts w:ascii="Cambria Math" w:hAnsi="Cambria Math"/>
                    <w:lang w:val="en-GB"/>
                  </w:rPr>
                  <m:t>balance</m:t>
                </m:r>
                <m:r>
                  <w:rPr>
                    <w:rFonts w:ascii="Cambria Math" w:hAnsi="Cambria Math"/>
                    <w:lang w:val="pt-PT"/>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out</m:t>
                        </m:r>
                      </m:sub>
                    </m:sSub>
                    <m:r>
                      <w:rPr>
                        <w:rFonts w:ascii="Cambria Math" w:hAnsi="Cambria Math"/>
                        <w:lang w:val="pt-PT"/>
                      </w:rPr>
                      <m:t>+</m:t>
                    </m:r>
                    <m:sSub>
                      <m:sSubPr>
                        <m:ctrlPr>
                          <w:rPr>
                            <w:rFonts w:ascii="Cambria Math" w:hAnsi="Cambria Math"/>
                            <w:i/>
                            <w:lang w:val="en-GB"/>
                          </w:rPr>
                        </m:ctrlPr>
                      </m:sSubPr>
                      <m:e>
                        <m:r>
                          <w:rPr>
                            <w:rFonts w:ascii="Cambria Math" w:hAnsi="Cambria Math"/>
                            <w:lang w:val="en-GB"/>
                          </w:rPr>
                          <m:t>CO</m:t>
                        </m:r>
                      </m:e>
                      <m:sub>
                        <m:sSub>
                          <m:sSubPr>
                            <m:ctrlPr>
                              <w:rPr>
                                <w:rFonts w:ascii="Cambria Math" w:hAnsi="Cambria Math"/>
                                <w:i/>
                                <w:lang w:val="en-GB"/>
                              </w:rPr>
                            </m:ctrlPr>
                          </m:sSubPr>
                          <m:e>
                            <m:r>
                              <w:rPr>
                                <w:rFonts w:ascii="Cambria Math" w:hAnsi="Cambria Math"/>
                                <w:lang w:val="pt-PT"/>
                              </w:rPr>
                              <m:t>2</m:t>
                            </m:r>
                          </m:e>
                          <m:sub>
                            <m:r>
                              <w:rPr>
                                <w:rFonts w:ascii="Cambria Math" w:hAnsi="Cambria Math"/>
                                <w:lang w:val="en-GB"/>
                              </w:rPr>
                              <m:t>out</m:t>
                            </m:r>
                          </m:sub>
                        </m:sSub>
                      </m:sub>
                    </m:sSub>
                    <m:r>
                      <w:rPr>
                        <w:rFonts w:ascii="Cambria Math" w:hAnsi="Cambria Math"/>
                        <w:lang w:val="pt-PT"/>
                      </w:rPr>
                      <m:t>+</m:t>
                    </m:r>
                    <m:sSub>
                      <m:sSubPr>
                        <m:ctrlPr>
                          <w:rPr>
                            <w:rFonts w:ascii="Cambria Math" w:hAnsi="Cambria Math"/>
                            <w:i/>
                            <w:lang w:val="en-GB"/>
                          </w:rPr>
                        </m:ctrlPr>
                      </m:sSubPr>
                      <m:e>
                        <m:r>
                          <w:rPr>
                            <w:rFonts w:ascii="Cambria Math" w:hAnsi="Cambria Math"/>
                            <w:lang w:val="en-GB"/>
                          </w:rPr>
                          <m:t>CH</m:t>
                        </m:r>
                      </m:e>
                      <m:sub>
                        <m:sSub>
                          <m:sSubPr>
                            <m:ctrlPr>
                              <w:rPr>
                                <w:rFonts w:ascii="Cambria Math" w:hAnsi="Cambria Math"/>
                                <w:i/>
                                <w:lang w:val="en-GB"/>
                              </w:rPr>
                            </m:ctrlPr>
                          </m:sSubPr>
                          <m:e>
                            <m:r>
                              <w:rPr>
                                <w:rFonts w:ascii="Cambria Math" w:hAnsi="Cambria Math"/>
                                <w:lang w:val="pt-PT"/>
                              </w:rPr>
                              <m:t>4</m:t>
                            </m:r>
                          </m:e>
                          <m:sub>
                            <m:r>
                              <w:rPr>
                                <w:rFonts w:ascii="Cambria Math" w:hAnsi="Cambria Math"/>
                                <w:lang w:val="en-GB"/>
                              </w:rPr>
                              <m:t>out</m:t>
                            </m:r>
                          </m:sub>
                        </m:sSub>
                      </m:sub>
                    </m:sSub>
                  </m:num>
                  <m:den>
                    <m:sSub>
                      <m:sSubPr>
                        <m:ctrlPr>
                          <w:rPr>
                            <w:rFonts w:ascii="Cambria Math" w:hAnsi="Cambria Math"/>
                            <w:i/>
                            <w:lang w:val="en-GB"/>
                          </w:rPr>
                        </m:ctrlPr>
                      </m:sSubPr>
                      <m:e>
                        <m:r>
                          <w:rPr>
                            <w:rFonts w:ascii="Cambria Math" w:hAnsi="Cambria Math"/>
                            <w:lang w:val="en-GB"/>
                          </w:rPr>
                          <m:t>CO</m:t>
                        </m:r>
                      </m:e>
                      <m:sub>
                        <m:sSub>
                          <m:sSubPr>
                            <m:ctrlPr>
                              <w:rPr>
                                <w:rFonts w:ascii="Cambria Math" w:hAnsi="Cambria Math"/>
                                <w:i/>
                                <w:lang w:val="en-GB"/>
                              </w:rPr>
                            </m:ctrlPr>
                          </m:sSubPr>
                          <m:e>
                            <m:r>
                              <w:rPr>
                                <w:rFonts w:ascii="Cambria Math" w:hAnsi="Cambria Math"/>
                                <w:lang w:val="pt-PT"/>
                              </w:rPr>
                              <m:t>2</m:t>
                            </m:r>
                          </m:e>
                          <m:sub>
                            <m:r>
                              <w:rPr>
                                <w:rFonts w:ascii="Cambria Math" w:hAnsi="Cambria Math"/>
                                <w:lang w:val="en-GB"/>
                              </w:rPr>
                              <m:t>in</m:t>
                            </m:r>
                          </m:sub>
                        </m:sSub>
                      </m:sub>
                    </m:sSub>
                  </m:den>
                </m:f>
                <m:r>
                  <w:rPr>
                    <w:rFonts w:ascii="Cambria Math" w:hAnsi="Cambria Math"/>
                    <w:lang w:val="pt-PT"/>
                  </w:rPr>
                  <m:t>*100</m:t>
                </m:r>
              </m:oMath>
            </m:oMathPara>
          </w:p>
        </w:tc>
        <w:tc>
          <w:tcPr>
            <w:tcW w:w="646" w:type="dxa"/>
            <w:shd w:val="clear" w:color="auto" w:fill="auto"/>
            <w:vAlign w:val="center"/>
          </w:tcPr>
          <w:p w14:paraId="06AD4F01" w14:textId="2D49A089" w:rsidR="00553D62" w:rsidRPr="00553D62" w:rsidRDefault="00553D62" w:rsidP="00553D62">
            <w:pPr>
              <w:spacing w:before="120" w:after="120" w:line="260" w:lineRule="atLeast"/>
              <w:jc w:val="right"/>
              <w:rPr>
                <w:rFonts w:ascii="Palatino Linotype" w:hAnsi="Palatino Linotype"/>
                <w:sz w:val="20"/>
                <w:lang w:val="pt-PT"/>
              </w:rPr>
            </w:pPr>
            <w:r>
              <w:rPr>
                <w:rFonts w:ascii="Palatino Linotype" w:hAnsi="Palatino Linotype"/>
                <w:sz w:val="20"/>
                <w:lang w:val="pt-PT"/>
              </w:rPr>
              <w:t>(</w:t>
            </w:r>
            <w:r>
              <w:rPr>
                <w:rFonts w:ascii="Palatino Linotype" w:hAnsi="Palatino Linotype"/>
                <w:sz w:val="20"/>
                <w:lang w:val="pt-PT"/>
              </w:rPr>
              <w:fldChar w:fldCharType="begin"/>
            </w:r>
            <w:r>
              <w:rPr>
                <w:rFonts w:ascii="Palatino Linotype" w:hAnsi="Palatino Linotype"/>
                <w:sz w:val="20"/>
                <w:lang w:val="pt-PT"/>
              </w:rPr>
              <w:instrText xml:space="preserve"> seq EquationSeq \* \Arabic </w:instrText>
            </w:r>
            <w:r>
              <w:rPr>
                <w:rFonts w:ascii="Palatino Linotype" w:hAnsi="Palatino Linotype"/>
                <w:sz w:val="20"/>
                <w:lang w:val="pt-PT"/>
              </w:rPr>
              <w:fldChar w:fldCharType="separate"/>
            </w:r>
            <w:r>
              <w:rPr>
                <w:rFonts w:ascii="Palatino Linotype" w:hAnsi="Palatino Linotype"/>
                <w:noProof/>
                <w:sz w:val="20"/>
                <w:lang w:val="pt-PT"/>
              </w:rPr>
              <w:t>1</w:t>
            </w:r>
            <w:r>
              <w:rPr>
                <w:rFonts w:ascii="Palatino Linotype" w:hAnsi="Palatino Linotype"/>
                <w:sz w:val="20"/>
                <w:lang w:val="pt-PT"/>
              </w:rPr>
              <w:fldChar w:fldCharType="end"/>
            </w:r>
            <w:r>
              <w:rPr>
                <w:rFonts w:ascii="Palatino Linotype" w:hAnsi="Palatino Linotype"/>
                <w:sz w:val="20"/>
                <w:lang w:val="pt-PT"/>
              </w:rPr>
              <w:t>)</w:t>
            </w:r>
          </w:p>
        </w:tc>
      </w:tr>
    </w:tbl>
    <w:p w14:paraId="62F54293" w14:textId="77777777" w:rsidR="00F832FB" w:rsidRDefault="00F832FB" w:rsidP="005C0726">
      <w:pPr>
        <w:pStyle w:val="MDPI31text"/>
        <w:rPr>
          <w:lang w:val="en-GB"/>
        </w:rPr>
      </w:pPr>
      <w:r w:rsidRPr="0029107A">
        <w:rPr>
          <w:lang w:val="en-GB"/>
        </w:rPr>
        <w:t>As observed in the figure S</w:t>
      </w:r>
      <w:r>
        <w:rPr>
          <w:lang w:val="en-GB"/>
        </w:rPr>
        <w:t>6</w:t>
      </w:r>
      <w:r w:rsidRPr="0029107A">
        <w:rPr>
          <w:lang w:val="en-GB"/>
        </w:rPr>
        <w:t>, the carbon balance represented by the bar chart was close to 100%. This result was an indication of goodness for the gas sealing of</w:t>
      </w:r>
      <w:r>
        <w:rPr>
          <w:lang w:val="en-GB"/>
        </w:rPr>
        <w:t xml:space="preserve"> c</w:t>
      </w:r>
      <w:r w:rsidRPr="0029107A">
        <w:rPr>
          <w:lang w:val="en-GB"/>
        </w:rPr>
        <w:t>ell.</w:t>
      </w:r>
    </w:p>
    <w:p w14:paraId="7607EB0C" w14:textId="77777777" w:rsidR="00F832FB" w:rsidRPr="005C11A7" w:rsidRDefault="00F832FB" w:rsidP="005C0726">
      <w:pPr>
        <w:pStyle w:val="MDPI52figure"/>
        <w:rPr>
          <w:lang w:val="en-GB"/>
        </w:rPr>
      </w:pPr>
      <w:r w:rsidRPr="0029107A">
        <w:rPr>
          <w:lang w:val="en-GB"/>
        </w:rPr>
        <w:lastRenderedPageBreak/>
        <w:t xml:space="preserve">  </w:t>
      </w:r>
      <w:r w:rsidRPr="003B7345">
        <w:rPr>
          <w:noProof/>
          <w:lang w:eastAsia="it-IT"/>
        </w:rPr>
        <w:drawing>
          <wp:inline distT="0" distB="0" distL="0" distR="0" wp14:anchorId="261EA4AE" wp14:editId="00A06E06">
            <wp:extent cx="6124575" cy="4010025"/>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575" cy="4010025"/>
                    </a:xfrm>
                    <a:prstGeom prst="rect">
                      <a:avLst/>
                    </a:prstGeom>
                    <a:noFill/>
                    <a:ln>
                      <a:noFill/>
                    </a:ln>
                  </pic:spPr>
                </pic:pic>
              </a:graphicData>
            </a:graphic>
          </wp:inline>
        </w:drawing>
      </w:r>
    </w:p>
    <w:p w14:paraId="28D12FE9" w14:textId="67A0EA48" w:rsidR="00F832FB" w:rsidRPr="00F832FB" w:rsidRDefault="005C0726" w:rsidP="005C0726">
      <w:pPr>
        <w:pStyle w:val="MDPI51figurecaption"/>
        <w:rPr>
          <w:lang w:val="en-GB"/>
        </w:rPr>
      </w:pPr>
      <w:r w:rsidRPr="005C0726">
        <w:rPr>
          <w:b/>
          <w:szCs w:val="24"/>
          <w:lang w:val="en-GB"/>
        </w:rPr>
        <w:t xml:space="preserve">Figure 6. </w:t>
      </w:r>
      <w:r w:rsidR="00F832FB" w:rsidRPr="00F832FB">
        <w:rPr>
          <w:sz w:val="24"/>
          <w:szCs w:val="24"/>
          <w:lang w:val="en-GB"/>
        </w:rPr>
        <w:t xml:space="preserve">Carbon balance of gas achieved </w:t>
      </w:r>
      <w:r w:rsidR="00F832FB" w:rsidRPr="00F832FB">
        <w:rPr>
          <w:lang w:val="en-GB"/>
        </w:rPr>
        <w:t xml:space="preserve">under practical conditions. The gas-chromatographic data were treated accordingly to equation </w:t>
      </w:r>
      <w:proofErr w:type="gramStart"/>
      <w:r w:rsidR="00F832FB" w:rsidRPr="00F832FB">
        <w:rPr>
          <w:lang w:val="en-GB"/>
        </w:rPr>
        <w:t xml:space="preserve">1 </w:t>
      </w:r>
      <w:r>
        <w:rPr>
          <w:lang w:val="en-GB"/>
        </w:rPr>
        <w:t>.</w:t>
      </w:r>
      <w:proofErr w:type="gramEnd"/>
    </w:p>
    <w:p w14:paraId="7C27BD8E" w14:textId="77777777" w:rsidR="00F832FB" w:rsidRPr="00F832FB" w:rsidRDefault="00F832FB" w:rsidP="005C0726">
      <w:pPr>
        <w:pStyle w:val="MDPI31text"/>
        <w:rPr>
          <w:lang w:val="en-GB"/>
        </w:rPr>
      </w:pPr>
      <w:r w:rsidRPr="00451C12">
        <w:rPr>
          <w:lang w:val="en-GB"/>
        </w:rPr>
        <w:t>The figure S</w:t>
      </w:r>
      <w:r>
        <w:rPr>
          <w:lang w:val="en-GB"/>
        </w:rPr>
        <w:t>7</w:t>
      </w:r>
      <w:r w:rsidRPr="00451C12">
        <w:rPr>
          <w:lang w:val="en-GB"/>
        </w:rPr>
        <w:t xml:space="preserve"> shows the SEM image of spent cell. The two magnifications demonstrated that the microstructure was not damaged from the temperature treatment and SOEC operation. It is worthy to note that no delamination occurred, especially at the anode-electrolyte interface, as it is one of the most known drawbacks of these cells (Fig. S4a). Another significant information was the absence of carbon deposits on the microporosity of cathode layer.</w:t>
      </w:r>
    </w:p>
    <w:p w14:paraId="618C2B10" w14:textId="2348AFAA" w:rsidR="00F832FB" w:rsidRDefault="00F832FB" w:rsidP="005C0726">
      <w:pPr>
        <w:pStyle w:val="MDPI52figure"/>
        <w:rPr>
          <w:lang w:val="en-GB"/>
        </w:rPr>
      </w:pPr>
      <w:r w:rsidRPr="003B7345">
        <w:rPr>
          <w:noProof/>
          <w:lang w:eastAsia="it-IT"/>
        </w:rPr>
        <w:drawing>
          <wp:inline distT="0" distB="0" distL="0" distR="0" wp14:anchorId="25A9823F" wp14:editId="72F668DA">
            <wp:extent cx="6124575" cy="2362200"/>
            <wp:effectExtent l="0" t="0" r="0" b="0"/>
            <wp:docPr id="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362200"/>
                    </a:xfrm>
                    <a:prstGeom prst="rect">
                      <a:avLst/>
                    </a:prstGeom>
                    <a:noFill/>
                    <a:ln>
                      <a:noFill/>
                    </a:ln>
                  </pic:spPr>
                </pic:pic>
              </a:graphicData>
            </a:graphic>
          </wp:inline>
        </w:drawing>
      </w:r>
    </w:p>
    <w:p w14:paraId="595CEADD" w14:textId="36E91BBD" w:rsidR="00F832FB" w:rsidRPr="00F832FB" w:rsidRDefault="005C0726" w:rsidP="005C0726">
      <w:pPr>
        <w:pStyle w:val="MDPI51figurecaption"/>
        <w:rPr>
          <w:lang w:val="en-GB"/>
        </w:rPr>
      </w:pPr>
      <w:r w:rsidRPr="005C0726">
        <w:rPr>
          <w:b/>
          <w:lang w:val="en-GB"/>
        </w:rPr>
        <w:t xml:space="preserve">Figure 7. </w:t>
      </w:r>
      <w:r w:rsidR="00F832FB" w:rsidRPr="00F832FB">
        <w:rPr>
          <w:lang w:val="en-GB"/>
        </w:rPr>
        <w:t>SEM analysis of spent cell highlighting the interface regions (a) and the magnification of cathode microstructure (b)</w:t>
      </w:r>
      <w:r>
        <w:rPr>
          <w:lang w:val="en-GB"/>
        </w:rPr>
        <w:t>.</w:t>
      </w:r>
    </w:p>
    <w:p w14:paraId="5CAB0942" w14:textId="77777777" w:rsidR="00F832FB" w:rsidRDefault="00F832FB" w:rsidP="00F832FB">
      <w:pPr>
        <w:spacing w:line="480" w:lineRule="auto"/>
        <w:rPr>
          <w:lang w:val="en-GB"/>
        </w:rPr>
      </w:pPr>
    </w:p>
    <w:p w14:paraId="288F152D" w14:textId="77777777" w:rsidR="00F832FB" w:rsidRPr="005C0726" w:rsidRDefault="00F832FB" w:rsidP="005C0726">
      <w:pPr>
        <w:pStyle w:val="MDPI62Acknowledgments"/>
        <w:rPr>
          <w:b/>
          <w:lang w:val="en-GB"/>
        </w:rPr>
      </w:pPr>
      <w:r w:rsidRPr="005C0726">
        <w:rPr>
          <w:b/>
          <w:lang w:val="en-GB"/>
        </w:rPr>
        <w:lastRenderedPageBreak/>
        <w:t>References</w:t>
      </w:r>
    </w:p>
    <w:p w14:paraId="142C1DEA" w14:textId="5B41B3F7" w:rsidR="00F832FB" w:rsidRPr="00CC41F5" w:rsidRDefault="00F832FB" w:rsidP="00CC41F5">
      <w:pPr>
        <w:pStyle w:val="MDPI71References"/>
        <w:adjustRightInd w:val="0"/>
        <w:snapToGrid w:val="0"/>
        <w:ind w:left="425" w:hanging="425"/>
      </w:pPr>
      <w:bookmarkStart w:id="1" w:name="_ENREF_1"/>
      <w:r w:rsidRPr="00CC41F5">
        <w:t>[1] M. Lo Faro</w:t>
      </w:r>
      <w:r w:rsidR="005C0726" w:rsidRPr="00CC41F5">
        <w:t>:</w:t>
      </w:r>
      <w:r w:rsidRPr="00CC41F5">
        <w:t xml:space="preserve"> S.C. Zignani, S. Trocino, V. Antonucci, A.S. Aricò, New insights on the co-electrolysis of CO</w:t>
      </w:r>
      <w:r w:rsidRPr="00CC41F5">
        <w:rPr>
          <w:vertAlign w:val="subscript"/>
        </w:rPr>
        <w:t xml:space="preserve">2 </w:t>
      </w:r>
      <w:r w:rsidRPr="00CC41F5">
        <w:t>and H</w:t>
      </w:r>
      <w:r w:rsidRPr="00CC41F5">
        <w:rPr>
          <w:vertAlign w:val="subscript"/>
        </w:rPr>
        <w:t>2</w:t>
      </w:r>
      <w:r w:rsidRPr="00CC41F5">
        <w:t>O through a solid oxide electrolyser operating at intermediate temperatures, Electrochimica Acta, 296 (2019) 458-464.</w:t>
      </w:r>
      <w:bookmarkEnd w:id="1"/>
    </w:p>
    <w:p w14:paraId="7B84672E" w14:textId="77777777" w:rsidR="00F832FB" w:rsidRPr="00CC41F5" w:rsidRDefault="00F832FB" w:rsidP="00CC41F5">
      <w:pPr>
        <w:pStyle w:val="MDPI71References"/>
        <w:adjustRightInd w:val="0"/>
        <w:snapToGrid w:val="0"/>
        <w:ind w:left="425" w:hanging="425"/>
      </w:pPr>
      <w:bookmarkStart w:id="2" w:name="_ENREF_2"/>
      <w:r w:rsidRPr="00CC41F5">
        <w:t>[2] M. Lo Faro, S. Trocino, S.C. Zignani, V. Antonucci, A.S. Aricò, Production of syngas by solid oxide electrolysis: A case study, International Journal of Hydrogen Energy, 42 (2017) 27859-27865.</w:t>
      </w:r>
      <w:bookmarkEnd w:id="2"/>
    </w:p>
    <w:p w14:paraId="02950D04" w14:textId="11155594" w:rsidR="00511EBE" w:rsidRPr="003F7752" w:rsidRDefault="00F832FB" w:rsidP="00511EBE">
      <w:pPr>
        <w:pStyle w:val="MDPI71References"/>
        <w:adjustRightInd w:val="0"/>
        <w:snapToGrid w:val="0"/>
        <w:ind w:left="425" w:hanging="425"/>
      </w:pPr>
      <w:bookmarkStart w:id="3" w:name="_ENREF_3"/>
      <w:r w:rsidRPr="00CC41F5">
        <w:t>[3] M. Lo Faro, W. Oliveira da Silva, W. Valenzuela Barrientos, G.G.A. Saglietti, S.C. Zignani, E.A. Ticianelli, V. Antonucci, A.S. Aricò, The role of CuSn alloy in the co-electrolysis of CO</w:t>
      </w:r>
      <w:r w:rsidRPr="00CC41F5">
        <w:rPr>
          <w:vertAlign w:val="subscript"/>
        </w:rPr>
        <w:t>2</w:t>
      </w:r>
      <w:r w:rsidRPr="00CC41F5">
        <w:t xml:space="preserve"> and H</w:t>
      </w:r>
      <w:r w:rsidRPr="00CC41F5">
        <w:rPr>
          <w:vertAlign w:val="subscript"/>
        </w:rPr>
        <w:t>2</w:t>
      </w:r>
      <w:r w:rsidRPr="00CC41F5">
        <w:t>O through an intermediate temperature solid oxide electrolyser, Journal of Energy Storage, 27 (2020).</w:t>
      </w:r>
      <w:bookmarkEnd w:id="3"/>
    </w:p>
    <w:p w14:paraId="137D2BB1" w14:textId="77777777" w:rsidR="00511EBE" w:rsidRPr="003F7752" w:rsidRDefault="00511EBE" w:rsidP="00511EBE">
      <w:pPr>
        <w:pStyle w:val="MDPI71References"/>
        <w:numPr>
          <w:ilvl w:val="0"/>
          <w:numId w:val="0"/>
        </w:numPr>
        <w:adjustRightInd w:val="0"/>
        <w:snapToGrid w:val="0"/>
        <w:rPr>
          <w:bCs/>
          <w:color w:val="auto"/>
        </w:rPr>
      </w:pPr>
      <w:r w:rsidRPr="003F7752">
        <w:rPr>
          <w:b/>
          <w:color w:val="auto"/>
        </w:rPr>
        <w:t>Publisher’s No</w:t>
      </w:r>
      <w:r w:rsidRPr="003F7752">
        <w:rPr>
          <w:bCs/>
          <w:color w:val="auto"/>
        </w:rPr>
        <w:t xml:space="preserve">te: MDPI stays neutral </w:t>
      </w:r>
      <w:proofErr w:type="gramStart"/>
      <w:r w:rsidRPr="003F7752">
        <w:rPr>
          <w:bCs/>
          <w:color w:val="auto"/>
        </w:rPr>
        <w:t>with regard to</w:t>
      </w:r>
      <w:proofErr w:type="gramEnd"/>
      <w:r w:rsidRPr="003F7752">
        <w:rPr>
          <w:bCs/>
          <w:color w:val="auto"/>
        </w:rPr>
        <w:t xml:space="preserve"> jurisdictional claims in published maps and institutional affiliations.</w:t>
      </w:r>
    </w:p>
    <w:tbl>
      <w:tblPr>
        <w:tblStyle w:val="PlainTable4"/>
        <w:tblW w:w="8880" w:type="dxa"/>
        <w:jc w:val="center"/>
        <w:tblLook w:val="04A0" w:firstRow="1" w:lastRow="0" w:firstColumn="1" w:lastColumn="0" w:noHBand="0" w:noVBand="1"/>
      </w:tblPr>
      <w:tblGrid>
        <w:gridCol w:w="1731"/>
        <w:gridCol w:w="7149"/>
      </w:tblGrid>
      <w:tr w:rsidR="00511EBE" w:rsidRPr="00453F95" w14:paraId="06732EB9" w14:textId="77777777" w:rsidTr="00E40E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B9A424" w14:textId="77777777" w:rsidR="00511EBE" w:rsidRPr="00453F95" w:rsidRDefault="00511EBE" w:rsidP="00E40ED2">
            <w:pPr>
              <w:adjustRightInd w:val="0"/>
              <w:snapToGrid w:val="0"/>
              <w:spacing w:before="240" w:line="260" w:lineRule="atLeast"/>
              <w:ind w:left="-85"/>
              <w:rPr>
                <w:rFonts w:ascii="Palatino Linotype" w:hAnsi="Palatino Linotype" w:cs="Calibri"/>
                <w:b w:val="0"/>
                <w:sz w:val="18"/>
              </w:rPr>
            </w:pPr>
            <w:r w:rsidRPr="00453F95">
              <w:rPr>
                <w:rFonts w:ascii="Palatino Linotype" w:hAnsi="Palatino Linotype" w:cs="Calibri"/>
                <w:noProof/>
                <w:sz w:val="18"/>
              </w:rPr>
              <w:drawing>
                <wp:inline distT="0" distB="0" distL="0" distR="0" wp14:anchorId="0BD421CA" wp14:editId="6420E6CC">
                  <wp:extent cx="1000800" cy="36000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pic:spPr>
                      </pic:pic>
                    </a:graphicData>
                  </a:graphic>
                </wp:inline>
              </w:drawing>
            </w:r>
          </w:p>
        </w:tc>
        <w:tc>
          <w:tcPr>
            <w:tcW w:w="7149" w:type="dxa"/>
            <w:vAlign w:val="center"/>
          </w:tcPr>
          <w:p w14:paraId="7FDAC2E1" w14:textId="77777777" w:rsidR="00511EBE" w:rsidRPr="00453F95" w:rsidRDefault="00511EBE" w:rsidP="00E40ED2">
            <w:pPr>
              <w:adjustRightInd w:val="0"/>
              <w:snapToGrid w:val="0"/>
              <w:spacing w:before="240" w:line="260" w:lineRule="atLeast"/>
              <w:ind w:left="-85"/>
              <w:cnfStyle w:val="100000000000" w:firstRow="1" w:lastRow="0" w:firstColumn="0" w:lastColumn="0" w:oddVBand="0" w:evenVBand="0" w:oddHBand="0" w:evenHBand="0" w:firstRowFirstColumn="0" w:firstRowLastColumn="0" w:lastRowFirstColumn="0" w:lastRowLastColumn="0"/>
              <w:rPr>
                <w:rFonts w:ascii="Palatino Linotype" w:hAnsi="Palatino Linotype" w:cs="Calibri"/>
                <w:b w:val="0"/>
                <w:sz w:val="18"/>
              </w:rPr>
            </w:pPr>
            <w:r w:rsidRPr="00453F95">
              <w:rPr>
                <w:rFonts w:ascii="Palatino Linotype" w:hAnsi="Palatino Linotype" w:cs="Calibri"/>
                <w:b w:val="0"/>
                <w:sz w:val="18"/>
              </w:rPr>
              <w:t>© 2020 by the authors. Submitted for possible open access publication under the terms and conditions of the Creative Commons Attribution (CC BY) license (http://creativecommons.org/licenses/by/4.0/).</w:t>
            </w:r>
          </w:p>
        </w:tc>
      </w:tr>
    </w:tbl>
    <w:p w14:paraId="34C1F471" w14:textId="1F109C1C" w:rsidR="00807E37" w:rsidRPr="00511EBE" w:rsidRDefault="00807E37" w:rsidP="00A42B63">
      <w:pPr>
        <w:adjustRightInd w:val="0"/>
        <w:snapToGrid w:val="0"/>
        <w:spacing w:line="260" w:lineRule="atLeast"/>
        <w:ind w:left="425" w:hanging="425"/>
        <w:rPr>
          <w:rFonts w:ascii="Palatino Linotype" w:hAnsi="Palatino Linotype"/>
          <w:sz w:val="18"/>
        </w:rPr>
      </w:pPr>
    </w:p>
    <w:sectPr w:rsidR="00807E37" w:rsidRPr="00511EBE" w:rsidSect="00553D62">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2A262" w14:textId="77777777" w:rsidR="00063CAE" w:rsidRDefault="00063CAE">
      <w:pPr>
        <w:spacing w:line="240" w:lineRule="auto"/>
      </w:pPr>
      <w:r>
        <w:separator/>
      </w:r>
    </w:p>
  </w:endnote>
  <w:endnote w:type="continuationSeparator" w:id="0">
    <w:p w14:paraId="4AF8AE5B" w14:textId="77777777" w:rsidR="00063CAE" w:rsidRDefault="00063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0CF8" w14:textId="77777777" w:rsidR="002960D6" w:rsidRPr="00BD5D38" w:rsidRDefault="002960D6" w:rsidP="002960D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115AA" w14:textId="77777777" w:rsidR="002960D6" w:rsidRPr="00372FCD" w:rsidRDefault="002960D6" w:rsidP="00F945C2">
    <w:pPr>
      <w:tabs>
        <w:tab w:val="right" w:pos="8844"/>
      </w:tabs>
      <w:adjustRightInd w:val="0"/>
      <w:snapToGrid w:val="0"/>
      <w:spacing w:before="120" w:line="240" w:lineRule="auto"/>
      <w:rPr>
        <w:rFonts w:ascii="Palatino Linotype" w:hAnsi="Palatino Linotype"/>
        <w:sz w:val="16"/>
        <w:szCs w:val="16"/>
        <w:lang w:val="fr-CH"/>
      </w:rPr>
    </w:pPr>
    <w:r w:rsidRPr="008573B0">
      <w:rPr>
        <w:rFonts w:ascii="Palatino Linotype" w:hAnsi="Palatino Linotype"/>
        <w:i/>
        <w:sz w:val="16"/>
        <w:szCs w:val="16"/>
      </w:rPr>
      <w:t>Catalysts</w:t>
    </w:r>
    <w:r>
      <w:rPr>
        <w:rFonts w:ascii="Palatino Linotype" w:hAnsi="Palatino Linotype"/>
        <w:i/>
        <w:sz w:val="16"/>
        <w:szCs w:val="16"/>
      </w:rPr>
      <w:t xml:space="preserve"> </w:t>
    </w:r>
    <w:r w:rsidR="00FF09E8" w:rsidRPr="00FF09E8">
      <w:rPr>
        <w:rFonts w:ascii="Palatino Linotype" w:hAnsi="Palatino Linotype"/>
        <w:b/>
        <w:bCs/>
        <w:iCs/>
        <w:sz w:val="16"/>
        <w:szCs w:val="16"/>
      </w:rPr>
      <w:t>20</w:t>
    </w:r>
    <w:r w:rsidR="00F945C2">
      <w:rPr>
        <w:rFonts w:ascii="Palatino Linotype" w:hAnsi="Palatino Linotype"/>
        <w:b/>
        <w:bCs/>
        <w:iCs/>
        <w:sz w:val="16"/>
        <w:szCs w:val="16"/>
      </w:rPr>
      <w:t>20</w:t>
    </w:r>
    <w:r w:rsidR="00FF09E8" w:rsidRPr="00FF09E8">
      <w:rPr>
        <w:rFonts w:ascii="Palatino Linotype" w:hAnsi="Palatino Linotype"/>
        <w:bCs/>
        <w:iCs/>
        <w:sz w:val="16"/>
        <w:szCs w:val="16"/>
      </w:rPr>
      <w:t xml:space="preserve">, </w:t>
    </w:r>
    <w:r w:rsidR="00F945C2">
      <w:rPr>
        <w:rFonts w:ascii="Palatino Linotype" w:hAnsi="Palatino Linotype"/>
        <w:bCs/>
        <w:i/>
        <w:iCs/>
        <w:sz w:val="16"/>
        <w:szCs w:val="16"/>
      </w:rPr>
      <w:t>10</w:t>
    </w:r>
    <w:r w:rsidR="00FF09E8" w:rsidRPr="00FF09E8">
      <w:rPr>
        <w:rFonts w:ascii="Palatino Linotype" w:hAnsi="Palatino Linotype"/>
        <w:bCs/>
        <w:iCs/>
        <w:sz w:val="16"/>
        <w:szCs w:val="16"/>
      </w:rPr>
      <w:t xml:space="preserve">, </w:t>
    </w:r>
    <w:r w:rsidR="00F33CC0">
      <w:rPr>
        <w:rFonts w:ascii="Palatino Linotype" w:hAnsi="Palatino Linotype"/>
        <w:bCs/>
        <w:iCs/>
        <w:sz w:val="16"/>
        <w:szCs w:val="16"/>
      </w:rPr>
      <w:t>x; doi: FOR PEER REVIEW</w:t>
    </w:r>
    <w:r w:rsidR="005C539D"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8573B0">
      <w:rPr>
        <w:rFonts w:ascii="Palatino Linotype" w:hAnsi="Palatino Linotype"/>
        <w:sz w:val="16"/>
        <w:szCs w:val="16"/>
      </w:rPr>
      <w:t>catalysts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A7415" w14:textId="77777777" w:rsidR="00063CAE" w:rsidRDefault="00063CAE">
      <w:pPr>
        <w:spacing w:line="240" w:lineRule="auto"/>
      </w:pPr>
      <w:r>
        <w:separator/>
      </w:r>
    </w:p>
  </w:footnote>
  <w:footnote w:type="continuationSeparator" w:id="0">
    <w:p w14:paraId="28D8F536" w14:textId="77777777" w:rsidR="00063CAE" w:rsidRDefault="00063C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00E4" w14:textId="77777777" w:rsidR="002960D6" w:rsidRDefault="002960D6" w:rsidP="002960D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7A47F" w14:textId="77777777" w:rsidR="002960D6" w:rsidRPr="001B1E3B" w:rsidRDefault="002960D6" w:rsidP="00F945C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Catalysts </w:t>
    </w:r>
    <w:r w:rsidR="00FF09E8" w:rsidRPr="00FF09E8">
      <w:rPr>
        <w:rFonts w:ascii="Palatino Linotype" w:hAnsi="Palatino Linotype"/>
        <w:b/>
        <w:sz w:val="16"/>
      </w:rPr>
      <w:t>20</w:t>
    </w:r>
    <w:r w:rsidR="00F945C2">
      <w:rPr>
        <w:rFonts w:ascii="Palatino Linotype" w:hAnsi="Palatino Linotype"/>
        <w:b/>
        <w:sz w:val="16"/>
      </w:rPr>
      <w:t>20</w:t>
    </w:r>
    <w:r w:rsidR="00FF09E8" w:rsidRPr="00FF09E8">
      <w:rPr>
        <w:rFonts w:ascii="Palatino Linotype" w:hAnsi="Palatino Linotype"/>
        <w:sz w:val="16"/>
      </w:rPr>
      <w:t xml:space="preserve">, </w:t>
    </w:r>
    <w:r w:rsidR="00F945C2">
      <w:rPr>
        <w:rFonts w:ascii="Palatino Linotype" w:hAnsi="Palatino Linotype"/>
        <w:i/>
        <w:sz w:val="16"/>
      </w:rPr>
      <w:t>10</w:t>
    </w:r>
    <w:r w:rsidR="00F33CC0">
      <w:rPr>
        <w:rFonts w:ascii="Palatino Linotype" w:hAnsi="Palatino Linotype"/>
        <w:sz w:val="16"/>
      </w:rPr>
      <w:t>, x FOR PEER REVIEW</w:t>
    </w:r>
    <w:r w:rsidR="005C539D">
      <w:rPr>
        <w:rFonts w:ascii="Palatino Linotype" w:hAnsi="Palatino Linotype"/>
        <w:sz w:val="16"/>
      </w:rPr>
      <w:tab/>
    </w:r>
    <w:r w:rsidR="00F33CC0">
      <w:rPr>
        <w:rFonts w:ascii="Palatino Linotype" w:hAnsi="Palatino Linotype"/>
        <w:sz w:val="16"/>
      </w:rPr>
      <w:fldChar w:fldCharType="begin"/>
    </w:r>
    <w:r w:rsidR="00F33CC0">
      <w:rPr>
        <w:rFonts w:ascii="Palatino Linotype" w:hAnsi="Palatino Linotype"/>
        <w:sz w:val="16"/>
      </w:rPr>
      <w:instrText xml:space="preserve"> PAGE   \* MERGEFORMAT </w:instrText>
    </w:r>
    <w:r w:rsidR="00F33CC0">
      <w:rPr>
        <w:rFonts w:ascii="Palatino Linotype" w:hAnsi="Palatino Linotype"/>
        <w:sz w:val="16"/>
      </w:rPr>
      <w:fldChar w:fldCharType="separate"/>
    </w:r>
    <w:r w:rsidR="00A0435D">
      <w:rPr>
        <w:rFonts w:ascii="Palatino Linotype" w:hAnsi="Palatino Linotype"/>
        <w:noProof/>
        <w:sz w:val="16"/>
      </w:rPr>
      <w:t>3</w:t>
    </w:r>
    <w:r w:rsidR="00F33CC0">
      <w:rPr>
        <w:rFonts w:ascii="Palatino Linotype" w:hAnsi="Palatino Linotype"/>
        <w:sz w:val="16"/>
      </w:rPr>
      <w:fldChar w:fldCharType="end"/>
    </w:r>
    <w:r w:rsidR="00F33CC0">
      <w:rPr>
        <w:rFonts w:ascii="Palatino Linotype" w:hAnsi="Palatino Linotype"/>
        <w:sz w:val="16"/>
      </w:rPr>
      <w:t xml:space="preserve"> of </w:t>
    </w:r>
    <w:r w:rsidR="00F33CC0">
      <w:rPr>
        <w:rFonts w:ascii="Palatino Linotype" w:hAnsi="Palatino Linotype"/>
        <w:sz w:val="16"/>
      </w:rPr>
      <w:fldChar w:fldCharType="begin"/>
    </w:r>
    <w:r w:rsidR="00F33CC0">
      <w:rPr>
        <w:rFonts w:ascii="Palatino Linotype" w:hAnsi="Palatino Linotype"/>
        <w:sz w:val="16"/>
      </w:rPr>
      <w:instrText xml:space="preserve"> NUMPAGES   \* MERGEFORMAT </w:instrText>
    </w:r>
    <w:r w:rsidR="00F33CC0">
      <w:rPr>
        <w:rFonts w:ascii="Palatino Linotype" w:hAnsi="Palatino Linotype"/>
        <w:sz w:val="16"/>
      </w:rPr>
      <w:fldChar w:fldCharType="separate"/>
    </w:r>
    <w:r w:rsidR="00A0435D">
      <w:rPr>
        <w:rFonts w:ascii="Palatino Linotype" w:hAnsi="Palatino Linotype"/>
        <w:noProof/>
        <w:sz w:val="16"/>
      </w:rPr>
      <w:t>4</w:t>
    </w:r>
    <w:r w:rsidR="00F33CC0">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17861" w14:textId="77777777" w:rsidR="002960D6" w:rsidRDefault="00F832FB" w:rsidP="002960D6">
    <w:pPr>
      <w:pStyle w:val="MDPIheaderjournallogo"/>
    </w:pPr>
    <w:r w:rsidRPr="004524AC">
      <w:rPr>
        <w:i w:val="0"/>
        <w:noProof/>
        <w:szCs w:val="16"/>
        <w:lang w:eastAsia="zh-CN"/>
      </w:rPr>
      <mc:AlternateContent>
        <mc:Choice Requires="wps">
          <w:drawing>
            <wp:anchor distT="45720" distB="45720" distL="114300" distR="114300" simplePos="0" relativeHeight="251657728" behindDoc="1" locked="0" layoutInCell="1" allowOverlap="1" wp14:anchorId="7C534BB0" wp14:editId="228B9D1E">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2D449DD7" w14:textId="77777777" w:rsidR="002960D6" w:rsidRDefault="00F832FB" w:rsidP="002960D6">
                          <w:pPr>
                            <w:pStyle w:val="MDPIheaderjournallogo"/>
                            <w:jc w:val="center"/>
                            <w:textboxTightWrap w:val="allLines"/>
                            <w:rPr>
                              <w:i w:val="0"/>
                              <w:szCs w:val="16"/>
                            </w:rPr>
                          </w:pPr>
                          <w:r w:rsidRPr="00807E37">
                            <w:rPr>
                              <w:i w:val="0"/>
                              <w:noProof/>
                              <w:szCs w:val="16"/>
                              <w:lang w:eastAsia="zh-CN"/>
                            </w:rPr>
                            <w:drawing>
                              <wp:inline distT="0" distB="0" distL="0" distR="0" wp14:anchorId="5F468E97" wp14:editId="30D91A70">
                                <wp:extent cx="542925" cy="3524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34BB0"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2D449DD7" w14:textId="77777777" w:rsidR="002960D6" w:rsidRDefault="00F832FB" w:rsidP="002960D6">
                    <w:pPr>
                      <w:pStyle w:val="MDPIheaderjournallogo"/>
                      <w:jc w:val="center"/>
                      <w:textboxTightWrap w:val="allLines"/>
                      <w:rPr>
                        <w:i w:val="0"/>
                        <w:szCs w:val="16"/>
                      </w:rPr>
                    </w:pPr>
                    <w:r w:rsidRPr="00807E37">
                      <w:rPr>
                        <w:i w:val="0"/>
                        <w:noProof/>
                        <w:szCs w:val="16"/>
                        <w:lang w:eastAsia="zh-CN"/>
                      </w:rPr>
                      <w:drawing>
                        <wp:inline distT="0" distB="0" distL="0" distR="0" wp14:anchorId="5F468E97" wp14:editId="30D91A70">
                          <wp:extent cx="542925" cy="3524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61175D3D" wp14:editId="5860E917">
          <wp:extent cx="1609725" cy="4286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2FB"/>
    <w:rsid w:val="0000367C"/>
    <w:rsid w:val="0001548D"/>
    <w:rsid w:val="00063CAE"/>
    <w:rsid w:val="000779C5"/>
    <w:rsid w:val="000D2681"/>
    <w:rsid w:val="00130D16"/>
    <w:rsid w:val="00192076"/>
    <w:rsid w:val="001E2AEB"/>
    <w:rsid w:val="00251332"/>
    <w:rsid w:val="00284E90"/>
    <w:rsid w:val="002960D6"/>
    <w:rsid w:val="003245AE"/>
    <w:rsid w:val="00326141"/>
    <w:rsid w:val="00370741"/>
    <w:rsid w:val="003A158E"/>
    <w:rsid w:val="003D73BB"/>
    <w:rsid w:val="00401D30"/>
    <w:rsid w:val="0047598D"/>
    <w:rsid w:val="00480C0E"/>
    <w:rsid w:val="00511EBE"/>
    <w:rsid w:val="005230BB"/>
    <w:rsid w:val="00546ACE"/>
    <w:rsid w:val="00553D62"/>
    <w:rsid w:val="00572FAD"/>
    <w:rsid w:val="005C0726"/>
    <w:rsid w:val="005C539D"/>
    <w:rsid w:val="00603482"/>
    <w:rsid w:val="00661AB3"/>
    <w:rsid w:val="00692393"/>
    <w:rsid w:val="006F336F"/>
    <w:rsid w:val="00747EA1"/>
    <w:rsid w:val="00767E69"/>
    <w:rsid w:val="00797F16"/>
    <w:rsid w:val="007B2458"/>
    <w:rsid w:val="007C2FE5"/>
    <w:rsid w:val="007E3150"/>
    <w:rsid w:val="00807E37"/>
    <w:rsid w:val="00866D4E"/>
    <w:rsid w:val="008778C2"/>
    <w:rsid w:val="00894A8E"/>
    <w:rsid w:val="008A7DEB"/>
    <w:rsid w:val="008E3A5F"/>
    <w:rsid w:val="00900A4E"/>
    <w:rsid w:val="009101FB"/>
    <w:rsid w:val="009A1C5A"/>
    <w:rsid w:val="009F70E6"/>
    <w:rsid w:val="00A0435D"/>
    <w:rsid w:val="00A20B72"/>
    <w:rsid w:val="00A30D86"/>
    <w:rsid w:val="00A42B63"/>
    <w:rsid w:val="00A747A7"/>
    <w:rsid w:val="00A87726"/>
    <w:rsid w:val="00A9006D"/>
    <w:rsid w:val="00A9339D"/>
    <w:rsid w:val="00AB06AA"/>
    <w:rsid w:val="00AD6BC5"/>
    <w:rsid w:val="00AD778A"/>
    <w:rsid w:val="00B835BB"/>
    <w:rsid w:val="00BA5FCE"/>
    <w:rsid w:val="00BB22D8"/>
    <w:rsid w:val="00BE7213"/>
    <w:rsid w:val="00BE729E"/>
    <w:rsid w:val="00C0255E"/>
    <w:rsid w:val="00C03906"/>
    <w:rsid w:val="00C60885"/>
    <w:rsid w:val="00C61727"/>
    <w:rsid w:val="00C804C9"/>
    <w:rsid w:val="00CC1DAF"/>
    <w:rsid w:val="00CC41F5"/>
    <w:rsid w:val="00D04592"/>
    <w:rsid w:val="00D43394"/>
    <w:rsid w:val="00D54C5A"/>
    <w:rsid w:val="00DF62C6"/>
    <w:rsid w:val="00EA7FF9"/>
    <w:rsid w:val="00EC550F"/>
    <w:rsid w:val="00EF6103"/>
    <w:rsid w:val="00F114CE"/>
    <w:rsid w:val="00F33CC0"/>
    <w:rsid w:val="00F70368"/>
    <w:rsid w:val="00F76E4F"/>
    <w:rsid w:val="00F832FB"/>
    <w:rsid w:val="00F945C2"/>
    <w:rsid w:val="00FC35B4"/>
    <w:rsid w:val="00FE4121"/>
    <w:rsid w:val="00FF09E8"/>
    <w:rsid w:val="00FF22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7FD87"/>
  <w15:chartTrackingRefBased/>
  <w15:docId w15:val="{4D7AEA9C-7419-4D15-815A-102F18FB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7E37"/>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553D6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553D6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553D62"/>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553D62"/>
    <w:pPr>
      <w:ind w:left="113"/>
      <w:jc w:val="left"/>
    </w:pPr>
    <w:rPr>
      <w:snapToGrid/>
    </w:rPr>
  </w:style>
  <w:style w:type="paragraph" w:customStyle="1" w:styleId="MDPI16affiliation">
    <w:name w:val="MDPI_1.6_affiliation"/>
    <w:qFormat/>
    <w:rsid w:val="00553D62"/>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553D62"/>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553D62"/>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553D62"/>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807E3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07E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07E37"/>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807E37"/>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807E3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807E37"/>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553D6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553D62"/>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53D62"/>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53D62"/>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53D62"/>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53D62"/>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53D62"/>
    <w:pPr>
      <w:numPr>
        <w:numId w:val="4"/>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553D62"/>
    <w:pPr>
      <w:numPr>
        <w:numId w:val="5"/>
      </w:numPr>
      <w:adjustRightInd w:val="0"/>
      <w:snapToGrid w:val="0"/>
      <w:spacing w:line="260" w:lineRule="atLeast"/>
      <w:ind w:hanging="357"/>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553D6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53D6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553D62"/>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553D62"/>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797F1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53D62"/>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553D62"/>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53D62"/>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553D62"/>
    <w:pPr>
      <w:spacing w:before="240" w:line="260" w:lineRule="atLeast"/>
      <w:jc w:val="both"/>
    </w:pPr>
    <w:rPr>
      <w:rFonts w:ascii="Palatino Linotype" w:eastAsia="Times New Roman" w:hAnsi="Palatino Linotype"/>
      <w:snapToGrid w:val="0"/>
      <w:color w:val="000000"/>
      <w:sz w:val="18"/>
      <w:lang w:bidi="en-US"/>
    </w:rPr>
  </w:style>
  <w:style w:type="paragraph" w:customStyle="1" w:styleId="MDPI63AuthorContributions">
    <w:name w:val="MDPI_6.3_AuthorContributions"/>
    <w:qFormat/>
    <w:rsid w:val="00553D62"/>
    <w:pPr>
      <w:spacing w:line="260" w:lineRule="atLeast"/>
      <w:jc w:val="both"/>
    </w:pPr>
    <w:rPr>
      <w:rFonts w:ascii="Palatino Linotype" w:hAnsi="Palatino Linotype"/>
      <w:snapToGrid w:val="0"/>
      <w:sz w:val="18"/>
      <w:lang w:bidi="en-US"/>
    </w:rPr>
  </w:style>
  <w:style w:type="paragraph" w:customStyle="1" w:styleId="MDPI64CoI">
    <w:name w:val="MDPI_6.4_CoI"/>
    <w:qFormat/>
    <w:rsid w:val="00553D62"/>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81theorem">
    <w:name w:val="MDPI_8.1_theorem"/>
    <w:qFormat/>
    <w:rsid w:val="00553D62"/>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53D62"/>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1text">
    <w:name w:val="MDPI_3.1_text"/>
    <w:qFormat/>
    <w:rsid w:val="00553D62"/>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553D62"/>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53D62"/>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53D62"/>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53D62"/>
    <w:pPr>
      <w:numPr>
        <w:numId w:val="6"/>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807E37"/>
    <w:pPr>
      <w:spacing w:line="240" w:lineRule="auto"/>
    </w:pPr>
    <w:rPr>
      <w:sz w:val="18"/>
      <w:szCs w:val="18"/>
    </w:rPr>
  </w:style>
  <w:style w:type="character" w:customStyle="1" w:styleId="BalloonTextChar">
    <w:name w:val="Balloon Text Char"/>
    <w:link w:val="BalloonText"/>
    <w:uiPriority w:val="99"/>
    <w:semiHidden/>
    <w:rsid w:val="00807E37"/>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807E37"/>
  </w:style>
  <w:style w:type="table" w:customStyle="1" w:styleId="MDPI41threelinetable">
    <w:name w:val="MDPI_4.1_three_line_table"/>
    <w:basedOn w:val="TableNormal"/>
    <w:uiPriority w:val="99"/>
    <w:rsid w:val="00553D62"/>
    <w:pPr>
      <w:adjustRightInd w:val="0"/>
      <w:snapToGrid w:val="0"/>
      <w:jc w:val="center"/>
    </w:pPr>
    <w:rPr>
      <w:rFonts w:ascii="Palatino Linotype" w:eastAsiaTheme="minorHAnsi"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3D73BB"/>
    <w:rPr>
      <w:color w:val="0563C1"/>
      <w:u w:val="single"/>
    </w:rPr>
  </w:style>
  <w:style w:type="character" w:styleId="UnresolvedMention">
    <w:name w:val="Unresolved Mention"/>
    <w:uiPriority w:val="99"/>
    <w:semiHidden/>
    <w:unhideWhenUsed/>
    <w:rsid w:val="00C60885"/>
    <w:rPr>
      <w:color w:val="605E5C"/>
      <w:shd w:val="clear" w:color="auto" w:fill="E1DFDD"/>
    </w:rPr>
  </w:style>
  <w:style w:type="table" w:styleId="PlainTable4">
    <w:name w:val="Plain Table 4"/>
    <w:basedOn w:val="TableNormal"/>
    <w:uiPriority w:val="44"/>
    <w:rsid w:val="00FF09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
    <w:name w:val="EndNote Bibliography"/>
    <w:basedOn w:val="Normal"/>
    <w:link w:val="EndNoteBibliographyCarattere"/>
    <w:rsid w:val="00F832FB"/>
    <w:pPr>
      <w:spacing w:after="160" w:line="240" w:lineRule="auto"/>
      <w:jc w:val="left"/>
    </w:pPr>
    <w:rPr>
      <w:rFonts w:ascii="Calibri" w:eastAsia="Calibri" w:hAnsi="Calibri" w:cs="Calibri"/>
      <w:noProof/>
      <w:color w:val="auto"/>
      <w:sz w:val="22"/>
      <w:szCs w:val="22"/>
      <w:lang w:eastAsia="en-US"/>
    </w:rPr>
  </w:style>
  <w:style w:type="character" w:customStyle="1" w:styleId="EndNoteBibliographyCarattere">
    <w:name w:val="EndNote Bibliography Carattere"/>
    <w:link w:val="EndNoteBibliography"/>
    <w:rsid w:val="00F832FB"/>
    <w:rPr>
      <w:rFonts w:eastAsia="Calibri" w:cs="Calibri"/>
      <w:noProof/>
      <w:sz w:val="22"/>
      <w:szCs w:val="22"/>
    </w:rPr>
  </w:style>
  <w:style w:type="paragraph" w:customStyle="1" w:styleId="MDPI15academiceditor">
    <w:name w:val="MDPI_1.5_academic_editor"/>
    <w:qFormat/>
    <w:rsid w:val="00553D62"/>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553D6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53D62"/>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bidi="en-US"/>
    </w:rPr>
  </w:style>
  <w:style w:type="paragraph" w:customStyle="1" w:styleId="MDPI511onefigurecaption">
    <w:name w:val="MDPI_5.1.1_one_figure_caption"/>
    <w:qFormat/>
    <w:rsid w:val="00553D62"/>
    <w:pPr>
      <w:adjustRightInd w:val="0"/>
      <w:snapToGrid w:val="0"/>
      <w:spacing w:before="240" w:after="120" w:line="260" w:lineRule="atLeast"/>
      <w:jc w:val="center"/>
    </w:pPr>
    <w:rPr>
      <w:rFonts w:ascii="Palatino Linotype" w:eastAsiaTheme="minorHAnsi" w:hAnsi="Palatino Linotype"/>
      <w:noProof/>
      <w:color w:val="000000"/>
      <w:sz w:val="18"/>
      <w:lang w:bidi="en-US"/>
    </w:rPr>
  </w:style>
  <w:style w:type="paragraph" w:customStyle="1" w:styleId="MDPI72Copyright">
    <w:name w:val="MDPI_7.2_Copyright"/>
    <w:qFormat/>
    <w:rsid w:val="00553D62"/>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553D6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74PublishersNote">
    <w:name w:val="MDPI_7.4_Publisher'sNote"/>
    <w:qFormat/>
    <w:rsid w:val="00553D62"/>
    <w:pPr>
      <w:adjustRightInd w:val="0"/>
      <w:snapToGrid w:val="0"/>
      <w:spacing w:before="240" w:after="240" w:line="200" w:lineRule="atLeast"/>
    </w:pPr>
    <w:rPr>
      <w:rFonts w:ascii="Palatino Linotype" w:eastAsiaTheme="minorHAnsi" w:hAnsi="Palatino Linotype" w:cstheme="minorBidi"/>
      <w:sz w:val="18"/>
      <w:szCs w:val="22"/>
    </w:rPr>
  </w:style>
  <w:style w:type="paragraph" w:customStyle="1" w:styleId="MDPIequationFram">
    <w:name w:val="MDPI_equationFram"/>
    <w:qFormat/>
    <w:rsid w:val="00553D6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53D6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553D62"/>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553D6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53D6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53D62"/>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553D6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53D6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abolcs%20Kohr\Desktop\Word%20templates\catalys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catalysts-template</Template>
  <TotalTime>4</TotalTime>
  <Pages>7</Pages>
  <Words>773</Words>
  <Characters>4250</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Szabolcs Kohr</dc:creator>
  <cp:keywords/>
  <dc:description/>
  <cp:lastModifiedBy>MDPI-47</cp:lastModifiedBy>
  <cp:revision>6</cp:revision>
  <dcterms:created xsi:type="dcterms:W3CDTF">2020-12-16T08:23:00Z</dcterms:created>
  <dcterms:modified xsi:type="dcterms:W3CDTF">2020-12-16T08:27:00Z</dcterms:modified>
</cp:coreProperties>
</file>