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B6" w:rsidRPr="00CD2545" w:rsidRDefault="00CD2545" w:rsidP="000B0D9F">
      <w:pPr>
        <w:pStyle w:val="Sinespaciado"/>
        <w:rPr>
          <w:rFonts w:ascii="Palatino Linotype" w:hAnsi="Palatino Linotype"/>
          <w:lang w:val="en-GB"/>
        </w:rPr>
      </w:pPr>
      <w:r w:rsidRPr="00CD2545">
        <w:rPr>
          <w:rFonts w:ascii="Palatino Linotype" w:hAnsi="Palatino Linotype"/>
          <w:b/>
          <w:lang w:val="en-GB"/>
        </w:rPr>
        <w:t>Table S1.</w:t>
      </w:r>
      <w:r w:rsidRPr="00CD2545">
        <w:rPr>
          <w:rFonts w:ascii="Palatino Linotype" w:hAnsi="Palatino Linotype"/>
          <w:lang w:val="en-GB"/>
        </w:rPr>
        <w:t xml:space="preserve"> </w:t>
      </w:r>
      <w:proofErr w:type="spellStart"/>
      <w:r w:rsidRPr="00CD2545">
        <w:rPr>
          <w:rFonts w:ascii="Palatino Linotype" w:hAnsi="Palatino Linotype"/>
          <w:lang w:val="en-GB"/>
        </w:rPr>
        <w:t>Oligonucleotide</w:t>
      </w:r>
      <w:proofErr w:type="spellEnd"/>
      <w:r w:rsidRPr="00CD2545">
        <w:rPr>
          <w:rFonts w:ascii="Palatino Linotype" w:hAnsi="Palatino Linotype"/>
          <w:lang w:val="en-GB"/>
        </w:rPr>
        <w:t xml:space="preserve"> probes used to detect </w:t>
      </w:r>
      <w:proofErr w:type="spellStart"/>
      <w:r w:rsidRPr="00CD2545">
        <w:rPr>
          <w:rFonts w:ascii="Palatino Linotype" w:hAnsi="Palatino Linotype"/>
          <w:i/>
          <w:lang w:val="en-GB"/>
        </w:rPr>
        <w:t>Vibrio</w:t>
      </w:r>
      <w:proofErr w:type="spellEnd"/>
      <w:r w:rsidRPr="00CD2545">
        <w:rPr>
          <w:rFonts w:ascii="Palatino Linotype" w:hAnsi="Palatino Linotype"/>
          <w:lang w:val="en-GB"/>
        </w:rPr>
        <w:t xml:space="preserve"> spp. The table contains only probes that, according to the published literature, were used for detection of different </w:t>
      </w:r>
      <w:proofErr w:type="spellStart"/>
      <w:r w:rsidRPr="00CD2545">
        <w:rPr>
          <w:rFonts w:ascii="Palatino Linotype" w:hAnsi="Palatino Linotype"/>
          <w:i/>
          <w:lang w:val="en-GB"/>
        </w:rPr>
        <w:t>Vibrio</w:t>
      </w:r>
      <w:proofErr w:type="spellEnd"/>
      <w:r w:rsidRPr="00CD2545">
        <w:rPr>
          <w:rFonts w:ascii="Palatino Linotype" w:hAnsi="Palatino Linotype"/>
          <w:lang w:val="en-GB"/>
        </w:rPr>
        <w:t xml:space="preserve"> species over the last 20 years. The sequence of each probe, its specificity and citing literature are indicated.</w:t>
      </w:r>
    </w:p>
    <w:p w:rsidR="00CD2545" w:rsidRPr="000B0D9F" w:rsidRDefault="00CD2545" w:rsidP="000B0D9F">
      <w:pPr>
        <w:pStyle w:val="Sinespaciado"/>
        <w:rPr>
          <w:rStyle w:val="tlid-translation"/>
          <w:rFonts w:ascii="Palatino Linotype" w:hAnsi="Palatino Linotype" w:cs="Times New Roman"/>
          <w:sz w:val="20"/>
          <w:szCs w:val="20"/>
          <w:lang w:val="en-GB"/>
        </w:rPr>
      </w:pPr>
    </w:p>
    <w:tbl>
      <w:tblPr>
        <w:tblStyle w:val="Tablaconcuadrcula"/>
        <w:tblW w:w="13521" w:type="dxa"/>
        <w:jc w:val="center"/>
        <w:tblInd w:w="-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16"/>
        <w:gridCol w:w="4401"/>
        <w:gridCol w:w="5691"/>
        <w:gridCol w:w="142"/>
        <w:gridCol w:w="1429"/>
        <w:gridCol w:w="142"/>
      </w:tblGrid>
      <w:tr w:rsidR="002F15BE" w:rsidRPr="000B0D9F" w:rsidTr="009C08EE">
        <w:trPr>
          <w:jc w:val="center"/>
        </w:trPr>
        <w:tc>
          <w:tcPr>
            <w:tcW w:w="1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PROBE</w:t>
            </w:r>
          </w:p>
        </w:tc>
        <w:tc>
          <w:tcPr>
            <w:tcW w:w="44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SEQUENCE (5’</w:t>
            </w:r>
            <w:r w:rsidRPr="000B0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→</w:t>
            </w:r>
            <w:r w:rsidRPr="000B0D9F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3’)</w:t>
            </w:r>
          </w:p>
        </w:tc>
        <w:tc>
          <w:tcPr>
            <w:tcW w:w="56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HYBRIDIZATION</w:t>
            </w:r>
          </w:p>
        </w:tc>
        <w:tc>
          <w:tcPr>
            <w:tcW w:w="171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REFERENCE</w:t>
            </w:r>
          </w:p>
        </w:tc>
      </w:tr>
      <w:tr w:rsidR="002F15BE" w:rsidRPr="000B0D9F" w:rsidTr="009C08EE">
        <w:trPr>
          <w:gridAfter w:val="1"/>
          <w:wAfter w:w="142" w:type="dxa"/>
          <w:jc w:val="center"/>
        </w:trPr>
        <w:tc>
          <w:tcPr>
            <w:tcW w:w="1716" w:type="dxa"/>
            <w:vAlign w:val="center"/>
          </w:tcPr>
          <w:p w:rsidR="002F15BE" w:rsidRPr="000B0D9F" w:rsidRDefault="002F15BE" w:rsidP="000B0D9F">
            <w:pPr>
              <w:pStyle w:val="Sinespaciado"/>
              <w:ind w:left="-18" w:right="-108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GV841</w:t>
            </w:r>
          </w:p>
        </w:tc>
        <w:tc>
          <w:tcPr>
            <w:tcW w:w="4401" w:type="dxa"/>
            <w:vAlign w:val="center"/>
          </w:tcPr>
          <w:p w:rsidR="002F15BE" w:rsidRPr="000B0D9F" w:rsidRDefault="002F15BE" w:rsidP="000B0D9F">
            <w:pPr>
              <w:pStyle w:val="Sinespaciado"/>
              <w:keepNext/>
              <w:keepLines/>
              <w:jc w:val="center"/>
              <w:outlineLvl w:val="7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AGGCCACAACCTCCAAGTAG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Style w:val="tlid-translation"/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Vibrio</w:t>
            </w:r>
            <w:proofErr w:type="spellEnd"/>
            <w:r w:rsidR="005F0B80"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</w:t>
            </w:r>
            <w:r w:rsidR="00193F68"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genus </w:t>
            </w: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(except </w:t>
            </w:r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 xml:space="preserve">V.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cholerae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and </w:t>
            </w:r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 xml:space="preserve">V.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mimicus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429" w:type="dxa"/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fr-FR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fr-FR"/>
              </w:rPr>
              <w:t>1</w:t>
            </w:r>
            <w:r w:rsidR="00625711"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fr-FR"/>
              </w:rPr>
              <w:t>-</w:t>
            </w:r>
            <w:r w:rsidR="008E26C5"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fr-FR"/>
              </w:rPr>
              <w:t>5</w:t>
            </w:r>
          </w:p>
        </w:tc>
      </w:tr>
      <w:tr w:rsidR="002F15BE" w:rsidRPr="000B0D9F" w:rsidTr="009C08EE">
        <w:trPr>
          <w:gridAfter w:val="1"/>
          <w:wAfter w:w="142" w:type="dxa"/>
          <w:trHeight w:val="292"/>
          <w:jc w:val="center"/>
        </w:trPr>
        <w:tc>
          <w:tcPr>
            <w:tcW w:w="1716" w:type="dxa"/>
            <w:vAlign w:val="center"/>
          </w:tcPr>
          <w:p w:rsidR="002F15BE" w:rsidRPr="000B0D9F" w:rsidRDefault="002F15BE" w:rsidP="000B0D9F">
            <w:pPr>
              <w:pStyle w:val="Sinespaciado"/>
              <w:ind w:left="-1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MS6</w:t>
            </w:r>
          </w:p>
        </w:tc>
        <w:tc>
          <w:tcPr>
            <w:tcW w:w="4401" w:type="dxa"/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AGTTTTACATTTGCGACC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0B0D9F" w:rsidRDefault="002F15BE" w:rsidP="000B0D9F">
            <w:pPr>
              <w:pStyle w:val="Sinespaciado"/>
              <w:ind w:right="-16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en-GB"/>
              </w:rPr>
              <w:t xml:space="preserve">V.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en-GB"/>
              </w:rPr>
              <w:t>shiloi</w:t>
            </w:r>
            <w:proofErr w:type="spellEnd"/>
          </w:p>
        </w:tc>
        <w:tc>
          <w:tcPr>
            <w:tcW w:w="1429" w:type="dxa"/>
            <w:vAlign w:val="center"/>
          </w:tcPr>
          <w:p w:rsidR="002F15BE" w:rsidRPr="000B0D9F" w:rsidRDefault="008E26C5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</w:t>
            </w:r>
          </w:p>
        </w:tc>
      </w:tr>
      <w:tr w:rsidR="002F15BE" w:rsidRPr="000B0D9F" w:rsidTr="009C08EE">
        <w:trPr>
          <w:gridAfter w:val="1"/>
          <w:wAfter w:w="142" w:type="dxa"/>
          <w:trHeight w:val="204"/>
          <w:jc w:val="center"/>
        </w:trPr>
        <w:tc>
          <w:tcPr>
            <w:tcW w:w="1716" w:type="dxa"/>
            <w:vAlign w:val="center"/>
          </w:tcPr>
          <w:p w:rsidR="002F15BE" w:rsidRPr="000B0D9F" w:rsidRDefault="002F15BE" w:rsidP="000B0D9F">
            <w:pPr>
              <w:pStyle w:val="Sinespaciado"/>
              <w:ind w:left="-1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Vchomin</w:t>
            </w:r>
            <w:proofErr w:type="spellEnd"/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1276</w:t>
            </w:r>
          </w:p>
        </w:tc>
        <w:tc>
          <w:tcPr>
            <w:tcW w:w="4401" w:type="dxa"/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ACTTTGTGAGATTCGCTCCACCTCG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0B0D9F" w:rsidRDefault="002F15BE" w:rsidP="000B0D9F">
            <w:pPr>
              <w:pStyle w:val="Sinespaciado"/>
              <w:ind w:right="-16"/>
              <w:jc w:val="center"/>
              <w:rPr>
                <w:rStyle w:val="tlid-translation"/>
                <w:rFonts w:ascii="Palatino Linotype" w:hAnsi="Palatino Linotype" w:cs="Times New Roman"/>
                <w:i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 xml:space="preserve">V. </w:t>
            </w:r>
            <w:proofErr w:type="spellStart"/>
            <w:r w:rsidRPr="000B0D9F">
              <w:rPr>
                <w:rStyle w:val="tlid-translation"/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cholerae</w:t>
            </w:r>
            <w:proofErr w:type="spellEnd"/>
            <w:r w:rsidRPr="000B0D9F">
              <w:rPr>
                <w:rStyle w:val="tlid-translation"/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 xml:space="preserve">, V. </w:t>
            </w:r>
            <w:proofErr w:type="spellStart"/>
            <w:r w:rsidRPr="000B0D9F">
              <w:rPr>
                <w:rStyle w:val="tlid-translation"/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mimicus</w:t>
            </w:r>
            <w:proofErr w:type="spellEnd"/>
          </w:p>
        </w:tc>
        <w:tc>
          <w:tcPr>
            <w:tcW w:w="1429" w:type="dxa"/>
            <w:vAlign w:val="center"/>
          </w:tcPr>
          <w:p w:rsidR="002F15BE" w:rsidRPr="000B0D9F" w:rsidRDefault="008E26C5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fr-FR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fr-FR"/>
              </w:rPr>
              <w:t>7</w:t>
            </w:r>
            <w:r w:rsidR="00625711" w:rsidRPr="000B0D9F">
              <w:rPr>
                <w:rFonts w:ascii="Palatino Linotype" w:hAnsi="Palatino Linotype" w:cs="Times New Roman"/>
                <w:sz w:val="20"/>
                <w:szCs w:val="20"/>
                <w:lang w:val="fr-FR"/>
              </w:rPr>
              <w:t>-</w:t>
            </w:r>
            <w:r w:rsidR="005F0B80" w:rsidRPr="000B0D9F">
              <w:rPr>
                <w:rFonts w:ascii="Palatino Linotype" w:hAnsi="Palatino Linotype" w:cs="Times New Roman"/>
                <w:sz w:val="20"/>
                <w:szCs w:val="20"/>
                <w:lang w:val="fr-FR"/>
              </w:rPr>
              <w:t>9</w:t>
            </w:r>
          </w:p>
        </w:tc>
      </w:tr>
      <w:tr w:rsidR="002F15BE" w:rsidRPr="000B0D9F" w:rsidTr="009C08EE">
        <w:trPr>
          <w:gridAfter w:val="1"/>
          <w:wAfter w:w="142" w:type="dxa"/>
          <w:trHeight w:val="204"/>
          <w:jc w:val="center"/>
        </w:trPr>
        <w:tc>
          <w:tcPr>
            <w:tcW w:w="1716" w:type="dxa"/>
            <w:vAlign w:val="center"/>
          </w:tcPr>
          <w:p w:rsidR="002F15BE" w:rsidRPr="000B0D9F" w:rsidRDefault="002F15BE" w:rsidP="000B0D9F">
            <w:pPr>
              <w:pStyle w:val="Sinespaciado"/>
              <w:ind w:left="-18" w:right="-108"/>
              <w:jc w:val="center"/>
              <w:rPr>
                <w:rFonts w:ascii="Palatino Linotype" w:hAnsi="Palatino Linotype" w:cs="Times New Roman"/>
                <w:sz w:val="20"/>
                <w:szCs w:val="20"/>
                <w:lang w:val="fr-FR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fr-FR"/>
              </w:rPr>
              <w:t>VIB</w:t>
            </w:r>
          </w:p>
        </w:tc>
        <w:tc>
          <w:tcPr>
            <w:tcW w:w="4401" w:type="dxa"/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fr-FR"/>
              </w:rPr>
            </w:pPr>
            <w:r w:rsidRPr="000B0D9F">
              <w:rPr>
                <w:rFonts w:ascii="Palatino Linotype" w:hAnsi="Palatino Linotype" w:cs="Times New Roman"/>
                <w:bCs/>
                <w:sz w:val="20"/>
                <w:szCs w:val="20"/>
                <w:lang w:val="fr-FR"/>
              </w:rPr>
              <w:t>ACAGTACTCTAGTCTGCCAG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0B0D9F" w:rsidRDefault="002F15BE" w:rsidP="000B0D9F">
            <w:pPr>
              <w:pStyle w:val="Sinespaciado"/>
              <w:ind w:right="-16"/>
              <w:jc w:val="center"/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0B0D9F">
              <w:rPr>
                <w:rStyle w:val="tlid-translation"/>
                <w:rFonts w:ascii="Palatino Linotype" w:hAnsi="Palatino Linotype" w:cs="Times New Roman"/>
                <w:i/>
                <w:sz w:val="20"/>
                <w:szCs w:val="20"/>
                <w:lang w:val="fr-FR"/>
              </w:rPr>
              <w:t>Vibrio</w:t>
            </w:r>
            <w:proofErr w:type="spellEnd"/>
            <w:r w:rsidR="00193F68"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genus</w:t>
            </w:r>
          </w:p>
        </w:tc>
        <w:tc>
          <w:tcPr>
            <w:tcW w:w="1429" w:type="dxa"/>
            <w:vAlign w:val="center"/>
          </w:tcPr>
          <w:p w:rsidR="002F15BE" w:rsidRPr="000B0D9F" w:rsidRDefault="00625711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fr-FR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fr-FR"/>
              </w:rPr>
              <w:t>10,</w:t>
            </w:r>
            <w:r w:rsidR="00193B47" w:rsidRPr="000B0D9F">
              <w:rPr>
                <w:rFonts w:ascii="Palatino Linotype" w:hAnsi="Palatino Linotype" w:cs="Times New Roman"/>
                <w:sz w:val="20"/>
                <w:szCs w:val="20"/>
                <w:lang w:val="fr-FR"/>
              </w:rPr>
              <w:t>11</w:t>
            </w:r>
          </w:p>
        </w:tc>
      </w:tr>
      <w:tr w:rsidR="002F15BE" w:rsidRPr="000B0D9F" w:rsidTr="009C08EE">
        <w:trPr>
          <w:gridAfter w:val="1"/>
          <w:wAfter w:w="142" w:type="dxa"/>
          <w:trHeight w:val="204"/>
          <w:jc w:val="center"/>
        </w:trPr>
        <w:tc>
          <w:tcPr>
            <w:tcW w:w="1716" w:type="dxa"/>
            <w:vAlign w:val="center"/>
          </w:tcPr>
          <w:p w:rsidR="002F15BE" w:rsidRPr="000B0D9F" w:rsidRDefault="002F15BE" w:rsidP="000B0D9F">
            <w:pPr>
              <w:pStyle w:val="Sinespaciado"/>
              <w:ind w:left="-18" w:right="-108"/>
              <w:jc w:val="center"/>
              <w:rPr>
                <w:rFonts w:ascii="Palatino Linotype" w:hAnsi="Palatino Linotype" w:cs="Times New Roman"/>
                <w:sz w:val="20"/>
                <w:szCs w:val="20"/>
                <w:lang w:val="fr-FR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fr-FR"/>
              </w:rPr>
              <w:t>Vib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fr-FR"/>
              </w:rPr>
              <w:t xml:space="preserve"> 1</w:t>
            </w:r>
          </w:p>
        </w:tc>
        <w:tc>
          <w:tcPr>
            <w:tcW w:w="4401" w:type="dxa"/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fr-FR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fr-FR"/>
              </w:rPr>
              <w:t>GTGGTAGTGTTAATAGCACT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0B0D9F" w:rsidRDefault="002F15BE" w:rsidP="000B0D9F">
            <w:pPr>
              <w:pStyle w:val="Sinespaciado"/>
              <w:ind w:right="-16"/>
              <w:jc w:val="center"/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fr-FR"/>
              </w:rPr>
            </w:pPr>
            <w:r w:rsidRPr="000B0D9F"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fr-FR"/>
              </w:rPr>
              <w:t xml:space="preserve">V.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fr-FR"/>
              </w:rPr>
              <w:t>vulnificus</w:t>
            </w:r>
            <w:proofErr w:type="spellEnd"/>
          </w:p>
        </w:tc>
        <w:tc>
          <w:tcPr>
            <w:tcW w:w="1429" w:type="dxa"/>
            <w:vAlign w:val="center"/>
          </w:tcPr>
          <w:p w:rsidR="002F15BE" w:rsidRPr="000B0D9F" w:rsidRDefault="00193F68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12</w:t>
            </w:r>
          </w:p>
        </w:tc>
      </w:tr>
      <w:tr w:rsidR="002F15BE" w:rsidRPr="000B0D9F" w:rsidTr="009C08EE">
        <w:trPr>
          <w:gridAfter w:val="1"/>
          <w:wAfter w:w="142" w:type="dxa"/>
          <w:trHeight w:val="204"/>
          <w:jc w:val="center"/>
        </w:trPr>
        <w:tc>
          <w:tcPr>
            <w:tcW w:w="1716" w:type="dxa"/>
            <w:vAlign w:val="center"/>
          </w:tcPr>
          <w:p w:rsidR="002F15BE" w:rsidRPr="000B0D9F" w:rsidRDefault="002F15BE" w:rsidP="000B0D9F">
            <w:pPr>
              <w:pStyle w:val="Sinespaciado"/>
              <w:ind w:left="-18" w:right="-108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4401" w:type="dxa"/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TCTAGCGGAGACGCTGGA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0B0D9F" w:rsidRDefault="009C08EE" w:rsidP="000B0D9F">
            <w:pPr>
              <w:pStyle w:val="Sinespaciado"/>
              <w:ind w:right="-16"/>
              <w:jc w:val="center"/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fr-FR"/>
              </w:rPr>
              <w:t xml:space="preserve">V.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fr-FR"/>
              </w:rPr>
              <w:t>vulnificus</w:t>
            </w:r>
            <w:proofErr w:type="spellEnd"/>
          </w:p>
        </w:tc>
        <w:tc>
          <w:tcPr>
            <w:tcW w:w="1429" w:type="dxa"/>
            <w:vAlign w:val="center"/>
          </w:tcPr>
          <w:p w:rsidR="002F15BE" w:rsidRPr="000B0D9F" w:rsidRDefault="009C08EE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12</w:t>
            </w:r>
          </w:p>
        </w:tc>
      </w:tr>
      <w:tr w:rsidR="002F15BE" w:rsidRPr="000B0D9F" w:rsidTr="009C08EE">
        <w:trPr>
          <w:gridAfter w:val="1"/>
          <w:wAfter w:w="142" w:type="dxa"/>
          <w:trHeight w:val="204"/>
          <w:jc w:val="center"/>
        </w:trPr>
        <w:tc>
          <w:tcPr>
            <w:tcW w:w="1716" w:type="dxa"/>
            <w:vAlign w:val="center"/>
          </w:tcPr>
          <w:p w:rsidR="002F15BE" w:rsidRPr="000B0D9F" w:rsidRDefault="002F15BE" w:rsidP="000B0D9F">
            <w:pPr>
              <w:pStyle w:val="Sinespaciado"/>
              <w:ind w:left="-18" w:right="-108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3R</w:t>
            </w:r>
          </w:p>
        </w:tc>
        <w:tc>
          <w:tcPr>
            <w:tcW w:w="4401" w:type="dxa"/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GCTCACTTTCGCAAGTTGGCC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0B0D9F" w:rsidRDefault="009C08EE" w:rsidP="000B0D9F">
            <w:pPr>
              <w:pStyle w:val="Sinespaciado"/>
              <w:ind w:right="-16"/>
              <w:jc w:val="center"/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fr-FR"/>
              </w:rPr>
              <w:t xml:space="preserve">V.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fr-FR"/>
              </w:rPr>
              <w:t>vulnificus</w:t>
            </w:r>
            <w:proofErr w:type="spellEnd"/>
          </w:p>
        </w:tc>
        <w:tc>
          <w:tcPr>
            <w:tcW w:w="1429" w:type="dxa"/>
            <w:vAlign w:val="center"/>
          </w:tcPr>
          <w:p w:rsidR="002F15BE" w:rsidRPr="000B0D9F" w:rsidRDefault="009C08EE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12</w:t>
            </w:r>
          </w:p>
        </w:tc>
      </w:tr>
      <w:tr w:rsidR="002F15BE" w:rsidRPr="000B0D9F" w:rsidTr="009C08EE">
        <w:trPr>
          <w:gridAfter w:val="1"/>
          <w:wAfter w:w="142" w:type="dxa"/>
          <w:trHeight w:val="334"/>
          <w:jc w:val="center"/>
        </w:trPr>
        <w:tc>
          <w:tcPr>
            <w:tcW w:w="1716" w:type="dxa"/>
            <w:vAlign w:val="center"/>
          </w:tcPr>
          <w:p w:rsidR="002F15BE" w:rsidRPr="000B0D9F" w:rsidRDefault="002F15BE" w:rsidP="000B0D9F">
            <w:pPr>
              <w:pStyle w:val="Sinespaciado"/>
              <w:ind w:left="-18" w:right="-108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Vib-16S-1</w:t>
            </w:r>
          </w:p>
        </w:tc>
        <w:tc>
          <w:tcPr>
            <w:tcW w:w="4401" w:type="dxa"/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AGGAGCTTCGCTTGC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0B0D9F" w:rsidRDefault="002F15BE" w:rsidP="000B0D9F">
            <w:pPr>
              <w:pStyle w:val="Sinespaciado"/>
              <w:ind w:right="-16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Style w:val="tlid-translation"/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Vibrio</w:t>
            </w:r>
            <w:proofErr w:type="spellEnd"/>
            <w:r w:rsidR="00193F68"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genus</w:t>
            </w:r>
          </w:p>
        </w:tc>
        <w:tc>
          <w:tcPr>
            <w:tcW w:w="1429" w:type="dxa"/>
            <w:vAlign w:val="center"/>
          </w:tcPr>
          <w:p w:rsidR="002F15BE" w:rsidRPr="000B0D9F" w:rsidRDefault="00193F68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13</w:t>
            </w:r>
          </w:p>
        </w:tc>
      </w:tr>
      <w:tr w:rsidR="002F15BE" w:rsidRPr="000B0D9F" w:rsidTr="009C08EE">
        <w:trPr>
          <w:gridAfter w:val="1"/>
          <w:wAfter w:w="142" w:type="dxa"/>
          <w:jc w:val="center"/>
        </w:trPr>
        <w:tc>
          <w:tcPr>
            <w:tcW w:w="1716" w:type="dxa"/>
            <w:vAlign w:val="center"/>
          </w:tcPr>
          <w:p w:rsidR="002F15BE" w:rsidRPr="000B0D9F" w:rsidRDefault="002F15BE" w:rsidP="000B0D9F">
            <w:pPr>
              <w:pStyle w:val="Sinespaciado"/>
              <w:ind w:left="-18" w:right="-108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VIB572a</w:t>
            </w:r>
          </w:p>
        </w:tc>
        <w:tc>
          <w:tcPr>
            <w:tcW w:w="4401" w:type="dxa"/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ACCACCTGCATGCGCTTT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0B0D9F" w:rsidRDefault="002F15BE" w:rsidP="000B0D9F">
            <w:pPr>
              <w:pStyle w:val="Sinespaciado"/>
              <w:ind w:right="-16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Style w:val="tlid-translation"/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Vibrio</w:t>
            </w:r>
            <w:proofErr w:type="spellEnd"/>
            <w:r w:rsidR="005F0B80"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</w:t>
            </w:r>
            <w:r w:rsidR="00193F68"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genus </w:t>
            </w:r>
            <w:r w:rsidR="00625711"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(occasionally</w:t>
            </w: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0D9F">
              <w:rPr>
                <w:rStyle w:val="tlid-translation"/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Photobacterium</w:t>
            </w:r>
            <w:proofErr w:type="spellEnd"/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0B0D9F">
              <w:rPr>
                <w:rStyle w:val="tlid-translation"/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Listonella</w:t>
            </w:r>
            <w:proofErr w:type="spellEnd"/>
            <w:r w:rsidRPr="000B0D9F">
              <w:rPr>
                <w:rStyle w:val="tlid-translation"/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1429" w:type="dxa"/>
            <w:vAlign w:val="center"/>
          </w:tcPr>
          <w:p w:rsidR="002F15BE" w:rsidRPr="000B0D9F" w:rsidRDefault="008E26C5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5,</w:t>
            </w:r>
            <w:r w:rsidR="00193F68"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14</w:t>
            </w:r>
            <w:r w:rsidR="00625711"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-16</w:t>
            </w:r>
          </w:p>
        </w:tc>
      </w:tr>
      <w:tr w:rsidR="002F15BE" w:rsidRPr="000B0D9F" w:rsidTr="009C08EE">
        <w:trPr>
          <w:gridAfter w:val="1"/>
          <w:wAfter w:w="142" w:type="dxa"/>
          <w:jc w:val="center"/>
        </w:trPr>
        <w:tc>
          <w:tcPr>
            <w:tcW w:w="1716" w:type="dxa"/>
            <w:vAlign w:val="center"/>
          </w:tcPr>
          <w:p w:rsidR="002F15BE" w:rsidRPr="000B0D9F" w:rsidRDefault="002F15BE" w:rsidP="000B0D9F">
            <w:pPr>
              <w:pStyle w:val="Sinespaciado"/>
              <w:ind w:left="-1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VIB572b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ACCGCCTGCATGCGCTTT</w:t>
            </w:r>
          </w:p>
        </w:tc>
        <w:tc>
          <w:tcPr>
            <w:tcW w:w="5833" w:type="dxa"/>
            <w:gridSpan w:val="2"/>
            <w:shd w:val="clear" w:color="auto" w:fill="auto"/>
            <w:vAlign w:val="center"/>
          </w:tcPr>
          <w:p w:rsidR="002F15BE" w:rsidRPr="000B0D9F" w:rsidRDefault="002F15BE" w:rsidP="000B0D9F">
            <w:pPr>
              <w:pStyle w:val="Sinespaciado"/>
              <w:ind w:right="-16"/>
              <w:jc w:val="center"/>
              <w:rPr>
                <w:rStyle w:val="tlid-translation"/>
                <w:rFonts w:ascii="Palatino Linotype" w:hAnsi="Palatino Linotype" w:cs="Times New Roman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en-GB"/>
              </w:rPr>
              <w:t>Vibrio</w:t>
            </w:r>
            <w:proofErr w:type="spellEnd"/>
            <w:r w:rsidR="005F0B80" w:rsidRPr="000B0D9F"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en-GB"/>
              </w:rPr>
              <w:t>Photobacterium</w:t>
            </w:r>
            <w:proofErr w:type="spellEnd"/>
          </w:p>
        </w:tc>
        <w:tc>
          <w:tcPr>
            <w:tcW w:w="1429" w:type="dxa"/>
            <w:shd w:val="clear" w:color="auto" w:fill="auto"/>
            <w:vAlign w:val="center"/>
          </w:tcPr>
          <w:p w:rsidR="002F15BE" w:rsidRPr="000B0D9F" w:rsidRDefault="00193F68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14</w:t>
            </w:r>
          </w:p>
        </w:tc>
      </w:tr>
      <w:tr w:rsidR="002F15BE" w:rsidRPr="000B0D9F" w:rsidTr="009C08EE">
        <w:trPr>
          <w:gridAfter w:val="1"/>
          <w:wAfter w:w="142" w:type="dxa"/>
          <w:trHeight w:val="204"/>
          <w:jc w:val="center"/>
        </w:trPr>
        <w:tc>
          <w:tcPr>
            <w:tcW w:w="1716" w:type="dxa"/>
            <w:vAlign w:val="center"/>
          </w:tcPr>
          <w:p w:rsidR="002F15BE" w:rsidRPr="000B0D9F" w:rsidRDefault="002F15BE" w:rsidP="000B0D9F">
            <w:pPr>
              <w:pStyle w:val="Sinespaciado"/>
              <w:ind w:left="-18" w:right="-108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Vib749</w:t>
            </w:r>
          </w:p>
        </w:tc>
        <w:tc>
          <w:tcPr>
            <w:tcW w:w="4401" w:type="dxa"/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TCGCATCTGAGTGTCAGT</w:t>
            </w:r>
          </w:p>
        </w:tc>
        <w:tc>
          <w:tcPr>
            <w:tcW w:w="5833" w:type="dxa"/>
            <w:gridSpan w:val="2"/>
            <w:shd w:val="clear" w:color="auto" w:fill="auto"/>
            <w:vAlign w:val="center"/>
          </w:tcPr>
          <w:p w:rsidR="002F15BE" w:rsidRPr="000B0D9F" w:rsidRDefault="002F15BE" w:rsidP="000B0D9F">
            <w:pPr>
              <w:pStyle w:val="Sinespaciado"/>
              <w:ind w:right="-16"/>
              <w:jc w:val="center"/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Vibrio</w:t>
            </w:r>
            <w:proofErr w:type="spellEnd"/>
            <w:r w:rsidR="005F0B80"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Aliivibrio</w:t>
            </w:r>
            <w:proofErr w:type="spellEnd"/>
          </w:p>
        </w:tc>
        <w:tc>
          <w:tcPr>
            <w:tcW w:w="1429" w:type="dxa"/>
            <w:vAlign w:val="center"/>
          </w:tcPr>
          <w:p w:rsidR="002F15BE" w:rsidRPr="000B0D9F" w:rsidRDefault="008E26C5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</w:t>
            </w:r>
          </w:p>
        </w:tc>
      </w:tr>
      <w:tr w:rsidR="002F15BE" w:rsidRPr="000B0D9F" w:rsidTr="009C08EE">
        <w:trPr>
          <w:gridAfter w:val="1"/>
          <w:wAfter w:w="142" w:type="dxa"/>
          <w:trHeight w:val="204"/>
          <w:jc w:val="center"/>
        </w:trPr>
        <w:tc>
          <w:tcPr>
            <w:tcW w:w="1716" w:type="dxa"/>
            <w:tcBorders>
              <w:bottom w:val="single" w:sz="12" w:space="0" w:color="auto"/>
            </w:tcBorders>
            <w:vAlign w:val="center"/>
          </w:tcPr>
          <w:p w:rsidR="002F15BE" w:rsidRPr="000B0D9F" w:rsidRDefault="002F15BE" w:rsidP="000B0D9F">
            <w:pPr>
              <w:pStyle w:val="Sinespaciado"/>
              <w:ind w:left="-18" w:right="-108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Vvul3</w:t>
            </w:r>
          </w:p>
        </w:tc>
        <w:tc>
          <w:tcPr>
            <w:tcW w:w="4401" w:type="dxa"/>
            <w:tcBorders>
              <w:bottom w:val="single" w:sz="12" w:space="0" w:color="auto"/>
            </w:tcBorders>
            <w:vAlign w:val="center"/>
          </w:tcPr>
          <w:p w:rsidR="002F15BE" w:rsidRPr="000B0D9F" w:rsidRDefault="002F15BE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TCCTCACGACTGAAAG</w:t>
            </w:r>
          </w:p>
        </w:tc>
        <w:tc>
          <w:tcPr>
            <w:tcW w:w="5833" w:type="dxa"/>
            <w:gridSpan w:val="2"/>
            <w:tcBorders>
              <w:bottom w:val="single" w:sz="12" w:space="0" w:color="auto"/>
            </w:tcBorders>
            <w:vAlign w:val="center"/>
          </w:tcPr>
          <w:p w:rsidR="002F15BE" w:rsidRPr="000B0D9F" w:rsidRDefault="002F15BE" w:rsidP="000B0D9F">
            <w:pPr>
              <w:pStyle w:val="Sinespaciado"/>
              <w:ind w:right="-16"/>
              <w:jc w:val="center"/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en-GB"/>
              </w:rPr>
              <w:t xml:space="preserve">V.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iCs/>
                <w:sz w:val="20"/>
                <w:szCs w:val="20"/>
                <w:lang w:val="en-GB"/>
              </w:rPr>
              <w:t>vulnificus</w:t>
            </w:r>
            <w:proofErr w:type="spellEnd"/>
          </w:p>
        </w:tc>
        <w:tc>
          <w:tcPr>
            <w:tcW w:w="1429" w:type="dxa"/>
            <w:tcBorders>
              <w:bottom w:val="single" w:sz="12" w:space="0" w:color="auto"/>
            </w:tcBorders>
            <w:vAlign w:val="center"/>
          </w:tcPr>
          <w:p w:rsidR="002F15BE" w:rsidRPr="000B0D9F" w:rsidRDefault="008E26C5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</w:t>
            </w:r>
          </w:p>
        </w:tc>
      </w:tr>
    </w:tbl>
    <w:p w:rsidR="009E22B6" w:rsidRPr="000B0D9F" w:rsidRDefault="009E22B6" w:rsidP="009E22B6">
      <w:pPr>
        <w:pStyle w:val="Sinespaciado"/>
        <w:rPr>
          <w:rFonts w:ascii="Palatino Linotype" w:hAnsi="Palatino Linotype"/>
          <w:sz w:val="20"/>
          <w:szCs w:val="20"/>
          <w:lang w:val="en-GB"/>
        </w:rPr>
      </w:pPr>
    </w:p>
    <w:p w:rsidR="001230B6" w:rsidRPr="000B0D9F" w:rsidRDefault="001230B6" w:rsidP="009E22B6">
      <w:pPr>
        <w:pStyle w:val="Sinespaciado"/>
        <w:rPr>
          <w:rFonts w:ascii="Palatino Linotype" w:hAnsi="Palatino Linotype"/>
          <w:sz w:val="20"/>
          <w:szCs w:val="20"/>
          <w:lang w:val="en-GB"/>
        </w:rPr>
      </w:pPr>
    </w:p>
    <w:p w:rsidR="001230B6" w:rsidRPr="000B0D9F" w:rsidRDefault="001230B6" w:rsidP="001230B6">
      <w:pPr>
        <w:spacing w:line="36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</w:pP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1.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Giuliano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L.; De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Domenico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M.; De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Domenico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E.;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Höfle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M.;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Yakimov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M. Identification of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culturable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oligotrophic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 bacteria within naturally occurring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bacterioplankton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 communities of the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Ligurian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 Sea by 16S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rRNA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 sequencing and probing. </w:t>
      </w:r>
      <w:proofErr w:type="spellStart"/>
      <w:proofErr w:type="gramStart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Microb</w:t>
      </w:r>
      <w:proofErr w:type="spellEnd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.</w:t>
      </w:r>
      <w:proofErr w:type="gramEnd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 xml:space="preserve"> Ecol. </w:t>
      </w:r>
      <w:r w:rsidRPr="000B0D9F">
        <w:rPr>
          <w:rFonts w:ascii="Palatino Linotype" w:eastAsia="Times New Roman" w:hAnsi="Palatino Linotype" w:cs="Times New Roman"/>
          <w:b/>
          <w:iCs/>
          <w:sz w:val="20"/>
          <w:szCs w:val="20"/>
          <w:lang w:val="en-US" w:eastAsia="es-ES"/>
        </w:rPr>
        <w:t>1999</w:t>
      </w:r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  <w:t>,</w:t>
      </w:r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 xml:space="preserve"> </w:t>
      </w:r>
      <w:r w:rsidRPr="000B0D9F">
        <w:rPr>
          <w:rFonts w:ascii="Palatino Linotype" w:eastAsia="Times New Roman" w:hAnsi="Palatino Linotype" w:cs="Times New Roman"/>
          <w:i/>
          <w:sz w:val="20"/>
          <w:szCs w:val="20"/>
          <w:lang w:val="en-US" w:eastAsia="es-ES"/>
        </w:rPr>
        <w:t>37</w:t>
      </w:r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77-85. </w:t>
      </w:r>
      <w:proofErr w:type="spellStart"/>
      <w:proofErr w:type="gramStart"/>
      <w:r w:rsidR="002174C0"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doi</w:t>
      </w:r>
      <w:proofErr w:type="spellEnd"/>
      <w:proofErr w:type="gramEnd"/>
      <w:r w:rsidR="002174C0"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: 10.1007/s002489900132.</w:t>
      </w:r>
    </w:p>
    <w:p w:rsidR="001230B6" w:rsidRPr="000B0D9F" w:rsidRDefault="002F15BE" w:rsidP="002174C0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2</w:t>
      </w:r>
      <w:r w:rsidR="002174C0"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. </w:t>
      </w:r>
      <w:proofErr w:type="spellStart"/>
      <w:r w:rsidR="002174C0" w:rsidRPr="000B0D9F">
        <w:rPr>
          <w:rFonts w:ascii="Palatino Linotype" w:hAnsi="Palatino Linotype" w:cs="Times New Roman"/>
          <w:sz w:val="20"/>
          <w:szCs w:val="20"/>
          <w:lang w:val="en-US"/>
        </w:rPr>
        <w:t>Arboleda</w:t>
      </w:r>
      <w:proofErr w:type="spellEnd"/>
      <w:r w:rsidR="002174C0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. </w:t>
      </w:r>
      <w:proofErr w:type="gramStart"/>
      <w:r w:rsidR="002174C0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M.; </w:t>
      </w:r>
      <w:proofErr w:type="spellStart"/>
      <w:r w:rsidR="002174C0" w:rsidRPr="000B0D9F">
        <w:rPr>
          <w:rFonts w:ascii="Palatino Linotype" w:hAnsi="Palatino Linotype" w:cs="Times New Roman"/>
          <w:sz w:val="20"/>
          <w:szCs w:val="20"/>
          <w:lang w:val="en-US"/>
        </w:rPr>
        <w:t>Reichardt</w:t>
      </w:r>
      <w:proofErr w:type="spellEnd"/>
      <w:r w:rsidR="002174C0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W. </w:t>
      </w:r>
      <w:proofErr w:type="spellStart"/>
      <w:r w:rsidR="002174C0" w:rsidRPr="000B0D9F">
        <w:rPr>
          <w:rFonts w:ascii="Palatino Linotype" w:hAnsi="Palatino Linotype" w:cs="Times New Roman"/>
          <w:sz w:val="20"/>
          <w:szCs w:val="20"/>
          <w:lang w:val="en-US"/>
        </w:rPr>
        <w:t>Epizoic</w:t>
      </w:r>
      <w:proofErr w:type="spellEnd"/>
      <w:r w:rsidR="002174C0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communities of prokaryotes on healthy and diseased </w:t>
      </w:r>
      <w:proofErr w:type="spellStart"/>
      <w:r w:rsidR="002174C0" w:rsidRPr="000B0D9F">
        <w:rPr>
          <w:rFonts w:ascii="Palatino Linotype" w:hAnsi="Palatino Linotype" w:cs="Times New Roman"/>
          <w:sz w:val="20"/>
          <w:szCs w:val="20"/>
          <w:lang w:val="en-US"/>
        </w:rPr>
        <w:t>scleractinian</w:t>
      </w:r>
      <w:proofErr w:type="spellEnd"/>
      <w:r w:rsidR="002174C0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corals in Lingayen Gulf, Philippines.</w:t>
      </w:r>
      <w:proofErr w:type="gramEnd"/>
      <w:r w:rsidR="002174C0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="002174C0"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Microb</w:t>
      </w:r>
      <w:proofErr w:type="spellEnd"/>
      <w:r w:rsidR="002174C0"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.</w:t>
      </w:r>
      <w:proofErr w:type="gramEnd"/>
      <w:r w:rsidR="002174C0"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 xml:space="preserve"> Ecol. </w:t>
      </w:r>
      <w:r w:rsidR="002174C0" w:rsidRPr="000B0D9F">
        <w:rPr>
          <w:rFonts w:ascii="Palatino Linotype" w:eastAsia="Times New Roman" w:hAnsi="Palatino Linotype" w:cs="Times New Roman"/>
          <w:b/>
          <w:iCs/>
          <w:sz w:val="20"/>
          <w:szCs w:val="20"/>
          <w:lang w:val="en-US" w:eastAsia="es-ES"/>
        </w:rPr>
        <w:t>2009</w:t>
      </w:r>
      <w:r w:rsidR="002174C0"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, 5:</w:t>
      </w:r>
      <w:r w:rsidR="002174C0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117-28. </w:t>
      </w:r>
      <w:proofErr w:type="spellStart"/>
      <w:proofErr w:type="gramStart"/>
      <w:r w:rsidR="002174C0" w:rsidRPr="000B0D9F">
        <w:rPr>
          <w:rFonts w:ascii="Palatino Linotype" w:hAnsi="Palatino Linotype" w:cs="Times New Roman"/>
          <w:sz w:val="20"/>
          <w:szCs w:val="20"/>
          <w:lang w:val="en-US"/>
        </w:rPr>
        <w:t>doi</w:t>
      </w:r>
      <w:proofErr w:type="spellEnd"/>
      <w:proofErr w:type="gramEnd"/>
      <w:r w:rsidR="002174C0" w:rsidRPr="000B0D9F">
        <w:rPr>
          <w:rFonts w:ascii="Palatino Linotype" w:hAnsi="Palatino Linotype" w:cs="Times New Roman"/>
          <w:sz w:val="20"/>
          <w:szCs w:val="20"/>
          <w:lang w:val="en-US"/>
        </w:rPr>
        <w:t>: 10.1007/s00248-008-9400-0.</w:t>
      </w:r>
    </w:p>
    <w:p w:rsidR="002174C0" w:rsidRPr="000B0D9F" w:rsidRDefault="002F15BE" w:rsidP="002174C0">
      <w:pPr>
        <w:spacing w:line="360" w:lineRule="auto"/>
        <w:ind w:left="284" w:hanging="284"/>
        <w:jc w:val="both"/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</w:pPr>
      <w:r w:rsidRPr="000B0D9F">
        <w:rPr>
          <w:rFonts w:ascii="Palatino Linotype" w:hAnsi="Palatino Linotype" w:cs="Times New Roman"/>
          <w:sz w:val="20"/>
          <w:szCs w:val="20"/>
          <w:lang w:val="en-US"/>
        </w:rPr>
        <w:t>3</w:t>
      </w:r>
      <w:r w:rsidR="002174C0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. </w:t>
      </w:r>
      <w:r w:rsidR="002174C0"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Tada, Y.; Taniguchi, A.; </w:t>
      </w:r>
      <w:proofErr w:type="spellStart"/>
      <w:r w:rsidR="002174C0"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Hamasaki</w:t>
      </w:r>
      <w:proofErr w:type="spellEnd"/>
      <w:r w:rsidR="002174C0"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K. </w:t>
      </w:r>
      <w:proofErr w:type="spellStart"/>
      <w:r w:rsidR="002174C0"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Phylotype</w:t>
      </w:r>
      <w:proofErr w:type="spellEnd"/>
      <w:r w:rsidR="002174C0"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-specific productivity of marine bacterial populations in </w:t>
      </w:r>
      <w:proofErr w:type="spellStart"/>
      <w:r w:rsidR="002174C0"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eutrophic</w:t>
      </w:r>
      <w:proofErr w:type="spellEnd"/>
      <w:r w:rsidR="002174C0"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 seawater, as revealed by </w:t>
      </w:r>
      <w:proofErr w:type="spellStart"/>
      <w:r w:rsidR="002174C0"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bromodeoxyuridine</w:t>
      </w:r>
      <w:proofErr w:type="spellEnd"/>
      <w:r w:rsidR="002174C0"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 </w:t>
      </w:r>
      <w:proofErr w:type="spellStart"/>
      <w:r w:rsidR="002174C0"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immunocytochemistry</w:t>
      </w:r>
      <w:proofErr w:type="spellEnd"/>
      <w:r w:rsidR="002174C0"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 combined with fluorescence in situ hybridization. </w:t>
      </w:r>
      <w:r w:rsidR="002174C0"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 xml:space="preserve">Microbes Environ. </w:t>
      </w:r>
      <w:r w:rsidR="002174C0" w:rsidRPr="000B0D9F">
        <w:rPr>
          <w:rFonts w:ascii="Palatino Linotype" w:eastAsia="Times New Roman" w:hAnsi="Palatino Linotype" w:cs="Times New Roman"/>
          <w:b/>
          <w:iCs/>
          <w:sz w:val="20"/>
          <w:szCs w:val="20"/>
          <w:lang w:val="en-US" w:eastAsia="es-ES"/>
        </w:rPr>
        <w:t>2009</w:t>
      </w:r>
      <w:r w:rsidR="002174C0" w:rsidRPr="000B0D9F"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  <w:t xml:space="preserve">, </w:t>
      </w:r>
      <w:r w:rsidR="002174C0"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24</w:t>
      </w:r>
      <w:r w:rsidR="002174C0" w:rsidRPr="000B0D9F"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  <w:t>, 315-321.</w:t>
      </w:r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  <w:t xml:space="preserve"> </w:t>
      </w:r>
      <w:proofErr w:type="spellStart"/>
      <w:proofErr w:type="gramStart"/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  <w:t>doi</w:t>
      </w:r>
      <w:proofErr w:type="spellEnd"/>
      <w:proofErr w:type="gramEnd"/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  <w:t>: 10.1007/s00248-008-9400-0.</w:t>
      </w:r>
    </w:p>
    <w:p w:rsidR="002F15BE" w:rsidRPr="000B0D9F" w:rsidRDefault="002F15BE" w:rsidP="002174C0">
      <w:pPr>
        <w:spacing w:line="36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</w:pPr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lastRenderedPageBreak/>
        <w:t xml:space="preserve">4.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Oberbeckmann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S.; Fuchs, B.M.;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Meiners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M.;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Wichels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A.; Wiltshire, K.H.;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Gerdts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G. Seasonal dynamics and modeling of a </w:t>
      </w:r>
      <w:proofErr w:type="spellStart"/>
      <w:r w:rsidRPr="000B0D9F">
        <w:rPr>
          <w:rFonts w:ascii="Palatino Linotype" w:eastAsia="Times New Roman" w:hAnsi="Palatino Linotype" w:cs="Times New Roman"/>
          <w:i/>
          <w:sz w:val="20"/>
          <w:szCs w:val="20"/>
          <w:lang w:val="en-US" w:eastAsia="es-ES"/>
        </w:rPr>
        <w:t>Vibrio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 community in coastal waters of the North Sea. </w:t>
      </w:r>
      <w:proofErr w:type="spellStart"/>
      <w:proofErr w:type="gramStart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Microb</w:t>
      </w:r>
      <w:proofErr w:type="spellEnd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.</w:t>
      </w:r>
      <w:proofErr w:type="gramEnd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 xml:space="preserve"> </w:t>
      </w:r>
      <w:proofErr w:type="gramStart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 xml:space="preserve">Ecol. </w:t>
      </w:r>
      <w:r w:rsidRPr="000B0D9F">
        <w:rPr>
          <w:rFonts w:ascii="Palatino Linotype" w:eastAsia="Times New Roman" w:hAnsi="Palatino Linotype" w:cs="Times New Roman"/>
          <w:b/>
          <w:sz w:val="20"/>
          <w:szCs w:val="20"/>
          <w:lang w:val="en-US" w:eastAsia="es-ES"/>
        </w:rPr>
        <w:t>2012</w:t>
      </w:r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.</w:t>
      </w:r>
      <w:proofErr w:type="gram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 </w:t>
      </w:r>
      <w:r w:rsidRPr="000B0D9F">
        <w:rPr>
          <w:rFonts w:ascii="Palatino Linotype" w:eastAsia="Times New Roman" w:hAnsi="Palatino Linotype" w:cs="Times New Roman"/>
          <w:i/>
          <w:sz w:val="20"/>
          <w:szCs w:val="20"/>
          <w:lang w:val="en-US" w:eastAsia="es-ES"/>
        </w:rPr>
        <w:t>63</w:t>
      </w:r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543-551. </w:t>
      </w:r>
      <w:proofErr w:type="spellStart"/>
      <w:proofErr w:type="gram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doi</w:t>
      </w:r>
      <w:proofErr w:type="spellEnd"/>
      <w:proofErr w:type="gram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: 10.1007/s00248-011-9990-9.</w:t>
      </w:r>
    </w:p>
    <w:p w:rsidR="008E26C5" w:rsidRPr="000B0D9F" w:rsidRDefault="008E26C5" w:rsidP="008E26C5">
      <w:pPr>
        <w:spacing w:line="360" w:lineRule="auto"/>
        <w:ind w:left="284" w:hanging="284"/>
        <w:jc w:val="both"/>
        <w:rPr>
          <w:rFonts w:ascii="Palatino Linotype" w:eastAsia="Times New Roman" w:hAnsi="Palatino Linotype" w:cs="Times New Roman"/>
          <w:i/>
          <w:iCs/>
          <w:sz w:val="20"/>
          <w:szCs w:val="20"/>
          <w:lang w:val="fr-FR" w:eastAsia="es-ES"/>
        </w:rPr>
      </w:pPr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5. Girard, L.;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Peuchet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S.;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Servais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P.; Henry, A.;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Charni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-Ben-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Tabassi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N.;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Baudart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J. Spatiotemporal dynamics of total viable </w:t>
      </w:r>
      <w:proofErr w:type="spellStart"/>
      <w:r w:rsidRPr="000B0D9F">
        <w:rPr>
          <w:rFonts w:ascii="Palatino Linotype" w:eastAsia="Times New Roman" w:hAnsi="Palatino Linotype" w:cs="Times New Roman"/>
          <w:i/>
          <w:sz w:val="20"/>
          <w:szCs w:val="20"/>
          <w:lang w:val="en-US" w:eastAsia="es-ES"/>
        </w:rPr>
        <w:t>Vibrio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 spp. in a NW Mediterranean coastal area. </w:t>
      </w:r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fr-FR" w:eastAsia="es-ES"/>
        </w:rPr>
        <w:t xml:space="preserve">Microbes Environ. </w:t>
      </w:r>
      <w:r w:rsidRPr="000B0D9F">
        <w:rPr>
          <w:rFonts w:ascii="Palatino Linotype" w:eastAsia="Times New Roman" w:hAnsi="Palatino Linotype" w:cs="Times New Roman"/>
          <w:b/>
          <w:iCs/>
          <w:sz w:val="20"/>
          <w:szCs w:val="20"/>
          <w:lang w:val="fr-FR" w:eastAsia="es-ES"/>
        </w:rPr>
        <w:t>2017</w:t>
      </w:r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fr-FR" w:eastAsia="es-ES"/>
        </w:rPr>
        <w:t>,</w:t>
      </w:r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fr-FR" w:eastAsia="es-ES"/>
        </w:rPr>
        <w:t xml:space="preserve"> 32</w:t>
      </w:r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fr-FR" w:eastAsia="es-ES"/>
        </w:rPr>
        <w:t>, 210-218</w:t>
      </w:r>
      <w:r w:rsidRPr="000B0D9F">
        <w:rPr>
          <w:rFonts w:ascii="Palatino Linotype" w:eastAsia="Times New Roman" w:hAnsi="Palatino Linotype" w:cs="Times New Roman"/>
          <w:sz w:val="20"/>
          <w:szCs w:val="20"/>
          <w:lang w:val="fr-FR" w:eastAsia="es-ES"/>
        </w:rPr>
        <w:t xml:space="preserve">. </w:t>
      </w:r>
      <w:proofErr w:type="spellStart"/>
      <w:proofErr w:type="gramStart"/>
      <w:r w:rsidRPr="000B0D9F">
        <w:rPr>
          <w:rFonts w:ascii="Palatino Linotype" w:eastAsia="Times New Roman" w:hAnsi="Palatino Linotype" w:cs="Times New Roman"/>
          <w:sz w:val="20"/>
          <w:szCs w:val="20"/>
          <w:lang w:val="fr-FR" w:eastAsia="es-ES"/>
        </w:rPr>
        <w:t>doi</w:t>
      </w:r>
      <w:proofErr w:type="spellEnd"/>
      <w:proofErr w:type="gramEnd"/>
      <w:r w:rsidRPr="000B0D9F">
        <w:rPr>
          <w:rFonts w:ascii="Palatino Linotype" w:eastAsia="Times New Roman" w:hAnsi="Palatino Linotype" w:cs="Times New Roman"/>
          <w:sz w:val="20"/>
          <w:szCs w:val="20"/>
          <w:lang w:val="fr-FR" w:eastAsia="es-ES"/>
        </w:rPr>
        <w:t>: 10.1264/jsme2.ME17028.</w:t>
      </w:r>
    </w:p>
    <w:p w:rsidR="008E26C5" w:rsidRPr="000B0D9F" w:rsidRDefault="008E26C5" w:rsidP="002174C0">
      <w:pPr>
        <w:spacing w:line="360" w:lineRule="auto"/>
        <w:ind w:left="284" w:hanging="284"/>
        <w:jc w:val="both"/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</w:pPr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fr-FR" w:eastAsia="es-ES"/>
        </w:rPr>
        <w:t xml:space="preserve">6. </w:t>
      </w:r>
      <w:proofErr w:type="spellStart"/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fr-FR" w:eastAsia="es-ES"/>
        </w:rPr>
        <w:t>Sussman</w:t>
      </w:r>
      <w:proofErr w:type="spellEnd"/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fr-FR" w:eastAsia="es-ES"/>
        </w:rPr>
        <w:t xml:space="preserve">, M.; </w:t>
      </w:r>
      <w:proofErr w:type="spellStart"/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fr-FR" w:eastAsia="es-ES"/>
        </w:rPr>
        <w:t>Loya</w:t>
      </w:r>
      <w:proofErr w:type="spellEnd"/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fr-FR" w:eastAsia="es-ES"/>
        </w:rPr>
        <w:t xml:space="preserve">, Y.; Fine, M.; Rosenberg, E.  </w:t>
      </w:r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  <w:t xml:space="preserve">The marine </w:t>
      </w:r>
      <w:proofErr w:type="spellStart"/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  <w:t>fireworm</w:t>
      </w:r>
      <w:proofErr w:type="spellEnd"/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  <w:t xml:space="preserve"> </w:t>
      </w:r>
      <w:proofErr w:type="spellStart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Hermodice</w:t>
      </w:r>
      <w:proofErr w:type="spellEnd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 xml:space="preserve"> </w:t>
      </w:r>
      <w:proofErr w:type="spellStart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carunculata</w:t>
      </w:r>
      <w:proofErr w:type="spellEnd"/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  <w:t xml:space="preserve"> is a winter reservoir and spring-summer vector for the coral-bleaching pathogen </w:t>
      </w:r>
      <w:proofErr w:type="spellStart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Vibrio</w:t>
      </w:r>
      <w:proofErr w:type="spellEnd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 xml:space="preserve"> </w:t>
      </w:r>
      <w:proofErr w:type="spellStart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shiloi</w:t>
      </w:r>
      <w:proofErr w:type="spellEnd"/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  <w:t xml:space="preserve">. </w:t>
      </w:r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 xml:space="preserve">Environ. </w:t>
      </w:r>
      <w:proofErr w:type="spellStart"/>
      <w:proofErr w:type="gramStart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Microbiol</w:t>
      </w:r>
      <w:proofErr w:type="spellEnd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.</w:t>
      </w:r>
      <w:proofErr w:type="gramEnd"/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  <w:t xml:space="preserve"> </w:t>
      </w:r>
      <w:r w:rsidRPr="000B0D9F">
        <w:rPr>
          <w:rFonts w:ascii="Palatino Linotype" w:eastAsia="Times New Roman" w:hAnsi="Palatino Linotype" w:cs="Times New Roman"/>
          <w:b/>
          <w:iCs/>
          <w:sz w:val="20"/>
          <w:szCs w:val="20"/>
          <w:lang w:val="en-US" w:eastAsia="es-ES"/>
        </w:rPr>
        <w:t>2003</w:t>
      </w:r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  <w:t xml:space="preserve">, </w:t>
      </w:r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5</w:t>
      </w:r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  <w:t xml:space="preserve">, 250–255. </w:t>
      </w:r>
      <w:proofErr w:type="spellStart"/>
      <w:proofErr w:type="gramStart"/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  <w:t>doi</w:t>
      </w:r>
      <w:proofErr w:type="spellEnd"/>
      <w:proofErr w:type="gramEnd"/>
      <w:r w:rsidRPr="000B0D9F">
        <w:rPr>
          <w:rFonts w:ascii="Palatino Linotype" w:eastAsia="Times New Roman" w:hAnsi="Palatino Linotype" w:cs="Times New Roman"/>
          <w:iCs/>
          <w:sz w:val="20"/>
          <w:szCs w:val="20"/>
          <w:lang w:val="en-US" w:eastAsia="es-ES"/>
        </w:rPr>
        <w:t>: 10.1046/j.1462-2920.2003.00424.x</w:t>
      </w:r>
    </w:p>
    <w:p w:rsidR="005F0B80" w:rsidRPr="000B0D9F" w:rsidRDefault="008E26C5" w:rsidP="005F0B80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7. Heidelberg, J.F.; Heidelberg, K.B.; Colwell, R.R. Bacteria of the gamma-subclass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Proteobacteria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associated with zooplankton in Chesapeake Bay. </w:t>
      </w:r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 xml:space="preserve">Appl. Environ. </w:t>
      </w:r>
      <w:proofErr w:type="spellStart"/>
      <w:proofErr w:type="gramStart"/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Microbiol</w:t>
      </w:r>
      <w:proofErr w:type="spellEnd"/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.</w:t>
      </w:r>
      <w:proofErr w:type="gram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Pr="000B0D9F">
        <w:rPr>
          <w:rFonts w:ascii="Palatino Linotype" w:hAnsi="Palatino Linotype" w:cs="Times New Roman"/>
          <w:b/>
          <w:sz w:val="20"/>
          <w:szCs w:val="20"/>
          <w:lang w:val="en-US"/>
        </w:rPr>
        <w:t>2002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</w:t>
      </w:r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68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5498–5507. </w:t>
      </w:r>
      <w:proofErr w:type="spellStart"/>
      <w:proofErr w:type="gram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doi</w:t>
      </w:r>
      <w:proofErr w:type="spellEnd"/>
      <w:proofErr w:type="gram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>: 10.1128/aem.68.11.5498-5507.2002.</w:t>
      </w:r>
    </w:p>
    <w:p w:rsidR="005F0B80" w:rsidRPr="000B0D9F" w:rsidRDefault="008E26C5" w:rsidP="005F0B80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8.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Kirschner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A.K.T.;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Schauer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S.; Steinberger, B.;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Wilhartitz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I.; Grim, C.J.;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Huq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A.; Colwell, R.R.;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Herzig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A.;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Sommer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R. </w:t>
      </w:r>
      <w:r w:rsidR="005F0B80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Interaction of </w:t>
      </w:r>
      <w:proofErr w:type="spellStart"/>
      <w:r w:rsidR="005F0B80"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Vibrio</w:t>
      </w:r>
      <w:proofErr w:type="spellEnd"/>
      <w:r w:rsidR="005F0B80"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 xml:space="preserve"> </w:t>
      </w:r>
      <w:proofErr w:type="spellStart"/>
      <w:r w:rsidR="005F0B80"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cholerae</w:t>
      </w:r>
      <w:proofErr w:type="spellEnd"/>
      <w:r w:rsidR="005F0B80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non-O1/non-O139 with Copepods, </w:t>
      </w:r>
      <w:proofErr w:type="spellStart"/>
      <w:r w:rsidR="005F0B80" w:rsidRPr="000B0D9F">
        <w:rPr>
          <w:rFonts w:ascii="Palatino Linotype" w:hAnsi="Palatino Linotype" w:cs="Times New Roman"/>
          <w:sz w:val="20"/>
          <w:szCs w:val="20"/>
          <w:lang w:val="en-US"/>
        </w:rPr>
        <w:t>Cladocerans</w:t>
      </w:r>
      <w:proofErr w:type="spellEnd"/>
      <w:r w:rsidR="005F0B80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and competing bacteria in the Large Alkaline Lake </w:t>
      </w:r>
      <w:proofErr w:type="spellStart"/>
      <w:r w:rsidR="005F0B80" w:rsidRPr="000B0D9F">
        <w:rPr>
          <w:rFonts w:ascii="Palatino Linotype" w:hAnsi="Palatino Linotype" w:cs="Times New Roman"/>
          <w:sz w:val="20"/>
          <w:szCs w:val="20"/>
          <w:lang w:val="en-US"/>
        </w:rPr>
        <w:t>Neusiedler</w:t>
      </w:r>
      <w:proofErr w:type="spellEnd"/>
      <w:r w:rsidR="005F0B80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See, Austria. </w:t>
      </w:r>
      <w:proofErr w:type="spellStart"/>
      <w:proofErr w:type="gramStart"/>
      <w:r w:rsidR="005F0B80"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Microb</w:t>
      </w:r>
      <w:proofErr w:type="spellEnd"/>
      <w:r w:rsidR="005F0B80"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.</w:t>
      </w:r>
      <w:proofErr w:type="gramEnd"/>
      <w:r w:rsidR="005F0B80"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 xml:space="preserve"> Ecol.</w:t>
      </w:r>
      <w:r w:rsidR="005F0B80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5F0B80" w:rsidRPr="000B0D9F">
        <w:rPr>
          <w:rFonts w:ascii="Palatino Linotype" w:hAnsi="Palatino Linotype" w:cs="Times New Roman"/>
          <w:b/>
          <w:sz w:val="20"/>
          <w:szCs w:val="20"/>
          <w:lang w:val="en-US"/>
        </w:rPr>
        <w:t>2010</w:t>
      </w:r>
      <w:r w:rsidR="005F0B80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</w:t>
      </w:r>
      <w:r w:rsidR="005F0B80"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61</w:t>
      </w:r>
      <w:r w:rsidR="005F0B80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496-506. </w:t>
      </w:r>
      <w:proofErr w:type="spellStart"/>
      <w:proofErr w:type="gramStart"/>
      <w:r w:rsidR="005F0B80" w:rsidRPr="000B0D9F">
        <w:rPr>
          <w:rFonts w:ascii="Palatino Linotype" w:hAnsi="Palatino Linotype" w:cs="Times New Roman"/>
          <w:sz w:val="20"/>
          <w:szCs w:val="20"/>
          <w:lang w:val="en-US"/>
        </w:rPr>
        <w:t>doi</w:t>
      </w:r>
      <w:proofErr w:type="spellEnd"/>
      <w:proofErr w:type="gramEnd"/>
      <w:r w:rsidR="005F0B80" w:rsidRPr="000B0D9F">
        <w:rPr>
          <w:rFonts w:ascii="Palatino Linotype" w:hAnsi="Palatino Linotype" w:cs="Times New Roman"/>
          <w:sz w:val="20"/>
          <w:szCs w:val="20"/>
          <w:lang w:val="en-US"/>
        </w:rPr>
        <w:t>: 10.1007/s00248-010-9764-9</w:t>
      </w:r>
    </w:p>
    <w:p w:rsidR="001230B6" w:rsidRPr="000B0D9F" w:rsidRDefault="005F0B80" w:rsidP="005F0B80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9.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Schauer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S.;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Sommer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R. ;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Farnleitner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A.H.;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Kirschner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A.K. Rapid and </w:t>
      </w:r>
      <w:r w:rsidR="00193B47" w:rsidRPr="000B0D9F">
        <w:rPr>
          <w:rFonts w:ascii="Palatino Linotype" w:hAnsi="Palatino Linotype" w:cs="Times New Roman"/>
          <w:sz w:val="20"/>
          <w:szCs w:val="20"/>
          <w:lang w:val="en-US"/>
        </w:rPr>
        <w:t>s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ensitive </w:t>
      </w:r>
      <w:r w:rsidR="00193B47" w:rsidRPr="000B0D9F">
        <w:rPr>
          <w:rFonts w:ascii="Palatino Linotype" w:hAnsi="Palatino Linotype" w:cs="Times New Roman"/>
          <w:sz w:val="20"/>
          <w:szCs w:val="20"/>
          <w:lang w:val="en-US"/>
        </w:rPr>
        <w:t>q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uantification of </w:t>
      </w:r>
      <w:proofErr w:type="spellStart"/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Vibrio</w:t>
      </w:r>
      <w:proofErr w:type="spellEnd"/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 xml:space="preserve"> </w:t>
      </w:r>
      <w:proofErr w:type="spellStart"/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cholerae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and </w:t>
      </w:r>
      <w:proofErr w:type="spellStart"/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Vibrio</w:t>
      </w:r>
      <w:proofErr w:type="spellEnd"/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 xml:space="preserve"> </w:t>
      </w:r>
      <w:proofErr w:type="spellStart"/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mimicus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193B47" w:rsidRPr="000B0D9F">
        <w:rPr>
          <w:rFonts w:ascii="Palatino Linotype" w:hAnsi="Palatino Linotype" w:cs="Times New Roman"/>
          <w:sz w:val="20"/>
          <w:szCs w:val="20"/>
          <w:lang w:val="en-US"/>
        </w:rPr>
        <w:t>c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ells in </w:t>
      </w:r>
      <w:r w:rsidR="00193B47" w:rsidRPr="000B0D9F">
        <w:rPr>
          <w:rFonts w:ascii="Palatino Linotype" w:hAnsi="Palatino Linotype" w:cs="Times New Roman"/>
          <w:sz w:val="20"/>
          <w:szCs w:val="20"/>
          <w:lang w:val="en-US"/>
        </w:rPr>
        <w:t>w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ater </w:t>
      </w:r>
      <w:r w:rsidR="00193B47" w:rsidRPr="000B0D9F">
        <w:rPr>
          <w:rFonts w:ascii="Palatino Linotype" w:hAnsi="Palatino Linotype" w:cs="Times New Roman"/>
          <w:sz w:val="20"/>
          <w:szCs w:val="20"/>
          <w:lang w:val="en-US"/>
        </w:rPr>
        <w:t>s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amples by </w:t>
      </w:r>
      <w:r w:rsidR="00193B47" w:rsidRPr="000B0D9F">
        <w:rPr>
          <w:rFonts w:ascii="Palatino Linotype" w:hAnsi="Palatino Linotype" w:cs="Times New Roman"/>
          <w:sz w:val="20"/>
          <w:szCs w:val="20"/>
          <w:lang w:val="en-US"/>
        </w:rPr>
        <w:t>u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se of Catalyzed Reporter Deposition Fluorescence In Situ Hybridization </w:t>
      </w:r>
      <w:r w:rsidR="00193B47" w:rsidRPr="000B0D9F">
        <w:rPr>
          <w:rFonts w:ascii="Palatino Linotype" w:hAnsi="Palatino Linotype" w:cs="Times New Roman"/>
          <w:sz w:val="20"/>
          <w:szCs w:val="20"/>
          <w:lang w:val="en-US"/>
        </w:rPr>
        <w:t>c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ombined with Solid-Phase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Cytometry</w:t>
      </w:r>
      <w:proofErr w:type="spellEnd"/>
      <w:r w:rsidR="00193B47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. </w:t>
      </w:r>
      <w:r w:rsidR="00193B47"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 xml:space="preserve">Appl. Environ. </w:t>
      </w:r>
      <w:proofErr w:type="spellStart"/>
      <w:proofErr w:type="gramStart"/>
      <w:r w:rsidR="00193B47"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Microbiol</w:t>
      </w:r>
      <w:proofErr w:type="spellEnd"/>
      <w:r w:rsidR="00193B47"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.</w:t>
      </w:r>
      <w:proofErr w:type="gramEnd"/>
      <w:r w:rsidR="00193B47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193B47" w:rsidRPr="000B0D9F">
        <w:rPr>
          <w:rFonts w:ascii="Palatino Linotype" w:hAnsi="Palatino Linotype" w:cs="Times New Roman"/>
          <w:b/>
          <w:sz w:val="20"/>
          <w:szCs w:val="20"/>
          <w:lang w:val="en-US"/>
        </w:rPr>
        <w:t>2012</w:t>
      </w:r>
      <w:r w:rsidR="00193B47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</w:t>
      </w:r>
      <w:r w:rsidR="00193B47"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78</w:t>
      </w:r>
      <w:r w:rsidR="00193B47" w:rsidRPr="000B0D9F">
        <w:rPr>
          <w:rFonts w:ascii="Palatino Linotype" w:hAnsi="Palatino Linotype" w:cs="Times New Roman"/>
          <w:sz w:val="20"/>
          <w:szCs w:val="20"/>
          <w:lang w:val="en-US"/>
        </w:rPr>
        <w:t>,</w:t>
      </w:r>
      <w:r w:rsidR="00193B47" w:rsidRPr="000B0D9F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193B47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7369–7375. </w:t>
      </w:r>
      <w:proofErr w:type="spellStart"/>
      <w:proofErr w:type="gramStart"/>
      <w:r w:rsidR="00193B47" w:rsidRPr="000B0D9F">
        <w:rPr>
          <w:rFonts w:ascii="Palatino Linotype" w:hAnsi="Palatino Linotype" w:cs="Times New Roman"/>
          <w:sz w:val="20"/>
          <w:szCs w:val="20"/>
          <w:lang w:val="en-US"/>
        </w:rPr>
        <w:t>doi</w:t>
      </w:r>
      <w:proofErr w:type="spellEnd"/>
      <w:proofErr w:type="gramEnd"/>
      <w:r w:rsidR="00193B47" w:rsidRPr="000B0D9F">
        <w:rPr>
          <w:rFonts w:ascii="Palatino Linotype" w:hAnsi="Palatino Linotype" w:cs="Times New Roman"/>
          <w:sz w:val="20"/>
          <w:szCs w:val="20"/>
          <w:lang w:val="en-US"/>
        </w:rPr>
        <w:t>: 10.1128/AEM.02190-12.</w:t>
      </w:r>
    </w:p>
    <w:p w:rsidR="001230B6" w:rsidRPr="000B0D9F" w:rsidRDefault="00193B47" w:rsidP="00193B47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</w:rPr>
      </w:pP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10. Moreno, Y.; Arias, C.R.; Meier, H.;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Garay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E.;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Aznar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R. </w:t>
      </w:r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In situ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analysis of the bacterial communities associated to farmed eel by whole-cell hybridization. </w:t>
      </w:r>
      <w:proofErr w:type="spellStart"/>
      <w:proofErr w:type="gramStart"/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Lett</w:t>
      </w:r>
      <w:proofErr w:type="spellEnd"/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.</w:t>
      </w:r>
      <w:proofErr w:type="gramEnd"/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 xml:space="preserve"> Appl. </w:t>
      </w:r>
      <w:proofErr w:type="spellStart"/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Microbiol</w:t>
      </w:r>
      <w:proofErr w:type="spellEnd"/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.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Pr="000B0D9F">
        <w:rPr>
          <w:rFonts w:ascii="Palatino Linotype" w:hAnsi="Palatino Linotype" w:cs="Times New Roman"/>
          <w:b/>
          <w:sz w:val="20"/>
          <w:szCs w:val="20"/>
        </w:rPr>
        <w:t>1999</w:t>
      </w:r>
      <w:r w:rsidRPr="000B0D9F">
        <w:rPr>
          <w:rFonts w:ascii="Palatino Linotype" w:hAnsi="Palatino Linotype" w:cs="Times New Roman"/>
          <w:sz w:val="20"/>
          <w:szCs w:val="20"/>
        </w:rPr>
        <w:t xml:space="preserve">, </w:t>
      </w:r>
      <w:r w:rsidRPr="000B0D9F">
        <w:rPr>
          <w:rFonts w:ascii="Palatino Linotype" w:hAnsi="Palatino Linotype" w:cs="Times New Roman"/>
          <w:i/>
          <w:sz w:val="20"/>
          <w:szCs w:val="20"/>
        </w:rPr>
        <w:t>29</w:t>
      </w:r>
      <w:r w:rsidRPr="000B0D9F">
        <w:rPr>
          <w:rFonts w:ascii="Palatino Linotype" w:hAnsi="Palatino Linotype" w:cs="Times New Roman"/>
          <w:sz w:val="20"/>
          <w:szCs w:val="20"/>
        </w:rPr>
        <w:t xml:space="preserve">, 160–165. </w:t>
      </w:r>
      <w:proofErr w:type="spellStart"/>
      <w:proofErr w:type="gramStart"/>
      <w:r w:rsidRPr="000B0D9F">
        <w:rPr>
          <w:rFonts w:ascii="Palatino Linotype" w:hAnsi="Palatino Linotype" w:cs="Times New Roman"/>
          <w:sz w:val="20"/>
          <w:szCs w:val="20"/>
        </w:rPr>
        <w:t>doi</w:t>
      </w:r>
      <w:proofErr w:type="spellEnd"/>
      <w:proofErr w:type="gramEnd"/>
      <w:r w:rsidRPr="000B0D9F">
        <w:rPr>
          <w:rFonts w:ascii="Palatino Linotype" w:hAnsi="Palatino Linotype" w:cs="Times New Roman"/>
          <w:sz w:val="20"/>
          <w:szCs w:val="20"/>
        </w:rPr>
        <w:t>: 10.1046/j.1365-2672.1999.00588.x.</w:t>
      </w:r>
    </w:p>
    <w:p w:rsidR="00193B47" w:rsidRPr="000B0D9F" w:rsidRDefault="00193B47" w:rsidP="00193B47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0B0D9F">
        <w:rPr>
          <w:rFonts w:ascii="Palatino Linotype" w:hAnsi="Palatino Linotype" w:cs="Times New Roman"/>
          <w:sz w:val="20"/>
          <w:szCs w:val="20"/>
        </w:rPr>
        <w:t xml:space="preserve">11. </w:t>
      </w:r>
      <w:proofErr w:type="spellStart"/>
      <w:r w:rsidRPr="000B0D9F">
        <w:rPr>
          <w:rFonts w:ascii="Palatino Linotype" w:hAnsi="Palatino Linotype" w:cs="Times New Roman"/>
          <w:sz w:val="20"/>
          <w:szCs w:val="20"/>
        </w:rPr>
        <w:t>Cañigral</w:t>
      </w:r>
      <w:proofErr w:type="spellEnd"/>
      <w:r w:rsidRPr="000B0D9F">
        <w:rPr>
          <w:rFonts w:ascii="Palatino Linotype" w:hAnsi="Palatino Linotype" w:cs="Times New Roman"/>
          <w:sz w:val="20"/>
          <w:szCs w:val="20"/>
        </w:rPr>
        <w:t xml:space="preserve"> Cárcel, I. </w:t>
      </w:r>
      <w:r w:rsidRPr="000B0D9F">
        <w:rPr>
          <w:rFonts w:ascii="Palatino Linotype" w:hAnsi="Palatino Linotype" w:cs="Times New Roman"/>
          <w:iCs/>
          <w:sz w:val="20"/>
          <w:szCs w:val="20"/>
        </w:rPr>
        <w:t xml:space="preserve">Desarrollo de métodos moleculares para la detección y caracterización de bacterias patógenas emergentes del género </w:t>
      </w:r>
      <w:proofErr w:type="spellStart"/>
      <w:r w:rsidRPr="000B0D9F">
        <w:rPr>
          <w:rFonts w:ascii="Palatino Linotype" w:hAnsi="Palatino Linotype" w:cs="Times New Roman"/>
          <w:i/>
          <w:iCs/>
          <w:sz w:val="20"/>
          <w:szCs w:val="20"/>
        </w:rPr>
        <w:t>Vibrio</w:t>
      </w:r>
      <w:proofErr w:type="spellEnd"/>
      <w:r w:rsidRPr="000B0D9F">
        <w:rPr>
          <w:rFonts w:ascii="Palatino Linotype" w:hAnsi="Palatino Linotype" w:cs="Times New Roman"/>
          <w:iCs/>
          <w:sz w:val="20"/>
          <w:szCs w:val="20"/>
        </w:rPr>
        <w:t xml:space="preserve"> en aguas y alimentos</w:t>
      </w:r>
      <w:r w:rsidRPr="000B0D9F">
        <w:rPr>
          <w:rFonts w:ascii="Palatino Linotype" w:hAnsi="Palatino Linotype" w:cs="Times New Roman"/>
          <w:sz w:val="20"/>
          <w:szCs w:val="20"/>
        </w:rPr>
        <w:t xml:space="preserve">. </w:t>
      </w:r>
      <w:proofErr w:type="gram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PhD Thesis,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Universitat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Politècnica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de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València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Spain, </w:t>
      </w:r>
      <w:r w:rsidRPr="000B0D9F">
        <w:rPr>
          <w:rFonts w:ascii="Palatino Linotype" w:hAnsi="Palatino Linotype" w:cs="Times New Roman"/>
          <w:b/>
          <w:sz w:val="20"/>
          <w:szCs w:val="20"/>
          <w:lang w:val="en-US"/>
        </w:rPr>
        <w:t>2011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>.</w:t>
      </w:r>
      <w:proofErr w:type="gramEnd"/>
    </w:p>
    <w:p w:rsidR="00193F68" w:rsidRPr="000B0D9F" w:rsidRDefault="00193F68" w:rsidP="00193F68">
      <w:pPr>
        <w:spacing w:line="36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</w:pP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12. </w:t>
      </w:r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Kim, M.S.;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Jeong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H.D. Development of 16S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rRNA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 targeted PCR methods for the detection and differentiation of </w:t>
      </w:r>
      <w:proofErr w:type="spellStart"/>
      <w:r w:rsidRPr="000B0D9F">
        <w:rPr>
          <w:rFonts w:ascii="Palatino Linotype" w:eastAsia="Times New Roman" w:hAnsi="Palatino Linotype" w:cs="Times New Roman"/>
          <w:i/>
          <w:sz w:val="20"/>
          <w:szCs w:val="20"/>
          <w:lang w:val="en-US" w:eastAsia="es-ES"/>
        </w:rPr>
        <w:t>Vibrio</w:t>
      </w:r>
      <w:proofErr w:type="spellEnd"/>
      <w:r w:rsidRPr="000B0D9F">
        <w:rPr>
          <w:rFonts w:ascii="Palatino Linotype" w:eastAsia="Times New Roman" w:hAnsi="Palatino Linotype" w:cs="Times New Roman"/>
          <w:i/>
          <w:sz w:val="20"/>
          <w:szCs w:val="20"/>
          <w:lang w:val="en-US" w:eastAsia="es-ES"/>
        </w:rPr>
        <w:t xml:space="preserve"> </w:t>
      </w:r>
      <w:proofErr w:type="spellStart"/>
      <w:r w:rsidRPr="000B0D9F">
        <w:rPr>
          <w:rFonts w:ascii="Palatino Linotype" w:eastAsia="Times New Roman" w:hAnsi="Palatino Linotype" w:cs="Times New Roman"/>
          <w:i/>
          <w:sz w:val="20"/>
          <w:szCs w:val="20"/>
          <w:lang w:val="en-US" w:eastAsia="es-ES"/>
        </w:rPr>
        <w:t>vulnificus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 in marine environments. </w:t>
      </w:r>
      <w:proofErr w:type="gramStart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Aquaculture.</w:t>
      </w:r>
      <w:proofErr w:type="gramEnd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 xml:space="preserve"> </w:t>
      </w:r>
      <w:r w:rsidRPr="000B0D9F">
        <w:rPr>
          <w:rFonts w:ascii="Palatino Linotype" w:eastAsia="Times New Roman" w:hAnsi="Palatino Linotype" w:cs="Times New Roman"/>
          <w:b/>
          <w:sz w:val="20"/>
          <w:szCs w:val="20"/>
          <w:lang w:val="en-US" w:eastAsia="es-ES"/>
        </w:rPr>
        <w:t>2001</w:t>
      </w:r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</w:t>
      </w:r>
      <w:r w:rsidRPr="000B0D9F">
        <w:rPr>
          <w:rFonts w:ascii="Palatino Linotype" w:eastAsia="Times New Roman" w:hAnsi="Palatino Linotype" w:cs="Times New Roman"/>
          <w:i/>
          <w:sz w:val="20"/>
          <w:szCs w:val="20"/>
          <w:lang w:val="en-US" w:eastAsia="es-ES"/>
        </w:rPr>
        <w:t>193</w:t>
      </w:r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199-211. </w:t>
      </w:r>
      <w:proofErr w:type="spellStart"/>
      <w:proofErr w:type="gram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doi</w:t>
      </w:r>
      <w:proofErr w:type="spellEnd"/>
      <w:proofErr w:type="gram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: 10.1016/S0044-8486(00)00495-6.</w:t>
      </w:r>
    </w:p>
    <w:p w:rsidR="00193F68" w:rsidRPr="000B0D9F" w:rsidRDefault="00193F68" w:rsidP="00193F68">
      <w:pPr>
        <w:spacing w:line="36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</w:pPr>
      <w:r w:rsidRPr="000B0D9F">
        <w:rPr>
          <w:rFonts w:ascii="Palatino Linotype" w:hAnsi="Palatino Linotype" w:cs="Times New Roman"/>
          <w:sz w:val="20"/>
          <w:szCs w:val="20"/>
          <w:lang w:val="en-US"/>
        </w:rPr>
        <w:lastRenderedPageBreak/>
        <w:t xml:space="preserve">13. </w:t>
      </w:r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Zhang, X.; Li, K.; Wu, S.;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Shuai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J.; Fang, W. Peptide nucleic acid fluorescence in-situ hybridization for identification of </w:t>
      </w:r>
      <w:proofErr w:type="spellStart"/>
      <w:r w:rsidRPr="000B0D9F">
        <w:rPr>
          <w:rFonts w:ascii="Palatino Linotype" w:eastAsia="Times New Roman" w:hAnsi="Palatino Linotype" w:cs="Times New Roman"/>
          <w:i/>
          <w:sz w:val="20"/>
          <w:szCs w:val="20"/>
          <w:lang w:val="en-US" w:eastAsia="es-ES"/>
        </w:rPr>
        <w:t>Vibrio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 spp. in aquatic products and environments. </w:t>
      </w:r>
      <w:proofErr w:type="gramStart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 xml:space="preserve">Int. J. Food </w:t>
      </w:r>
      <w:proofErr w:type="spellStart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Microbiol</w:t>
      </w:r>
      <w:proofErr w:type="spellEnd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.</w:t>
      </w:r>
      <w:proofErr w:type="gramEnd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 xml:space="preserve"> </w:t>
      </w:r>
      <w:r w:rsidRPr="000B0D9F">
        <w:rPr>
          <w:rFonts w:ascii="Palatino Linotype" w:eastAsia="Times New Roman" w:hAnsi="Palatino Linotype" w:cs="Times New Roman"/>
          <w:b/>
          <w:sz w:val="20"/>
          <w:szCs w:val="20"/>
          <w:lang w:val="en-US" w:eastAsia="es-ES"/>
        </w:rPr>
        <w:t>2015</w:t>
      </w:r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</w:t>
      </w:r>
      <w:r w:rsidRPr="000B0D9F">
        <w:rPr>
          <w:rFonts w:ascii="Palatino Linotype" w:eastAsia="Times New Roman" w:hAnsi="Palatino Linotype" w:cs="Times New Roman"/>
          <w:i/>
          <w:sz w:val="20"/>
          <w:szCs w:val="20"/>
          <w:lang w:val="en-US" w:eastAsia="es-ES"/>
        </w:rPr>
        <w:t>206</w:t>
      </w:r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39-44. </w:t>
      </w:r>
      <w:proofErr w:type="spellStart"/>
      <w:proofErr w:type="gram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doi</w:t>
      </w:r>
      <w:proofErr w:type="spellEnd"/>
      <w:proofErr w:type="gram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: 10.1016/j.ijfoodmicro.2015.04.017.</w:t>
      </w:r>
    </w:p>
    <w:p w:rsidR="00193F68" w:rsidRPr="000B0D9F" w:rsidRDefault="00193F68" w:rsidP="00193F68">
      <w:pPr>
        <w:spacing w:line="360" w:lineRule="auto"/>
        <w:ind w:left="284" w:hanging="284"/>
        <w:jc w:val="both"/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</w:pP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14.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Huggett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M.J.;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Crocetti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G.R.; </w:t>
      </w:r>
      <w:proofErr w:type="spell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Kjelleberg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S.; Steinberg, P.D. Recruitment of the sea urchin </w:t>
      </w:r>
      <w:proofErr w:type="spellStart"/>
      <w:r w:rsidRPr="000B0D9F">
        <w:rPr>
          <w:rFonts w:ascii="Palatino Linotype" w:eastAsia="Times New Roman" w:hAnsi="Palatino Linotype" w:cs="Times New Roman"/>
          <w:i/>
          <w:sz w:val="20"/>
          <w:szCs w:val="20"/>
          <w:lang w:val="en-US" w:eastAsia="es-ES"/>
        </w:rPr>
        <w:t>Heliocidaris</w:t>
      </w:r>
      <w:proofErr w:type="spellEnd"/>
      <w:r w:rsidRPr="000B0D9F">
        <w:rPr>
          <w:rFonts w:ascii="Palatino Linotype" w:eastAsia="Times New Roman" w:hAnsi="Palatino Linotype" w:cs="Times New Roman"/>
          <w:i/>
          <w:sz w:val="20"/>
          <w:szCs w:val="20"/>
          <w:lang w:val="en-US" w:eastAsia="es-ES"/>
        </w:rPr>
        <w:t xml:space="preserve"> </w:t>
      </w:r>
      <w:proofErr w:type="spellStart"/>
      <w:r w:rsidRPr="000B0D9F">
        <w:rPr>
          <w:rFonts w:ascii="Palatino Linotype" w:eastAsia="Times New Roman" w:hAnsi="Palatino Linotype" w:cs="Times New Roman"/>
          <w:i/>
          <w:sz w:val="20"/>
          <w:szCs w:val="20"/>
          <w:lang w:val="en-US" w:eastAsia="es-ES"/>
        </w:rPr>
        <w:t>erythrogramma</w:t>
      </w:r>
      <w:proofErr w:type="spell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 and the distribution and abundance of inducing bacteria in the field. </w:t>
      </w:r>
      <w:proofErr w:type="spellStart"/>
      <w:proofErr w:type="gramStart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Aquat</w:t>
      </w:r>
      <w:proofErr w:type="spellEnd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.</w:t>
      </w:r>
      <w:proofErr w:type="gramEnd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 xml:space="preserve"> </w:t>
      </w:r>
      <w:proofErr w:type="spellStart"/>
      <w:proofErr w:type="gramStart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Microb</w:t>
      </w:r>
      <w:proofErr w:type="spellEnd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>.</w:t>
      </w:r>
      <w:proofErr w:type="gramEnd"/>
      <w:r w:rsidRPr="000B0D9F">
        <w:rPr>
          <w:rFonts w:ascii="Palatino Linotype" w:eastAsia="Times New Roman" w:hAnsi="Palatino Linotype" w:cs="Times New Roman"/>
          <w:i/>
          <w:iCs/>
          <w:sz w:val="20"/>
          <w:szCs w:val="20"/>
          <w:lang w:val="en-US" w:eastAsia="es-ES"/>
        </w:rPr>
        <w:t xml:space="preserve"> Ecol. </w:t>
      </w:r>
      <w:r w:rsidRPr="000B0D9F">
        <w:rPr>
          <w:rFonts w:ascii="Palatino Linotype" w:eastAsia="Times New Roman" w:hAnsi="Palatino Linotype" w:cs="Times New Roman"/>
          <w:b/>
          <w:sz w:val="20"/>
          <w:szCs w:val="20"/>
          <w:lang w:val="en-US" w:eastAsia="es-ES"/>
        </w:rPr>
        <w:t>2008</w:t>
      </w:r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</w:t>
      </w:r>
      <w:r w:rsidRPr="000B0D9F">
        <w:rPr>
          <w:rFonts w:ascii="Palatino Linotype" w:eastAsia="Times New Roman" w:hAnsi="Palatino Linotype" w:cs="Times New Roman"/>
          <w:i/>
          <w:sz w:val="20"/>
          <w:szCs w:val="20"/>
          <w:lang w:val="en-US" w:eastAsia="es-ES"/>
        </w:rPr>
        <w:t>53</w:t>
      </w:r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 xml:space="preserve">, 161-171. </w:t>
      </w:r>
      <w:proofErr w:type="spellStart"/>
      <w:proofErr w:type="gramStart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doi</w:t>
      </w:r>
      <w:proofErr w:type="spellEnd"/>
      <w:proofErr w:type="gramEnd"/>
      <w:r w:rsidRPr="000B0D9F">
        <w:rPr>
          <w:rFonts w:ascii="Palatino Linotype" w:eastAsia="Times New Roman" w:hAnsi="Palatino Linotype" w:cs="Times New Roman"/>
          <w:sz w:val="20"/>
          <w:szCs w:val="20"/>
          <w:lang w:val="en-US" w:eastAsia="es-ES"/>
        </w:rPr>
        <w:t>: 10.3354/ame01239.</w:t>
      </w:r>
    </w:p>
    <w:p w:rsidR="00193B47" w:rsidRPr="000B0D9F" w:rsidRDefault="00193F68" w:rsidP="00193B47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15. Pereira, C.; Salvador, S.;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Arrojado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>, C.; Silva, Y.; Santos, A.L.; Cunha, A.; Gomes, N</w:t>
      </w:r>
      <w:r w:rsidR="00625711"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.C.M.; 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>Almeida</w:t>
      </w:r>
      <w:r w:rsidR="00625711" w:rsidRPr="000B0D9F">
        <w:rPr>
          <w:rFonts w:ascii="Palatino Linotype" w:hAnsi="Palatino Linotype" w:cs="Times New Roman"/>
          <w:sz w:val="20"/>
          <w:szCs w:val="20"/>
          <w:lang w:val="en-US"/>
        </w:rPr>
        <w:t>, A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. Evaluating seasonal dynamics of bacterial communities in marine fish aquaculture: a preliminary study before applying phage therapy. </w:t>
      </w:r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 xml:space="preserve">J. Environ. </w:t>
      </w:r>
      <w:proofErr w:type="spellStart"/>
      <w:proofErr w:type="gramStart"/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Monit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>.</w:t>
      </w:r>
      <w:proofErr w:type="gram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Pr="000B0D9F">
        <w:rPr>
          <w:rFonts w:ascii="Palatino Linotype" w:hAnsi="Palatino Linotype" w:cs="Times New Roman"/>
          <w:b/>
          <w:sz w:val="20"/>
          <w:szCs w:val="20"/>
          <w:lang w:val="en-US"/>
        </w:rPr>
        <w:t>2011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</w:t>
      </w:r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13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</w:t>
      </w:r>
      <w:r w:rsidR="00625711" w:rsidRPr="000B0D9F">
        <w:rPr>
          <w:rStyle w:val="cit"/>
          <w:rFonts w:ascii="Palatino Linotype" w:hAnsi="Palatino Linotype" w:cs="Times New Roman"/>
          <w:sz w:val="20"/>
          <w:szCs w:val="20"/>
          <w:lang w:val="en-US"/>
        </w:rPr>
        <w:t>1053-1058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. </w:t>
      </w:r>
      <w:proofErr w:type="spellStart"/>
      <w:proofErr w:type="gram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doi</w:t>
      </w:r>
      <w:proofErr w:type="spellEnd"/>
      <w:proofErr w:type="gram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>: 10.1039/C0EM00434K</w:t>
      </w:r>
      <w:r w:rsidR="00625711" w:rsidRPr="000B0D9F">
        <w:rPr>
          <w:rFonts w:ascii="Palatino Linotype" w:hAnsi="Palatino Linotype" w:cs="Times New Roman"/>
          <w:sz w:val="20"/>
          <w:szCs w:val="20"/>
          <w:lang w:val="en-US"/>
        </w:rPr>
        <w:t>.</w:t>
      </w:r>
    </w:p>
    <w:p w:rsidR="00625711" w:rsidRPr="000B0D9F" w:rsidRDefault="00625711" w:rsidP="00193B47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16.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Bellés-Garulera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J.; Vila, M.;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Borrull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E.;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Riobó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P.; Franco, J.M.;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Sala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M.M. Variability of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planktonic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and epiphytic </w:t>
      </w:r>
      <w:proofErr w:type="spell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vibrios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in a coastal environment affected by </w:t>
      </w:r>
      <w:proofErr w:type="spellStart"/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Ostreopsis</w:t>
      </w:r>
      <w:proofErr w:type="spell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 blooms. </w:t>
      </w:r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Sci. Mar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. </w:t>
      </w:r>
      <w:r w:rsidRPr="000B0D9F">
        <w:rPr>
          <w:rFonts w:ascii="Palatino Linotype" w:hAnsi="Palatino Linotype" w:cs="Times New Roman"/>
          <w:b/>
          <w:sz w:val="20"/>
          <w:szCs w:val="20"/>
          <w:lang w:val="en-US"/>
        </w:rPr>
        <w:t>2016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</w:t>
      </w:r>
      <w:r w:rsidRPr="000B0D9F">
        <w:rPr>
          <w:rFonts w:ascii="Palatino Linotype" w:hAnsi="Palatino Linotype" w:cs="Times New Roman"/>
          <w:i/>
          <w:sz w:val="20"/>
          <w:szCs w:val="20"/>
          <w:lang w:val="en-US"/>
        </w:rPr>
        <w:t>80S1</w:t>
      </w:r>
      <w:r w:rsidRPr="000B0D9F">
        <w:rPr>
          <w:rFonts w:ascii="Palatino Linotype" w:hAnsi="Palatino Linotype" w:cs="Times New Roman"/>
          <w:sz w:val="20"/>
          <w:szCs w:val="20"/>
          <w:lang w:val="en-US"/>
        </w:rPr>
        <w:t xml:space="preserve">, 97-106. </w:t>
      </w:r>
      <w:proofErr w:type="spellStart"/>
      <w:proofErr w:type="gramStart"/>
      <w:r w:rsidRPr="000B0D9F">
        <w:rPr>
          <w:rFonts w:ascii="Palatino Linotype" w:hAnsi="Palatino Linotype" w:cs="Times New Roman"/>
          <w:sz w:val="20"/>
          <w:szCs w:val="20"/>
          <w:lang w:val="en-US"/>
        </w:rPr>
        <w:t>doi</w:t>
      </w:r>
      <w:proofErr w:type="spellEnd"/>
      <w:proofErr w:type="gramEnd"/>
      <w:r w:rsidRPr="000B0D9F">
        <w:rPr>
          <w:rFonts w:ascii="Palatino Linotype" w:hAnsi="Palatino Linotype" w:cs="Times New Roman"/>
          <w:sz w:val="20"/>
          <w:szCs w:val="20"/>
          <w:lang w:val="en-US"/>
        </w:rPr>
        <w:t>: 10.3989/scimar.04405.01A..</w:t>
      </w:r>
    </w:p>
    <w:p w:rsidR="00193B47" w:rsidRPr="000B0D9F" w:rsidRDefault="00193B47" w:rsidP="00193B47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:rsidR="00625711" w:rsidRPr="000B0D9F" w:rsidRDefault="00625711" w:rsidP="00193B47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:rsidR="00625711" w:rsidRPr="000B0D9F" w:rsidRDefault="00625711" w:rsidP="00193B47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:rsidR="00625711" w:rsidRDefault="00625711" w:rsidP="00193B47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:rsidR="000B0D9F" w:rsidRDefault="000B0D9F" w:rsidP="00193B47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:rsidR="000B0D9F" w:rsidRDefault="000B0D9F" w:rsidP="00193B47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:rsidR="000B0D9F" w:rsidRDefault="000B0D9F" w:rsidP="00193B47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:rsidR="000B0D9F" w:rsidRDefault="000B0D9F" w:rsidP="00193B47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:rsidR="000B0D9F" w:rsidRPr="000B0D9F" w:rsidRDefault="000B0D9F" w:rsidP="00193B47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:rsidR="00625711" w:rsidRDefault="00625711" w:rsidP="00193B47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:rsidR="000B0D9F" w:rsidRPr="000B0D9F" w:rsidRDefault="000B0D9F" w:rsidP="00193B47">
      <w:pPr>
        <w:spacing w:line="360" w:lineRule="auto"/>
        <w:ind w:left="284" w:hanging="284"/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:rsidR="009E22B6" w:rsidRPr="000B0D9F" w:rsidRDefault="009E22B6" w:rsidP="00B14EA6">
      <w:pPr>
        <w:pStyle w:val="Sinespaciado"/>
        <w:spacing w:line="240" w:lineRule="atLeast"/>
        <w:rPr>
          <w:rFonts w:ascii="Palatino Linotype" w:hAnsi="Palatino Linotype" w:cs="Times New Roman"/>
          <w:sz w:val="20"/>
          <w:szCs w:val="20"/>
          <w:lang w:val="en-US"/>
        </w:rPr>
      </w:pPr>
    </w:p>
    <w:p w:rsidR="00323F87" w:rsidRDefault="00CD2545" w:rsidP="000B0D9F">
      <w:pPr>
        <w:pStyle w:val="Sinespaciado"/>
        <w:ind w:left="284"/>
        <w:rPr>
          <w:rFonts w:ascii="Palatino Linotype" w:hAnsi="Palatino Linotype" w:cs="Times New Roman"/>
          <w:b/>
          <w:sz w:val="20"/>
          <w:szCs w:val="20"/>
          <w:lang w:val="en-GB"/>
        </w:rPr>
      </w:pPr>
      <w:r w:rsidRPr="00CD2545">
        <w:rPr>
          <w:rFonts w:ascii="Palatino Linotype" w:hAnsi="Palatino Linotype" w:cs="Times New Roman"/>
          <w:b/>
          <w:sz w:val="20"/>
          <w:szCs w:val="20"/>
          <w:lang w:val="en-GB"/>
        </w:rPr>
        <w:t xml:space="preserve">Table S2. </w:t>
      </w:r>
      <w:proofErr w:type="gramStart"/>
      <w:r w:rsidRPr="00CD2545">
        <w:rPr>
          <w:rFonts w:ascii="Palatino Linotype" w:hAnsi="Palatino Linotype" w:cs="Times New Roman"/>
          <w:sz w:val="20"/>
          <w:szCs w:val="20"/>
          <w:lang w:val="en-GB"/>
        </w:rPr>
        <w:t>The main characteristics of pre-selected CARD-FISH probes according to SILVA database.</w:t>
      </w:r>
      <w:proofErr w:type="gramEnd"/>
      <w:r w:rsidRPr="00CD2545">
        <w:rPr>
          <w:rFonts w:ascii="Palatino Linotype" w:hAnsi="Palatino Linotype" w:cs="Times New Roman"/>
          <w:sz w:val="20"/>
          <w:szCs w:val="20"/>
          <w:lang w:val="en-GB"/>
        </w:rPr>
        <w:t xml:space="preserve"> The percentage of coverage and specificity of three probes (i.e. GV841, Vib-16S-1 and VIB572a) are indicated. The </w:t>
      </w:r>
      <w:proofErr w:type="spellStart"/>
      <w:r w:rsidRPr="00CD2545">
        <w:rPr>
          <w:rFonts w:ascii="Palatino Linotype" w:hAnsi="Palatino Linotype" w:cs="Times New Roman"/>
          <w:sz w:val="20"/>
          <w:szCs w:val="20"/>
          <w:lang w:val="en-GB"/>
        </w:rPr>
        <w:t>taxa</w:t>
      </w:r>
      <w:proofErr w:type="spellEnd"/>
      <w:r w:rsidRPr="00CD2545">
        <w:rPr>
          <w:rFonts w:ascii="Palatino Linotype" w:hAnsi="Palatino Linotype" w:cs="Times New Roman"/>
          <w:sz w:val="20"/>
          <w:szCs w:val="20"/>
          <w:lang w:val="en-GB"/>
        </w:rPr>
        <w:t xml:space="preserve"> potentially detected by these probes are included only if the percentage of coverage and specificity is higher than 75%.</w:t>
      </w:r>
    </w:p>
    <w:p w:rsidR="00CD2545" w:rsidRPr="000B0D9F" w:rsidRDefault="00CD2545" w:rsidP="000B0D9F">
      <w:pPr>
        <w:pStyle w:val="Sinespaciado"/>
        <w:ind w:left="284"/>
        <w:rPr>
          <w:rStyle w:val="tlid-translation"/>
          <w:rFonts w:ascii="Palatino Linotype" w:hAnsi="Palatino Linotype" w:cs="Times New Roman"/>
          <w:sz w:val="20"/>
          <w:szCs w:val="20"/>
          <w:lang w:val="en-GB"/>
        </w:rPr>
      </w:pPr>
    </w:p>
    <w:tbl>
      <w:tblPr>
        <w:tblW w:w="0" w:type="auto"/>
        <w:jc w:val="center"/>
        <w:tblInd w:w="252" w:type="dxa"/>
        <w:tblCellMar>
          <w:left w:w="0" w:type="dxa"/>
          <w:right w:w="0" w:type="dxa"/>
        </w:tblCellMar>
        <w:tblLook w:val="04A0"/>
      </w:tblPr>
      <w:tblGrid>
        <w:gridCol w:w="5167"/>
        <w:gridCol w:w="1122"/>
        <w:gridCol w:w="1531"/>
        <w:gridCol w:w="1207"/>
        <w:gridCol w:w="1398"/>
        <w:gridCol w:w="1207"/>
        <w:gridCol w:w="1303"/>
      </w:tblGrid>
      <w:tr w:rsidR="009C08EE" w:rsidRPr="000B0D9F" w:rsidTr="000B0D9F">
        <w:trPr>
          <w:trHeight w:val="26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0B0D9F" w:rsidRDefault="009C08EE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TAXA</w:t>
            </w:r>
          </w:p>
        </w:tc>
        <w:tc>
          <w:tcPr>
            <w:tcW w:w="769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08EE" w:rsidRPr="000B0D9F" w:rsidRDefault="009C08EE" w:rsidP="000B0D9F">
            <w:pPr>
              <w:pStyle w:val="Sinespaciado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PROBES</w:t>
            </w:r>
          </w:p>
        </w:tc>
      </w:tr>
      <w:tr w:rsidR="009C08EE" w:rsidRPr="000B0D9F" w:rsidTr="000B0D9F">
        <w:trPr>
          <w:trHeight w:val="260"/>
          <w:jc w:val="center"/>
        </w:trPr>
        <w:tc>
          <w:tcPr>
            <w:tcW w:w="0" w:type="auto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0B0D9F" w:rsidRDefault="009C08EE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265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08EE" w:rsidRPr="000B0D9F" w:rsidRDefault="009C08EE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GV 841</w:t>
            </w:r>
          </w:p>
        </w:tc>
        <w:tc>
          <w:tcPr>
            <w:tcW w:w="25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08EE" w:rsidRPr="000B0D9F" w:rsidRDefault="009C08EE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Vib-16S-1</w:t>
            </w:r>
          </w:p>
        </w:tc>
        <w:tc>
          <w:tcPr>
            <w:tcW w:w="24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08EE" w:rsidRPr="000B0D9F" w:rsidRDefault="009C08EE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VIB572a</w:t>
            </w:r>
          </w:p>
        </w:tc>
      </w:tr>
      <w:tr w:rsidR="009C08EE" w:rsidRPr="000B0D9F" w:rsidTr="000B0D9F">
        <w:trPr>
          <w:trHeight w:val="20"/>
          <w:jc w:val="center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0B0D9F" w:rsidRDefault="009C08EE" w:rsidP="000B0D9F">
            <w:pPr>
              <w:pStyle w:val="Sinespaciad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0B0D9F" w:rsidRDefault="009C08EE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 xml:space="preserve">Coverage </w:t>
            </w:r>
          </w:p>
          <w:p w:rsidR="009C08EE" w:rsidRPr="000B0D9F" w:rsidRDefault="009C08EE" w:rsidP="000B0D9F">
            <w:pPr>
              <w:pStyle w:val="Sinespaciad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(%)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0B0D9F" w:rsidRDefault="009C08EE" w:rsidP="000B0D9F">
            <w:pPr>
              <w:pStyle w:val="Sinespaciad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 xml:space="preserve">Specificity </w:t>
            </w:r>
            <w:r w:rsidRPr="000B0D9F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(%)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0B0D9F" w:rsidRDefault="009C08EE" w:rsidP="000B0D9F">
            <w:pPr>
              <w:pStyle w:val="Sinespaciad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 xml:space="preserve">Coverage </w:t>
            </w:r>
            <w:r w:rsidRPr="000B0D9F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(%)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0B0D9F" w:rsidRDefault="009C08EE" w:rsidP="000B0D9F">
            <w:pPr>
              <w:pStyle w:val="Sinespaciad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 xml:space="preserve">Specificity </w:t>
            </w:r>
            <w:r w:rsidRPr="000B0D9F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(%)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0B0D9F" w:rsidRDefault="009C08EE" w:rsidP="000B0D9F">
            <w:pPr>
              <w:pStyle w:val="Sinespaciad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 xml:space="preserve">Coverage </w:t>
            </w:r>
            <w:r w:rsidRPr="000B0D9F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(%)</w:t>
            </w:r>
          </w:p>
        </w:tc>
        <w:tc>
          <w:tcPr>
            <w:tcW w:w="1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0B0D9F" w:rsidRDefault="009C08EE" w:rsidP="000B0D9F">
            <w:pPr>
              <w:pStyle w:val="Sinespaciad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 xml:space="preserve">Specificity </w:t>
            </w:r>
            <w:r w:rsidRPr="000B0D9F">
              <w:rPr>
                <w:rFonts w:ascii="Palatino Linotype" w:hAnsi="Palatino Linotype" w:cs="Times New Roman"/>
                <w:b/>
                <w:bCs/>
                <w:sz w:val="20"/>
                <w:szCs w:val="20"/>
                <w:lang w:val="en-GB"/>
              </w:rPr>
              <w:t>(%)</w:t>
            </w:r>
          </w:p>
        </w:tc>
      </w:tr>
      <w:tr w:rsidR="009E22B6" w:rsidRPr="000B0D9F" w:rsidTr="009C08EE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left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Alteromonadales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Alteromonadaceae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Gayadomonas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189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1377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189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</w:tr>
      <w:tr w:rsidR="009E22B6" w:rsidRPr="000B0D9F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left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Alteromonadales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Gallaecimonadaceae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Gallaecimonas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</w:tr>
      <w:tr w:rsidR="009E22B6" w:rsidRPr="000B0D9F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left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Enterobacteriales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Enterobacteriaceae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; endosymbionts10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</w:tr>
      <w:tr w:rsidR="009E22B6" w:rsidRPr="000B0D9F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left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Candidatus</w:t>
            </w:r>
            <w:proofErr w:type="spellEnd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Photodesmus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25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</w:t>
            </w:r>
          </w:p>
        </w:tc>
      </w:tr>
      <w:tr w:rsidR="009E22B6" w:rsidRPr="000B0D9F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left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Aeromonadales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Aeromonadaceae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Oceanisphaera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94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B23C9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</w:tr>
      <w:tr w:rsidR="009E22B6" w:rsidRPr="000B0D9F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left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Pasteurellales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Pasteurellaceae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Avibacterium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94</w:t>
            </w:r>
            <w:r w:rsidR="003B23C9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B23C9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</w:tr>
      <w:tr w:rsidR="009E22B6" w:rsidRPr="000B0D9F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left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Alteromonadales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Alteromonadaceae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Catenovulum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92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B23C9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</w:p>
        </w:tc>
      </w:tr>
      <w:tr w:rsidR="009E22B6" w:rsidRPr="000B0D9F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left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Vibrio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89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92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94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</w:tr>
      <w:tr w:rsidR="009E22B6" w:rsidRPr="000B0D9F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left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Vibrionales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78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76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78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</w:tr>
      <w:tr w:rsidR="009E22B6" w:rsidRPr="000B0D9F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left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Vibrionaceae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78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76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78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</w:tr>
      <w:tr w:rsidR="009E22B6" w:rsidRPr="000B0D9F" w:rsidTr="009C08EE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left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Aliivibrio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60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95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</w:t>
            </w:r>
          </w:p>
        </w:tc>
      </w:tr>
      <w:tr w:rsidR="009E22B6" w:rsidRPr="000B0D9F" w:rsidTr="009C08EE">
        <w:trPr>
          <w:trHeight w:val="20"/>
          <w:jc w:val="center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left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Catenococcus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3026F4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93.</w:t>
            </w:r>
            <w:r w:rsidR="009E22B6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1464" w:type="dxa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189" w:type="dxa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56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377" w:type="dxa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189" w:type="dxa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93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0B0D9F" w:rsidRDefault="009E22B6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</w:t>
            </w:r>
            <w:r w:rsidR="003026F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</w:t>
            </w:r>
          </w:p>
        </w:tc>
      </w:tr>
    </w:tbl>
    <w:p w:rsidR="000B0D9F" w:rsidRDefault="000B0D9F" w:rsidP="000B0D9F">
      <w:pPr>
        <w:pStyle w:val="Sinespaciado"/>
        <w:ind w:left="284"/>
        <w:rPr>
          <w:rStyle w:val="tlid-translation"/>
          <w:rFonts w:ascii="Palatino Linotype" w:hAnsi="Palatino Linotype" w:cs="Times New Roman"/>
          <w:b/>
          <w:sz w:val="20"/>
          <w:szCs w:val="20"/>
          <w:lang w:val="en-GB"/>
        </w:rPr>
      </w:pPr>
    </w:p>
    <w:p w:rsidR="000B0D9F" w:rsidRDefault="000B0D9F" w:rsidP="000B0D9F">
      <w:pPr>
        <w:pStyle w:val="Sinespaciado"/>
        <w:ind w:left="284"/>
        <w:rPr>
          <w:rStyle w:val="tlid-translation"/>
          <w:rFonts w:ascii="Palatino Linotype" w:hAnsi="Palatino Linotype" w:cs="Times New Roman"/>
          <w:b/>
          <w:sz w:val="20"/>
          <w:szCs w:val="20"/>
          <w:lang w:val="en-GB"/>
        </w:rPr>
      </w:pPr>
    </w:p>
    <w:p w:rsidR="000B0D9F" w:rsidRDefault="000B0D9F" w:rsidP="000B0D9F">
      <w:pPr>
        <w:pStyle w:val="Sinespaciado"/>
        <w:ind w:left="284"/>
        <w:rPr>
          <w:rStyle w:val="tlid-translation"/>
          <w:rFonts w:ascii="Palatino Linotype" w:hAnsi="Palatino Linotype" w:cs="Times New Roman"/>
          <w:b/>
          <w:sz w:val="20"/>
          <w:szCs w:val="20"/>
          <w:lang w:val="en-GB"/>
        </w:rPr>
      </w:pPr>
    </w:p>
    <w:p w:rsidR="000B0D9F" w:rsidRDefault="000B0D9F" w:rsidP="000B0D9F">
      <w:pPr>
        <w:pStyle w:val="Sinespaciado"/>
        <w:ind w:left="284"/>
        <w:rPr>
          <w:rStyle w:val="tlid-translation"/>
          <w:rFonts w:ascii="Palatino Linotype" w:hAnsi="Palatino Linotype" w:cs="Times New Roman"/>
          <w:b/>
          <w:sz w:val="20"/>
          <w:szCs w:val="20"/>
          <w:lang w:val="en-GB"/>
        </w:rPr>
      </w:pPr>
    </w:p>
    <w:p w:rsidR="000B0D9F" w:rsidRDefault="000B0D9F" w:rsidP="000B0D9F">
      <w:pPr>
        <w:pStyle w:val="Sinespaciado"/>
        <w:ind w:left="284"/>
        <w:rPr>
          <w:rStyle w:val="tlid-translation"/>
          <w:rFonts w:ascii="Palatino Linotype" w:hAnsi="Palatino Linotype" w:cs="Times New Roman"/>
          <w:b/>
          <w:sz w:val="20"/>
          <w:szCs w:val="20"/>
          <w:lang w:val="en-GB"/>
        </w:rPr>
      </w:pPr>
    </w:p>
    <w:p w:rsidR="000B0D9F" w:rsidRDefault="000B0D9F" w:rsidP="000B0D9F">
      <w:pPr>
        <w:pStyle w:val="Sinespaciado"/>
        <w:ind w:left="284"/>
        <w:rPr>
          <w:rStyle w:val="tlid-translation"/>
          <w:rFonts w:ascii="Palatino Linotype" w:hAnsi="Palatino Linotype" w:cs="Times New Roman"/>
          <w:b/>
          <w:sz w:val="20"/>
          <w:szCs w:val="20"/>
          <w:lang w:val="en-GB"/>
        </w:rPr>
      </w:pPr>
    </w:p>
    <w:p w:rsidR="000B0D9F" w:rsidRDefault="000B0D9F" w:rsidP="000B0D9F">
      <w:pPr>
        <w:pStyle w:val="Sinespaciado"/>
        <w:ind w:left="284"/>
        <w:rPr>
          <w:rStyle w:val="tlid-translation"/>
          <w:rFonts w:ascii="Palatino Linotype" w:hAnsi="Palatino Linotype" w:cs="Times New Roman"/>
          <w:b/>
          <w:sz w:val="20"/>
          <w:szCs w:val="20"/>
          <w:lang w:val="en-GB"/>
        </w:rPr>
      </w:pPr>
    </w:p>
    <w:p w:rsidR="000B0D9F" w:rsidRDefault="000B0D9F" w:rsidP="000B0D9F">
      <w:pPr>
        <w:pStyle w:val="Sinespaciado"/>
        <w:ind w:left="284"/>
        <w:rPr>
          <w:rStyle w:val="tlid-translation"/>
          <w:rFonts w:ascii="Palatino Linotype" w:hAnsi="Palatino Linotype" w:cs="Times New Roman"/>
          <w:b/>
          <w:sz w:val="20"/>
          <w:szCs w:val="20"/>
          <w:lang w:val="en-GB"/>
        </w:rPr>
      </w:pPr>
    </w:p>
    <w:p w:rsidR="000B0D9F" w:rsidRDefault="000B0D9F" w:rsidP="000B0D9F">
      <w:pPr>
        <w:pStyle w:val="Sinespaciado"/>
        <w:ind w:left="284"/>
        <w:rPr>
          <w:rStyle w:val="tlid-translation"/>
          <w:rFonts w:ascii="Palatino Linotype" w:hAnsi="Palatino Linotype" w:cs="Times New Roman"/>
          <w:b/>
          <w:sz w:val="20"/>
          <w:szCs w:val="20"/>
          <w:lang w:val="en-GB"/>
        </w:rPr>
      </w:pPr>
    </w:p>
    <w:p w:rsidR="003026F4" w:rsidRDefault="00CD2545" w:rsidP="000B0D9F">
      <w:pPr>
        <w:pStyle w:val="Sinespaciado"/>
        <w:ind w:left="284"/>
        <w:rPr>
          <w:rStyle w:val="tlid-translation"/>
          <w:rFonts w:ascii="Palatino Linotype" w:hAnsi="Palatino Linotype" w:cs="Times New Roman"/>
          <w:sz w:val="20"/>
          <w:szCs w:val="20"/>
          <w:lang w:val="en-GB"/>
        </w:rPr>
      </w:pPr>
      <w:r w:rsidRPr="00CD2545">
        <w:rPr>
          <w:b/>
          <w:lang w:val="en-GB"/>
        </w:rPr>
        <w:t>Table S3.</w:t>
      </w:r>
      <w:r w:rsidRPr="008F01AA">
        <w:rPr>
          <w:lang w:val="en-GB"/>
        </w:rPr>
        <w:t xml:space="preserve"> </w:t>
      </w:r>
      <w:proofErr w:type="gramStart"/>
      <w:r>
        <w:rPr>
          <w:lang w:val="en-GB"/>
        </w:rPr>
        <w:t>The main characteristics of pre-selected CARD-FISH probes determined by BLAST.</w:t>
      </w:r>
      <w:proofErr w:type="gramEnd"/>
      <w:r>
        <w:rPr>
          <w:lang w:val="en-GB"/>
        </w:rPr>
        <w:t xml:space="preserve"> Indicated are c</w:t>
      </w:r>
      <w:r w:rsidRPr="008F01AA">
        <w:rPr>
          <w:lang w:val="en-GB"/>
        </w:rPr>
        <w:t>overage (QC, query cover, %), identity (</w:t>
      </w:r>
      <w:proofErr w:type="spellStart"/>
      <w:r w:rsidRPr="008F01AA">
        <w:rPr>
          <w:lang w:val="en-GB"/>
        </w:rPr>
        <w:t>Ident</w:t>
      </w:r>
      <w:proofErr w:type="spellEnd"/>
      <w:r w:rsidRPr="008F01AA">
        <w:rPr>
          <w:lang w:val="en-GB"/>
        </w:rPr>
        <w:t>, %), matches (Match) and E value (</w:t>
      </w:r>
      <w:r>
        <w:rPr>
          <w:lang w:val="en-GB"/>
        </w:rPr>
        <w:t>i.e.</w:t>
      </w:r>
      <w:r w:rsidRPr="008F01AA">
        <w:rPr>
          <w:lang w:val="en-GB"/>
        </w:rPr>
        <w:t xml:space="preserve"> the probability of finding the sequence among all organisms within this database)</w:t>
      </w:r>
      <w:r>
        <w:rPr>
          <w:lang w:val="en-GB"/>
        </w:rPr>
        <w:t>.</w:t>
      </w:r>
      <w:r w:rsidRPr="008F01AA">
        <w:rPr>
          <w:lang w:val="en-GB"/>
        </w:rPr>
        <w:t xml:space="preserve"> </w:t>
      </w:r>
      <w:r>
        <w:rPr>
          <w:lang w:val="en-GB"/>
        </w:rPr>
        <w:t xml:space="preserve">The </w:t>
      </w:r>
      <w:proofErr w:type="spellStart"/>
      <w:r>
        <w:rPr>
          <w:lang w:val="en-GB"/>
        </w:rPr>
        <w:t>taxa</w:t>
      </w:r>
      <w:proofErr w:type="spellEnd"/>
      <w:r>
        <w:rPr>
          <w:lang w:val="en-GB"/>
        </w:rPr>
        <w:t xml:space="preserve"> potentially detected by these probes are included only if the percentage of coverage and specificity is higher than 75%</w:t>
      </w:r>
      <w:r w:rsidRPr="008F01AA">
        <w:rPr>
          <w:lang w:val="en-GB"/>
        </w:rPr>
        <w:t>.</w:t>
      </w:r>
    </w:p>
    <w:p w:rsidR="000B0D9F" w:rsidRDefault="000B0D9F" w:rsidP="000B0D9F">
      <w:pPr>
        <w:pStyle w:val="Sinespaciado"/>
        <w:ind w:left="284"/>
        <w:rPr>
          <w:rStyle w:val="tlid-translation"/>
          <w:rFonts w:ascii="Palatino Linotype" w:hAnsi="Palatino Linotype" w:cs="Times New Roman"/>
          <w:sz w:val="20"/>
          <w:szCs w:val="20"/>
          <w:lang w:val="en-GB"/>
        </w:rPr>
      </w:pPr>
    </w:p>
    <w:p w:rsidR="000B0D9F" w:rsidRDefault="000B0D9F" w:rsidP="000B0D9F">
      <w:pPr>
        <w:pStyle w:val="Sinespaciado"/>
        <w:ind w:left="284"/>
        <w:rPr>
          <w:rStyle w:val="tlid-translation"/>
          <w:rFonts w:ascii="Palatino Linotype" w:hAnsi="Palatino Linotype" w:cs="Times New Roman"/>
          <w:sz w:val="20"/>
          <w:szCs w:val="20"/>
          <w:lang w:val="en-GB"/>
        </w:rPr>
      </w:pPr>
    </w:p>
    <w:p w:rsidR="000B0D9F" w:rsidRDefault="000B0D9F" w:rsidP="000B0D9F">
      <w:pPr>
        <w:pStyle w:val="Sinespaciado"/>
        <w:ind w:left="284"/>
        <w:rPr>
          <w:rStyle w:val="tlid-translation"/>
          <w:rFonts w:ascii="Palatino Linotype" w:hAnsi="Palatino Linotype" w:cs="Times New Roman"/>
          <w:sz w:val="20"/>
          <w:szCs w:val="20"/>
          <w:lang w:val="en-GB"/>
        </w:rPr>
      </w:pPr>
    </w:p>
    <w:p w:rsidR="000B0D9F" w:rsidRDefault="000B0D9F" w:rsidP="000B0D9F">
      <w:pPr>
        <w:pStyle w:val="Sinespaciado"/>
        <w:ind w:left="284"/>
        <w:rPr>
          <w:rStyle w:val="tlid-translation"/>
          <w:rFonts w:ascii="Palatino Linotype" w:hAnsi="Palatino Linotype" w:cs="Times New Roman"/>
          <w:sz w:val="20"/>
          <w:szCs w:val="20"/>
          <w:lang w:val="en-GB"/>
        </w:rPr>
      </w:pPr>
    </w:p>
    <w:p w:rsidR="000B0D9F" w:rsidRPr="000B0D9F" w:rsidRDefault="000B0D9F" w:rsidP="000B0D9F">
      <w:pPr>
        <w:pStyle w:val="Sinespaciado"/>
        <w:ind w:left="284"/>
        <w:rPr>
          <w:rStyle w:val="tlid-translation"/>
          <w:rFonts w:ascii="Palatino Linotype" w:hAnsi="Palatino Linotype" w:cs="Times New Roman"/>
          <w:sz w:val="20"/>
          <w:szCs w:val="20"/>
          <w:lang w:val="en-GB"/>
        </w:rPr>
      </w:pPr>
    </w:p>
    <w:tbl>
      <w:tblPr>
        <w:tblStyle w:val="Tablaconcuadrcula"/>
        <w:tblW w:w="1385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5"/>
        <w:gridCol w:w="853"/>
        <w:gridCol w:w="565"/>
        <w:gridCol w:w="992"/>
        <w:gridCol w:w="993"/>
        <w:gridCol w:w="427"/>
        <w:gridCol w:w="710"/>
        <w:gridCol w:w="709"/>
        <w:gridCol w:w="566"/>
        <w:gridCol w:w="143"/>
        <w:gridCol w:w="567"/>
        <w:gridCol w:w="708"/>
        <w:gridCol w:w="709"/>
        <w:gridCol w:w="849"/>
        <w:gridCol w:w="142"/>
      </w:tblGrid>
      <w:tr w:rsidR="000B0D9F" w:rsidRPr="000B0D9F" w:rsidTr="000B0D9F">
        <w:trPr>
          <w:gridAfter w:val="1"/>
          <w:wAfter w:w="142" w:type="dxa"/>
        </w:trPr>
        <w:tc>
          <w:tcPr>
            <w:tcW w:w="4925" w:type="dxa"/>
            <w:vMerge w:val="restart"/>
            <w:tcBorders>
              <w:top w:val="single" w:sz="12" w:space="0" w:color="auto"/>
            </w:tcBorders>
            <w:vAlign w:val="center"/>
          </w:tcPr>
          <w:p w:rsidR="000B0D9F" w:rsidRPr="000B0D9F" w:rsidRDefault="000B0D9F" w:rsidP="000B0D9F">
            <w:pPr>
              <w:pStyle w:val="Sinespaciado"/>
              <w:ind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TAXA</w:t>
            </w:r>
          </w:p>
        </w:tc>
        <w:tc>
          <w:tcPr>
            <w:tcW w:w="8791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:rsidR="000B0D9F" w:rsidRPr="000B0D9F" w:rsidRDefault="000B0D9F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PROBES</w:t>
            </w:r>
          </w:p>
        </w:tc>
      </w:tr>
      <w:tr w:rsidR="000B0D9F" w:rsidRPr="000B0D9F" w:rsidTr="000B0D9F">
        <w:trPr>
          <w:gridAfter w:val="1"/>
          <w:wAfter w:w="142" w:type="dxa"/>
        </w:trPr>
        <w:tc>
          <w:tcPr>
            <w:tcW w:w="4925" w:type="dxa"/>
            <w:vMerge/>
          </w:tcPr>
          <w:p w:rsidR="000B0D9F" w:rsidRPr="000B0D9F" w:rsidRDefault="000B0D9F" w:rsidP="000B0D9F">
            <w:pPr>
              <w:pStyle w:val="Sinespaciado"/>
              <w:ind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340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0B0D9F" w:rsidRPr="000B0D9F" w:rsidRDefault="000B0D9F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GV 841</w:t>
            </w:r>
          </w:p>
        </w:tc>
        <w:tc>
          <w:tcPr>
            <w:tcW w:w="241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0B0D9F" w:rsidRPr="000B0D9F" w:rsidRDefault="000B0D9F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Vib-16S-1</w:t>
            </w:r>
          </w:p>
        </w:tc>
        <w:tc>
          <w:tcPr>
            <w:tcW w:w="297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0B0D9F" w:rsidRPr="000B0D9F" w:rsidRDefault="000B0D9F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VIB572a</w:t>
            </w:r>
          </w:p>
        </w:tc>
      </w:tr>
      <w:tr w:rsidR="000B0D9F" w:rsidRPr="000B0D9F" w:rsidTr="009C08EE">
        <w:tc>
          <w:tcPr>
            <w:tcW w:w="4925" w:type="dxa"/>
            <w:vMerge/>
            <w:tcBorders>
              <w:bottom w:val="single" w:sz="12" w:space="0" w:color="auto"/>
            </w:tcBorders>
          </w:tcPr>
          <w:p w:rsidR="000B0D9F" w:rsidRPr="000B0D9F" w:rsidRDefault="000B0D9F" w:rsidP="000B0D9F">
            <w:pPr>
              <w:pStyle w:val="Sinespaciado"/>
              <w:ind w:right="-108"/>
              <w:jc w:val="center"/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53" w:type="dxa"/>
            <w:tcBorders>
              <w:bottom w:val="single" w:sz="12" w:space="0" w:color="auto"/>
            </w:tcBorders>
          </w:tcPr>
          <w:p w:rsidR="000B0D9F" w:rsidRPr="000B0D9F" w:rsidRDefault="000B0D9F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QC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:rsidR="000B0D9F" w:rsidRPr="000B0D9F" w:rsidRDefault="000B0D9F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Ident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B0D9F" w:rsidRPr="000B0D9F" w:rsidRDefault="000B0D9F" w:rsidP="000B0D9F">
            <w:pPr>
              <w:pStyle w:val="Sinespaciado"/>
              <w:ind w:left="-108" w:right="-117"/>
              <w:jc w:val="center"/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Match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0B0D9F" w:rsidRPr="000B0D9F" w:rsidRDefault="000B0D9F" w:rsidP="000B0D9F">
            <w:pPr>
              <w:pStyle w:val="Sinespaciado"/>
              <w:ind w:left="-108" w:right="-108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427" w:type="dxa"/>
            <w:tcBorders>
              <w:bottom w:val="single" w:sz="12" w:space="0" w:color="auto"/>
            </w:tcBorders>
          </w:tcPr>
          <w:p w:rsidR="000B0D9F" w:rsidRPr="000B0D9F" w:rsidRDefault="000B0D9F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QC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0B0D9F" w:rsidRPr="000B0D9F" w:rsidRDefault="000B0D9F" w:rsidP="000B0D9F">
            <w:pPr>
              <w:pStyle w:val="Sinespaciado"/>
              <w:ind w:left="-108" w:right="-102"/>
              <w:jc w:val="center"/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Ident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B0D9F" w:rsidRPr="000B0D9F" w:rsidRDefault="000B0D9F" w:rsidP="000B0D9F">
            <w:pPr>
              <w:pStyle w:val="Sinespaciado"/>
              <w:ind w:left="-108" w:right="-114"/>
              <w:jc w:val="center"/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Match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:rsidR="000B0D9F" w:rsidRPr="000B0D9F" w:rsidRDefault="000B0D9F" w:rsidP="000B0D9F">
            <w:pPr>
              <w:pStyle w:val="Sinespaciado"/>
              <w:ind w:left="-108" w:right="-109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B0D9F" w:rsidRPr="000B0D9F" w:rsidRDefault="000B0D9F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QC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0B0D9F" w:rsidRPr="000B0D9F" w:rsidRDefault="000B0D9F" w:rsidP="000B0D9F">
            <w:pPr>
              <w:pStyle w:val="Sinespaciado"/>
              <w:ind w:left="-108" w:right="-90"/>
              <w:jc w:val="center"/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Ident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B0D9F" w:rsidRPr="000B0D9F" w:rsidRDefault="000B0D9F" w:rsidP="000B0D9F">
            <w:pPr>
              <w:pStyle w:val="Sinespaciado"/>
              <w:ind w:left="-108" w:right="-126"/>
              <w:jc w:val="center"/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Match</w:t>
            </w: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:rsidR="000B0D9F" w:rsidRPr="000B0D9F" w:rsidRDefault="000B0D9F" w:rsidP="000B0D9F">
            <w:pPr>
              <w:pStyle w:val="Sinespaciado"/>
              <w:jc w:val="center"/>
              <w:rPr>
                <w:rFonts w:ascii="Palatino Linotype" w:hAnsi="Palatino Linotype" w:cs="Times New Roman"/>
                <w:b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b/>
                <w:sz w:val="20"/>
                <w:szCs w:val="20"/>
                <w:lang w:val="en-GB"/>
              </w:rPr>
              <w:t>E</w:t>
            </w:r>
          </w:p>
        </w:tc>
      </w:tr>
      <w:tr w:rsidR="005B15B2" w:rsidRPr="000B0D9F" w:rsidTr="009C08EE">
        <w:trPr>
          <w:trHeight w:val="471"/>
        </w:trPr>
        <w:tc>
          <w:tcPr>
            <w:tcW w:w="4925" w:type="dxa"/>
            <w:tcBorders>
              <w:top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Alteromonadales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Alteromonadaceae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Gayadomonas</w:t>
            </w:r>
            <w:proofErr w:type="spellEnd"/>
          </w:p>
        </w:tc>
        <w:tc>
          <w:tcPr>
            <w:tcW w:w="853" w:type="dxa"/>
            <w:tcBorders>
              <w:top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75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17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8/20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  <w:r w:rsidR="003B23C9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53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43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02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14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7/16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09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2</w:t>
            </w:r>
            <w:r w:rsidR="005B15B2"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94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90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88</w:t>
            </w:r>
            <w:r w:rsidR="005B15B2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26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15/18</w:t>
            </w:r>
          </w:p>
        </w:tc>
        <w:tc>
          <w:tcPr>
            <w:tcW w:w="991" w:type="dxa"/>
            <w:gridSpan w:val="2"/>
            <w:tcBorders>
              <w:top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  <w:r w:rsidR="005B15B2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11</w:t>
            </w:r>
          </w:p>
        </w:tc>
      </w:tr>
      <w:tr w:rsidR="005B15B2" w:rsidRPr="000B0D9F" w:rsidTr="00465DF1">
        <w:trPr>
          <w:trHeight w:val="715"/>
        </w:trPr>
        <w:tc>
          <w:tcPr>
            <w:tcW w:w="4925" w:type="dxa"/>
          </w:tcPr>
          <w:p w:rsidR="002C5F74" w:rsidRPr="000B0D9F" w:rsidRDefault="002C5F74" w:rsidP="000B0D9F">
            <w:pPr>
              <w:pStyle w:val="Sinespaciado"/>
              <w:ind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Alteromonadales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Gallaecimonadaceae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Gallaecimonas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70</w:t>
            </w:r>
          </w:p>
        </w:tc>
        <w:tc>
          <w:tcPr>
            <w:tcW w:w="565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92</w:t>
            </w:r>
            <w:r w:rsidR="003B23C9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86</w:t>
            </w:r>
          </w:p>
        </w:tc>
        <w:tc>
          <w:tcPr>
            <w:tcW w:w="992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7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13/20</w:t>
            </w:r>
          </w:p>
        </w:tc>
        <w:tc>
          <w:tcPr>
            <w:tcW w:w="993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25</w:t>
            </w:r>
          </w:p>
        </w:tc>
        <w:tc>
          <w:tcPr>
            <w:tcW w:w="42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43</w:t>
            </w:r>
          </w:p>
        </w:tc>
        <w:tc>
          <w:tcPr>
            <w:tcW w:w="710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2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4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ind w:left="-108" w:right="-109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774*</w:t>
            </w:r>
          </w:p>
        </w:tc>
        <w:tc>
          <w:tcPr>
            <w:tcW w:w="56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77</w:t>
            </w:r>
          </w:p>
        </w:tc>
        <w:tc>
          <w:tcPr>
            <w:tcW w:w="708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90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92</w:t>
            </w:r>
            <w:r w:rsidR="005B15B2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86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26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13/18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19*</w:t>
            </w:r>
          </w:p>
        </w:tc>
      </w:tr>
      <w:tr w:rsidR="005B15B2" w:rsidRPr="000B0D9F" w:rsidTr="00465DF1">
        <w:tc>
          <w:tcPr>
            <w:tcW w:w="4925" w:type="dxa"/>
          </w:tcPr>
          <w:p w:rsidR="002C5F74" w:rsidRPr="000B0D9F" w:rsidRDefault="002C5F74" w:rsidP="000B0D9F">
            <w:pPr>
              <w:pStyle w:val="Sinespaciado"/>
              <w:ind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Enterobacteriales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Enterobacteriaceae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; endosymbionts10</w:t>
            </w:r>
          </w:p>
        </w:tc>
        <w:tc>
          <w:tcPr>
            <w:tcW w:w="853" w:type="dxa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100-90</w:t>
            </w:r>
          </w:p>
        </w:tc>
        <w:tc>
          <w:tcPr>
            <w:tcW w:w="565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0B0D9F" w:rsidRDefault="005B15B2" w:rsidP="000B0D9F">
            <w:pPr>
              <w:pStyle w:val="Sinespaciado"/>
              <w:ind w:left="-108" w:right="-117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20/20-</w:t>
            </w:r>
            <w:r w:rsidR="002C5F7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18/20</w:t>
            </w:r>
          </w:p>
        </w:tc>
        <w:tc>
          <w:tcPr>
            <w:tcW w:w="993" w:type="dxa"/>
            <w:vAlign w:val="center"/>
          </w:tcPr>
          <w:p w:rsidR="002C5F74" w:rsidRPr="000B0D9F" w:rsidRDefault="005B15B2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0.025-</w:t>
            </w:r>
            <w:r w:rsidR="002C5F7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="002C5F74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40</w:t>
            </w:r>
          </w:p>
        </w:tc>
        <w:tc>
          <w:tcPr>
            <w:tcW w:w="42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87</w:t>
            </w:r>
          </w:p>
        </w:tc>
        <w:tc>
          <w:tcPr>
            <w:tcW w:w="710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2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4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14/16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ind w:left="-108" w:right="-109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100*</w:t>
            </w:r>
          </w:p>
        </w:tc>
        <w:tc>
          <w:tcPr>
            <w:tcW w:w="56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77</w:t>
            </w:r>
          </w:p>
        </w:tc>
        <w:tc>
          <w:tcPr>
            <w:tcW w:w="708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90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26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14/18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99*</w:t>
            </w:r>
          </w:p>
        </w:tc>
      </w:tr>
      <w:tr w:rsidR="005B15B2" w:rsidRPr="000B0D9F" w:rsidTr="00465DF1">
        <w:tc>
          <w:tcPr>
            <w:tcW w:w="4925" w:type="dxa"/>
          </w:tcPr>
          <w:p w:rsidR="002C5F74" w:rsidRPr="000B0D9F" w:rsidRDefault="002C5F74" w:rsidP="000B0D9F">
            <w:pPr>
              <w:pStyle w:val="Sinespaciado"/>
              <w:ind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Candidatus</w:t>
            </w:r>
            <w:proofErr w:type="spellEnd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Photodesmus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565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7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20/20</w:t>
            </w:r>
          </w:p>
        </w:tc>
        <w:tc>
          <w:tcPr>
            <w:tcW w:w="993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4 10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-7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*</w:t>
            </w:r>
          </w:p>
        </w:tc>
        <w:tc>
          <w:tcPr>
            <w:tcW w:w="42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62</w:t>
            </w:r>
          </w:p>
        </w:tc>
        <w:tc>
          <w:tcPr>
            <w:tcW w:w="710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2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4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7/16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ind w:left="-108" w:right="-109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13</w:t>
            </w:r>
          </w:p>
        </w:tc>
        <w:tc>
          <w:tcPr>
            <w:tcW w:w="56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8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90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26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18/18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5 10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-6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*</w:t>
            </w:r>
          </w:p>
        </w:tc>
      </w:tr>
      <w:tr w:rsidR="005B15B2" w:rsidRPr="000B0D9F" w:rsidTr="00465DF1">
        <w:tc>
          <w:tcPr>
            <w:tcW w:w="4925" w:type="dxa"/>
          </w:tcPr>
          <w:p w:rsidR="002C5F74" w:rsidRPr="000B0D9F" w:rsidRDefault="002C5F74" w:rsidP="000B0D9F">
            <w:pPr>
              <w:pStyle w:val="Sinespaciado"/>
              <w:ind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Aeromonadales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Aeromonadaceae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Oceanisphaera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45</w:t>
            </w:r>
          </w:p>
        </w:tc>
        <w:tc>
          <w:tcPr>
            <w:tcW w:w="565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7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9/20</w:t>
            </w:r>
          </w:p>
        </w:tc>
        <w:tc>
          <w:tcPr>
            <w:tcW w:w="993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138</w:t>
            </w:r>
          </w:p>
        </w:tc>
        <w:tc>
          <w:tcPr>
            <w:tcW w:w="42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10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2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4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12/16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ind w:left="-108" w:right="-109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  <w:r w:rsidR="005B15B2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029*</w:t>
            </w:r>
          </w:p>
        </w:tc>
        <w:tc>
          <w:tcPr>
            <w:tcW w:w="56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77</w:t>
            </w:r>
          </w:p>
        </w:tc>
        <w:tc>
          <w:tcPr>
            <w:tcW w:w="708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90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92</w:t>
            </w:r>
            <w:r w:rsidR="005B15B2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86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26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13/18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30*</w:t>
            </w:r>
          </w:p>
        </w:tc>
      </w:tr>
      <w:tr w:rsidR="005B15B2" w:rsidRPr="000B0D9F" w:rsidTr="00465DF1">
        <w:tc>
          <w:tcPr>
            <w:tcW w:w="4925" w:type="dxa"/>
          </w:tcPr>
          <w:p w:rsidR="002C5F74" w:rsidRPr="000B0D9F" w:rsidRDefault="002C5F74" w:rsidP="000B0D9F">
            <w:pPr>
              <w:pStyle w:val="Sinespaciado"/>
              <w:ind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Pasteurellales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Pasteurellaceae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Avibacterium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40</w:t>
            </w:r>
          </w:p>
        </w:tc>
        <w:tc>
          <w:tcPr>
            <w:tcW w:w="565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7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8/20</w:t>
            </w:r>
          </w:p>
        </w:tc>
        <w:tc>
          <w:tcPr>
            <w:tcW w:w="993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449*</w:t>
            </w:r>
          </w:p>
        </w:tc>
        <w:tc>
          <w:tcPr>
            <w:tcW w:w="42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10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2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4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12/16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ind w:left="-108" w:right="-109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1*</w:t>
            </w:r>
          </w:p>
        </w:tc>
        <w:tc>
          <w:tcPr>
            <w:tcW w:w="56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44</w:t>
            </w:r>
          </w:p>
        </w:tc>
        <w:tc>
          <w:tcPr>
            <w:tcW w:w="708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90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26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385*</w:t>
            </w:r>
          </w:p>
        </w:tc>
      </w:tr>
      <w:tr w:rsidR="005B15B2" w:rsidRPr="000B0D9F" w:rsidTr="00465DF1">
        <w:tc>
          <w:tcPr>
            <w:tcW w:w="4925" w:type="dxa"/>
          </w:tcPr>
          <w:p w:rsidR="002C5F74" w:rsidRPr="000B0D9F" w:rsidRDefault="002C5F74" w:rsidP="000B0D9F">
            <w:pPr>
              <w:pStyle w:val="Sinespaciado"/>
              <w:ind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Alteromonadales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Alteromonadaceae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Catenovulum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40</w:t>
            </w:r>
          </w:p>
        </w:tc>
        <w:tc>
          <w:tcPr>
            <w:tcW w:w="565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7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8/20</w:t>
            </w:r>
          </w:p>
        </w:tc>
        <w:tc>
          <w:tcPr>
            <w:tcW w:w="993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497*</w:t>
            </w:r>
          </w:p>
        </w:tc>
        <w:tc>
          <w:tcPr>
            <w:tcW w:w="42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10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2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4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8/16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ind w:left="-108" w:right="-109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  <w:r w:rsidR="005B15B2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3*</w:t>
            </w:r>
          </w:p>
        </w:tc>
        <w:tc>
          <w:tcPr>
            <w:tcW w:w="56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94</w:t>
            </w:r>
          </w:p>
        </w:tc>
        <w:tc>
          <w:tcPr>
            <w:tcW w:w="708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90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88</w:t>
            </w:r>
            <w:r w:rsidR="005B15B2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24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26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15/18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108*</w:t>
            </w:r>
          </w:p>
        </w:tc>
      </w:tr>
      <w:tr w:rsidR="005B15B2" w:rsidRPr="000B0D9F" w:rsidTr="00465DF1">
        <w:tc>
          <w:tcPr>
            <w:tcW w:w="4925" w:type="dxa"/>
          </w:tcPr>
          <w:p w:rsidR="002C5F74" w:rsidRPr="000B0D9F" w:rsidRDefault="002C5F74" w:rsidP="000B0D9F">
            <w:pPr>
              <w:pStyle w:val="Sinespaciado"/>
              <w:ind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Vibrio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565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7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20/20</w:t>
            </w:r>
          </w:p>
        </w:tc>
        <w:tc>
          <w:tcPr>
            <w:tcW w:w="993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0,004</w:t>
            </w:r>
          </w:p>
        </w:tc>
        <w:tc>
          <w:tcPr>
            <w:tcW w:w="42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10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2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4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16/16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ind w:left="-108" w:right="-109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  <w:r w:rsidR="003B23C9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49*</w:t>
            </w:r>
          </w:p>
        </w:tc>
        <w:tc>
          <w:tcPr>
            <w:tcW w:w="56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8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90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26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18/18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  <w:r w:rsidR="005B15B2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031</w:t>
            </w:r>
          </w:p>
        </w:tc>
      </w:tr>
      <w:tr w:rsidR="005B15B2" w:rsidRPr="000B0D9F" w:rsidTr="00465DF1">
        <w:tc>
          <w:tcPr>
            <w:tcW w:w="4925" w:type="dxa"/>
          </w:tcPr>
          <w:p w:rsidR="002C5F74" w:rsidRPr="000B0D9F" w:rsidRDefault="002C5F74" w:rsidP="000B0D9F">
            <w:pPr>
              <w:pStyle w:val="Sinespaciado"/>
              <w:ind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Vibrionales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565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7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20/20</w:t>
            </w:r>
          </w:p>
        </w:tc>
        <w:tc>
          <w:tcPr>
            <w:tcW w:w="993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  <w:r w:rsidR="005B15B2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004</w:t>
            </w:r>
          </w:p>
        </w:tc>
        <w:tc>
          <w:tcPr>
            <w:tcW w:w="42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10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2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4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16/16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ind w:left="-108" w:right="-109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  <w:r w:rsidR="003B23C9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51*</w:t>
            </w:r>
          </w:p>
        </w:tc>
        <w:tc>
          <w:tcPr>
            <w:tcW w:w="56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8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90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26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18/18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  <w:r w:rsidR="005B15B2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033</w:t>
            </w:r>
          </w:p>
        </w:tc>
      </w:tr>
      <w:tr w:rsidR="005B15B2" w:rsidRPr="000B0D9F" w:rsidTr="00465DF1">
        <w:tc>
          <w:tcPr>
            <w:tcW w:w="4925" w:type="dxa"/>
          </w:tcPr>
          <w:p w:rsidR="002C5F74" w:rsidRPr="000B0D9F" w:rsidRDefault="002C5F74" w:rsidP="000B0D9F">
            <w:pPr>
              <w:pStyle w:val="Sinespaciado"/>
              <w:ind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Vibrionaceae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565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7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20/20</w:t>
            </w:r>
          </w:p>
        </w:tc>
        <w:tc>
          <w:tcPr>
            <w:tcW w:w="993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0,004</w:t>
            </w:r>
          </w:p>
        </w:tc>
        <w:tc>
          <w:tcPr>
            <w:tcW w:w="42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10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2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4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16/16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ind w:left="-108" w:right="-109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0,51*</w:t>
            </w:r>
          </w:p>
        </w:tc>
        <w:tc>
          <w:tcPr>
            <w:tcW w:w="56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8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90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26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18/18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  <w:r w:rsidR="005B15B2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033</w:t>
            </w:r>
          </w:p>
        </w:tc>
      </w:tr>
      <w:tr w:rsidR="005B15B2" w:rsidRPr="000B0D9F" w:rsidTr="009C08EE">
        <w:tc>
          <w:tcPr>
            <w:tcW w:w="4925" w:type="dxa"/>
          </w:tcPr>
          <w:p w:rsidR="002C5F74" w:rsidRPr="000B0D9F" w:rsidRDefault="002C5F74" w:rsidP="000B0D9F">
            <w:pPr>
              <w:pStyle w:val="Sinespaciado"/>
              <w:ind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Aliivibrio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565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7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20/20</w:t>
            </w:r>
          </w:p>
        </w:tc>
        <w:tc>
          <w:tcPr>
            <w:tcW w:w="993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1 10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-4</w:t>
            </w:r>
          </w:p>
        </w:tc>
        <w:tc>
          <w:tcPr>
            <w:tcW w:w="42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10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2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14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13/16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ind w:left="-108" w:right="-109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0,92*</w:t>
            </w:r>
          </w:p>
        </w:tc>
        <w:tc>
          <w:tcPr>
            <w:tcW w:w="567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8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90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0B0D9F" w:rsidRDefault="002C5F74" w:rsidP="000B0D9F">
            <w:pPr>
              <w:pStyle w:val="Sinespaciado"/>
              <w:ind w:left="-108" w:right="-126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18/18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</w:t>
            </w:r>
            <w:r w:rsidR="005B15B2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002</w:t>
            </w:r>
          </w:p>
        </w:tc>
      </w:tr>
      <w:tr w:rsidR="005B15B2" w:rsidRPr="000B0D9F" w:rsidTr="009C08EE">
        <w:tc>
          <w:tcPr>
            <w:tcW w:w="4925" w:type="dxa"/>
            <w:tcBorders>
              <w:bottom w:val="single" w:sz="12" w:space="0" w:color="auto"/>
            </w:tcBorders>
          </w:tcPr>
          <w:p w:rsidR="002C5F74" w:rsidRPr="000B0D9F" w:rsidRDefault="002C5F74" w:rsidP="000B0D9F">
            <w:pPr>
              <w:pStyle w:val="Sinespaciado"/>
              <w:ind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Vibrionales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Vibrionaceae</w:t>
            </w:r>
            <w:proofErr w:type="spellEnd"/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B0D9F">
              <w:rPr>
                <w:rFonts w:ascii="Palatino Linotype" w:hAnsi="Palatino Linotype" w:cs="Times New Roman"/>
                <w:i/>
                <w:sz w:val="20"/>
                <w:szCs w:val="20"/>
                <w:lang w:val="en-GB"/>
              </w:rPr>
              <w:t>Catenococcus</w:t>
            </w:r>
            <w:proofErr w:type="spellEnd"/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17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20/20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2 10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-7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50</w:t>
            </w: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02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14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7/16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09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</w:t>
            </w:r>
            <w:r w:rsidR="003B23C9"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.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08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90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100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ind w:left="-108" w:right="-126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18/18</w:t>
            </w: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:rsidR="002C5F74" w:rsidRPr="000B0D9F" w:rsidRDefault="002C5F74" w:rsidP="000B0D9F">
            <w:pPr>
              <w:pStyle w:val="Sinespaciado"/>
              <w:jc w:val="center"/>
              <w:rPr>
                <w:rStyle w:val="tlid-translation"/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0B0D9F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2 10</w:t>
            </w:r>
            <w:r w:rsidRPr="000B0D9F">
              <w:rPr>
                <w:rFonts w:ascii="Palatino Linotype" w:hAnsi="Palatino Linotype" w:cs="Times New Roman"/>
                <w:sz w:val="20"/>
                <w:szCs w:val="20"/>
                <w:vertAlign w:val="superscript"/>
                <w:lang w:val="en-GB"/>
              </w:rPr>
              <w:t>-6</w:t>
            </w:r>
          </w:p>
        </w:tc>
      </w:tr>
    </w:tbl>
    <w:p w:rsidR="00D75337" w:rsidRDefault="00A7509F" w:rsidP="000B0D9F">
      <w:pPr>
        <w:pStyle w:val="Sinespaciado"/>
        <w:jc w:val="center"/>
        <w:rPr>
          <w:rStyle w:val="tlid-translation"/>
          <w:rFonts w:ascii="Palatino Linotype" w:hAnsi="Palatino Linotype" w:cs="Times New Roman"/>
          <w:sz w:val="20"/>
          <w:szCs w:val="20"/>
          <w:lang w:val="en-GB"/>
        </w:rPr>
      </w:pPr>
      <w:r w:rsidRPr="000B0D9F">
        <w:rPr>
          <w:rFonts w:ascii="Palatino Linotype" w:hAnsi="Palatino Linotype" w:cs="Times New Roman"/>
          <w:sz w:val="20"/>
          <w:szCs w:val="20"/>
          <w:lang w:val="en-GB"/>
        </w:rPr>
        <w:t xml:space="preserve">* </w:t>
      </w:r>
      <w:r w:rsidRPr="000B0D9F">
        <w:rPr>
          <w:rStyle w:val="tlid-translation"/>
          <w:rFonts w:ascii="Palatino Linotype" w:hAnsi="Palatino Linotype" w:cs="Times New Roman"/>
          <w:sz w:val="20"/>
          <w:szCs w:val="20"/>
          <w:lang w:val="en-GB"/>
        </w:rPr>
        <w:t xml:space="preserve">The probe is complementary to non-16S </w:t>
      </w:r>
      <w:proofErr w:type="spellStart"/>
      <w:r w:rsidRPr="000B0D9F">
        <w:rPr>
          <w:rStyle w:val="tlid-translation"/>
          <w:rFonts w:ascii="Palatino Linotype" w:hAnsi="Palatino Linotype" w:cs="Times New Roman"/>
          <w:sz w:val="20"/>
          <w:szCs w:val="20"/>
          <w:lang w:val="en-GB"/>
        </w:rPr>
        <w:t>rRNA</w:t>
      </w:r>
      <w:proofErr w:type="spellEnd"/>
      <w:r w:rsidRPr="000B0D9F">
        <w:rPr>
          <w:rStyle w:val="tlid-translation"/>
          <w:rFonts w:ascii="Palatino Linotype" w:hAnsi="Palatino Linotype" w:cs="Times New Roman"/>
          <w:sz w:val="20"/>
          <w:szCs w:val="20"/>
          <w:lang w:val="en-GB"/>
        </w:rPr>
        <w:t xml:space="preserve"> genome regions.</w:t>
      </w:r>
    </w:p>
    <w:p w:rsidR="00D266F2" w:rsidRDefault="00D266F2" w:rsidP="000B0D9F">
      <w:pPr>
        <w:pStyle w:val="Sinespaciado"/>
        <w:jc w:val="center"/>
        <w:rPr>
          <w:rStyle w:val="tlid-translation"/>
          <w:rFonts w:ascii="Palatino Linotype" w:hAnsi="Palatino Linotype" w:cs="Times New Roman"/>
          <w:sz w:val="20"/>
          <w:szCs w:val="20"/>
          <w:lang w:val="en-GB"/>
        </w:rPr>
      </w:pPr>
    </w:p>
    <w:p w:rsidR="00D266F2" w:rsidRDefault="00D266F2" w:rsidP="000B0D9F">
      <w:pPr>
        <w:pStyle w:val="Sinespaciado"/>
        <w:jc w:val="center"/>
        <w:rPr>
          <w:rStyle w:val="tlid-translation"/>
          <w:rFonts w:ascii="Palatino Linotype" w:hAnsi="Palatino Linotype" w:cs="Times New Roman"/>
          <w:sz w:val="20"/>
          <w:szCs w:val="20"/>
          <w:lang w:val="en-GB"/>
        </w:rPr>
      </w:pPr>
    </w:p>
    <w:p w:rsidR="00D266F2" w:rsidRDefault="00D266F2" w:rsidP="000B0D9F">
      <w:pPr>
        <w:pStyle w:val="Sinespaciado"/>
        <w:jc w:val="center"/>
        <w:rPr>
          <w:rFonts w:ascii="Palatino Linotype" w:hAnsi="Palatino Linotype" w:cs="Times New Roman"/>
          <w:sz w:val="20"/>
          <w:szCs w:val="20"/>
          <w:lang w:val="en-GB"/>
        </w:rPr>
      </w:pPr>
      <w:r>
        <w:rPr>
          <w:rFonts w:ascii="Palatino Linotype" w:hAnsi="Palatino Linotype" w:cs="Times New Roman"/>
          <w:noProof/>
          <w:sz w:val="20"/>
          <w:szCs w:val="20"/>
          <w:lang w:eastAsia="es-ES"/>
        </w:rPr>
        <w:drawing>
          <wp:inline distT="0" distB="0" distL="0" distR="0">
            <wp:extent cx="5266944" cy="476528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432" cy="476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66F2" w:rsidRPr="00CD2545" w:rsidRDefault="00CD2545" w:rsidP="00CD2545">
      <w:pPr>
        <w:pStyle w:val="Sinespaciado"/>
        <w:rPr>
          <w:rFonts w:ascii="Palatino Linotype" w:hAnsi="Palatino Linotype" w:cs="Times New Roman"/>
          <w:sz w:val="20"/>
          <w:szCs w:val="20"/>
          <w:lang w:val="en-US"/>
        </w:rPr>
      </w:pPr>
      <w:r w:rsidRPr="00CD2545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Figure S1. </w:t>
      </w:r>
      <w:proofErr w:type="gramStart"/>
      <w:r w:rsidRPr="00CD2545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CARD-FISH detection of </w:t>
      </w:r>
      <w:proofErr w:type="spellStart"/>
      <w:r w:rsidRPr="00CD2545">
        <w:rPr>
          <w:rFonts w:ascii="Palatino Linotype" w:hAnsi="Palatino Linotype" w:cs="Times New Roman"/>
          <w:bCs/>
          <w:i/>
          <w:sz w:val="20"/>
          <w:szCs w:val="20"/>
          <w:lang w:val="en-US"/>
        </w:rPr>
        <w:t>Vibrio</w:t>
      </w:r>
      <w:proofErr w:type="spellEnd"/>
      <w:r w:rsidRPr="00CD2545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 spp. </w:t>
      </w:r>
      <w:proofErr w:type="gramEnd"/>
      <w:r w:rsidRPr="00CD2545">
        <w:rPr>
          <w:rFonts w:ascii="Palatino Linotype" w:hAnsi="Palatino Linotype" w:cs="Times New Roman"/>
          <w:bCs/>
          <w:sz w:val="20"/>
          <w:szCs w:val="20"/>
          <w:lang w:val="en-US"/>
        </w:rPr>
        <w:t>in environmental samples</w:t>
      </w:r>
      <w:r>
        <w:rPr>
          <w:rFonts w:ascii="Palatino Linotype" w:hAnsi="Palatino Linotype" w:cs="Times New Roman"/>
          <w:bCs/>
          <w:sz w:val="20"/>
          <w:szCs w:val="20"/>
          <w:lang w:val="en-US"/>
        </w:rPr>
        <w:t>.</w:t>
      </w:r>
      <w:r w:rsidRPr="00CD2545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 Water samples from coastal (panel A) or estuarine (panel B) areas </w:t>
      </w:r>
      <w:r w:rsidRPr="00CD2545">
        <w:rPr>
          <w:rFonts w:ascii="Palatino Linotype" w:hAnsi="Palatino Linotype" w:cs="Times New Roman"/>
          <w:bCs/>
          <w:sz w:val="20"/>
          <w:szCs w:val="20"/>
          <w:lang w:val="en-GB"/>
        </w:rPr>
        <w:t>were stained with DAPI (image 1) or were either subjected to CARD-FISH detection</w:t>
      </w:r>
      <w:r w:rsidRPr="00CD2545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 using VIB572a (image 2) </w:t>
      </w:r>
      <w:r w:rsidRPr="00CD2545">
        <w:rPr>
          <w:rFonts w:ascii="Palatino Linotype" w:hAnsi="Palatino Linotype" w:cs="Times New Roman"/>
          <w:bCs/>
          <w:sz w:val="20"/>
          <w:szCs w:val="20"/>
          <w:lang w:val="en-GB"/>
        </w:rPr>
        <w:t xml:space="preserve">and further examined by </w:t>
      </w:r>
      <w:proofErr w:type="spellStart"/>
      <w:r w:rsidRPr="00CD2545">
        <w:rPr>
          <w:rFonts w:ascii="Palatino Linotype" w:hAnsi="Palatino Linotype" w:cs="Times New Roman"/>
          <w:bCs/>
          <w:sz w:val="20"/>
          <w:szCs w:val="20"/>
          <w:lang w:val="en-GB"/>
        </w:rPr>
        <w:t>epifluorescence</w:t>
      </w:r>
      <w:proofErr w:type="spellEnd"/>
      <w:r w:rsidRPr="00CD2545">
        <w:rPr>
          <w:rFonts w:ascii="Palatino Linotype" w:hAnsi="Palatino Linotype" w:cs="Times New Roman"/>
          <w:bCs/>
          <w:sz w:val="20"/>
          <w:szCs w:val="20"/>
          <w:lang w:val="en-GB"/>
        </w:rPr>
        <w:t xml:space="preserve"> microscopy as described in Materials and Methods.</w:t>
      </w:r>
    </w:p>
    <w:sectPr w:rsidR="00D266F2" w:rsidRPr="00CD2545" w:rsidSect="00B14E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C4EF8"/>
    <w:multiLevelType w:val="hybridMultilevel"/>
    <w:tmpl w:val="C0E6E7FC"/>
    <w:lvl w:ilvl="0" w:tplc="1DA48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43599"/>
    <w:multiLevelType w:val="multilevel"/>
    <w:tmpl w:val="DF3A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F6E01"/>
    <w:multiLevelType w:val="hybridMultilevel"/>
    <w:tmpl w:val="A64EA826"/>
    <w:lvl w:ilvl="0" w:tplc="19287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215E16"/>
    <w:multiLevelType w:val="multilevel"/>
    <w:tmpl w:val="4746D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22B6"/>
    <w:rsid w:val="00013FCB"/>
    <w:rsid w:val="00045FA6"/>
    <w:rsid w:val="000871D2"/>
    <w:rsid w:val="00094ED6"/>
    <w:rsid w:val="000967A5"/>
    <w:rsid w:val="000A4248"/>
    <w:rsid w:val="000B0D9F"/>
    <w:rsid w:val="000C1681"/>
    <w:rsid w:val="00114461"/>
    <w:rsid w:val="001230B6"/>
    <w:rsid w:val="001741AC"/>
    <w:rsid w:val="00193B47"/>
    <w:rsid w:val="00193F68"/>
    <w:rsid w:val="00197031"/>
    <w:rsid w:val="001A25E0"/>
    <w:rsid w:val="001B1F5E"/>
    <w:rsid w:val="001F0251"/>
    <w:rsid w:val="0021253C"/>
    <w:rsid w:val="002130A5"/>
    <w:rsid w:val="002174C0"/>
    <w:rsid w:val="00221100"/>
    <w:rsid w:val="00232CF1"/>
    <w:rsid w:val="00234CCE"/>
    <w:rsid w:val="002526E9"/>
    <w:rsid w:val="00265B3A"/>
    <w:rsid w:val="00275659"/>
    <w:rsid w:val="00284C5A"/>
    <w:rsid w:val="002A260E"/>
    <w:rsid w:val="002A48CE"/>
    <w:rsid w:val="002A54FA"/>
    <w:rsid w:val="002B530D"/>
    <w:rsid w:val="002C5F74"/>
    <w:rsid w:val="002E3238"/>
    <w:rsid w:val="002E3F7C"/>
    <w:rsid w:val="002E6C1D"/>
    <w:rsid w:val="002F15BE"/>
    <w:rsid w:val="003026F4"/>
    <w:rsid w:val="003211AD"/>
    <w:rsid w:val="00323F87"/>
    <w:rsid w:val="0034407B"/>
    <w:rsid w:val="003608B8"/>
    <w:rsid w:val="00366CCB"/>
    <w:rsid w:val="0037316C"/>
    <w:rsid w:val="00375BB1"/>
    <w:rsid w:val="00376D75"/>
    <w:rsid w:val="003A0F00"/>
    <w:rsid w:val="003B23C9"/>
    <w:rsid w:val="003C5E48"/>
    <w:rsid w:val="003E7E5D"/>
    <w:rsid w:val="00436009"/>
    <w:rsid w:val="00445A5E"/>
    <w:rsid w:val="00464687"/>
    <w:rsid w:val="00465DF1"/>
    <w:rsid w:val="00466122"/>
    <w:rsid w:val="004753D7"/>
    <w:rsid w:val="00480A63"/>
    <w:rsid w:val="00482EDB"/>
    <w:rsid w:val="00484625"/>
    <w:rsid w:val="004916FE"/>
    <w:rsid w:val="004B19AF"/>
    <w:rsid w:val="004E1512"/>
    <w:rsid w:val="004F3777"/>
    <w:rsid w:val="005005D2"/>
    <w:rsid w:val="00507FED"/>
    <w:rsid w:val="00512E22"/>
    <w:rsid w:val="00542186"/>
    <w:rsid w:val="005747B9"/>
    <w:rsid w:val="00586E9B"/>
    <w:rsid w:val="00591450"/>
    <w:rsid w:val="00594149"/>
    <w:rsid w:val="005B15B2"/>
    <w:rsid w:val="005B6B6E"/>
    <w:rsid w:val="005B7711"/>
    <w:rsid w:val="005F0B80"/>
    <w:rsid w:val="0062076D"/>
    <w:rsid w:val="00625711"/>
    <w:rsid w:val="006365BE"/>
    <w:rsid w:val="00656A5F"/>
    <w:rsid w:val="00671911"/>
    <w:rsid w:val="00671EDF"/>
    <w:rsid w:val="00685D2D"/>
    <w:rsid w:val="00697001"/>
    <w:rsid w:val="006A401C"/>
    <w:rsid w:val="006E0FE1"/>
    <w:rsid w:val="006F298D"/>
    <w:rsid w:val="00733C46"/>
    <w:rsid w:val="00734AA3"/>
    <w:rsid w:val="00751CAE"/>
    <w:rsid w:val="00756BA9"/>
    <w:rsid w:val="00780C04"/>
    <w:rsid w:val="007A36B0"/>
    <w:rsid w:val="007D07FB"/>
    <w:rsid w:val="00822DF2"/>
    <w:rsid w:val="00831B2F"/>
    <w:rsid w:val="0084528A"/>
    <w:rsid w:val="00867497"/>
    <w:rsid w:val="008736B6"/>
    <w:rsid w:val="0087647C"/>
    <w:rsid w:val="0088198E"/>
    <w:rsid w:val="008828EF"/>
    <w:rsid w:val="008A2AA1"/>
    <w:rsid w:val="008A7E3F"/>
    <w:rsid w:val="008E26C5"/>
    <w:rsid w:val="00901E02"/>
    <w:rsid w:val="009174F3"/>
    <w:rsid w:val="0093420D"/>
    <w:rsid w:val="0095453F"/>
    <w:rsid w:val="009C08EE"/>
    <w:rsid w:val="009C4DEE"/>
    <w:rsid w:val="009C4F4C"/>
    <w:rsid w:val="009D272E"/>
    <w:rsid w:val="009D34D0"/>
    <w:rsid w:val="009D504A"/>
    <w:rsid w:val="009E22B6"/>
    <w:rsid w:val="009E53EA"/>
    <w:rsid w:val="00A00F75"/>
    <w:rsid w:val="00A12F89"/>
    <w:rsid w:val="00A3298C"/>
    <w:rsid w:val="00A40DFB"/>
    <w:rsid w:val="00A516FD"/>
    <w:rsid w:val="00A7509F"/>
    <w:rsid w:val="00A810FB"/>
    <w:rsid w:val="00A858D5"/>
    <w:rsid w:val="00AA3216"/>
    <w:rsid w:val="00AB2F7D"/>
    <w:rsid w:val="00AB4EE0"/>
    <w:rsid w:val="00AC7F96"/>
    <w:rsid w:val="00AD0A6A"/>
    <w:rsid w:val="00AD18A3"/>
    <w:rsid w:val="00B14EA6"/>
    <w:rsid w:val="00B20259"/>
    <w:rsid w:val="00B34CD2"/>
    <w:rsid w:val="00B373DA"/>
    <w:rsid w:val="00B4767F"/>
    <w:rsid w:val="00B552BA"/>
    <w:rsid w:val="00B625B9"/>
    <w:rsid w:val="00BA4C98"/>
    <w:rsid w:val="00BB488F"/>
    <w:rsid w:val="00C46FA1"/>
    <w:rsid w:val="00C751C2"/>
    <w:rsid w:val="00C93E42"/>
    <w:rsid w:val="00CB3092"/>
    <w:rsid w:val="00CC6D32"/>
    <w:rsid w:val="00CD2545"/>
    <w:rsid w:val="00CE25E9"/>
    <w:rsid w:val="00CF1AB3"/>
    <w:rsid w:val="00CF5D86"/>
    <w:rsid w:val="00D25FB0"/>
    <w:rsid w:val="00D266F2"/>
    <w:rsid w:val="00D445A5"/>
    <w:rsid w:val="00D467C4"/>
    <w:rsid w:val="00D517D8"/>
    <w:rsid w:val="00D75337"/>
    <w:rsid w:val="00D81B20"/>
    <w:rsid w:val="00D92C82"/>
    <w:rsid w:val="00DB3D91"/>
    <w:rsid w:val="00DC4166"/>
    <w:rsid w:val="00DC7973"/>
    <w:rsid w:val="00DD1CE2"/>
    <w:rsid w:val="00DE7809"/>
    <w:rsid w:val="00DF664B"/>
    <w:rsid w:val="00E04003"/>
    <w:rsid w:val="00E2530D"/>
    <w:rsid w:val="00E25AD3"/>
    <w:rsid w:val="00E322A2"/>
    <w:rsid w:val="00E45C0E"/>
    <w:rsid w:val="00E73868"/>
    <w:rsid w:val="00E86301"/>
    <w:rsid w:val="00E95F58"/>
    <w:rsid w:val="00EB4E8C"/>
    <w:rsid w:val="00EB502D"/>
    <w:rsid w:val="00EB50AD"/>
    <w:rsid w:val="00EC4CCE"/>
    <w:rsid w:val="00ED7B46"/>
    <w:rsid w:val="00EE6CD9"/>
    <w:rsid w:val="00EE6E18"/>
    <w:rsid w:val="00F040E4"/>
    <w:rsid w:val="00F238A7"/>
    <w:rsid w:val="00F326AC"/>
    <w:rsid w:val="00F37D0D"/>
    <w:rsid w:val="00F65738"/>
    <w:rsid w:val="00FA090A"/>
    <w:rsid w:val="00FB49E0"/>
    <w:rsid w:val="00FC1BE1"/>
    <w:rsid w:val="00FC1FA9"/>
    <w:rsid w:val="00FD2C86"/>
    <w:rsid w:val="00FF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B6"/>
    <w:pPr>
      <w:spacing w:after="0" w:line="240" w:lineRule="auto"/>
    </w:pPr>
  </w:style>
  <w:style w:type="paragraph" w:styleId="Ttulo1">
    <w:name w:val="heading 1"/>
    <w:basedOn w:val="Normal"/>
    <w:link w:val="Ttulo1Car"/>
    <w:uiPriority w:val="9"/>
    <w:qFormat/>
    <w:rsid w:val="009E22B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2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22B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2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9E22B6"/>
    <w:pPr>
      <w:spacing w:after="0" w:line="240" w:lineRule="auto"/>
      <w:jc w:val="both"/>
    </w:pPr>
  </w:style>
  <w:style w:type="character" w:customStyle="1" w:styleId="st">
    <w:name w:val="st"/>
    <w:basedOn w:val="Fuentedeprrafopredeter"/>
    <w:rsid w:val="009E22B6"/>
  </w:style>
  <w:style w:type="paragraph" w:customStyle="1" w:styleId="Default">
    <w:name w:val="Default"/>
    <w:rsid w:val="009E2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2B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E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Fuentedeprrafopredeter"/>
    <w:rsid w:val="009E22B6"/>
  </w:style>
  <w:style w:type="character" w:styleId="Refdecomentario">
    <w:name w:val="annotation reference"/>
    <w:basedOn w:val="Fuentedeprrafopredeter"/>
    <w:uiPriority w:val="99"/>
    <w:semiHidden/>
    <w:unhideWhenUsed/>
    <w:rsid w:val="009E22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22B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22B6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E22B6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E22B6"/>
  </w:style>
  <w:style w:type="paragraph" w:styleId="NormalWeb">
    <w:name w:val="Normal (Web)"/>
    <w:basedOn w:val="Normal"/>
    <w:uiPriority w:val="99"/>
    <w:unhideWhenUsed/>
    <w:rsid w:val="009E22B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styleId="Cuadrculavistosa-nfasis5">
    <w:name w:val="Colorful Grid Accent 5"/>
    <w:basedOn w:val="Tablanormal"/>
    <w:uiPriority w:val="73"/>
    <w:rsid w:val="009E2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Normal1">
    <w:name w:val="Normal+1"/>
    <w:basedOn w:val="Default"/>
    <w:next w:val="Default"/>
    <w:uiPriority w:val="99"/>
    <w:rsid w:val="009E22B6"/>
    <w:rPr>
      <w:color w:val="auto"/>
    </w:rPr>
  </w:style>
  <w:style w:type="character" w:customStyle="1" w:styleId="title-text">
    <w:name w:val="title-text"/>
    <w:basedOn w:val="Fuentedeprrafopredeter"/>
    <w:rsid w:val="009E22B6"/>
  </w:style>
  <w:style w:type="character" w:styleId="nfasis">
    <w:name w:val="Emphasis"/>
    <w:basedOn w:val="Fuentedeprrafopredeter"/>
    <w:uiPriority w:val="20"/>
    <w:qFormat/>
    <w:rsid w:val="009E22B6"/>
    <w:rPr>
      <w:i/>
      <w:i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22B6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22B6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9E22B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E22B6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9E22B6"/>
    <w:rPr>
      <w:color w:val="808080"/>
    </w:rPr>
  </w:style>
  <w:style w:type="character" w:styleId="Textoennegrita">
    <w:name w:val="Strong"/>
    <w:basedOn w:val="Fuentedeprrafopredeter"/>
    <w:uiPriority w:val="22"/>
    <w:qFormat/>
    <w:rsid w:val="009E22B6"/>
    <w:rPr>
      <w:b/>
      <w:bCs/>
    </w:rPr>
  </w:style>
  <w:style w:type="character" w:customStyle="1" w:styleId="cit">
    <w:name w:val="cit"/>
    <w:basedOn w:val="Fuentedeprrafopredeter"/>
    <w:rsid w:val="00625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4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8E4C7-C71D-43DA-90E7-B5069FB1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1320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Instalaciones</dc:creator>
  <cp:lastModifiedBy>oiparbai</cp:lastModifiedBy>
  <cp:revision>2</cp:revision>
  <cp:lastPrinted>2020-08-17T16:04:00Z</cp:lastPrinted>
  <dcterms:created xsi:type="dcterms:W3CDTF">2020-09-01T12:34:00Z</dcterms:created>
  <dcterms:modified xsi:type="dcterms:W3CDTF">2020-09-01T12:34:00Z</dcterms:modified>
</cp:coreProperties>
</file>