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B" w:rsidRDefault="00122812"/>
    <w:p w:rsidR="00BD7496" w:rsidRDefault="00BD7496">
      <w:r>
        <w:rPr>
          <w:rFonts w:eastAsia="Times New Roman"/>
          <w:b/>
        </w:rPr>
        <w:t>Supplemental material</w:t>
      </w:r>
      <w:r>
        <w:rPr>
          <w:rFonts w:eastAsia="Times New Roman"/>
          <w:b/>
        </w:rPr>
        <w:t>. Description of patient group</w:t>
      </w:r>
      <w:r>
        <w:rPr>
          <w:rFonts w:eastAsia="Times New Roman"/>
          <w:b/>
        </w:rPr>
        <w:t xml:space="preserve"> </w:t>
      </w:r>
      <w:r w:rsidRPr="006D3CAA">
        <w:rPr>
          <w:rFonts w:eastAsia="Times New Roman"/>
          <w:b/>
        </w:rPr>
        <w:t>engagement activities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010"/>
      </w:tblGrid>
      <w:tr w:rsidR="00BD7496" w:rsidRPr="00BD7496" w:rsidTr="00BD7496">
        <w:trPr>
          <w:trHeight w:val="251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7496" w:rsidRPr="00BD7496" w:rsidRDefault="00BD7496" w:rsidP="00BD7496">
            <w:pPr>
              <w:spacing w:after="0" w:line="240" w:lineRule="auto"/>
              <w:jc w:val="center"/>
              <w:rPr>
                <w:b/>
              </w:rPr>
            </w:pPr>
            <w:r w:rsidRPr="00BD7496">
              <w:rPr>
                <w:b/>
              </w:rPr>
              <w:t>Engagement activities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7496" w:rsidRPr="00BD7496" w:rsidRDefault="00BD7496" w:rsidP="00BD7496">
            <w:pPr>
              <w:spacing w:after="0" w:line="240" w:lineRule="auto"/>
              <w:jc w:val="center"/>
              <w:rPr>
                <w:b/>
              </w:rPr>
            </w:pPr>
            <w:r w:rsidRPr="00BD7496">
              <w:rPr>
                <w:b/>
              </w:rPr>
              <w:t>Description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Financial support for research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contributes directly to a sponsor to support relevant research such as identification of target molecules, characterization of the disease and mechanism of action, or o</w:t>
            </w:r>
            <w:bookmarkStart w:id="0" w:name="_GoBack"/>
            <w:bookmarkEnd w:id="0"/>
            <w:r w:rsidRPr="00BD7496">
              <w:t>ngoing trial operations.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Natural history data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facilitates the conduct of natural history studies through a registry, access to electronic medical records, aggregation of data, or other methods that aid in understanding the disease.</w:t>
            </w:r>
          </w:p>
        </w:tc>
      </w:tr>
      <w:tr w:rsidR="00BD7496" w:rsidRPr="00BD7496" w:rsidTr="00122812">
        <w:trPr>
          <w:trHeight w:val="435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Input on relevance of research to patients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By any of a variety of means-surveys, focus groups, natural language processing of online communities, and tapping existing internal knowledge-the patient group provides data or input to the sponsor on how a planned therapeutic might meet the needs of the patient community.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Access to translational tools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 xml:space="preserve">Patient group facilitates the development and validation of translational tools such as biomarkers, </w:t>
            </w:r>
            <w:proofErr w:type="spellStart"/>
            <w:r w:rsidRPr="00BD7496">
              <w:t>biosamples</w:t>
            </w:r>
            <w:proofErr w:type="spellEnd"/>
            <w:r w:rsidRPr="00BD7496">
              <w:t>, assays, and cell and animal models.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Help defining eligibility criteria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provides feedback based on experience or registry data to determine if the eligibility criteria are practical and appropriate for the patient population.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Input on meaningful endpoints &amp; PROs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provides feedback based on experience, community surveys, focus groups, or registry data on whether the planned clinical endpoints are meaningful and practical for the patient population.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Advocacy for policy &amp; funding issues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communicates between program or review officers and patient group stakeholders; provides education and evidence; and engages in advocacy around policy issues.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Education to patient community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develops audience-appropriate materials such as a lay summary, infographic, or webpage describing the elements of the clinical trial lifecycle.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Benefit-risk &amp; patient-preference studies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facilitates or conducts preference studies to support benefit-risk assessment, or provides feedback from surveys, focus groups, or experience on benefit-risk preferences of the patient population.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Protocol design &amp; retention strategy input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provides input on the protocol and feasibility, and may participate in simulation exercises and suggest improvements that eliminate barriers to participation or minimize burden on patients.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Study recruitment &amp; retention strategy input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provides feedback on recruitment and retention based on geographic, demographic, and symptom profile data in its registry or from experience with prior trials and knowledge of site performance.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Increased awareness about trials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works with sponsor to raise awareness and understanding of the clinical research process. For example, planning an education campaign for a rare disease that does not currently have any trials underway, but will soon.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Participant feedback on trial experience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acts as clearinghouse for feedback from participants on sites and study experience to proactively help manage issues and better plan for future studies.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lastRenderedPageBreak/>
              <w:t>Input on informed consent content &amp; processes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provides feedback based on experience, community surveys, or focus groups on the content of and processes for providing informed consent.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Peer advocates to participants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staff or volunteer advocate supports trial participants in understanding the informed consent process and acts as an advocate for patients throughout the trial.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Clinical trial networks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creates or supports a clinical network that can be an important resource for research sponsors planning and conducting clinical trials.</w:t>
            </w:r>
          </w:p>
        </w:tc>
      </w:tr>
      <w:tr w:rsidR="00BD7496" w:rsidRPr="00BD7496" w:rsidTr="00122812">
        <w:trPr>
          <w:trHeight w:val="149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Data Safety Monitoring Board members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participates on Data and Safety Monitoring Board to provide perspective on benefit-risk.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Support to sponsors around key regulatory meetings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accompanies sponsor to key meetings with regulators. In a pre-IND meeting, for example, the patient group may provide additional input on issues such as study design, meaningfulness of selected endpoints, and benefit-risk.</w:t>
            </w:r>
          </w:p>
        </w:tc>
      </w:tr>
      <w:tr w:rsidR="00BD7496" w:rsidRPr="00BD7496" w:rsidTr="00122812">
        <w:trPr>
          <w:trHeight w:val="435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Support preparing submissions for newborn screening for rare diseases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assists in the submission of newborn screening for a rare disease if (1) the treatment, if approved, could improve the outcome for patients diagnosed early with the disease; (2) there is sufficient understanding of the disease's natural history, and (3) a newborn screening test for the disease is available and reliable for affected and unaffected infants.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Informing regulators on benefit-risk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provides data and insights to regulators, or performs benefit-risk assessment to inform draft guidance on study design, meaningfulness of selected endpoints, and benefit-risk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Public testimony at regulatory meetings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group, while acting as an independent agent, provides defensible data on symptom burden, experience with existing treatments, and benefit-risk preferences at regulatory hearings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Support interpreting &amp; disseminating study results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supports the dissemination of study results in audience-appropriate language and format to relevant stakeholders, such as patients with the same disease/condition, clinicians, and other researchers in the field.</w:t>
            </w:r>
          </w:p>
        </w:tc>
      </w:tr>
      <w:tr w:rsidR="00BD7496" w:rsidRPr="00BD7496" w:rsidTr="00122812">
        <w:trPr>
          <w:trHeight w:val="292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Collaboration on post-marketing studies &amp; surveillance initiatives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 xml:space="preserve">Patient group may participate in </w:t>
            </w:r>
            <w:proofErr w:type="spellStart"/>
            <w:r w:rsidRPr="00BD7496">
              <w:t>postmarketing</w:t>
            </w:r>
            <w:proofErr w:type="spellEnd"/>
            <w:r w:rsidRPr="00BD7496">
              <w:t xml:space="preserve"> study steering committees or working groups that review safety signals, help engage investigators, support data collection via registries, or support recruitment.</w:t>
            </w:r>
          </w:p>
        </w:tc>
      </w:tr>
      <w:tr w:rsidR="00BD7496" w:rsidRPr="00BD7496" w:rsidTr="00122812">
        <w:trPr>
          <w:trHeight w:val="435"/>
        </w:trPr>
        <w:tc>
          <w:tcPr>
            <w:tcW w:w="305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BD7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5"/>
            </w:pPr>
            <w:r w:rsidRPr="00BD7496">
              <w:t>Support developing access strategy &amp; preparing for value or health technology review</w:t>
            </w:r>
          </w:p>
        </w:tc>
        <w:tc>
          <w:tcPr>
            <w:tcW w:w="701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BD7496" w:rsidRPr="00BD7496" w:rsidRDefault="00BD7496" w:rsidP="00122812">
            <w:pPr>
              <w:spacing w:after="0" w:line="240" w:lineRule="auto"/>
              <w:ind w:left="166"/>
            </w:pPr>
            <w:r w:rsidRPr="00BD7496">
              <w:t>Patient group provides evidence and advocacy in support for coverage or its expansion.</w:t>
            </w:r>
          </w:p>
        </w:tc>
      </w:tr>
    </w:tbl>
    <w:p w:rsidR="00BD7496" w:rsidRDefault="00BD7496"/>
    <w:sectPr w:rsidR="00BD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70B1F"/>
    <w:multiLevelType w:val="hybridMultilevel"/>
    <w:tmpl w:val="A050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96"/>
    <w:rsid w:val="00122812"/>
    <w:rsid w:val="00675B67"/>
    <w:rsid w:val="009E5313"/>
    <w:rsid w:val="00B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AC7F"/>
  <w15:chartTrackingRefBased/>
  <w15:docId w15:val="{B22FA72A-CC94-4437-8FF1-86EBCDEE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Perry, M.P.H.</dc:creator>
  <cp:keywords/>
  <dc:description/>
  <cp:lastModifiedBy>Brian Perry, M.P.H.</cp:lastModifiedBy>
  <cp:revision>1</cp:revision>
  <dcterms:created xsi:type="dcterms:W3CDTF">2020-05-05T19:38:00Z</dcterms:created>
  <dcterms:modified xsi:type="dcterms:W3CDTF">2020-05-05T19:49:00Z</dcterms:modified>
</cp:coreProperties>
</file>