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2" w14:textId="7D78286E" w:rsidR="007F6EEB" w:rsidRPr="00A35149" w:rsidRDefault="007F6EEB">
      <w:pPr>
        <w:widowControl w:val="0"/>
        <w:jc w:val="left"/>
        <w:rPr>
          <w:rFonts w:asciiTheme="majorBidi" w:hAnsiTheme="majorBidi" w:cstheme="majorBidi"/>
          <w:i/>
        </w:rPr>
      </w:pPr>
    </w:p>
    <w:p w14:paraId="00000003" w14:textId="77777777" w:rsidR="007F6EEB" w:rsidRPr="00A35149" w:rsidRDefault="00430C7C">
      <w:pPr>
        <w:widowControl w:val="0"/>
        <w:jc w:val="center"/>
        <w:rPr>
          <w:rFonts w:asciiTheme="majorBidi" w:hAnsiTheme="majorBidi" w:cstheme="majorBidi"/>
          <w:sz w:val="36"/>
          <w:szCs w:val="36"/>
        </w:rPr>
      </w:pPr>
      <w:r w:rsidRPr="00A35149">
        <w:rPr>
          <w:rFonts w:asciiTheme="majorBidi" w:hAnsiTheme="majorBidi" w:cstheme="majorBidi"/>
          <w:sz w:val="36"/>
          <w:szCs w:val="36"/>
        </w:rPr>
        <w:t xml:space="preserve"> </w:t>
      </w:r>
    </w:p>
    <w:p w14:paraId="00000004" w14:textId="77777777" w:rsidR="007F6EEB" w:rsidRPr="00A35149" w:rsidRDefault="00430C7C">
      <w:pPr>
        <w:widowControl w:val="0"/>
        <w:jc w:val="center"/>
        <w:rPr>
          <w:rFonts w:asciiTheme="majorBidi" w:hAnsiTheme="majorBidi" w:cstheme="majorBidi"/>
          <w:sz w:val="36"/>
          <w:szCs w:val="36"/>
        </w:rPr>
      </w:pPr>
      <w:r w:rsidRPr="00A35149">
        <w:rPr>
          <w:rFonts w:asciiTheme="majorBidi" w:hAnsiTheme="majorBidi" w:cstheme="majorBidi"/>
          <w:sz w:val="36"/>
          <w:szCs w:val="36"/>
        </w:rPr>
        <w:t xml:space="preserve"> </w:t>
      </w:r>
    </w:p>
    <w:p w14:paraId="24281423" w14:textId="77777777" w:rsidR="004C4C8A" w:rsidRPr="00A35149" w:rsidRDefault="004C4C8A">
      <w:pPr>
        <w:widowControl w:val="0"/>
        <w:jc w:val="center"/>
        <w:rPr>
          <w:rFonts w:asciiTheme="majorBidi" w:hAnsiTheme="majorBidi" w:cstheme="majorBidi"/>
          <w:sz w:val="36"/>
          <w:szCs w:val="36"/>
        </w:rPr>
      </w:pPr>
    </w:p>
    <w:p w14:paraId="00000005" w14:textId="156FE0EF" w:rsidR="007F6EEB" w:rsidRPr="00A35149" w:rsidRDefault="004C4C8A">
      <w:pPr>
        <w:widowControl w:val="0"/>
        <w:jc w:val="center"/>
        <w:rPr>
          <w:rFonts w:asciiTheme="majorBidi" w:hAnsiTheme="majorBidi" w:cstheme="majorBidi"/>
          <w:sz w:val="36"/>
          <w:szCs w:val="36"/>
        </w:rPr>
      </w:pPr>
      <w:r w:rsidRPr="00A35149">
        <w:rPr>
          <w:rFonts w:asciiTheme="majorBidi" w:hAnsiTheme="majorBidi" w:cstheme="majorBidi"/>
          <w:sz w:val="36"/>
          <w:szCs w:val="36"/>
        </w:rPr>
        <w:t xml:space="preserve">Population genetic considerations </w:t>
      </w:r>
      <w:r w:rsidR="00E856EF" w:rsidRPr="00A35149">
        <w:rPr>
          <w:rFonts w:asciiTheme="majorBidi" w:hAnsiTheme="majorBidi" w:cstheme="majorBidi"/>
          <w:sz w:val="36"/>
          <w:szCs w:val="36"/>
        </w:rPr>
        <w:t>for using</w:t>
      </w:r>
      <w:r w:rsidRPr="00A35149">
        <w:rPr>
          <w:rFonts w:asciiTheme="majorBidi" w:hAnsiTheme="majorBidi" w:cstheme="majorBidi"/>
          <w:sz w:val="36"/>
          <w:szCs w:val="36"/>
        </w:rPr>
        <w:t xml:space="preserve"> biobanks as international resources </w:t>
      </w:r>
      <w:r w:rsidR="00DE656C" w:rsidRPr="00A35149">
        <w:rPr>
          <w:rFonts w:asciiTheme="majorBidi" w:hAnsiTheme="majorBidi" w:cstheme="majorBidi"/>
          <w:sz w:val="36"/>
          <w:szCs w:val="36"/>
        </w:rPr>
        <w:t xml:space="preserve">in </w:t>
      </w:r>
      <w:r w:rsidRPr="00A35149">
        <w:rPr>
          <w:rFonts w:asciiTheme="majorBidi" w:hAnsiTheme="majorBidi" w:cstheme="majorBidi"/>
          <w:sz w:val="36"/>
          <w:szCs w:val="36"/>
        </w:rPr>
        <w:t>the pandemic era</w:t>
      </w:r>
      <w:r w:rsidR="00DE656C" w:rsidRPr="00A35149">
        <w:rPr>
          <w:rFonts w:asciiTheme="majorBidi" w:hAnsiTheme="majorBidi" w:cstheme="majorBidi"/>
          <w:sz w:val="36"/>
          <w:szCs w:val="36"/>
        </w:rPr>
        <w:t xml:space="preserve"> and beyond</w:t>
      </w:r>
    </w:p>
    <w:p w14:paraId="00000006" w14:textId="77777777" w:rsidR="007F6EEB" w:rsidRPr="00A35149" w:rsidRDefault="00430C7C">
      <w:pPr>
        <w:widowControl w:val="0"/>
        <w:rPr>
          <w:rFonts w:asciiTheme="majorBidi" w:hAnsiTheme="majorBidi" w:cstheme="majorBidi"/>
          <w:sz w:val="32"/>
          <w:szCs w:val="32"/>
          <w:u w:val="single"/>
        </w:rPr>
      </w:pPr>
      <w:r w:rsidRPr="00A35149">
        <w:rPr>
          <w:rFonts w:asciiTheme="majorBidi" w:hAnsiTheme="majorBidi" w:cstheme="majorBidi"/>
          <w:sz w:val="32"/>
          <w:szCs w:val="32"/>
          <w:u w:val="single"/>
        </w:rPr>
        <w:t xml:space="preserve"> </w:t>
      </w:r>
    </w:p>
    <w:p w14:paraId="00000007" w14:textId="77777777" w:rsidR="007F6EEB" w:rsidRPr="00A35149" w:rsidRDefault="00430C7C">
      <w:pPr>
        <w:widowControl w:val="0"/>
        <w:rPr>
          <w:rFonts w:asciiTheme="majorBidi" w:hAnsiTheme="majorBidi" w:cstheme="majorBidi"/>
          <w:sz w:val="32"/>
          <w:szCs w:val="32"/>
          <w:u w:val="single"/>
        </w:rPr>
      </w:pPr>
      <w:r w:rsidRPr="00A35149">
        <w:rPr>
          <w:rFonts w:asciiTheme="majorBidi" w:hAnsiTheme="majorBidi" w:cstheme="majorBidi"/>
          <w:sz w:val="32"/>
          <w:szCs w:val="32"/>
          <w:u w:val="single"/>
        </w:rPr>
        <w:t xml:space="preserve"> </w:t>
      </w:r>
    </w:p>
    <w:p w14:paraId="00000008" w14:textId="77777777" w:rsidR="007F6EEB" w:rsidRPr="00A35149" w:rsidRDefault="00430C7C">
      <w:pPr>
        <w:widowControl w:val="0"/>
        <w:rPr>
          <w:rFonts w:asciiTheme="majorBidi" w:hAnsiTheme="majorBidi" w:cstheme="majorBidi"/>
          <w:sz w:val="32"/>
          <w:szCs w:val="32"/>
          <w:u w:val="single"/>
        </w:rPr>
      </w:pPr>
      <w:r w:rsidRPr="00A35149">
        <w:rPr>
          <w:rFonts w:asciiTheme="majorBidi" w:hAnsiTheme="majorBidi" w:cstheme="majorBidi"/>
          <w:sz w:val="32"/>
          <w:szCs w:val="32"/>
          <w:u w:val="single"/>
        </w:rPr>
        <w:t xml:space="preserve"> </w:t>
      </w:r>
    </w:p>
    <w:p w14:paraId="00000009" w14:textId="351DDAE1" w:rsidR="007F6EEB" w:rsidRPr="00A35149" w:rsidRDefault="00430C7C">
      <w:pPr>
        <w:widowControl w:val="0"/>
        <w:rPr>
          <w:rFonts w:asciiTheme="majorBidi" w:hAnsiTheme="majorBidi" w:cstheme="majorBidi"/>
          <w:vertAlign w:val="superscript"/>
        </w:rPr>
      </w:pPr>
      <w:r w:rsidRPr="00A35149">
        <w:rPr>
          <w:rFonts w:asciiTheme="majorBidi" w:hAnsiTheme="majorBidi" w:cstheme="majorBidi"/>
        </w:rPr>
        <w:t>Hannah Carress</w:t>
      </w:r>
      <w:r w:rsidRPr="00A35149">
        <w:rPr>
          <w:rFonts w:asciiTheme="majorBidi" w:hAnsiTheme="majorBidi" w:cstheme="majorBidi"/>
          <w:vertAlign w:val="superscript"/>
        </w:rPr>
        <w:t>1</w:t>
      </w:r>
      <w:r w:rsidR="00210527" w:rsidRPr="00A35149">
        <w:rPr>
          <w:rFonts w:asciiTheme="majorBidi" w:hAnsiTheme="majorBidi" w:cstheme="majorBidi"/>
        </w:rPr>
        <w:t>, Daniel John Lawson</w:t>
      </w:r>
      <w:r w:rsidR="00210527" w:rsidRPr="00A35149">
        <w:rPr>
          <w:rFonts w:asciiTheme="majorBidi" w:hAnsiTheme="majorBidi" w:cstheme="majorBidi"/>
          <w:vertAlign w:val="superscript"/>
        </w:rPr>
        <w:t>2</w:t>
      </w:r>
      <w:r w:rsidR="00210527" w:rsidRPr="00A35149">
        <w:rPr>
          <w:rFonts w:asciiTheme="majorBidi" w:hAnsiTheme="majorBidi" w:cstheme="majorBidi"/>
        </w:rPr>
        <w:t>, a</w:t>
      </w:r>
      <w:r w:rsidRPr="00A35149">
        <w:rPr>
          <w:rFonts w:asciiTheme="majorBidi" w:hAnsiTheme="majorBidi" w:cstheme="majorBidi"/>
        </w:rPr>
        <w:t>nd Eran Elhaik</w:t>
      </w:r>
      <w:r w:rsidR="00210527" w:rsidRPr="00A35149">
        <w:rPr>
          <w:rFonts w:asciiTheme="majorBidi" w:hAnsiTheme="majorBidi" w:cstheme="majorBidi"/>
          <w:vertAlign w:val="superscript"/>
        </w:rPr>
        <w:t>3</w:t>
      </w:r>
    </w:p>
    <w:p w14:paraId="0000000D" w14:textId="77777777" w:rsidR="007F6EEB" w:rsidRPr="00A35149" w:rsidRDefault="00430C7C">
      <w:pPr>
        <w:widowControl w:val="0"/>
        <w:rPr>
          <w:rFonts w:asciiTheme="majorBidi" w:hAnsiTheme="majorBidi" w:cstheme="majorBidi"/>
          <w:sz w:val="32"/>
          <w:szCs w:val="32"/>
        </w:rPr>
      </w:pPr>
      <w:r w:rsidRPr="00A35149">
        <w:rPr>
          <w:rFonts w:asciiTheme="majorBidi" w:hAnsiTheme="majorBidi" w:cstheme="majorBidi"/>
          <w:sz w:val="32"/>
          <w:szCs w:val="32"/>
        </w:rPr>
        <w:t xml:space="preserve"> </w:t>
      </w:r>
    </w:p>
    <w:p w14:paraId="0000000E" w14:textId="77777777" w:rsidR="007F6EEB" w:rsidRPr="00A35149" w:rsidRDefault="00430C7C">
      <w:pPr>
        <w:widowControl w:val="0"/>
        <w:rPr>
          <w:rFonts w:asciiTheme="majorBidi" w:hAnsiTheme="majorBidi" w:cstheme="majorBidi"/>
          <w:sz w:val="32"/>
          <w:szCs w:val="32"/>
        </w:rPr>
      </w:pPr>
      <w:r w:rsidRPr="00A35149">
        <w:rPr>
          <w:rFonts w:asciiTheme="majorBidi" w:hAnsiTheme="majorBidi" w:cstheme="majorBidi"/>
          <w:sz w:val="32"/>
          <w:szCs w:val="32"/>
        </w:rPr>
        <w:t xml:space="preserve"> </w:t>
      </w:r>
    </w:p>
    <w:p w14:paraId="0000000F" w14:textId="77777777" w:rsidR="007F6EEB" w:rsidRPr="00A35149" w:rsidRDefault="00430C7C">
      <w:pPr>
        <w:widowControl w:val="0"/>
        <w:rPr>
          <w:rFonts w:asciiTheme="majorBidi" w:hAnsiTheme="majorBidi" w:cstheme="majorBidi"/>
          <w:sz w:val="32"/>
          <w:szCs w:val="32"/>
        </w:rPr>
      </w:pPr>
      <w:r w:rsidRPr="00A35149">
        <w:rPr>
          <w:rFonts w:asciiTheme="majorBidi" w:hAnsiTheme="majorBidi" w:cstheme="majorBidi"/>
          <w:sz w:val="32"/>
          <w:szCs w:val="32"/>
        </w:rPr>
        <w:t xml:space="preserve"> </w:t>
      </w:r>
    </w:p>
    <w:p w14:paraId="49B3ED7D" w14:textId="2FD27873" w:rsidR="00B9335E" w:rsidRPr="00A35149" w:rsidRDefault="00430C7C" w:rsidP="00B9335E">
      <w:pPr>
        <w:widowControl w:val="0"/>
        <w:rPr>
          <w:rFonts w:asciiTheme="majorBidi" w:eastAsia="Times New Roman" w:hAnsiTheme="majorBidi" w:cstheme="majorBidi"/>
        </w:rPr>
      </w:pPr>
      <w:r w:rsidRPr="00A35149">
        <w:rPr>
          <w:rFonts w:asciiTheme="majorBidi" w:hAnsiTheme="majorBidi" w:cstheme="majorBidi"/>
          <w:vertAlign w:val="superscript"/>
        </w:rPr>
        <w:t xml:space="preserve">1 </w:t>
      </w:r>
      <w:r w:rsidR="00B9335E" w:rsidRPr="00A35149">
        <w:rPr>
          <w:rFonts w:asciiTheme="majorBidi" w:eastAsia="Times New Roman" w:hAnsiTheme="majorBidi" w:cstheme="majorBidi"/>
        </w:rPr>
        <w:t xml:space="preserve">Department of Animal and Plant Sciences, University of Sheffield, Sheffield, </w:t>
      </w:r>
      <w:r w:rsidR="00B9335E" w:rsidRPr="00A35149">
        <w:rPr>
          <w:rFonts w:asciiTheme="majorBidi" w:hAnsiTheme="majorBidi" w:cstheme="majorBidi"/>
        </w:rPr>
        <w:t>United Kingdom</w:t>
      </w:r>
    </w:p>
    <w:p w14:paraId="531E2BBE" w14:textId="6D46A1A3" w:rsidR="00210527" w:rsidRPr="00A35149" w:rsidRDefault="00210527" w:rsidP="00B9335E">
      <w:pPr>
        <w:widowControl w:val="0"/>
        <w:rPr>
          <w:rFonts w:asciiTheme="majorBidi" w:hAnsiTheme="majorBidi" w:cstheme="majorBidi"/>
        </w:rPr>
      </w:pPr>
      <w:r w:rsidRPr="00A35149">
        <w:rPr>
          <w:rFonts w:asciiTheme="majorBidi" w:hAnsiTheme="majorBidi" w:cstheme="majorBidi"/>
          <w:vertAlign w:val="superscript"/>
        </w:rPr>
        <w:t>2</w:t>
      </w:r>
      <w:r w:rsidRPr="00A35149">
        <w:rPr>
          <w:rFonts w:asciiTheme="majorBidi" w:hAnsiTheme="majorBidi" w:cstheme="majorBidi"/>
        </w:rPr>
        <w:t xml:space="preserve"> Department of Mathematics, University of Bristol, Bristol, United Kingdom</w:t>
      </w:r>
    </w:p>
    <w:p w14:paraId="00000011" w14:textId="10AEC753" w:rsidR="007F6EEB" w:rsidRPr="00A35149" w:rsidRDefault="00210527">
      <w:pPr>
        <w:widowControl w:val="0"/>
        <w:rPr>
          <w:rFonts w:asciiTheme="majorBidi" w:hAnsiTheme="majorBidi" w:cstheme="majorBidi"/>
        </w:rPr>
      </w:pPr>
      <w:r w:rsidRPr="00A35149">
        <w:rPr>
          <w:rFonts w:asciiTheme="majorBidi" w:hAnsiTheme="majorBidi" w:cstheme="majorBidi"/>
          <w:vertAlign w:val="superscript"/>
        </w:rPr>
        <w:t>3</w:t>
      </w:r>
      <w:r w:rsidR="00430C7C" w:rsidRPr="00A35149">
        <w:rPr>
          <w:rFonts w:asciiTheme="majorBidi" w:hAnsiTheme="majorBidi" w:cstheme="majorBidi"/>
          <w:vertAlign w:val="superscript"/>
        </w:rPr>
        <w:t xml:space="preserve"> </w:t>
      </w:r>
      <w:r w:rsidR="00B9335E" w:rsidRPr="00A35149">
        <w:rPr>
          <w:rFonts w:asciiTheme="majorBidi" w:hAnsiTheme="majorBidi" w:cstheme="majorBidi"/>
        </w:rPr>
        <w:t xml:space="preserve">Department of Biology, </w:t>
      </w:r>
      <w:r w:rsidR="00430C7C" w:rsidRPr="00A35149">
        <w:rPr>
          <w:rFonts w:asciiTheme="majorBidi" w:hAnsiTheme="majorBidi" w:cstheme="majorBidi"/>
        </w:rPr>
        <w:t>Lund University, Lund, Sweden</w:t>
      </w:r>
    </w:p>
    <w:p w14:paraId="00000012" w14:textId="77777777" w:rsidR="007F6EEB" w:rsidRPr="00A35149" w:rsidRDefault="00430C7C">
      <w:pPr>
        <w:widowControl w:val="0"/>
        <w:rPr>
          <w:rFonts w:asciiTheme="majorBidi" w:hAnsiTheme="majorBidi" w:cstheme="majorBidi"/>
          <w:sz w:val="32"/>
          <w:szCs w:val="32"/>
        </w:rPr>
      </w:pPr>
      <w:r w:rsidRPr="00A35149">
        <w:rPr>
          <w:rFonts w:asciiTheme="majorBidi" w:hAnsiTheme="majorBidi" w:cstheme="majorBidi"/>
          <w:sz w:val="32"/>
          <w:szCs w:val="32"/>
        </w:rPr>
        <w:t xml:space="preserve"> </w:t>
      </w:r>
    </w:p>
    <w:p w14:paraId="00000013"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0000014"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0000015"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 xml:space="preserve"> </w:t>
      </w:r>
    </w:p>
    <w:p w14:paraId="00000016"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 xml:space="preserve"> </w:t>
      </w:r>
    </w:p>
    <w:p w14:paraId="00000017"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 xml:space="preserve"> </w:t>
      </w:r>
    </w:p>
    <w:p w14:paraId="00000018"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 xml:space="preserve"> </w:t>
      </w:r>
    </w:p>
    <w:p w14:paraId="00000019"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 xml:space="preserve"> </w:t>
      </w:r>
    </w:p>
    <w:p w14:paraId="0000001A"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 xml:space="preserve"> </w:t>
      </w:r>
    </w:p>
    <w:p w14:paraId="0000001B"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 xml:space="preserve"> </w:t>
      </w:r>
    </w:p>
    <w:p w14:paraId="0000001C"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 xml:space="preserve"> </w:t>
      </w:r>
    </w:p>
    <w:p w14:paraId="0000001D"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 xml:space="preserve"> </w:t>
      </w:r>
    </w:p>
    <w:p w14:paraId="0000001E"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 xml:space="preserve"> </w:t>
      </w:r>
    </w:p>
    <w:p w14:paraId="0000001F" w14:textId="2E1860EB"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Please address all correspondence to Eran Elhaik at </w:t>
      </w:r>
      <w:hyperlink r:id="rId9" w:history="1">
        <w:r w:rsidR="005E5C52" w:rsidRPr="00A35149">
          <w:rPr>
            <w:rStyle w:val="Hyperlink"/>
            <w:rFonts w:asciiTheme="majorBidi" w:hAnsiTheme="majorBidi" w:cstheme="majorBidi"/>
          </w:rPr>
          <w:t>eran.elhaik@bio.lu.se</w:t>
        </w:r>
      </w:hyperlink>
    </w:p>
    <w:p w14:paraId="794126DB" w14:textId="77777777" w:rsidR="005E5C52" w:rsidRPr="00A35149" w:rsidRDefault="005E5C52">
      <w:pPr>
        <w:widowControl w:val="0"/>
        <w:rPr>
          <w:rFonts w:asciiTheme="majorBidi" w:hAnsiTheme="majorBidi" w:cstheme="majorBidi"/>
        </w:rPr>
      </w:pPr>
    </w:p>
    <w:p w14:paraId="00000020"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 xml:space="preserve"> </w:t>
      </w:r>
    </w:p>
    <w:p w14:paraId="00000021" w14:textId="302E7860" w:rsidR="007F6EEB" w:rsidRPr="00A35149" w:rsidRDefault="00430C7C">
      <w:pPr>
        <w:widowControl w:val="0"/>
        <w:rPr>
          <w:rFonts w:asciiTheme="majorBidi" w:hAnsiTheme="majorBidi" w:cstheme="majorBidi"/>
        </w:rPr>
      </w:pPr>
      <w:r w:rsidRPr="00A35149">
        <w:rPr>
          <w:rFonts w:asciiTheme="majorBidi" w:hAnsiTheme="majorBidi" w:cstheme="majorBidi"/>
          <w:b/>
        </w:rPr>
        <w:t xml:space="preserve">Keywords: </w:t>
      </w:r>
      <w:r w:rsidRPr="00A35149">
        <w:rPr>
          <w:rFonts w:asciiTheme="majorBidi" w:hAnsiTheme="majorBidi" w:cstheme="majorBidi"/>
        </w:rPr>
        <w:t>Bioinformatics, Population structure, Population stratification bias, Genomic medicine</w:t>
      </w:r>
      <w:r w:rsidR="00D760A5" w:rsidRPr="00A35149">
        <w:rPr>
          <w:rFonts w:asciiTheme="majorBidi" w:hAnsiTheme="majorBidi" w:cstheme="majorBidi"/>
        </w:rPr>
        <w:t>, Biobanks</w:t>
      </w:r>
    </w:p>
    <w:p w14:paraId="3E0E1E0E" w14:textId="77777777" w:rsidR="004F5D59" w:rsidRPr="00A35149" w:rsidRDefault="004F5D59">
      <w:pPr>
        <w:rPr>
          <w:rFonts w:asciiTheme="majorBidi" w:eastAsiaTheme="majorEastAsia" w:hAnsiTheme="majorBidi" w:cstheme="majorBidi"/>
          <w:color w:val="2F5496" w:themeColor="accent1" w:themeShade="BF"/>
          <w:sz w:val="32"/>
          <w:szCs w:val="32"/>
        </w:rPr>
      </w:pPr>
      <w:r w:rsidRPr="00A35149">
        <w:rPr>
          <w:rFonts w:asciiTheme="majorBidi" w:hAnsiTheme="majorBidi" w:cstheme="majorBidi"/>
        </w:rPr>
        <w:br w:type="page"/>
      </w:r>
    </w:p>
    <w:p w14:paraId="00000024" w14:textId="0014EE7F" w:rsidR="007F6EEB" w:rsidRPr="00A35149" w:rsidRDefault="00430C7C" w:rsidP="00233E15">
      <w:pPr>
        <w:pStyle w:val="Heading1"/>
        <w:rPr>
          <w:rFonts w:asciiTheme="majorBidi" w:hAnsiTheme="majorBidi"/>
        </w:rPr>
      </w:pPr>
      <w:r w:rsidRPr="00A35149">
        <w:rPr>
          <w:rFonts w:asciiTheme="majorBidi" w:hAnsiTheme="majorBidi"/>
        </w:rPr>
        <w:lastRenderedPageBreak/>
        <w:t>ABSTRACT</w:t>
      </w:r>
      <w:r w:rsidR="005E5C52" w:rsidRPr="00A35149">
        <w:rPr>
          <w:rFonts w:asciiTheme="majorBidi" w:hAnsiTheme="majorBidi"/>
        </w:rPr>
        <w:tab/>
      </w:r>
    </w:p>
    <w:p w14:paraId="00000025"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0000026" w14:textId="6E6A885F" w:rsidR="007F6EEB" w:rsidRPr="00A35149" w:rsidRDefault="00430C7C">
      <w:pPr>
        <w:widowControl w:val="0"/>
        <w:rPr>
          <w:rFonts w:asciiTheme="majorBidi" w:hAnsiTheme="majorBidi" w:cstheme="majorBidi"/>
        </w:rPr>
      </w:pPr>
      <w:r w:rsidRPr="00A35149">
        <w:rPr>
          <w:rFonts w:asciiTheme="majorBidi" w:hAnsiTheme="majorBidi" w:cstheme="majorBidi"/>
        </w:rPr>
        <w:t>The past years saw the rise of genomic biobanks</w:t>
      </w:r>
      <w:r w:rsidR="00176F67" w:rsidRPr="00A35149">
        <w:rPr>
          <w:rFonts w:asciiTheme="majorBidi" w:hAnsiTheme="majorBidi" w:cstheme="majorBidi"/>
        </w:rPr>
        <w:t xml:space="preserve"> and mega-scale meta</w:t>
      </w:r>
      <w:r w:rsidR="00A33D21" w:rsidRPr="00A35149">
        <w:rPr>
          <w:rFonts w:asciiTheme="majorBidi" w:hAnsiTheme="majorBidi" w:cstheme="majorBidi"/>
        </w:rPr>
        <w:t>-</w:t>
      </w:r>
      <w:r w:rsidR="00176F67" w:rsidRPr="00A35149">
        <w:rPr>
          <w:rFonts w:asciiTheme="majorBidi" w:hAnsiTheme="majorBidi" w:cstheme="majorBidi"/>
        </w:rPr>
        <w:t>analysis of genomic data that promise to reveal the genetic underpinnings of health and disease.</w:t>
      </w:r>
      <w:r w:rsidRPr="00A35149">
        <w:rPr>
          <w:rFonts w:asciiTheme="majorBidi" w:hAnsiTheme="majorBidi" w:cstheme="majorBidi"/>
        </w:rPr>
        <w:t xml:space="preserve"> However, </w:t>
      </w:r>
      <w:r w:rsidR="004648D7" w:rsidRPr="00A35149">
        <w:rPr>
          <w:rFonts w:asciiTheme="majorBidi" w:hAnsiTheme="majorBidi" w:cstheme="majorBidi"/>
        </w:rPr>
        <w:t xml:space="preserve">the over-representation of Europeans in genomic studies </w:t>
      </w:r>
      <w:r w:rsidR="00BD43D9" w:rsidRPr="00A35149">
        <w:rPr>
          <w:rFonts w:asciiTheme="majorBidi" w:hAnsiTheme="majorBidi" w:cstheme="majorBidi"/>
        </w:rPr>
        <w:t xml:space="preserve">not only </w:t>
      </w:r>
      <w:r w:rsidR="004648D7" w:rsidRPr="00A35149">
        <w:rPr>
          <w:rFonts w:asciiTheme="majorBidi" w:hAnsiTheme="majorBidi" w:cstheme="majorBidi"/>
        </w:rPr>
        <w:t xml:space="preserve">limit the global </w:t>
      </w:r>
      <w:r w:rsidR="00176F67" w:rsidRPr="00A35149">
        <w:rPr>
          <w:rFonts w:asciiTheme="majorBidi" w:hAnsiTheme="majorBidi" w:cstheme="majorBidi"/>
        </w:rPr>
        <w:t>understanding of disease risk and intervention efficacy</w:t>
      </w:r>
      <w:r w:rsidR="00BD43D9" w:rsidRPr="00A35149">
        <w:rPr>
          <w:rFonts w:asciiTheme="majorBidi" w:hAnsiTheme="majorBidi" w:cstheme="majorBidi"/>
        </w:rPr>
        <w:t xml:space="preserve">, but also inhibit viable research into the genomic differences between </w:t>
      </w:r>
      <w:r w:rsidR="00E471A3" w:rsidRPr="00A35149">
        <w:rPr>
          <w:rFonts w:asciiTheme="majorBidi" w:hAnsiTheme="majorBidi" w:cstheme="majorBidi"/>
        </w:rPr>
        <w:t xml:space="preserve">carriers and </w:t>
      </w:r>
      <w:r w:rsidR="00BD43D9" w:rsidRPr="00A35149">
        <w:rPr>
          <w:rFonts w:asciiTheme="majorBidi" w:hAnsiTheme="majorBidi" w:cstheme="majorBidi"/>
        </w:rPr>
        <w:t>patients</w:t>
      </w:r>
      <w:r w:rsidR="004648D7" w:rsidRPr="00A35149">
        <w:rPr>
          <w:rFonts w:asciiTheme="majorBidi" w:hAnsiTheme="majorBidi" w:cstheme="majorBidi"/>
        </w:rPr>
        <w:t>.</w:t>
      </w:r>
      <w:r w:rsidR="00176F67" w:rsidRPr="00A35149">
        <w:rPr>
          <w:rFonts w:asciiTheme="majorBidi" w:hAnsiTheme="majorBidi" w:cstheme="majorBidi"/>
        </w:rPr>
        <w:t xml:space="preserve"> </w:t>
      </w:r>
      <w:r w:rsidR="00A33D21" w:rsidRPr="00A35149">
        <w:rPr>
          <w:rFonts w:asciiTheme="majorBidi" w:hAnsiTheme="majorBidi" w:cstheme="majorBidi"/>
        </w:rPr>
        <w:t xml:space="preserve">Whilst the community </w:t>
      </w:r>
      <w:r w:rsidR="00DD2ECA" w:rsidRPr="00A35149">
        <w:rPr>
          <w:rFonts w:asciiTheme="majorBidi" w:hAnsiTheme="majorBidi" w:cstheme="majorBidi"/>
        </w:rPr>
        <w:t>has</w:t>
      </w:r>
      <w:r w:rsidR="00A33D21" w:rsidRPr="00A35149">
        <w:rPr>
          <w:rFonts w:asciiTheme="majorBidi" w:hAnsiTheme="majorBidi" w:cstheme="majorBidi"/>
        </w:rPr>
        <w:t xml:space="preserve"> agreed that more</w:t>
      </w:r>
      <w:r w:rsidR="00176F67" w:rsidRPr="00A35149">
        <w:rPr>
          <w:rFonts w:asciiTheme="majorBidi" w:hAnsiTheme="majorBidi" w:cstheme="majorBidi"/>
        </w:rPr>
        <w:t xml:space="preserve"> diverse samples are required</w:t>
      </w:r>
      <w:r w:rsidR="00596F41" w:rsidRPr="00A35149">
        <w:rPr>
          <w:rFonts w:asciiTheme="majorBidi" w:hAnsiTheme="majorBidi" w:cstheme="majorBidi"/>
        </w:rPr>
        <w:t>,</w:t>
      </w:r>
      <w:r w:rsidR="00176F67" w:rsidRPr="00A35149">
        <w:rPr>
          <w:rFonts w:asciiTheme="majorBidi" w:hAnsiTheme="majorBidi" w:cstheme="majorBidi"/>
        </w:rPr>
        <w:t xml:space="preserve"> </w:t>
      </w:r>
      <w:r w:rsidR="001F1C35" w:rsidRPr="00A35149">
        <w:rPr>
          <w:rFonts w:asciiTheme="majorBidi" w:hAnsiTheme="majorBidi" w:cstheme="majorBidi"/>
        </w:rPr>
        <w:t xml:space="preserve">it is not enough to </w:t>
      </w:r>
      <w:r w:rsidR="00596F41" w:rsidRPr="00A35149">
        <w:rPr>
          <w:rFonts w:asciiTheme="majorBidi" w:hAnsiTheme="majorBidi" w:cstheme="majorBidi"/>
        </w:rPr>
        <w:t xml:space="preserve">blindly </w:t>
      </w:r>
      <w:r w:rsidR="001F1C35" w:rsidRPr="00A35149">
        <w:rPr>
          <w:rFonts w:asciiTheme="majorBidi" w:hAnsiTheme="majorBidi" w:cstheme="majorBidi"/>
        </w:rPr>
        <w:t>increase diversity; the diversity must be quantified</w:t>
      </w:r>
      <w:r w:rsidR="00DD2ECA" w:rsidRPr="00A35149">
        <w:rPr>
          <w:rFonts w:asciiTheme="majorBidi" w:hAnsiTheme="majorBidi" w:cstheme="majorBidi"/>
        </w:rPr>
        <w:t>,</w:t>
      </w:r>
      <w:r w:rsidR="001F1C35" w:rsidRPr="00A35149">
        <w:rPr>
          <w:rFonts w:asciiTheme="majorBidi" w:hAnsiTheme="majorBidi" w:cstheme="majorBidi"/>
        </w:rPr>
        <w:t xml:space="preserve"> compared</w:t>
      </w:r>
      <w:r w:rsidR="00DD2ECA" w:rsidRPr="00A35149">
        <w:rPr>
          <w:rFonts w:asciiTheme="majorBidi" w:hAnsiTheme="majorBidi" w:cstheme="majorBidi"/>
        </w:rPr>
        <w:t>, and annotated</w:t>
      </w:r>
      <w:r w:rsidR="001F1C35" w:rsidRPr="00A35149">
        <w:rPr>
          <w:rFonts w:asciiTheme="majorBidi" w:hAnsiTheme="majorBidi" w:cstheme="majorBidi"/>
        </w:rPr>
        <w:t xml:space="preserve"> to </w:t>
      </w:r>
      <w:r w:rsidR="00176F67" w:rsidRPr="00A35149">
        <w:rPr>
          <w:rFonts w:asciiTheme="majorBidi" w:hAnsiTheme="majorBidi" w:cstheme="majorBidi"/>
        </w:rPr>
        <w:t>lead to insight</w:t>
      </w:r>
      <w:r w:rsidR="00A33D21" w:rsidRPr="00A35149">
        <w:rPr>
          <w:rFonts w:asciiTheme="majorBidi" w:hAnsiTheme="majorBidi" w:cstheme="majorBidi"/>
        </w:rPr>
        <w:t xml:space="preserve">. Genetic annotations </w:t>
      </w:r>
      <w:r w:rsidR="00596F41" w:rsidRPr="00A35149">
        <w:rPr>
          <w:rFonts w:asciiTheme="majorBidi" w:hAnsiTheme="majorBidi" w:cstheme="majorBidi"/>
        </w:rPr>
        <w:t xml:space="preserve">from </w:t>
      </w:r>
      <w:r w:rsidR="00A33D21" w:rsidRPr="00A35149">
        <w:rPr>
          <w:rFonts w:asciiTheme="majorBidi" w:hAnsiTheme="majorBidi" w:cstheme="majorBidi"/>
        </w:rPr>
        <w:t>separate biobanks need to be comparable, computable, operate without access to raw data due to privacy concerns</w:t>
      </w:r>
      <w:r w:rsidR="00227FF1" w:rsidRPr="00A35149">
        <w:rPr>
          <w:rFonts w:asciiTheme="majorBidi" w:hAnsiTheme="majorBidi" w:cstheme="majorBidi"/>
        </w:rPr>
        <w:t xml:space="preserve">. </w:t>
      </w:r>
      <w:r w:rsidR="00487903">
        <w:rPr>
          <w:rFonts w:asciiTheme="majorBidi" w:hAnsiTheme="majorBidi" w:cstheme="majorBidi"/>
        </w:rPr>
        <w:t>Comparability is key</w:t>
      </w:r>
      <w:r w:rsidR="00227FF1" w:rsidRPr="00A35149">
        <w:rPr>
          <w:rFonts w:asciiTheme="majorBidi" w:hAnsiTheme="majorBidi" w:cstheme="majorBidi"/>
        </w:rPr>
        <w:t xml:space="preserve"> both for regular research and to</w:t>
      </w:r>
      <w:r w:rsidR="00E471A3" w:rsidRPr="00A35149">
        <w:rPr>
          <w:rFonts w:asciiTheme="majorBidi" w:hAnsiTheme="majorBidi" w:cstheme="majorBidi"/>
        </w:rPr>
        <w:t xml:space="preserve"> </w:t>
      </w:r>
      <w:r w:rsidR="006911AA" w:rsidRPr="00A35149">
        <w:rPr>
          <w:rFonts w:asciiTheme="majorBidi" w:hAnsiTheme="majorBidi" w:cstheme="majorBidi"/>
        </w:rPr>
        <w:t xml:space="preserve">allow </w:t>
      </w:r>
      <w:r w:rsidR="00E471A3" w:rsidRPr="00A35149">
        <w:rPr>
          <w:rFonts w:asciiTheme="majorBidi" w:hAnsiTheme="majorBidi" w:cstheme="majorBidi"/>
        </w:rPr>
        <w:t xml:space="preserve">international </w:t>
      </w:r>
      <w:r w:rsidR="006911AA" w:rsidRPr="00A35149">
        <w:rPr>
          <w:rFonts w:asciiTheme="majorBidi" w:hAnsiTheme="majorBidi" w:cstheme="majorBidi"/>
        </w:rPr>
        <w:t xml:space="preserve">comparison in </w:t>
      </w:r>
      <w:r w:rsidR="00E471A3" w:rsidRPr="00A35149">
        <w:rPr>
          <w:rFonts w:asciiTheme="majorBidi" w:hAnsiTheme="majorBidi" w:cstheme="majorBidi"/>
        </w:rPr>
        <w:t>response to pandemics</w:t>
      </w:r>
      <w:r w:rsidR="00A33D21" w:rsidRPr="00A35149">
        <w:rPr>
          <w:rFonts w:asciiTheme="majorBidi" w:hAnsiTheme="majorBidi" w:cstheme="majorBidi"/>
        </w:rPr>
        <w:t>.</w:t>
      </w:r>
      <w:r w:rsidRPr="00A35149">
        <w:rPr>
          <w:rFonts w:asciiTheme="majorBidi" w:hAnsiTheme="majorBidi" w:cstheme="majorBidi"/>
        </w:rPr>
        <w:t xml:space="preserve"> Here, we evaluate the </w:t>
      </w:r>
      <w:r w:rsidR="004648D7" w:rsidRPr="00A35149">
        <w:rPr>
          <w:rFonts w:asciiTheme="majorBidi" w:hAnsiTheme="majorBidi" w:cstheme="majorBidi"/>
        </w:rPr>
        <w:t xml:space="preserve">appropriateness </w:t>
      </w:r>
      <w:r w:rsidRPr="00A35149">
        <w:rPr>
          <w:rFonts w:asciiTheme="majorBidi" w:hAnsiTheme="majorBidi" w:cstheme="majorBidi"/>
        </w:rPr>
        <w:t>of commonly used genomic tools used to depict population structure</w:t>
      </w:r>
      <w:r w:rsidR="004648D7" w:rsidRPr="00A35149">
        <w:rPr>
          <w:rFonts w:asciiTheme="majorBidi" w:hAnsiTheme="majorBidi" w:cstheme="majorBidi"/>
        </w:rPr>
        <w:t xml:space="preserve"> in a standardized and comparable manner</w:t>
      </w:r>
      <w:r w:rsidR="006E1D79" w:rsidRPr="00A35149">
        <w:rPr>
          <w:rFonts w:asciiTheme="majorBidi" w:hAnsiTheme="majorBidi" w:cstheme="majorBidi"/>
        </w:rPr>
        <w:t>.</w:t>
      </w:r>
      <w:r w:rsidRPr="00A35149">
        <w:rPr>
          <w:rFonts w:asciiTheme="majorBidi" w:hAnsiTheme="majorBidi" w:cstheme="majorBidi"/>
        </w:rPr>
        <w:t xml:space="preserve"> </w:t>
      </w:r>
      <w:r w:rsidR="006E1D79" w:rsidRPr="00A35149">
        <w:rPr>
          <w:rFonts w:asciiTheme="majorBidi" w:hAnsiTheme="majorBidi" w:cstheme="majorBidi"/>
        </w:rPr>
        <w:t>T</w:t>
      </w:r>
      <w:r w:rsidRPr="00A35149">
        <w:rPr>
          <w:rFonts w:asciiTheme="majorBidi" w:hAnsiTheme="majorBidi" w:cstheme="majorBidi"/>
        </w:rPr>
        <w:t xml:space="preserve">he end goal </w:t>
      </w:r>
      <w:r w:rsidR="006E1D79" w:rsidRPr="00A35149">
        <w:rPr>
          <w:rFonts w:asciiTheme="majorBidi" w:hAnsiTheme="majorBidi" w:cstheme="majorBidi"/>
        </w:rPr>
        <w:t>is to reduce the effects of confounding and learn from genuine variation in genetic effects on phenotypes across populations, which will improve the value of</w:t>
      </w:r>
      <w:r w:rsidRPr="00A35149">
        <w:rPr>
          <w:rFonts w:asciiTheme="majorBidi" w:hAnsiTheme="majorBidi" w:cstheme="majorBidi"/>
        </w:rPr>
        <w:t xml:space="preserve"> biobanks</w:t>
      </w:r>
      <w:r w:rsidR="00E471A3" w:rsidRPr="00A35149">
        <w:rPr>
          <w:rFonts w:asciiTheme="majorBidi" w:hAnsiTheme="majorBidi" w:cstheme="majorBidi"/>
        </w:rPr>
        <w:t>, locally and internationally</w:t>
      </w:r>
      <w:r w:rsidRPr="00A35149">
        <w:rPr>
          <w:rFonts w:asciiTheme="majorBidi" w:hAnsiTheme="majorBidi" w:cstheme="majorBidi"/>
        </w:rPr>
        <w:t xml:space="preserve">, </w:t>
      </w:r>
      <w:r w:rsidR="006E1D79" w:rsidRPr="00A35149">
        <w:rPr>
          <w:rFonts w:asciiTheme="majorBidi" w:hAnsiTheme="majorBidi" w:cstheme="majorBidi"/>
        </w:rPr>
        <w:t xml:space="preserve">increase </w:t>
      </w:r>
      <w:r w:rsidRPr="00A35149">
        <w:rPr>
          <w:rFonts w:asciiTheme="majorBidi" w:hAnsiTheme="majorBidi" w:cstheme="majorBidi"/>
        </w:rPr>
        <w:t xml:space="preserve">the accuracy of association analyses, and inform developmental efforts. </w:t>
      </w:r>
    </w:p>
    <w:p w14:paraId="00000027" w14:textId="77777777" w:rsidR="007F6EEB" w:rsidRPr="00A35149" w:rsidRDefault="007F6EEB">
      <w:pPr>
        <w:widowControl w:val="0"/>
        <w:rPr>
          <w:rFonts w:asciiTheme="majorBidi" w:hAnsiTheme="majorBidi" w:cstheme="majorBidi"/>
        </w:rPr>
      </w:pPr>
    </w:p>
    <w:p w14:paraId="43106839" w14:textId="77777777" w:rsidR="001F1C35" w:rsidRPr="00A35149" w:rsidRDefault="00430C7C" w:rsidP="001F1C35">
      <w:pPr>
        <w:widowControl w:val="0"/>
        <w:ind w:firstLine="720"/>
        <w:rPr>
          <w:rFonts w:asciiTheme="majorBidi" w:hAnsiTheme="majorBidi" w:cstheme="majorBidi"/>
          <w:highlight w:val="yellow"/>
        </w:rPr>
      </w:pPr>
      <w:r w:rsidRPr="00A35149">
        <w:rPr>
          <w:rFonts w:asciiTheme="majorBidi" w:hAnsiTheme="majorBidi" w:cstheme="majorBidi"/>
        </w:rPr>
        <w:t xml:space="preserve"> </w:t>
      </w:r>
      <w:r w:rsidR="001F1C35" w:rsidRPr="00A35149">
        <w:rPr>
          <w:rFonts w:asciiTheme="majorBidi" w:hAnsiTheme="majorBidi" w:cstheme="majorBidi"/>
        </w:rPr>
        <w:t xml:space="preserve"> </w:t>
      </w:r>
    </w:p>
    <w:p w14:paraId="00000029" w14:textId="5D3D0C1E" w:rsidR="007F6EEB" w:rsidRPr="00A35149" w:rsidRDefault="007F6EEB">
      <w:pPr>
        <w:widowControl w:val="0"/>
        <w:spacing w:before="240"/>
        <w:rPr>
          <w:rFonts w:asciiTheme="majorBidi" w:hAnsiTheme="majorBidi" w:cstheme="majorBidi"/>
        </w:rPr>
      </w:pPr>
    </w:p>
    <w:p w14:paraId="0000002A" w14:textId="77777777" w:rsidR="007F6EEB" w:rsidRPr="00A35149" w:rsidRDefault="00430C7C">
      <w:pPr>
        <w:widowControl w:val="0"/>
        <w:spacing w:before="240"/>
        <w:rPr>
          <w:rFonts w:asciiTheme="majorBidi" w:hAnsiTheme="majorBidi" w:cstheme="majorBidi"/>
        </w:rPr>
      </w:pPr>
      <w:r w:rsidRPr="00A35149">
        <w:rPr>
          <w:rFonts w:asciiTheme="majorBidi" w:hAnsiTheme="majorBidi" w:cstheme="majorBidi"/>
        </w:rPr>
        <w:t xml:space="preserve"> </w:t>
      </w:r>
    </w:p>
    <w:p w14:paraId="0000002B" w14:textId="77777777" w:rsidR="007F6EEB" w:rsidRPr="00A35149" w:rsidRDefault="00430C7C">
      <w:pPr>
        <w:widowControl w:val="0"/>
        <w:spacing w:before="240"/>
        <w:rPr>
          <w:rFonts w:asciiTheme="majorBidi" w:hAnsiTheme="majorBidi" w:cstheme="majorBidi"/>
        </w:rPr>
      </w:pPr>
      <w:r w:rsidRPr="00A35149">
        <w:rPr>
          <w:rFonts w:asciiTheme="majorBidi" w:hAnsiTheme="majorBidi" w:cstheme="majorBidi"/>
        </w:rPr>
        <w:t xml:space="preserve"> </w:t>
      </w:r>
    </w:p>
    <w:p w14:paraId="0000002C" w14:textId="77777777" w:rsidR="007F6EEB" w:rsidRPr="00A35149" w:rsidRDefault="00430C7C">
      <w:pPr>
        <w:widowControl w:val="0"/>
        <w:spacing w:before="240"/>
        <w:rPr>
          <w:rFonts w:asciiTheme="majorBidi" w:hAnsiTheme="majorBidi" w:cstheme="majorBidi"/>
        </w:rPr>
      </w:pPr>
      <w:r w:rsidRPr="00A35149">
        <w:rPr>
          <w:rFonts w:asciiTheme="majorBidi" w:hAnsiTheme="majorBidi" w:cstheme="majorBidi"/>
        </w:rPr>
        <w:t xml:space="preserve"> </w:t>
      </w:r>
    </w:p>
    <w:p w14:paraId="0000002D" w14:textId="77777777" w:rsidR="007F6EEB" w:rsidRPr="00A35149" w:rsidRDefault="00430C7C">
      <w:pPr>
        <w:widowControl w:val="0"/>
        <w:spacing w:before="240"/>
        <w:rPr>
          <w:rFonts w:asciiTheme="majorBidi" w:hAnsiTheme="majorBidi" w:cstheme="majorBidi"/>
        </w:rPr>
      </w:pPr>
      <w:r w:rsidRPr="00A35149">
        <w:rPr>
          <w:rFonts w:asciiTheme="majorBidi" w:hAnsiTheme="majorBidi" w:cstheme="majorBidi"/>
        </w:rPr>
        <w:t xml:space="preserve"> </w:t>
      </w:r>
    </w:p>
    <w:p w14:paraId="0000002E" w14:textId="77777777" w:rsidR="007F6EEB" w:rsidRPr="00A35149" w:rsidRDefault="00430C7C">
      <w:pPr>
        <w:widowControl w:val="0"/>
        <w:spacing w:before="240"/>
        <w:rPr>
          <w:rFonts w:asciiTheme="majorBidi" w:hAnsiTheme="majorBidi" w:cstheme="majorBidi"/>
        </w:rPr>
      </w:pPr>
      <w:r w:rsidRPr="00A35149">
        <w:rPr>
          <w:rFonts w:asciiTheme="majorBidi" w:hAnsiTheme="majorBidi" w:cstheme="majorBidi"/>
        </w:rPr>
        <w:t xml:space="preserve"> </w:t>
      </w:r>
    </w:p>
    <w:p w14:paraId="0000002F" w14:textId="77777777" w:rsidR="007F6EEB" w:rsidRPr="00A35149" w:rsidRDefault="00430C7C">
      <w:pPr>
        <w:widowControl w:val="0"/>
        <w:spacing w:before="240"/>
        <w:rPr>
          <w:rFonts w:asciiTheme="majorBidi" w:hAnsiTheme="majorBidi" w:cstheme="majorBidi"/>
        </w:rPr>
      </w:pPr>
      <w:r w:rsidRPr="00A35149">
        <w:rPr>
          <w:rFonts w:asciiTheme="majorBidi" w:hAnsiTheme="majorBidi" w:cstheme="majorBidi"/>
        </w:rPr>
        <w:t xml:space="preserve"> </w:t>
      </w:r>
    </w:p>
    <w:p w14:paraId="00000030" w14:textId="77777777" w:rsidR="007F6EEB" w:rsidRPr="00A35149" w:rsidRDefault="00430C7C">
      <w:pPr>
        <w:widowControl w:val="0"/>
        <w:spacing w:before="240"/>
        <w:rPr>
          <w:rFonts w:asciiTheme="majorBidi" w:hAnsiTheme="majorBidi" w:cstheme="majorBidi"/>
        </w:rPr>
      </w:pPr>
      <w:r w:rsidRPr="00A35149">
        <w:rPr>
          <w:rFonts w:asciiTheme="majorBidi" w:hAnsiTheme="majorBidi" w:cstheme="majorBidi"/>
        </w:rPr>
        <w:t xml:space="preserve"> </w:t>
      </w:r>
    </w:p>
    <w:p w14:paraId="00000031" w14:textId="77777777" w:rsidR="007F6EEB" w:rsidRPr="00A35149" w:rsidRDefault="00430C7C">
      <w:pPr>
        <w:widowControl w:val="0"/>
        <w:spacing w:before="240"/>
        <w:rPr>
          <w:rFonts w:asciiTheme="majorBidi" w:hAnsiTheme="majorBidi" w:cstheme="majorBidi"/>
        </w:rPr>
      </w:pPr>
      <w:r w:rsidRPr="00A35149">
        <w:rPr>
          <w:rFonts w:asciiTheme="majorBidi" w:hAnsiTheme="majorBidi" w:cstheme="majorBidi"/>
        </w:rPr>
        <w:t xml:space="preserve"> </w:t>
      </w:r>
    </w:p>
    <w:p w14:paraId="00000032" w14:textId="77777777" w:rsidR="007F6EEB" w:rsidRPr="00A35149" w:rsidRDefault="007F6EEB">
      <w:pPr>
        <w:widowControl w:val="0"/>
        <w:spacing w:before="240"/>
        <w:rPr>
          <w:rFonts w:asciiTheme="majorBidi" w:hAnsiTheme="majorBidi" w:cstheme="majorBidi"/>
          <w:b/>
          <w:sz w:val="28"/>
          <w:szCs w:val="28"/>
        </w:rPr>
      </w:pPr>
    </w:p>
    <w:p w14:paraId="00000033" w14:textId="77777777" w:rsidR="007F6EEB" w:rsidRPr="00A35149" w:rsidRDefault="007F6EEB">
      <w:pPr>
        <w:widowControl w:val="0"/>
        <w:spacing w:before="240"/>
        <w:rPr>
          <w:rFonts w:asciiTheme="majorBidi" w:hAnsiTheme="majorBidi" w:cstheme="majorBidi"/>
          <w:b/>
          <w:sz w:val="28"/>
          <w:szCs w:val="28"/>
        </w:rPr>
      </w:pPr>
    </w:p>
    <w:p w14:paraId="09E7A36D" w14:textId="77777777" w:rsidR="00C82513" w:rsidRPr="00A35149" w:rsidRDefault="00C82513">
      <w:pPr>
        <w:rPr>
          <w:rFonts w:asciiTheme="majorBidi" w:hAnsiTheme="majorBidi" w:cstheme="majorBidi"/>
          <w:b/>
          <w:sz w:val="28"/>
          <w:szCs w:val="28"/>
        </w:rPr>
      </w:pPr>
      <w:r w:rsidRPr="00A35149">
        <w:rPr>
          <w:rFonts w:asciiTheme="majorBidi" w:hAnsiTheme="majorBidi" w:cstheme="majorBidi"/>
          <w:b/>
          <w:sz w:val="28"/>
          <w:szCs w:val="28"/>
        </w:rPr>
        <w:br w:type="page"/>
      </w:r>
    </w:p>
    <w:p w14:paraId="00000034" w14:textId="1558C76F" w:rsidR="007F6EEB" w:rsidRPr="00A35149" w:rsidRDefault="00430C7C" w:rsidP="00233E15">
      <w:pPr>
        <w:pStyle w:val="Heading1"/>
        <w:rPr>
          <w:rFonts w:asciiTheme="majorBidi" w:hAnsiTheme="majorBidi"/>
        </w:rPr>
      </w:pPr>
      <w:r w:rsidRPr="00A35149">
        <w:rPr>
          <w:rFonts w:asciiTheme="majorBidi" w:hAnsiTheme="majorBidi"/>
        </w:rPr>
        <w:lastRenderedPageBreak/>
        <w:t>INTRODUCTION</w:t>
      </w:r>
    </w:p>
    <w:tbl>
      <w:tblPr>
        <w:tblStyle w:val="a"/>
        <w:tblW w:w="90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045"/>
      </w:tblGrid>
      <w:tr w:rsidR="007F6EEB" w:rsidRPr="00A35149" w14:paraId="782CC2F7" w14:textId="77777777" w:rsidTr="00C82513">
        <w:trPr>
          <w:trHeight w:val="690"/>
        </w:trPr>
        <w:tc>
          <w:tcPr>
            <w:tcW w:w="9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000036" w14:textId="77777777" w:rsidR="007F6EEB" w:rsidRPr="00A35149" w:rsidRDefault="00430C7C">
            <w:pPr>
              <w:widowControl w:val="0"/>
              <w:rPr>
                <w:rFonts w:asciiTheme="majorBidi" w:hAnsiTheme="majorBidi" w:cstheme="majorBidi"/>
                <w:b/>
                <w:i/>
                <w:color w:val="4472C4"/>
              </w:rPr>
            </w:pPr>
            <w:r w:rsidRPr="00A35149">
              <w:rPr>
                <w:rFonts w:asciiTheme="majorBidi" w:hAnsiTheme="majorBidi" w:cstheme="majorBidi"/>
                <w:b/>
                <w:i/>
                <w:color w:val="4472C4"/>
              </w:rPr>
              <w:t>Box 1: Glossary</w:t>
            </w:r>
          </w:p>
          <w:p w14:paraId="00000037"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0000038" w14:textId="77777777" w:rsidR="007F6EEB" w:rsidRPr="00A35149" w:rsidRDefault="00430C7C">
            <w:pPr>
              <w:widowControl w:val="0"/>
              <w:jc w:val="left"/>
              <w:rPr>
                <w:rFonts w:asciiTheme="majorBidi" w:hAnsiTheme="majorBidi" w:cstheme="majorBidi"/>
                <w:b/>
              </w:rPr>
            </w:pPr>
            <w:r w:rsidRPr="00A35149">
              <w:rPr>
                <w:rFonts w:asciiTheme="majorBidi" w:hAnsiTheme="majorBidi" w:cstheme="majorBidi"/>
                <w:b/>
              </w:rPr>
              <w:t>Admixed Population</w:t>
            </w:r>
          </w:p>
          <w:p w14:paraId="00000039" w14:textId="77777777" w:rsidR="007F6EEB" w:rsidRPr="00A35149" w:rsidRDefault="00430C7C">
            <w:pPr>
              <w:widowControl w:val="0"/>
              <w:spacing w:after="240"/>
              <w:jc w:val="left"/>
              <w:rPr>
                <w:rFonts w:asciiTheme="majorBidi" w:hAnsiTheme="majorBidi" w:cstheme="majorBidi"/>
              </w:rPr>
            </w:pPr>
            <w:r w:rsidRPr="00A35149">
              <w:rPr>
                <w:rFonts w:asciiTheme="majorBidi" w:hAnsiTheme="majorBidi" w:cstheme="majorBidi"/>
              </w:rPr>
              <w:t xml:space="preserve">A population of individuals with ancestors from two or more relatively distinct populations relatively recent in human history. </w:t>
            </w:r>
          </w:p>
          <w:p w14:paraId="0000003A"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Admixture mapping</w:t>
            </w:r>
          </w:p>
          <w:p w14:paraId="0000003B"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Gene mapping of susceptibility alleles for genetic disease that show differential risk by ancestry, correlating the degree of ancestry near to genomic regions with greater disease risk.</w:t>
            </w:r>
          </w:p>
          <w:p w14:paraId="0000003C"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000003D"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Bayesian clustering</w:t>
            </w:r>
          </w:p>
          <w:p w14:paraId="0000003E"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Assignment of individuals to clusters based on genetic similarity without assuming predefined populations, using statistical methods that allow inferences to be drawn from the data and prior information.</w:t>
            </w:r>
          </w:p>
          <w:p w14:paraId="0000003F"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0000040"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Expectation-Maximisation (EM) algorithm</w:t>
            </w:r>
          </w:p>
          <w:p w14:paraId="00000041" w14:textId="77777777" w:rsidR="007F6EEB" w:rsidRPr="00A35149" w:rsidRDefault="00430C7C">
            <w:pPr>
              <w:widowControl w:val="0"/>
              <w:rPr>
                <w:rFonts w:asciiTheme="majorBidi" w:hAnsiTheme="majorBidi" w:cstheme="majorBidi"/>
                <w:color w:val="222222"/>
                <w:highlight w:val="white"/>
              </w:rPr>
            </w:pPr>
            <w:r w:rsidRPr="00A35149">
              <w:rPr>
                <w:rFonts w:asciiTheme="majorBidi" w:hAnsiTheme="majorBidi" w:cstheme="majorBidi"/>
              </w:rPr>
              <w:t>An iterative method to find maximum likelihood estimates (MLE) of parameters in statistical models, altering between an expectation step (creates a function for the expectation of the log-likelihood evaluated using the current estimate for the parameters) and a maximisation step (</w:t>
            </w:r>
            <w:r w:rsidRPr="00A35149">
              <w:rPr>
                <w:rFonts w:asciiTheme="majorBidi" w:hAnsiTheme="majorBidi" w:cstheme="majorBidi"/>
                <w:color w:val="222222"/>
                <w:highlight w:val="white"/>
              </w:rPr>
              <w:t xml:space="preserve">computes parameters maximizing the output of the </w:t>
            </w:r>
            <w:r w:rsidRPr="00A35149">
              <w:rPr>
                <w:rFonts w:asciiTheme="majorBidi" w:hAnsiTheme="majorBidi" w:cstheme="majorBidi"/>
                <w:color w:val="222222"/>
              </w:rPr>
              <w:t>expectation</w:t>
            </w:r>
            <w:r w:rsidRPr="00A35149">
              <w:rPr>
                <w:rFonts w:asciiTheme="majorBidi" w:hAnsiTheme="majorBidi" w:cstheme="majorBidi"/>
                <w:color w:val="222222"/>
                <w:highlight w:val="white"/>
              </w:rPr>
              <w:t xml:space="preserve"> step).</w:t>
            </w:r>
          </w:p>
          <w:p w14:paraId="14A5CD70" w14:textId="77777777" w:rsidR="0026741A" w:rsidRPr="00A35149" w:rsidRDefault="0026741A">
            <w:pPr>
              <w:widowControl w:val="0"/>
              <w:rPr>
                <w:rFonts w:asciiTheme="majorBidi" w:hAnsiTheme="majorBidi" w:cstheme="majorBidi"/>
              </w:rPr>
            </w:pPr>
          </w:p>
          <w:p w14:paraId="37C6FB4F" w14:textId="3B08B278" w:rsidR="0026741A" w:rsidRPr="00A35149" w:rsidRDefault="0026741A" w:rsidP="0026741A">
            <w:pPr>
              <w:widowControl w:val="0"/>
              <w:rPr>
                <w:rFonts w:asciiTheme="majorBidi" w:hAnsiTheme="majorBidi" w:cstheme="majorBidi"/>
                <w:b/>
              </w:rPr>
            </w:pPr>
            <w:r w:rsidRPr="00A35149">
              <w:rPr>
                <w:rFonts w:asciiTheme="majorBidi" w:hAnsiTheme="majorBidi" w:cstheme="majorBidi"/>
                <w:b/>
              </w:rPr>
              <w:t>Genetic Relatedness Matrix</w:t>
            </w:r>
          </w:p>
          <w:p w14:paraId="780515B3" w14:textId="5507F2BC" w:rsidR="008974DA" w:rsidRPr="00A35149" w:rsidRDefault="008C6D8B" w:rsidP="008C6D8B">
            <w:pPr>
              <w:widowControl w:val="0"/>
              <w:rPr>
                <w:rFonts w:asciiTheme="majorBidi" w:hAnsiTheme="majorBidi" w:cstheme="majorBidi"/>
                <w:color w:val="222222"/>
                <w:highlight w:val="white"/>
              </w:rPr>
            </w:pPr>
            <w:r w:rsidRPr="00A35149">
              <w:rPr>
                <w:rFonts w:asciiTheme="majorBidi" w:hAnsiTheme="majorBidi" w:cstheme="majorBidi"/>
                <w:color w:val="222222"/>
                <w:highlight w:val="white"/>
              </w:rPr>
              <w:t>The GRM represents the genomic similarities among all individuals. E</w:t>
            </w:r>
            <w:r w:rsidR="008974DA" w:rsidRPr="00A35149">
              <w:rPr>
                <w:rFonts w:asciiTheme="majorBidi" w:hAnsiTheme="majorBidi" w:cstheme="majorBidi"/>
                <w:color w:val="222222"/>
                <w:highlight w:val="white"/>
              </w:rPr>
              <w:t xml:space="preserve">ach cell </w:t>
            </w:r>
            <w:r w:rsidRPr="00A35149">
              <w:rPr>
                <w:rFonts w:asciiTheme="majorBidi" w:hAnsiTheme="majorBidi" w:cstheme="majorBidi"/>
                <w:color w:val="222222"/>
                <w:highlight w:val="white"/>
              </w:rPr>
              <w:t xml:space="preserve">in the matrix </w:t>
            </w:r>
            <w:r w:rsidR="008974DA" w:rsidRPr="00A35149">
              <w:rPr>
                <w:rFonts w:asciiTheme="majorBidi" w:hAnsiTheme="majorBidi" w:cstheme="majorBidi"/>
                <w:color w:val="222222"/>
                <w:highlight w:val="white"/>
              </w:rPr>
              <w:t xml:space="preserve">measures the genotypic correlation between </w:t>
            </w:r>
            <w:r w:rsidRPr="00A35149">
              <w:rPr>
                <w:rFonts w:asciiTheme="majorBidi" w:hAnsiTheme="majorBidi" w:cstheme="majorBidi"/>
                <w:color w:val="222222"/>
                <w:highlight w:val="white"/>
              </w:rPr>
              <w:t xml:space="preserve">a </w:t>
            </w:r>
            <w:r w:rsidR="008974DA" w:rsidRPr="00A35149">
              <w:rPr>
                <w:rFonts w:asciiTheme="majorBidi" w:hAnsiTheme="majorBidi" w:cstheme="majorBidi"/>
                <w:color w:val="222222"/>
                <w:highlight w:val="white"/>
              </w:rPr>
              <w:t>pair of individuals (the rows and columns)</w:t>
            </w:r>
            <w:r w:rsidRPr="00A35149">
              <w:rPr>
                <w:rFonts w:asciiTheme="majorBidi" w:hAnsiTheme="majorBidi" w:cstheme="majorBidi"/>
                <w:color w:val="222222"/>
                <w:highlight w:val="white"/>
              </w:rPr>
              <w:t xml:space="preserve">. The GRM can be used with a </w:t>
            </w:r>
            <w:r w:rsidR="008974DA" w:rsidRPr="00A35149">
              <w:rPr>
                <w:rFonts w:asciiTheme="majorBidi" w:hAnsiTheme="majorBidi" w:cstheme="majorBidi"/>
                <w:color w:val="222222"/>
                <w:highlight w:val="white"/>
              </w:rPr>
              <w:t xml:space="preserve">phenotypic distance matrix to estimate heritability without estimating the phenotypic effect of individual </w:t>
            </w:r>
            <w:r w:rsidRPr="00A35149">
              <w:rPr>
                <w:rFonts w:asciiTheme="majorBidi" w:hAnsiTheme="majorBidi" w:cstheme="majorBidi"/>
                <w:color w:val="222222"/>
                <w:highlight w:val="white"/>
              </w:rPr>
              <w:t>SNPs</w:t>
            </w:r>
            <w:r w:rsidR="008974DA" w:rsidRPr="00A35149">
              <w:rPr>
                <w:rFonts w:asciiTheme="majorBidi" w:hAnsiTheme="majorBidi" w:cstheme="majorBidi"/>
                <w:color w:val="222222"/>
                <w:highlight w:val="white"/>
              </w:rPr>
              <w:t>.</w:t>
            </w:r>
          </w:p>
          <w:p w14:paraId="118E4D3C" w14:textId="77777777" w:rsidR="0026741A" w:rsidRPr="00A35149" w:rsidRDefault="0026741A">
            <w:pPr>
              <w:widowControl w:val="0"/>
              <w:rPr>
                <w:rFonts w:asciiTheme="majorBidi" w:hAnsiTheme="majorBidi" w:cstheme="majorBidi"/>
              </w:rPr>
            </w:pPr>
          </w:p>
          <w:p w14:paraId="00000043"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Hidden Markov Model (HMM)</w:t>
            </w:r>
          </w:p>
          <w:p w14:paraId="00000044"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A statistical Markov model, that is a randomly changing system assumed to consist of future states that only depend on current states, whereby states are unobservable (hidden).</w:t>
            </w:r>
          </w:p>
          <w:p w14:paraId="00000045"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0000046"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Markov Chain Monte Carlo (MCMC)</w:t>
            </w:r>
          </w:p>
          <w:p w14:paraId="00000047"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A simulation method used in Bayesian calculations, incorporating a class of algorithms that can obtain a sample of the desired distribution by observing several steps of the Markov chain, which is a sequence of a probability of events that depend only on the state of the previous event and has the desired distribution at its equilibrium.</w:t>
            </w:r>
          </w:p>
          <w:p w14:paraId="00000048"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 xml:space="preserve"> </w:t>
            </w:r>
          </w:p>
          <w:p w14:paraId="00000049"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Maximum Likelihood Estimate (MLE)</w:t>
            </w:r>
          </w:p>
          <w:p w14:paraId="0000004A"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Method for selecting the best hypothesis from a set of alternatives on the basis of which contains the fewest evolutionary changes.</w:t>
            </w:r>
          </w:p>
          <w:p w14:paraId="0000004B"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000004C"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Maximum optimisation</w:t>
            </w:r>
          </w:p>
          <w:p w14:paraId="0000004D"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Maximising a function by choosing input values from a specified set and using this to calculate the value of the function.</w:t>
            </w:r>
          </w:p>
          <w:p w14:paraId="0000004E" w14:textId="1A8AF3A2"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5FB14CF1" w14:textId="63580D5F" w:rsidR="0061708E" w:rsidRPr="00A35149" w:rsidRDefault="0061708E">
            <w:pPr>
              <w:widowControl w:val="0"/>
              <w:rPr>
                <w:rFonts w:asciiTheme="majorBidi" w:hAnsiTheme="majorBidi" w:cstheme="majorBidi"/>
                <w:b/>
                <w:bCs/>
              </w:rPr>
            </w:pPr>
            <w:r w:rsidRPr="00A35149">
              <w:rPr>
                <w:rFonts w:asciiTheme="majorBidi" w:hAnsiTheme="majorBidi" w:cstheme="majorBidi"/>
                <w:b/>
                <w:bCs/>
              </w:rPr>
              <w:t>Mixed Linear Models (MLM) or Linear Mixed Models (LMMs)</w:t>
            </w:r>
          </w:p>
          <w:p w14:paraId="31748237" w14:textId="3A887E3A" w:rsidR="0061708E" w:rsidRPr="00A35149" w:rsidRDefault="009B152D">
            <w:pPr>
              <w:widowControl w:val="0"/>
              <w:rPr>
                <w:rFonts w:asciiTheme="majorBidi" w:hAnsiTheme="majorBidi" w:cstheme="majorBidi"/>
              </w:rPr>
            </w:pPr>
            <w:r w:rsidRPr="00A35149">
              <w:rPr>
                <w:rFonts w:asciiTheme="majorBidi" w:hAnsiTheme="majorBidi" w:cstheme="majorBidi"/>
              </w:rPr>
              <w:t xml:space="preserve">Mixed linear models that incorporate both fixed and random effects where there is non-independence in the data. </w:t>
            </w:r>
            <w:r w:rsidR="00F95A17" w:rsidRPr="00A35149">
              <w:rPr>
                <w:rFonts w:asciiTheme="majorBidi" w:hAnsiTheme="majorBidi" w:cstheme="majorBidi"/>
              </w:rPr>
              <w:t>These models</w:t>
            </w:r>
            <w:r w:rsidRPr="00A35149">
              <w:rPr>
                <w:rFonts w:asciiTheme="majorBidi" w:hAnsiTheme="majorBidi" w:cstheme="majorBidi"/>
              </w:rPr>
              <w:t xml:space="preserve"> are used as a form of “global correction”</w:t>
            </w:r>
            <w:r w:rsidR="00D94CA2" w:rsidRPr="00A35149">
              <w:rPr>
                <w:rFonts w:asciiTheme="majorBidi" w:hAnsiTheme="majorBidi" w:cstheme="majorBidi"/>
              </w:rPr>
              <w:t xml:space="preserve"> as they </w:t>
            </w:r>
            <w:r w:rsidR="00D94CA2" w:rsidRPr="00A35149">
              <w:rPr>
                <w:rFonts w:asciiTheme="majorBidi" w:hAnsiTheme="majorBidi" w:cstheme="majorBidi"/>
              </w:rPr>
              <w:lastRenderedPageBreak/>
              <w:t>account for both ancestry and relatedness.</w:t>
            </w:r>
          </w:p>
          <w:p w14:paraId="683D3DB2" w14:textId="77777777" w:rsidR="0061708E" w:rsidRPr="00A35149" w:rsidRDefault="0061708E">
            <w:pPr>
              <w:widowControl w:val="0"/>
              <w:rPr>
                <w:rFonts w:asciiTheme="majorBidi" w:hAnsiTheme="majorBidi" w:cstheme="majorBidi"/>
              </w:rPr>
            </w:pPr>
          </w:p>
          <w:p w14:paraId="0000004F"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Multidimensional Scaling (MDS)</w:t>
            </w:r>
          </w:p>
          <w:p w14:paraId="00000050"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A type of multivariate analysis which allows multidimensional information to be displayed graphically (usually two dimensions) with minimum loss of information whilst preserving distance between data points. MDS uses pairwise distances between points as input.</w:t>
            </w:r>
          </w:p>
          <w:p w14:paraId="00000051"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0000052" w14:textId="77777777" w:rsidR="007F6EEB" w:rsidRPr="00A35149" w:rsidRDefault="00430C7C">
            <w:pPr>
              <w:widowControl w:val="0"/>
              <w:rPr>
                <w:rFonts w:asciiTheme="majorBidi" w:hAnsiTheme="majorBidi" w:cstheme="majorBidi"/>
                <w:b/>
              </w:rPr>
            </w:pPr>
            <w:r w:rsidRPr="00A35149">
              <w:rPr>
                <w:rFonts w:asciiTheme="majorBidi" w:hAnsiTheme="majorBidi" w:cstheme="majorBidi"/>
                <w:b/>
              </w:rPr>
              <w:t>Principal Components Analysis (PCA)</w:t>
            </w:r>
          </w:p>
          <w:p w14:paraId="00000053" w14:textId="7CEDD976"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A type of multivariate analysis that allows multidimensional information to be displayed graphically with minimum loss of information while preserving covariance of data. PCA is typically applied to genotype data </w:t>
            </w:r>
            <w:r w:rsidR="0061708E" w:rsidRPr="00A35149">
              <w:rPr>
                <w:rFonts w:asciiTheme="majorBidi" w:hAnsiTheme="majorBidi" w:cstheme="majorBidi"/>
              </w:rPr>
              <w:t xml:space="preserve">as a form of “global correction” </w:t>
            </w:r>
            <w:r w:rsidRPr="00A35149">
              <w:rPr>
                <w:rFonts w:asciiTheme="majorBidi" w:hAnsiTheme="majorBidi" w:cstheme="majorBidi"/>
              </w:rPr>
              <w:t>and the derived PCs are used for further analyses.</w:t>
            </w:r>
          </w:p>
        </w:tc>
      </w:tr>
    </w:tbl>
    <w:p w14:paraId="17D00E58" w14:textId="674B4574" w:rsidR="00C70452" w:rsidRPr="00A35149" w:rsidRDefault="00430C7C" w:rsidP="004171DE">
      <w:pPr>
        <w:widowControl w:val="0"/>
        <w:rPr>
          <w:rFonts w:asciiTheme="majorBidi" w:hAnsiTheme="majorBidi" w:cstheme="majorBidi"/>
        </w:rPr>
      </w:pPr>
      <w:r w:rsidRPr="00A35149">
        <w:rPr>
          <w:rFonts w:asciiTheme="majorBidi" w:hAnsiTheme="majorBidi" w:cstheme="majorBidi"/>
        </w:rPr>
        <w:lastRenderedPageBreak/>
        <w:t xml:space="preserve"> </w:t>
      </w:r>
    </w:p>
    <w:p w14:paraId="6DB148CE" w14:textId="44EDA758" w:rsidR="00CD0F54" w:rsidRPr="00A35149" w:rsidRDefault="00C104C3" w:rsidP="00233E15">
      <w:pPr>
        <w:pStyle w:val="Heading2"/>
        <w:rPr>
          <w:rFonts w:asciiTheme="majorBidi" w:hAnsiTheme="majorBidi"/>
          <w:color w:val="4472C4" w:themeColor="accent1"/>
        </w:rPr>
      </w:pPr>
      <w:r w:rsidRPr="00A35149">
        <w:rPr>
          <w:rFonts w:asciiTheme="majorBidi" w:hAnsiTheme="majorBidi"/>
          <w:color w:val="4472C4" w:themeColor="accent1"/>
        </w:rPr>
        <w:t>Association studies and biobanks</w:t>
      </w:r>
    </w:p>
    <w:p w14:paraId="4D215873" w14:textId="77777777" w:rsidR="00CD0F54" w:rsidRPr="00A35149" w:rsidRDefault="00CD0F54" w:rsidP="00286B5F">
      <w:pPr>
        <w:ind w:firstLine="720"/>
        <w:rPr>
          <w:rFonts w:asciiTheme="majorBidi" w:hAnsiTheme="majorBidi" w:cstheme="majorBidi"/>
          <w:b/>
          <w:bCs/>
        </w:rPr>
      </w:pPr>
    </w:p>
    <w:p w14:paraId="598274D4" w14:textId="6B2ABAB3" w:rsidR="00F22033" w:rsidRPr="00A35149" w:rsidRDefault="0054529C" w:rsidP="002B7047">
      <w:pPr>
        <w:ind w:firstLine="720"/>
        <w:rPr>
          <w:rFonts w:asciiTheme="majorBidi" w:hAnsiTheme="majorBidi" w:cstheme="majorBidi"/>
          <w:color w:val="222222"/>
          <w:shd w:val="clear" w:color="auto" w:fill="FFFFFF"/>
        </w:rPr>
      </w:pPr>
      <w:r w:rsidRPr="00A35149">
        <w:rPr>
          <w:rFonts w:asciiTheme="majorBidi" w:hAnsiTheme="majorBidi" w:cstheme="majorBidi"/>
        </w:rPr>
        <w:t xml:space="preserve">Association studies aim to detect whether genetic variants found in different individuals are associated with a trait or disease of interest, by comparing the DNA of individuals that vary in relation to the phenotypes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{"citationItems":[{"id":"ITEM-1","itemData":{"DOI":"10.1186/s12864-017-4166-8","ISSN":"14712164","abstract":"BACKGROUND Accurate inference of genetic ancestry is of fundamental interest to many biomedical, forensic, and anthropological research areas. Genetic ancestry memberships may relate to genetic disease risks. In a genome association study, failing to account for differences in genetic ancestry between cases and controls may also lead to false-positive results. Although a number of strategies for inferring and taking into account the confounding effects of genetic ancestry are available, applying them to large studies (tens thousands samples) is challenging. The goal of this study is to develop an approach for inferring genetic ancestry of samples with unknown ancestry among closely related populations and to provide accurate estimates of ancestry for application to large-scale studies. METHODS In this study we developed a novel distance-based approach, Ancestry Inference using Principal component analysis and Spatial analysis (AIPS) that incorporates an Inverse Distance Weighted (IDW) interpolation method from spatial analysis to assign individuals to population memberships. RESULTS We demonstrate the benefits of AIPS in analyzing population substructure, specifically related to the four most commonly used tools EIGENSTRAT, STRUCTURE, fastSTRUCTURE, and ADMIXTURE using genotype data from various intra-European panels and European-Americans. While the aforementioned commonly used tools performed poorly in inferring ancestry from a large number of subpopulations, AIPS accurately distinguished variations between and within subpopulations. CONCLUSIONS Our results show that AIPS can be applied to large-scale data sets to discriminate the modest variability among intra-continental populations as well as for characterizing inter-continental variation. The method we developed will protect against spurious associations when mapping the genetic basis of a disease. Our approach is more accurate and computationally efficient method for inferring genetic ancestry in the large-scale genetic studies.","author":[{"dropping-particle":"","family":"Byun","given":"Jinyoung","non-dropping-particle":"","parse-names":false,"suffix":""},{"dropping-particle":"","family":"Han","given":"Younghun","non-dropping-particle":"","parse-names":false,"suffix":""},{"dropping-particle":"","family":"Gorlov","given":"Ivan P.","non-dropping-particle":"","parse-names":false,"suffix":""},{"dropping-particle":"","family":"Busam","given":"Jonathan A.","non-dropping-particle":"","parse-names":false,"suffix":""},{"dropping-particle":"","family":"Seldin","given":"Michael F.","non-dropping-particle":"","parse-names":false,"suffix":""},{"dropping-particle":"","family":"Amos","given":"Christopher I.","non-dropping-particle":"","parse-names":false,"suffix":""}],"container-title":"BMC Genomics","id":"ITEM-1","issue":"789","issued":{"date-parts":[["2017"]]},"page":"1-12","title":"Ancestry inference using principal component analysis and spatial analysis: A distance-based analysis to account for population substructure","type":"article-journal","volume":"18"},"uris":["http://www.mendeley.com/documents/?uuid=31fce1a3-bdc5-47b6-8c50-67cad91fbba9"]}],"mendeley":{"formattedCitation":"(Byun &lt;i&gt;et al.&lt;/i&gt;, 2017)","plainTextFormattedCitation":"(Byun et al., 2017)","previouslyFormattedCitation":"(Byun &lt;i&gt;et al.&lt;/i&gt;, 2017)"},"properties":{"noteIndex":0},"schema":"https://github.com/citation-style-language/schema/raw/master/csl-citation.json"}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(Byun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2017)</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w:t>
      </w:r>
      <w:r w:rsidR="00121CDD" w:rsidRPr="00A35149">
        <w:rPr>
          <w:rFonts w:asciiTheme="majorBidi" w:hAnsiTheme="majorBidi" w:cstheme="majorBidi"/>
        </w:rPr>
        <w:t xml:space="preserve">This article </w:t>
      </w:r>
      <w:r w:rsidR="007315EC" w:rsidRPr="00A35149">
        <w:rPr>
          <w:rFonts w:asciiTheme="majorBidi" w:hAnsiTheme="majorBidi" w:cstheme="majorBidi"/>
        </w:rPr>
        <w:t xml:space="preserve">addresses how </w:t>
      </w:r>
      <w:r w:rsidR="00711A43" w:rsidRPr="00A35149">
        <w:rPr>
          <w:rFonts w:asciiTheme="majorBidi" w:hAnsiTheme="majorBidi" w:cstheme="majorBidi"/>
        </w:rPr>
        <w:t>ancestry</w:t>
      </w:r>
      <w:r w:rsidR="00D5591A" w:rsidRPr="00A35149">
        <w:rPr>
          <w:rFonts w:asciiTheme="majorBidi" w:hAnsiTheme="majorBidi" w:cstheme="majorBidi"/>
        </w:rPr>
        <w:t xml:space="preserve"> influences on</w:t>
      </w:r>
      <w:r w:rsidR="00711A43" w:rsidRPr="00A35149">
        <w:rPr>
          <w:rFonts w:asciiTheme="majorBidi" w:hAnsiTheme="majorBidi" w:cstheme="majorBidi"/>
        </w:rPr>
        <w:t xml:space="preserve"> genetic </w:t>
      </w:r>
      <w:r w:rsidR="007315EC" w:rsidRPr="00A35149">
        <w:rPr>
          <w:rFonts w:asciiTheme="majorBidi" w:hAnsiTheme="majorBidi" w:cstheme="majorBidi"/>
        </w:rPr>
        <w:t>associations</w:t>
      </w:r>
      <w:r w:rsidR="00711A43" w:rsidRPr="00A35149">
        <w:rPr>
          <w:rFonts w:asciiTheme="majorBidi" w:hAnsiTheme="majorBidi" w:cstheme="majorBidi"/>
        </w:rPr>
        <w:t xml:space="preserve"> </w:t>
      </w:r>
      <w:r w:rsidR="00D5591A" w:rsidRPr="00A35149">
        <w:rPr>
          <w:rFonts w:asciiTheme="majorBidi" w:hAnsiTheme="majorBidi" w:cstheme="majorBidi"/>
        </w:rPr>
        <w:t>could be</w:t>
      </w:r>
      <w:r w:rsidR="00711A43" w:rsidRPr="00A35149">
        <w:rPr>
          <w:rFonts w:asciiTheme="majorBidi" w:hAnsiTheme="majorBidi" w:cstheme="majorBidi"/>
        </w:rPr>
        <w:t xml:space="preserve"> </w:t>
      </w:r>
      <w:r w:rsidR="007315EC" w:rsidRPr="00A35149">
        <w:rPr>
          <w:rFonts w:asciiTheme="majorBidi" w:hAnsiTheme="majorBidi" w:cstheme="majorBidi"/>
        </w:rPr>
        <w:t>robustly compared across international biobank projects. Whilst a</w:t>
      </w:r>
      <w:r w:rsidR="00020053" w:rsidRPr="00A35149">
        <w:rPr>
          <w:rFonts w:asciiTheme="majorBidi" w:hAnsiTheme="majorBidi" w:cstheme="majorBidi"/>
        </w:rPr>
        <w:t xml:space="preserve">ssociations are </w:t>
      </w:r>
      <w:r w:rsidR="0010324A" w:rsidRPr="00A35149">
        <w:rPr>
          <w:rFonts w:asciiTheme="majorBidi" w:hAnsiTheme="majorBidi" w:cstheme="majorBidi"/>
        </w:rPr>
        <w:t xml:space="preserve">scientifically invaluable for a range </w:t>
      </w:r>
      <w:r w:rsidR="00704934" w:rsidRPr="00A35149">
        <w:rPr>
          <w:rFonts w:asciiTheme="majorBidi" w:hAnsiTheme="majorBidi" w:cstheme="majorBidi"/>
        </w:rPr>
        <w:t>of questions we will outline below, as we completed this review the world plunged into</w:t>
      </w:r>
      <w:r w:rsidR="009009C1" w:rsidRPr="00A35149">
        <w:rPr>
          <w:rFonts w:asciiTheme="majorBidi" w:hAnsiTheme="majorBidi" w:cstheme="majorBidi"/>
        </w:rPr>
        <w:t xml:space="preserve"> the</w:t>
      </w:r>
      <w:r w:rsidR="00704934" w:rsidRPr="00A35149">
        <w:rPr>
          <w:rFonts w:asciiTheme="majorBidi" w:hAnsiTheme="majorBidi" w:cstheme="majorBidi"/>
        </w:rPr>
        <w:t xml:space="preserve"> </w:t>
      </w:r>
      <w:r w:rsidR="008138C1" w:rsidRPr="00A35149">
        <w:rPr>
          <w:rFonts w:asciiTheme="majorBidi" w:hAnsiTheme="majorBidi" w:cstheme="majorBidi"/>
          <w:color w:val="222222"/>
          <w:shd w:val="clear" w:color="auto" w:fill="FFFFFF"/>
        </w:rPr>
        <w:t>COVID-19 pandemic</w:t>
      </w:r>
      <w:r w:rsidR="00704934" w:rsidRPr="00A35149">
        <w:rPr>
          <w:rFonts w:asciiTheme="majorBidi" w:hAnsiTheme="majorBidi" w:cstheme="majorBidi"/>
          <w:color w:val="222222"/>
          <w:shd w:val="clear" w:color="auto" w:fill="FFFFFF"/>
        </w:rPr>
        <w:t xml:space="preserve">. If our recommendations had been in place, </w:t>
      </w:r>
      <w:r w:rsidR="00121CDD" w:rsidRPr="00A35149">
        <w:rPr>
          <w:rFonts w:asciiTheme="majorBidi" w:hAnsiTheme="majorBidi" w:cstheme="majorBidi"/>
          <w:color w:val="222222"/>
          <w:shd w:val="clear" w:color="auto" w:fill="FFFFFF"/>
        </w:rPr>
        <w:t>biobanks would be better positioned to answer</w:t>
      </w:r>
      <w:r w:rsidR="008138C1" w:rsidRPr="00A35149">
        <w:rPr>
          <w:rFonts w:asciiTheme="majorBidi" w:hAnsiTheme="majorBidi" w:cstheme="majorBidi"/>
          <w:color w:val="222222"/>
          <w:shd w:val="clear" w:color="auto" w:fill="FFFFFF"/>
        </w:rPr>
        <w:t xml:space="preserve"> why some people develop severe disease, </w:t>
      </w:r>
      <w:r w:rsidR="00C4146C" w:rsidRPr="00A35149">
        <w:rPr>
          <w:rFonts w:asciiTheme="majorBidi" w:hAnsiTheme="majorBidi" w:cstheme="majorBidi"/>
          <w:color w:val="222222"/>
          <w:shd w:val="clear" w:color="auto" w:fill="FFFFFF"/>
        </w:rPr>
        <w:t>and</w:t>
      </w:r>
      <w:r w:rsidR="008138C1" w:rsidRPr="00A35149">
        <w:rPr>
          <w:rFonts w:asciiTheme="majorBidi" w:hAnsiTheme="majorBidi" w:cstheme="majorBidi"/>
          <w:color w:val="222222"/>
          <w:shd w:val="clear" w:color="auto" w:fill="FFFFFF"/>
        </w:rPr>
        <w:t xml:space="preserve"> others do not</w:t>
      </w:r>
      <w:r w:rsidR="00313451" w:rsidRPr="00A35149">
        <w:rPr>
          <w:rFonts w:asciiTheme="majorBidi" w:hAnsiTheme="majorBidi" w:cstheme="majorBidi"/>
          <w:color w:val="222222"/>
          <w:shd w:val="clear" w:color="auto" w:fill="FFFFFF"/>
        </w:rPr>
        <w:t xml:space="preserve">, whilst accounting </w:t>
      </w:r>
      <w:r w:rsidR="00313451" w:rsidRPr="00A35149">
        <w:rPr>
          <w:rFonts w:asciiTheme="majorBidi" w:hAnsiTheme="majorBidi" w:cstheme="majorBidi"/>
          <w:i/>
          <w:iCs/>
          <w:color w:val="222222"/>
          <w:shd w:val="clear" w:color="auto" w:fill="FFFFFF"/>
        </w:rPr>
        <w:t xml:space="preserve">separately </w:t>
      </w:r>
      <w:r w:rsidR="00313451" w:rsidRPr="00A35149">
        <w:rPr>
          <w:rFonts w:asciiTheme="majorBidi" w:hAnsiTheme="majorBidi" w:cstheme="majorBidi"/>
          <w:color w:val="222222"/>
          <w:shd w:val="clear" w:color="auto" w:fill="FFFFFF"/>
        </w:rPr>
        <w:t xml:space="preserve">for </w:t>
      </w:r>
      <w:r w:rsidR="007D6EA0" w:rsidRPr="00A35149">
        <w:rPr>
          <w:rFonts w:asciiTheme="majorBidi" w:hAnsiTheme="majorBidi" w:cstheme="majorBidi"/>
          <w:color w:val="222222"/>
          <w:shd w:val="clear" w:color="auto" w:fill="FFFFFF"/>
        </w:rPr>
        <w:t>ancestry differences</w:t>
      </w:r>
      <w:r w:rsidR="00313451" w:rsidRPr="00A35149">
        <w:rPr>
          <w:rFonts w:asciiTheme="majorBidi" w:hAnsiTheme="majorBidi" w:cstheme="majorBidi"/>
          <w:color w:val="222222"/>
          <w:shd w:val="clear" w:color="auto" w:fill="FFFFFF"/>
        </w:rPr>
        <w:t xml:space="preserve"> and other co-morbidity differences between populations</w:t>
      </w:r>
      <w:r w:rsidR="008138C1" w:rsidRPr="00A35149">
        <w:rPr>
          <w:rFonts w:asciiTheme="majorBidi" w:hAnsiTheme="majorBidi" w:cstheme="majorBidi"/>
          <w:color w:val="222222"/>
          <w:shd w:val="clear" w:color="auto" w:fill="FFFFFF"/>
        </w:rPr>
        <w:t>.</w:t>
      </w:r>
      <w:r w:rsidR="00BF4B50" w:rsidRPr="00A35149">
        <w:rPr>
          <w:rFonts w:asciiTheme="majorBidi" w:hAnsiTheme="majorBidi" w:cstheme="majorBidi"/>
          <w:color w:val="222222"/>
          <w:shd w:val="clear" w:color="auto" w:fill="FFFFFF"/>
        </w:rPr>
        <w:t xml:space="preserve"> </w:t>
      </w:r>
      <w:r w:rsidR="00C4146C" w:rsidRPr="00A35149">
        <w:rPr>
          <w:rFonts w:asciiTheme="majorBidi" w:hAnsiTheme="majorBidi" w:cstheme="majorBidi"/>
          <w:color w:val="222222"/>
          <w:shd w:val="clear" w:color="auto" w:fill="FFFFFF"/>
        </w:rPr>
        <w:t>For example, since</w:t>
      </w:r>
      <w:r w:rsidR="008138C1" w:rsidRPr="00A35149">
        <w:rPr>
          <w:rFonts w:asciiTheme="majorBidi" w:hAnsiTheme="majorBidi" w:cstheme="majorBidi"/>
          <w:color w:val="222222"/>
          <w:shd w:val="clear" w:color="auto" w:fill="FFFFFF"/>
        </w:rPr>
        <w:t xml:space="preserve"> the major-histocompatibility-complex antigen loci (HLA) </w:t>
      </w:r>
      <w:r w:rsidR="00F22033" w:rsidRPr="00A35149">
        <w:rPr>
          <w:rFonts w:asciiTheme="majorBidi" w:hAnsiTheme="majorBidi" w:cstheme="majorBidi"/>
          <w:color w:val="222222"/>
          <w:shd w:val="clear" w:color="auto" w:fill="FFFFFF"/>
        </w:rPr>
        <w:t xml:space="preserve">are </w:t>
      </w:r>
      <w:r w:rsidR="008138C1" w:rsidRPr="00A35149">
        <w:rPr>
          <w:rFonts w:asciiTheme="majorBidi" w:hAnsiTheme="majorBidi" w:cstheme="majorBidi"/>
          <w:color w:val="222222"/>
          <w:shd w:val="clear" w:color="auto" w:fill="FFFFFF"/>
        </w:rPr>
        <w:t xml:space="preserve">the prototypical candidates </w:t>
      </w:r>
      <w:r w:rsidR="00F22033" w:rsidRPr="00A35149">
        <w:rPr>
          <w:rFonts w:asciiTheme="majorBidi" w:hAnsiTheme="majorBidi" w:cstheme="majorBidi"/>
          <w:color w:val="222222"/>
          <w:shd w:val="clear" w:color="auto" w:fill="FFFFFF"/>
        </w:rPr>
        <w:t xml:space="preserve">that modulate the </w:t>
      </w:r>
      <w:r w:rsidR="008138C1" w:rsidRPr="00A35149">
        <w:rPr>
          <w:rFonts w:asciiTheme="majorBidi" w:hAnsiTheme="majorBidi" w:cstheme="majorBidi"/>
          <w:color w:val="222222"/>
          <w:shd w:val="clear" w:color="auto" w:fill="FFFFFF"/>
        </w:rPr>
        <w:t>genetic susceptibility to infectious diseases</w:t>
      </w:r>
      <w:r w:rsidR="00F22033" w:rsidRPr="00A35149">
        <w:rPr>
          <w:rFonts w:asciiTheme="majorBidi" w:hAnsiTheme="majorBidi" w:cstheme="majorBidi"/>
          <w:color w:val="222222"/>
          <w:shd w:val="clear" w:color="auto" w:fill="FFFFFF"/>
        </w:rPr>
        <w:t xml:space="preserve">, association studies aim at identifying their types may provide valuable </w:t>
      </w:r>
      <w:r w:rsidR="008138C1" w:rsidRPr="00A35149">
        <w:rPr>
          <w:rFonts w:asciiTheme="majorBidi" w:hAnsiTheme="majorBidi" w:cstheme="majorBidi"/>
          <w:color w:val="222222"/>
          <w:shd w:val="clear" w:color="auto" w:fill="FFFFFF"/>
        </w:rPr>
        <w:t>information for strategizing prevention, treatment, vaccination, and clinical approaches</w:t>
      </w:r>
      <w:r w:rsidR="00F22033" w:rsidRPr="00A35149">
        <w:rPr>
          <w:rFonts w:asciiTheme="majorBidi" w:hAnsiTheme="majorBidi" w:cstheme="majorBidi"/>
          <w:color w:val="222222"/>
          <w:shd w:val="clear" w:color="auto" w:fill="FFFFFF"/>
        </w:rPr>
        <w:t xml:space="preserve"> </w:t>
      </w:r>
      <w:r w:rsidR="00A50A1B" w:rsidRPr="00A35149">
        <w:rPr>
          <w:rFonts w:asciiTheme="majorBidi" w:hAnsiTheme="majorBidi" w:cstheme="majorBidi"/>
          <w:color w:val="4472C4" w:themeColor="accent1"/>
          <w:shd w:val="clear" w:color="auto" w:fill="FFFFFF"/>
        </w:rPr>
        <w:fldChar w:fldCharType="begin" w:fldLock="1"/>
      </w:r>
      <w:r w:rsidR="00A50A1B" w:rsidRPr="00A35149">
        <w:rPr>
          <w:rFonts w:asciiTheme="majorBidi" w:hAnsiTheme="majorBidi" w:cstheme="majorBidi"/>
          <w:color w:val="4472C4" w:themeColor="accent1"/>
          <w:shd w:val="clear" w:color="auto" w:fill="FFFFFF"/>
        </w:rPr>
        <w:instrText>ADDIN CSL_CITATION {"citationItems":[{"id":"ITEM-1","itemData":{"DOI":"10.1038/s41418-020-0530-3","ISSN":"1350-9047","PMID":"32205856","abstract":"&lt;p&gt;Cell Death &amp;amp; Differentiation, Published online: 23 March 2020; &lt;a href=\"https://www.nature.com/articles/s41418-020-0530-3\"&gt;doi:10.1038/s41418-020-0530-3&lt;/a&gt;&lt;/p&gt;COVID-19 infection: the perspectives on immune responses","author":[{"dropping-particle":"","family":"Shi","given":"Yufang","non-dropping-particle":"","parse-names":false,"suffix":""},{"dropping-particle":"","family":"Wang","given":"Ying","non-dropping-particle":"","parse-names":false,"suffix":""},{"dropping-particle":"","family":"Shao","given":"Changshun","non-dropping-particle":"","parse-names":false,"suffix":""},{"dropping-particle":"","family":"Huang","given":"Jianan","non-dropping-particle":"","parse-names":false,"suffix":""},{"dropping-particle":"","family":"Gan","given":"Jianhe","non-dropping-particle":"","parse-names":false,"suffix":""},{"dropping-particle":"","family":"Huang","given":"Xiaoping","non-dropping-particle":"","parse-names":false,"suffix":""},{"dropping-particle":"","family":"Bucci","given":"Enrico","non-dropping-particle":"","parse-names":false,"suffix":""},{"dropping-particle":"","family":"Piacentini","given":"Mauro","non-dropping-particle":"","parse-names":false,"suffix":""},{"dropping-particle":"","family":"Ippolito","given":"Giuseppe","non-dropping-particle":"","parse-names":false,"suffix":""},{"dropping-particle":"","family":"Melino","given":"Gerry","non-dropping-particle":"","parse-names":false,"suffix":""}],"container-title":"Cell Death &amp; Differentiation","id":"ITEM-1","issued":{"date-parts":[["2020"]]},"title":"COVID-19 infection: the perspectives on immune responses","type":"article-journal"},"uris":["http://www.mendeley.com/documents/?uuid=f772d683-066f-4559-87e2-7493c05b6e69"]}],"mendeley":{"formattedCitation":"(Shi &lt;i&gt;et al.&lt;/i&gt;, 2020)","plainTextFormattedCitation":"(Shi et al., 2020)","previouslyFormattedCitation":"(Shi &lt;i&gt;et al.&lt;/i&gt;, 2020)"},"properties":{"noteIndex":0},"schema":"https://github.com/citation-style-language/schema/raw/master/csl-citation.json"}</w:instrText>
      </w:r>
      <w:r w:rsidR="00A50A1B" w:rsidRPr="00A35149">
        <w:rPr>
          <w:rFonts w:asciiTheme="majorBidi" w:hAnsiTheme="majorBidi" w:cstheme="majorBidi"/>
          <w:color w:val="4472C4" w:themeColor="accent1"/>
          <w:shd w:val="clear" w:color="auto" w:fill="FFFFFF"/>
        </w:rPr>
        <w:fldChar w:fldCharType="separate"/>
      </w:r>
      <w:r w:rsidR="00A50A1B" w:rsidRPr="00A35149">
        <w:rPr>
          <w:rFonts w:asciiTheme="majorBidi" w:hAnsiTheme="majorBidi" w:cstheme="majorBidi"/>
          <w:noProof/>
          <w:color w:val="4472C4" w:themeColor="accent1"/>
          <w:shd w:val="clear" w:color="auto" w:fill="FFFFFF"/>
        </w:rPr>
        <w:t xml:space="preserve">(Shi </w:t>
      </w:r>
      <w:r w:rsidR="00A50A1B" w:rsidRPr="00A35149">
        <w:rPr>
          <w:rFonts w:asciiTheme="majorBidi" w:hAnsiTheme="majorBidi" w:cstheme="majorBidi"/>
          <w:i/>
          <w:noProof/>
          <w:color w:val="4472C4" w:themeColor="accent1"/>
          <w:shd w:val="clear" w:color="auto" w:fill="FFFFFF"/>
        </w:rPr>
        <w:t>et al.</w:t>
      </w:r>
      <w:r w:rsidR="00A50A1B" w:rsidRPr="00A35149">
        <w:rPr>
          <w:rFonts w:asciiTheme="majorBidi" w:hAnsiTheme="majorBidi" w:cstheme="majorBidi"/>
          <w:noProof/>
          <w:color w:val="4472C4" w:themeColor="accent1"/>
          <w:shd w:val="clear" w:color="auto" w:fill="FFFFFF"/>
        </w:rPr>
        <w:t>, 2020)</w:t>
      </w:r>
      <w:r w:rsidR="00A50A1B" w:rsidRPr="00A35149">
        <w:rPr>
          <w:rFonts w:asciiTheme="majorBidi" w:hAnsiTheme="majorBidi" w:cstheme="majorBidi"/>
          <w:color w:val="4472C4" w:themeColor="accent1"/>
          <w:shd w:val="clear" w:color="auto" w:fill="FFFFFF"/>
        </w:rPr>
        <w:fldChar w:fldCharType="end"/>
      </w:r>
      <w:r w:rsidR="00A50A1B" w:rsidRPr="00A35149">
        <w:rPr>
          <w:rFonts w:asciiTheme="majorBidi" w:hAnsiTheme="majorBidi" w:cstheme="majorBidi"/>
          <w:color w:val="222222"/>
          <w:shd w:val="clear" w:color="auto" w:fill="FFFFFF"/>
        </w:rPr>
        <w:t>.</w:t>
      </w:r>
      <w:r w:rsidR="00F22033" w:rsidRPr="00A35149">
        <w:rPr>
          <w:rFonts w:asciiTheme="majorBidi" w:hAnsiTheme="majorBidi" w:cstheme="majorBidi"/>
          <w:color w:val="222222"/>
          <w:shd w:val="clear" w:color="auto" w:fill="FFFFFF"/>
        </w:rPr>
        <w:t xml:space="preserve"> </w:t>
      </w:r>
      <w:r w:rsidR="00FA11BB" w:rsidRPr="00A35149">
        <w:rPr>
          <w:rFonts w:asciiTheme="majorBidi" w:hAnsiTheme="majorBidi" w:cstheme="majorBidi"/>
          <w:color w:val="222222"/>
          <w:shd w:val="clear" w:color="auto" w:fill="FFFFFF"/>
        </w:rPr>
        <w:t>Such c</w:t>
      </w:r>
      <w:r w:rsidR="00F22033" w:rsidRPr="00A35149">
        <w:rPr>
          <w:rFonts w:asciiTheme="majorBidi" w:hAnsiTheme="majorBidi" w:cstheme="majorBidi"/>
          <w:color w:val="222222"/>
          <w:shd w:val="clear" w:color="auto" w:fill="FFFFFF"/>
        </w:rPr>
        <w:t xml:space="preserve">ardinal questions </w:t>
      </w:r>
      <w:r w:rsidR="00FA11BB" w:rsidRPr="00A35149">
        <w:rPr>
          <w:rFonts w:asciiTheme="majorBidi" w:hAnsiTheme="majorBidi" w:cstheme="majorBidi"/>
          <w:color w:val="222222"/>
          <w:shd w:val="clear" w:color="auto" w:fill="FFFFFF"/>
        </w:rPr>
        <w:t xml:space="preserve">striking </w:t>
      </w:r>
      <w:r w:rsidR="00F22033" w:rsidRPr="00A35149">
        <w:rPr>
          <w:rFonts w:asciiTheme="majorBidi" w:hAnsiTheme="majorBidi" w:cstheme="majorBidi"/>
          <w:color w:val="222222"/>
          <w:shd w:val="clear" w:color="auto" w:fill="FFFFFF"/>
        </w:rPr>
        <w:t xml:space="preserve">the core differences between </w:t>
      </w:r>
      <w:r w:rsidR="00FA11BB" w:rsidRPr="00A35149">
        <w:rPr>
          <w:rFonts w:asciiTheme="majorBidi" w:hAnsiTheme="majorBidi" w:cstheme="majorBidi"/>
          <w:color w:val="222222"/>
          <w:shd w:val="clear" w:color="auto" w:fill="FFFFFF"/>
        </w:rPr>
        <w:t>individuals, families, communities, and populations</w:t>
      </w:r>
      <w:r w:rsidR="00F22033" w:rsidRPr="00A35149">
        <w:rPr>
          <w:rFonts w:asciiTheme="majorBidi" w:hAnsiTheme="majorBidi" w:cstheme="majorBidi"/>
          <w:color w:val="222222"/>
          <w:shd w:val="clear" w:color="auto" w:fill="FFFFFF"/>
        </w:rPr>
        <w:t xml:space="preserve"> necessitated genomic biobanks.</w:t>
      </w:r>
    </w:p>
    <w:p w14:paraId="3DC29367" w14:textId="77777777" w:rsidR="00F22033" w:rsidRPr="00A35149" w:rsidRDefault="00F22033" w:rsidP="00F22033">
      <w:pPr>
        <w:ind w:firstLine="720"/>
        <w:rPr>
          <w:rFonts w:asciiTheme="majorBidi" w:hAnsiTheme="majorBidi" w:cstheme="majorBidi"/>
          <w:color w:val="222222"/>
          <w:shd w:val="clear" w:color="auto" w:fill="FFFFFF"/>
        </w:rPr>
      </w:pPr>
    </w:p>
    <w:p w14:paraId="2DD8B88E" w14:textId="1B931112" w:rsidR="0054529C" w:rsidRPr="00A35149" w:rsidRDefault="001A0558" w:rsidP="00F22033">
      <w:pPr>
        <w:ind w:firstLine="720"/>
        <w:rPr>
          <w:rFonts w:asciiTheme="majorBidi" w:hAnsiTheme="majorBidi" w:cstheme="majorBidi"/>
        </w:rPr>
      </w:pPr>
      <w:r w:rsidRPr="00A35149">
        <w:rPr>
          <w:rFonts w:asciiTheme="majorBidi" w:hAnsiTheme="majorBidi" w:cstheme="majorBidi"/>
        </w:rPr>
        <w:t>T</w:t>
      </w:r>
      <w:r w:rsidR="0054529C" w:rsidRPr="00A35149">
        <w:rPr>
          <w:rFonts w:asciiTheme="majorBidi" w:hAnsiTheme="majorBidi" w:cstheme="majorBidi"/>
        </w:rPr>
        <w:t>he completion of the human genome</w:t>
      </w:r>
      <w:r w:rsidRPr="00A35149">
        <w:rPr>
          <w:rFonts w:asciiTheme="majorBidi" w:hAnsiTheme="majorBidi" w:cstheme="majorBidi"/>
        </w:rPr>
        <w:t xml:space="preserve"> allowed genomic </w:t>
      </w:r>
      <w:r w:rsidR="00987C41" w:rsidRPr="00A35149">
        <w:rPr>
          <w:rFonts w:asciiTheme="majorBidi" w:hAnsiTheme="majorBidi" w:cstheme="majorBidi"/>
        </w:rPr>
        <w:t xml:space="preserve">biobanks </w:t>
      </w:r>
      <w:r w:rsidRPr="00A35149">
        <w:rPr>
          <w:rFonts w:asciiTheme="majorBidi" w:hAnsiTheme="majorBidi" w:cstheme="majorBidi"/>
        </w:rPr>
        <w:t>to</w:t>
      </w:r>
      <w:r w:rsidR="00987C41" w:rsidRPr="00A35149">
        <w:rPr>
          <w:rFonts w:asciiTheme="majorBidi" w:hAnsiTheme="majorBidi" w:cstheme="majorBidi"/>
        </w:rPr>
        <w:t xml:space="preserve"> be envisioned. </w:t>
      </w:r>
      <w:r w:rsidRPr="00A35149">
        <w:rPr>
          <w:rFonts w:asciiTheme="majorBidi" w:hAnsiTheme="majorBidi" w:cstheme="majorBidi"/>
        </w:rPr>
        <w:t>After the</w:t>
      </w:r>
      <w:r w:rsidR="00EE3DEF" w:rsidRPr="00A35149">
        <w:rPr>
          <w:rFonts w:asciiTheme="majorBidi" w:hAnsiTheme="majorBidi" w:cstheme="majorBidi"/>
        </w:rPr>
        <w:t xml:space="preserve"> International HapMap Project, practicality </w:t>
      </w:r>
      <w:r w:rsidR="00987C41" w:rsidRPr="00A35149">
        <w:rPr>
          <w:rFonts w:asciiTheme="majorBidi" w:hAnsiTheme="majorBidi" w:cstheme="majorBidi"/>
        </w:rPr>
        <w:t xml:space="preserve">the first international </w:t>
      </w:r>
      <w:r w:rsidR="0054529C" w:rsidRPr="00A35149">
        <w:rPr>
          <w:rFonts w:asciiTheme="majorBidi" w:hAnsiTheme="majorBidi" w:cstheme="majorBidi"/>
        </w:rPr>
        <w:t>biobank</w:t>
      </w:r>
      <w:r w:rsidR="00EE3DEF" w:rsidRPr="00A35149">
        <w:rPr>
          <w:rFonts w:asciiTheme="majorBidi" w:hAnsiTheme="majorBidi" w:cstheme="majorBidi"/>
        </w:rPr>
        <w:t xml:space="preserve"> </w:t>
      </w:r>
      <w:r w:rsidR="00A50A1B" w:rsidRPr="00A35149">
        <w:rPr>
          <w:rFonts w:asciiTheme="majorBidi" w:hAnsiTheme="majorBidi" w:cstheme="majorBidi"/>
          <w:color w:val="4472C4" w:themeColor="accent1"/>
        </w:rPr>
        <w:fldChar w:fldCharType="begin" w:fldLock="1"/>
      </w:r>
      <w:r w:rsidR="00A50A1B" w:rsidRPr="00A35149">
        <w:rPr>
          <w:rFonts w:asciiTheme="majorBidi" w:hAnsiTheme="majorBidi" w:cstheme="majorBidi"/>
          <w:color w:val="4472C4" w:themeColor="accent1"/>
        </w:rPr>
        <w:instrText>ADDIN CSL_CITATION {"citationItems":[{"id":"ITEM-1","itemData":{"DOI":"10.1038/nature04226","ISSN":"00280836","PMID":"16255080","abstract":"Inherited genetic variation has a critical but as yet largely uncharacterized role in human disease. Here we report a public database of common variation in the human genome: more than one million single nucleotide polymorphisms (SNPs) for which accurate and complete genotypes have been obtained in 269 DNA samples from four populations, including ten 500-kilobase regions in which essentially all information about common DNA variation has been extracted. These data document the generality of recombination hotspots, a block-like structure of linkage disequilibrium and low haplotype diversity, leading to substantial correlations of SNPs with many of their neighbours. We show how the HapMap resource can guide the design and analysis of genetic association studies, shed light on structural variation and recombination, and identify loci that may have been subject to natural selection during human evolution. © 2005 Nature Publishing Group.","author":[{"dropping-particle":"","family":"Belmont","given":"John W.","non-dropping-particle":"","parse-names":false,"suffix":""},{"dropping-particle":"","family":"Boudreau","given":"Andrew","non-dropping-particle":"","parse-names":false,"suffix":""},{"dropping-particle":"","family":"Leal","given":"Suzanne M.","non-dropping-particle":"","parse-names":false,"suffix":""},{"dropping-particle":"","family":"Hardenbol","given":"Paul","non-dropping-particle":"","parse-names":false,"suffix":""},{"dropping-particle":"","family":"Pasternak","given":"Shiran","non-dropping-particle":"","parse-names":false,"suffix":""},{"dropping-particle":"","family":"Wheeler","given":"David A.","non-dropping-particle":"","parse-names":false,"suffix":""},{"dropping-particle":"","family":"Willis","given":"Thomas D.","non-dropping-particle":"","parse-names":false,"suffix":""},{"dropping-particle":"","family":"Yu","given":"Fuli","non-dropping-particle":"","parse-names":false,"suffix":""},{"dropping-particle":"","family":"Yang","given":"Huanming","non-dropping-particle":"","parse-names":false,"suffix":""},{"dropping-particle":"","family":"Gao","given":"Yang","non-dropping-particle":"","parse-names":false,"suffix":""},{"dropping-particle":"","family":"Hu","given":"Haoran","non-dropping-particle":"","parse-names":false,"suffix":""},{"dropping-particle":"","family":"Hu","given":"Weitao","non-dropping-particle":"","parse-names":false,"suffix":""},{"dropping-particle":"","family":"Li","given":"Chaohua","non-dropping-particle":"","parse-names":false,"suffix":""},{"dropping-particle":"","family":"Lin","given":"Wei","non-dropping-particle":"","parse-names":false,"suffix":""},{"dropping-particle":"","family":"Liu","given":"Siqi","non-dropping-particle":"","parse-names":false,"suffix":""},{"dropping-particle":"","family":"Pan","given":"Hao","non-dropping-particle":"","parse-names":false,"suffix":""},{"dropping-particle":"","family":"Tang","given":"Xiaoli","non-dropping-particle":"","parse-names":false,"suffix":""},{"dropping-particle":"","family":"Wang","given":"Jian","non-dropping-particle":"","parse-names":false,"suffix":""},{"dropping-particle":"","family":"Wang","given":"Wei","non-dropping-particle":"","parse-names":false,"suffix":""},{"dropping-particle":"","family":"Yu","given":"Jun","non-dropping-particle":"","parse-names":false,"suffix":""},{"dropping-particle":"","family":"Zhang","given":"Bo","non-dropping-particle":"","parse-names":false,"suffix":""},{"dropping-particle":"","family":"Zhang","given":"Qingrun","non-dropping-particle":"","parse-names":false,"suffix":""},{"dropping-particle":"","family":"Zhao","given":"Hongbin","non-dropping-particle":"","parse-names":false,"suffix":""},{"dropping-particle":"","family":"Zhou","given":"Jun","non-dropping-particle":"","parse-names":false,"suffix":""},{"dropping-particle":"","family":"Barry","given":"Rachel","non-dropping-particle":"","parse-names":false,"suffix":""},{"dropping-particle":"","family":"Blumenstiel","given":"Brendan","non-dropping-particle":"","parse-names":false,"suffix":""},{"dropping-particle":"","family":"Camargo","given":"Amy","non-dropping-particle":"","parse-names":false,"suffix":""},{"dropping-particle":"","family":"Defelice","given":"Matthew","non-dropping-particle":"","parse-names":false,"suffix":""},{"dropping-particle":"","family":"Faggart","given":"Maura","non-dropping-particle":"","parse-names":false,"suffix":""},{"dropping-particle":"","family":"Goyette","given":"Mary","non-dropping-particle":"","parse-names":false,"suffix":""},{"dropping-particle":"","family":"Gupta","given":"Supriya","non-dropping-particle":"","parse-names":false,"suffix":""},{"dropping-particle":"","family":"Moore","given":"Jamie","non-dropping-particle":"","parse-names":false,"suffix":""},{"dropping-particle":"","family":"Nguyen","given":"Huy","non-dropping-particle":"","parse-names":false,"suffix":""},{"dropping-particle":"","family":"Parkin","given":"Melissa","non-dropping-particle":"","parse-names":false,"suffix":""},{"dropping-particle":"","family":"Roy","given":"Jessica","non-dropping-particle":"","parse-names":false,"suffix":""},{"dropping-particle":"","family":"Stahl","given":"Erich","non-dropping-particle":"","parse-names":false,"suffix":""},{"dropping-particle":"","family":"Winchester","given":"Ellen","non-dropping-particle":"","parse-names":false,"suffix":""},{"dropping-particle":"","family":"Altshuler","given":"David","non-dropping-particle":"","parse-names":false,"suffix":""},{"dropping-particle":"","family":"Shen","given":"Yan","non-dropping-particle":"","parse-names":false,"suffix":""},{"dropping-particle":"","family":"Yao","given":"Zhijian","non-dropping-particle":"","parse-names":false,"suffix":""},{"dropping-particle":"","family":"Huang","given":"Wei","non-dropping-particle":"","parse-names":false,"suffix":""},{"dropping-particle":"","family":"Chu","given":"Xun","non-dropping-particle":"","parse-names":false,"suffix":""},{"dropping-particle":"","family":"He","given":"Yungang","non-dropping-particle":"","parse-names":false,"suffix":""},{"dropping-particle":"","family":"Jin","given":"Li","non-dropping-particle":"","parse-names":false,"suffix":""},{"dropping-particle":"","family":"Liu","given":"Yangfan","non-dropping-particle":"","parse-names":false,"suffix":""},{"dropping-particle":"","family":"Shen","given":"Yayun","non-dropping-particle":"","parse-names":false,"suffix":""},{"dropping-particle":"","family":"Sun","given":"Weiwei","non-dropping-particle":"","parse-names":false,"suffix":""},{"dropping-particle":"","family":"Wang","given":"Haifeng","non-dropping-particle":"","parse-names":false,"suffix":""},{"dropping-particle":"","family":"Wang","given":"Yi","non-dropping-particle":"","parse-names":false,"suffix":""},{"dropping-particle":"","family":"Wang","given":"Ying","non-dropping-particle":"","parse-names":false,"suffix":""},{"dropping-particle":"","family":"Xiong","given":"Xiaoyan","non-dropping-particle":"","parse-names":false,"suffix":""},{"dropping-particle":"","family":"Xu","given":"Liang","non-dropping-particle":"","parse-names":false,"suffix":""},{"dropping-particle":"","family":"Waye","given":"Mary M.Y.","non-dropping-particle":"","parse-names":false,"suffix":""},{"dropping-particle":"","family":"Tsui","given":"Stephen K.W.","non-dropping-particle":"","parse-names":false,"suffix":""},{"dropping-particle":"","family":"Xue","given":"Hong","non-dropping-particle":"","parse-names":false,"suffix":""},{"dropping-particle":"","family":"Wong","given":"J. Tze Fei","non-dropping-particle":"","parse-names":false,"suffix":""},{"dropping-particle":"","family":"Galver","given":"Launa M.","non-dropping-particle":"","parse-names":false,"suffix":""},{"dropping-particle":"","family":"Fan","given":"Jian Bing","non-dropping-particle":"","parse-names":false,"suffix":""},{"dropping-particle":"","family":"Murray","given":"Sarah S.","non-dropping-particle":"","parse-names":false,"suffix":""},{"dropping-particle":"","family":"Oliphant","given":"Arnold R.","non-dropping-particle":"","parse-names":false,"suffix":""},{"dropping-particle":"","family":"Chee","given":"Mark S.","non-dropping-particle":"","parse-names":false,"suffix":""},{"dropping-particle":"","family":"Montpetit","given":"Alexandre","non-dropping-particle":"","parse-names":false,"suffix":""},{"dropping-particle":"","family":"Chagnon","given":"Fanny","non-dropping-particle":"","parse-names":false,"suffix":""},{"dropping-particle":"","family":"Ferretti","given":"Vincent","non-dropping-particle":"","parse-names":false,"suffix":""},{"dropping-particle":"","family":"Leboeuf","given":"Martin","non-dropping-particle":"","parse-names":false,"suffix":""},{"dropping-particle":"","family":"Olivier","given":"Jean François","non-dropping-particle":"","parse-names":false,"suffix":""},{"dropping-particle":"","family":"Phillips","given":"Michael S.","non-dropping-particle":"","parse-names":false,"suffix":""},{"dropping-particle":"","family":"Roumy","given":"Stéphanie","non-dropping-particle":"","parse-names":false,"suffix":""},{"dropping-particle":"","family":"Sallée","given":"Clémentine","non-dropping-particle":"","parse-names":false,"suffix":""},{"dropping-particle":"","family":"Verner","given":"Andrei","non-dropping-particle":"","parse-names":false,"suffix":""},{"dropping-particle":"","family":"Hudson","given":"Thomas J.","non-dropping-particle":"","parse-names":false,"suffix":""},{"dropping-particle":"","family":"Frazer","given":"Kelly A.","non-dropping-particle":"","parse-names":false,"suffix":""},{"dropping-particle":"","family":"Ballinger","given":"Dennis G.","non-dropping-particle":"","parse-names":false,"suffix":""},{"dropping-particle":"","family":"Cox","given":"David R.","non-dropping-particle":"","parse-names":false,"suffix":""},{"dropping-particle":"","family":"Hinds","given":"David A.","non-dropping-particle":"","parse-names":false,"suffix":""},{"dropping-particle":"","family":"Stuve","given":"Laura L.","non-dropping-particle":"","parse-names":false,"suffix":""},{"dropping-particle":"","family":"Kwok","given":"Pui Yan","non-dropping-particle":"","parse-names":false,"suffix":""},{"dropping-particle":"","family":"Cai","given":"Dongmei","non-dropping-particle":"","parse-names":false,"suffix":""},{"dropping-particle":"","family":"Koboldt","given":"Daniel C.","non-dropping-particle":"","parse-names":false,"suffix":""},{"dropping-particle":"","family":"Miller","given":"Raymond D.","non-dropping-particle":"","parse-names":false,"suffix":""},{"dropping-particle":"","family":"Pawlikowska","given":"Ludmila","non-dropping-particle":"","parse-names":false,"suffix":""},{"dropping-particle":"","family":"Taillon-Miller","given":"Patricia","non-dropping-particle":"","parse-names":false,"suffix":""},{"dropping-particle":"","family":"Xiao","given":"Ming","non-dropping-particle":"","parse-names":false,"suffix":""},{"dropping-particle":"","family":"Tsui","given":"Lap Chee","non-dropping-particle":"","parse-names":false,"suffix":""},{"dropping-particle":"","family":"Mak","given":"William","non-dropping-particle":"","parse-names":false,"suffix":""},{"dropping-particle":"","family":"Sham","given":"Pak C.","non-dropping-particle":"","parse-names":false,"suffix":""},{"dropping-particle":"","family":"Song","given":"You Qiang","non-dropping-particle":"","parse-names":false,"suffix":""},{"dropping-particle":"","family":"Tam","given":"Paul K.H.","non-dropping-particle":"","parse-names":false,"suffix":""},{"dropping-particle":"","family":"Nakamura","given":"Yusuke","non-dropping-particle":"","parse-names":false,"suffix":""},{"dropping-particle":"","family":"Kawaguchi","given":"Takahisa","non-dropping-particle":"","parse-names":false,"suffix":""},{"dropping-particle":"","family":"Kitamoto","given":"Takuya","non-dropping-particle":"","parse-names":false,"suffix":""},{"dropping-particle":"","family":"Morizono","given":"Takashi","non-dropping-particle":"","parse-names":false,"suffix":""},{"dropping-particle":"","family":"Nagashima","given":"Atsushi","non-dropping-particle":"","parse-names":false,"suffix":""},{"dropping-particle":"","family":"Ohnishi","given":"Yozo","non-dropping-particle":"","parse-names":false,"suffix":""},{"dropping-particle":"","family":"Sekine","given":"Akihiro","non-dropping-particle":"","parse-names":false,"suffix":""},{"dropping-particle":"","family":"Tanaka","given":"Toshihiro","non-dropping-particle":"","parse-names":false,"suffix":""},{"dropping-particle":"","family":"Deloukas","given":"Panos","non-dropping-particle":"","parse-names":false,"suffix":""},{"dropping-particle":"","family":"Bird","given":"Christine P.","non-dropping-particle":"","parse-names":false,"suffix":""},{"dropping-particle":"","family":"Delgado","given":"Marcos","non-dropping-particle":"","parse-names":false,"suffix":""},{"dropping-particle":"","family":"Dermitzakis","given":"Emmanouil T.","non-dropping-particle":"","parse-names":false,"suffix":""},{"dropping-particle":"","family":"Gwilliam","given":"Rhian","non-dropping-particle":"","parse-names":false,"suffix":""},{"dropping-particle":"","family":"Hunt","given":"Sarah","non-dropping-particle":"","parse-names":false,"suffix":""},{"dropping-particle":"","family":"Morrison","given":"Jonathan","non-dropping-particle":"","parse-names":false,"suffix":""},{"dropping-particle":"","family":"Powell","given":"Don","non-dropping-particle":"","parse-names":false,"suffix":""},{"dropping-particle":"","family":"Stranger","given":"Barbara E.","non-dropping-particle":"","parse-names":false,"suffix":""},{"dropping-particle":"","family":"Whittaker","given":"Pamela","non-dropping-particle":"","parse-names":false,"suffix":""},{"dropping-particle":"","family":"Bentley","given":"David R.","non-dropping-particle":"","parse-names":false,"suffix":""},{"dropping-particle":"","family":"Bakker","given":"Paul I.W.","non-dropping-particle":"De","parse-names":false,"suffix":""},{"dropping-particle":"","family":"Barrett","given":"Jeff","non-dropping-particle":"","parse-names":false,"suffix":""},{"dropping-particle":"","family":"Fry","given":"Ben","non-dropping-particle":"","parse-names":false,"suffix":""},{"dropping-particle":"","family":"Maller","given":"Julian","non-dropping-particle":"","parse-names":false,"suffix":""},{"dropping-particle":"","family":"McCarroll","given":"Steve","non-dropping-particle":"","parse-names":false,"suffix":""},{"dropping-particle":"","family":"Patterson","given":"Nick","non-dropping-particle":"","parse-names":false,"suffix":""},{"dropping-particle":"","family":"Pe'er","given":"Itsik","non-dropping-particle":"","parse-names":false,"suffix":""},{"dropping-particle":"","family":"Purcell","given":"Shaun","non-dropping-particle":"","parse-names":false,"suffix":""},{"dropping-particle":"","family":"Richter","given":"Daniel J.","non-dropping-particle":"","parse-names":false,"suffix":""},{"dropping-particle":"","family":"Sabeti","given":"Pardis","non-dropping-particle":"","parse-names":false,"suffix":""},{"dropping-particle":"","family":"Saxena","given":"Richa","non-dropping-particle":"","parse-names":false,"suffix":""},{"dropping-particle":"","family":"Schaffner","given":"Stephen F.","non-dropping-particle":"","parse-names":false,"suffix":""},{"dropping-particle":"","family":"Varilly","given":"Patrick","non-dropping-particle":"","parse-names":false,"suffix":""},{"dropping-particle":"","family":"Stein","given":"Lincoln D.","non-dropping-particle":"","parse-names":false,"suffix":""},{"dropping-particle":"","family":"Krishnan","given":"Lalitha","non-dropping-particle":"","parse-names":false,"suffix":""},{"dropping-particle":"","family":"Smith","given":"Albert Vernon","non-dropping-particle":"","parse-names":false,"suffix":""},{"dropping-particle":"","family":"Thorisson","given":"Gudmundur A.","non-dropping-particle":"","parse-names":false,"suffix":""},{"dropping-particle":"","family":"Chakravarti","given":"Aravinda","non-dropping-particle":"","parse-names":false,"suffix":""},{"dropping-particle":"","family":"Chen","given":"Peter E.","non-dropping-particle":"","parse-names":false,"suffix":""},{"dropping-particle":"","family":"Cutler","given":"David J.","non-dropping-particle":"","parse-names":false,"suffix":""},{"dropping-particle":"","family":"Kashuk","given":"Carl S.","non-dropping-particle":"","parse-names":false,"suffix":""},{"dropping-particle":"","family":"Lin","given":"Shin","non-dropping-particle":"","parse-names":false,"suffix":""},{"dropping-particle":"","family":"Abecasis","given":"Gonçalo R.","non-dropping-particle":"","parse-names":false,"suffix":""},{"dropping-particle":"","family":"Guan","given":"Weihua","non-dropping-particle":"","parse-names":false,"suffix":""},{"dropping-particle":"","family":"Munro","given":"Heather M.","non-dropping-particle":"","parse-names":false,"suffix":""},{"dropping-particle":"","family":"Qin","given":"Zhaohui Steve","non-dropping-particle":"","parse-names":false,"suffix":""},{"dropping-particle":"","family":"Thomas","given":"Daryl J.","non-dropping-particle":"","parse-names":false,"suffix":""},{"dropping-particle":"","family":"McVean","given":"Gilean","non-dropping-particle":"","parse-names":false,"suffix":""},{"dropping-particle":"","family":"Bottolo","given":"Leonardo","non-dropping-particle":"","parse-names":false,"suffix":""},{"dropping-particle":"","family":"Eyheramendy","given":"Susana","non-dropping-particle":"","parse-names":false,"suffix":""},{"dropping-particle":"","family":"Freeman","given":"Colin","non-dropping-particle":"","parse-names":false,"suffix":""},{"dropping-particle":"","family":"Marchini","given":"Jonathan","non-dropping-particle":"","parse-names":false,"suffix":""},{"dropping-particle":"","family":"Myers","given":"Simon","non-dropping-particle":"","parse-names":false,"suffix":""},{"dropping-particle":"","family":"Spencer","given":"Chris","non-dropping-particle":"","parse-names":false,"suffix":""},{"dropping-particle":"","family":"Stephens","given":"Matthew","non-dropping-particle":"","parse-names":false,"suffix":""},{"dropping-particle":"","family":"Donnelly","given":"Peter","non-dropping-particle":"","parse-names":false,"suffix":""},{"dropping-particle":"","family":"Cardon","given":"Lon R.","non-dropping-particle":"","parse-names":false,"suffix":""},{"dropping-particle":"","family":"Clarke","given":"Geraldine","non-dropping-particle":"","parse-names":false,"suffix":""},{"dropping-particle":"","family":"Evans","given":"David M.","non-dropping-particle":"","parse-names":false,"suffix":""},{"dropping-particle":"","family":"Morris","given":"Andrew P.","non-dropping-particle":"","parse-names":false,"suffix":""},{"dropping-particle":"","family":"Weir","given":"Bruce S.","non-dropping-particle":"","parse-names":false,"suffix":""},{"dropping-particle":"","family":"Tsunoda","given":"Tatsuhiko","non-dropping-particle":"","parse-names":false,"suffix":""},{"dropping-particle":"","family":"Mullikin","given":"James C.","non-dropping-particle":"","parse-names":false,"suffix":""},{"dropping-particle":"","family":"Sherry","given":"Stephen T.","non-dropping-particle":"","parse-names":false,"suffix":""},{"dropping-particle":"","family":"Feolo","given":"Michael","non-dropping-particle":"","parse-names":false,"suffix":""},{"dropping-particle":"","family":"Zhang","given":"Houcan","non-dropping-particle":"","parse-names":false,"suffix":""},{"dropping-particle":"","family":"Zeng","given":"Changqing","non-dropping-particle":"","parse-names":false,"suffix":""},{"dropping-particle":"","family":"Zhao","given":"Hui","non-dropping-particle":"","parse-names":false,"suffix":""},{"dropping-particle":"","family":"Matsuda","given":"Ichiro","non-dropping-particle":"","parse-names":false,"suffix":""},{"dropping-particle":"","family":"Fukushima","given":"Yoshimitsu","non-dropping-particle":"","parse-names":false,"suffix":""},{"dropping-particle":"","family":"Macer","given":"Darryl R.","non-dropping-particle":"","parse-names":false,"suffix":""},{"dropping-particle":"","family":"Suda","given":"Eiko","non-dropping-particle":"","parse-names":false,"suffix":""},{"dropping-particle":"","family":"Rotimi","given":"Charles N.","non-dropping-particle":"","parse-names":false,"suffix":""},{"dropping-particle":"","family":"Adebamowo","given":"Clement A.","non-dropping-particle":"","parse-names":false,"suffix":""},{"dropping-particle":"","family":"Ajayi","given":"Ike","non-dropping-particle":"","parse-names":false,"suffix":""},{"dropping-particle":"","family":"Aniagwu","given":"Toyin","non-dropping-particle":"","parse-names":false,"suffix":""},{"dropping-particle":"","family":"Marshall","given":"Patricia A.","non-dropping-particle":"","parse-names":false,"suffix":""},{"dropping-particle":"","family":"Nkwodimmah","given":"Chibuzor","non-dropping-particle":"","parse-names":false,"suffix":""},{"dropping-particle":"","family":"Royal","given":"Charmaine D.M.","non-dropping-particle":"","parse-names":false,"suffix":""},{"dropping-particle":"","family":"Leppert","given":"Mark F.","non-dropping-particle":"","parse-names":false,"suffix":""},{"dropping-particle":"","family":"Dixon","given":"Missy","non-dropping-particle":"","parse-names":false,"suffix":""},{"dropping-particle":"","family":"Peiffer","given":"Andy","non-dropping-particle":"","parse-names":false,"suffix":""},{"dropping-particle":"","family":"Qiu","given":"Renzong","non-dropping-particle":"","parse-names":false,"suffix":""},{"dropping-particle":"","family":"Kent","given":"Alastair","non-dropping-particle":"","parse-names":false,"suffix":""},{"dropping-particle":"","family":"Kato","given":"Kazuto","non-dropping-particle":"","parse-names":false,"suffix":""},{"dropping-particle":"","family":"Niikawa","given":"Norio","non-dropping-particle":"","parse-names":false,"suffix":""},{"dropping-particle":"","family":"Adewole","given":"Isaac F.","non-dropping-particle":"","parse-names":false,"suffix":""},{"dropping-particle":"","family":"Knoppers","given":"Bartha M.","non-dropping-particle":"","parse-names":false,"suffix":""},{"dropping-particle":"","family":"Foster","given":"Morris W.","non-dropping-particle":"","parse-names":false,"suffix":""},{"dropping-particle":"","family":"Clayton","given":"Ellen Wright","non-dropping-particle":"","parse-names":false,"suffix":""},{"dropping-particle":"","family":"Watkin","given":"Jessica","non-dropping-particle":"","parse-names":false,"suffix":""},{"dropping-particle":"","family":"Gibbs","given":"Richard A.","non-dropping-particle":"","parse-names":false,"suffix":""},{"dropping-particle":"","family":"Muzny","given":"Donna","non-dropping-particle":"","parse-names":false,"suffix":""},{"dropping-particle":"","family":"Nazareth","given":"Lynne","non-dropping-particle":"","parse-names":false,"suffix":""},{"dropping-particle":"","family":"Sodergren","given":"Erica","non-dropping-particle":"","parse-names":false,"suffix":""},{"dropping-particle":"","family":"Weinstock","given":"George M.","non-dropping-particle":"","parse-names":false,"suffix":""},{"dropping-particle":"","family":"Yakub","given":"Imtiaz","non-dropping-particle":"","parse-names":false,"suffix":""},{"dropping-particle":"","family":"Gabriel","given":"Stacey B.","non-dropping-particle":"","parse-names":false,"suffix":""},{"dropping-particle":"","family":"Onofrio","given":"Robert C.","non-dropping-particle":"","parse-names":false,"suffix":""},{"dropping-particle":"","family":"Ziaugra","given":"Liuda","non-dropping-particle":"","parse-names":false,"suffix":""},{"dropping-particle":"","family":"Birren","given":"Bruce W.","non-dropping-particle":"","parse-names":false,"suffix":""},{"dropping-particle":"","family":"Daly","given":"Mark J.","non-dropping-particle":"","parse-names":false,"suffix":""},{"dropping-particle":"","family":"Wilson","given":"Richard K.","non-dropping-particle":"","parse-names":false,"suffix":""},{"dropping-particle":"","family":"Fulton","given":"Lucinda L.","non-dropping-particle":"","parse-names":false,"suffix":""},{"dropping-particle":"","family":"Rogers","given":"Jane","non-dropping-particle":"","parse-names":false,"suffix":""},{"dropping-particle":"","family":"Burton","given":"John","non-dropping-particle":"","parse-names":false,"suffix":""},{"dropping-particle":"","family":"Carter","given":"Nigel P.","non-dropping-particle":"","parse-names":false,"suffix":""},{"dropping-particle":"","family":"Clee","given":"Christopher M.","non-dropping-particle":"","parse-names":false,"suffix":""},{"dropping-particle":"","family":"Griffiths","given":"Mark","non-dropping-particle":"","parse-names":false,"suffix":""},{"dropping-particle":"","family":"Jones","given":"Matthew C.","non-dropping-particle":"","parse-names":false,"suffix":""},{"dropping-particle":"","family":"McLay","given":"Kirsten","non-dropping-particle":"","parse-names":false,"suffix":""},{"dropping-particle":"","family":"Plumb","given":"Robert W.","non-dropping-particle":"","parse-names":false,"suffix":""},{"dropping-particle":"","family":"Ross","given":"Mark T.","non-dropping-particle":"","parse-names":false,"suffix":""},{"dropping-particle":"","family":"Sims","given":"Sarah K.","non-dropping-particle":"","parse-names":false,"suffix":""},{"dropping-particle":"","family":"Willey","given":"David L.","non-dropping-particle":"","parse-names":false,"suffix":""},{"dropping-particle":"","family":"Chen","given":"Zhu","non-dropping-particle":"","parse-names":false,"suffix":""},{"dropping-particle":"","family":"Han","given":"Hua","non-dropping-particle":"","parse-names":false,"suffix":""},{"dropping-particle":"","family":"Kang","given":"Le","non-dropping-particle":"","parse-names":false,"suffix":""},{"dropping-particle":"","family":"Godbout","given":"Martin","non-dropping-particle":"","parse-names":false,"suffix":""},{"dropping-particle":"","family":"Wallenburg","given":"John C.","non-dropping-particle":"","parse-names":false,"suffix":""},{"dropping-particle":"","family":"L'Archevêque","given":"Paul","non-dropping-particle":"","parse-names":false,"suffix":""},{"dropping-particle":"","family":"Bellemare","given":"Guy","non-dropping-particle":"","parse-names":false,"suffix":""},{"dropping-particle":"","family":"Saeki","given":"Koji","non-dropping-particle":"","parse-names":false,"suffix":""},{"dropping-particle":"","family":"Wang","given":"Hongguang","non-dropping-particle":"","parse-names":false,"suffix":""},{"dropping-particle":"","family":"An","given":"Daochang","non-dropping-particle":"","parse-names":false,"suffix":""},{"dropping-particle":"","family":"Fu","given":"Hongbo","non-dropping-particle":"","parse-names":false,"suffix":""},{"dropping-particle":"","family":"Li","given":"Qing","non-dropping-particle":"","parse-names":false,"suffix":""},{"dropping-particle":"","family":"Wang","given":"Zhen","non-dropping-particle":"","parse-names":false,"suffix":""},{"dropping-particle":"","family":"Wang","given":"Renwu","non-dropping-particle":"","parse-names":false,"suffix":""},{"dropping-particle":"","family":"Holden","given":"Arthur L.","non-dropping-particle":"","parse-names":false,"suffix":""},{"dropping-particle":"","family":"Brooks","given":"Lisa D.","non-dropping-particle":"","parse-names":false,"suffix":""},{"dropping-particle":"","family":"McEwen","given":"Jean E.","non-dropping-particle":"","parse-names":false,"suffix":""},{"dropping-particle":"","family":"Bird","given":"Christianne R.","non-dropping-particle":"","parse-names":false,"suffix":""},{"dropping-particle":"","family":"Guyer","given":"Mark S.","non-dropping-particle":"","parse-names":false,"suffix":""},{"dropping-particle":"","family":"Nailer","given":"Patrick J.","non-dropping-particle":"","parse-names":false,"suffix":""},{"dropping-particle":"","family":"Wang","given":"Vivian Ota","non-dropping-particle":"","parse-names":false,"suffix":""},{"dropping-particle":"","family":"Peterson","given":"Jane L.","non-dropping-particle":"","parse-names":false,"suffix":""},{"dropping-particle":"","family":"Shi","given":"Michael","non-dropping-particle":"","parse-names":false,"suffix":""},{"dropping-particle":"","family":"Spiegel","given":"Jack","non-dropping-particle":"","parse-names":false,"suffix":""},{"dropping-particle":"","family":"Sung","given":"Lawrence M.","non-dropping-particle":"","parse-names":false,"suffix":""},{"dropping-particle":"","family":"Witonsky","given":"Jonathan","non-dropping-particle":"","parse-names":false,"suffix":""},{"dropping-particle":"","family":"Zacharia","given":"Lynn F.","non-dropping-particle":"","parse-names":false,"suffix":""},{"dropping-particle":"","family":"Collins","given":"Francis S.","non-dropping-particle":"","parse-names":false,"suffix":""},{"dropping-particle":"","family":"Kennedy","given":"Karen","non-dropping-particle":"","parse-names":false,"suffix":""},{"dropping-particle":"","family":"Jamieson","given":"Ruth","non-dropping-particle":"","parse-names":false,"suffix":""},{"dropping-particle":"","family":"Stewart","given":"John","non-dropping-particle":"","parse-names":false,"suffix":""}],"container-title":"Nature","id":"ITEM-1","issue":"7063","issued":{"date-parts":[["2005"]]},"page":"1299-1320","title":"A haplotype map of the human genome","type":"article-journal","volume":"437"},"uris":["http://www.mendeley.com/documents/?uuid=022ebc85-6927-429c-a93e-256508ce019c"]}],"mendeley":{"formattedCitation":"(Belmont &lt;i&gt;et al.&lt;/i&gt;, 2005)","plainTextFormattedCitation":"(Belmont et al., 2005)","previouslyFormattedCitation":"(Belmont &lt;i&gt;et al.&lt;/i&gt;, 2005)"},"properties":{"noteIndex":0},"schema":"https://github.com/citation-style-language/schema/raw/master/csl-citation.json"}</w:instrText>
      </w:r>
      <w:r w:rsidR="00A50A1B" w:rsidRPr="00A35149">
        <w:rPr>
          <w:rFonts w:asciiTheme="majorBidi" w:hAnsiTheme="majorBidi" w:cstheme="majorBidi"/>
          <w:color w:val="4472C4" w:themeColor="accent1"/>
        </w:rPr>
        <w:fldChar w:fldCharType="separate"/>
      </w:r>
      <w:r w:rsidR="00A50A1B" w:rsidRPr="00A35149">
        <w:rPr>
          <w:rFonts w:asciiTheme="majorBidi" w:hAnsiTheme="majorBidi" w:cstheme="majorBidi"/>
          <w:noProof/>
          <w:color w:val="4472C4" w:themeColor="accent1"/>
        </w:rPr>
        <w:t xml:space="preserve">(Belmont </w:t>
      </w:r>
      <w:r w:rsidR="00A50A1B" w:rsidRPr="00A35149">
        <w:rPr>
          <w:rFonts w:asciiTheme="majorBidi" w:hAnsiTheme="majorBidi" w:cstheme="majorBidi"/>
          <w:i/>
          <w:noProof/>
          <w:color w:val="4472C4" w:themeColor="accent1"/>
        </w:rPr>
        <w:t>et al.</w:t>
      </w:r>
      <w:r w:rsidR="00A50A1B" w:rsidRPr="00A35149">
        <w:rPr>
          <w:rFonts w:asciiTheme="majorBidi" w:hAnsiTheme="majorBidi" w:cstheme="majorBidi"/>
          <w:noProof/>
          <w:color w:val="4472C4" w:themeColor="accent1"/>
        </w:rPr>
        <w:t>, 2005)</w:t>
      </w:r>
      <w:r w:rsidR="00A50A1B" w:rsidRPr="00A35149">
        <w:rPr>
          <w:rFonts w:asciiTheme="majorBidi" w:hAnsiTheme="majorBidi" w:cstheme="majorBidi"/>
          <w:color w:val="4472C4" w:themeColor="accent1"/>
        </w:rPr>
        <w:fldChar w:fldCharType="end"/>
      </w:r>
      <w:r w:rsidR="00A50A1B" w:rsidRPr="00A35149">
        <w:rPr>
          <w:rFonts w:asciiTheme="majorBidi" w:hAnsiTheme="majorBidi" w:cstheme="majorBidi"/>
          <w:color w:val="4472C4" w:themeColor="accent1"/>
        </w:rPr>
        <w:t xml:space="preserve"> </w:t>
      </w:r>
      <w:r w:rsidRPr="00A35149">
        <w:rPr>
          <w:rFonts w:asciiTheme="majorBidi" w:hAnsiTheme="majorBidi" w:cstheme="majorBidi"/>
        </w:rPr>
        <w:t>facilitated routine collection of data for</w:t>
      </w:r>
      <w:r w:rsidR="0054529C" w:rsidRPr="00A35149">
        <w:rPr>
          <w:rFonts w:asciiTheme="majorBidi" w:hAnsiTheme="majorBidi" w:cstheme="majorBidi"/>
        </w:rPr>
        <w:t xml:space="preserve"> </w:t>
      </w:r>
      <w:r w:rsidR="004171DE" w:rsidRPr="00A35149">
        <w:rPr>
          <w:rFonts w:asciiTheme="majorBidi" w:hAnsiTheme="majorBidi" w:cstheme="majorBidi"/>
        </w:rPr>
        <w:t>genome wide association studies (</w:t>
      </w:r>
      <w:r w:rsidR="0054529C" w:rsidRPr="00A35149">
        <w:rPr>
          <w:rFonts w:asciiTheme="majorBidi" w:hAnsiTheme="majorBidi" w:cstheme="majorBidi"/>
        </w:rPr>
        <w:t>GWAS</w:t>
      </w:r>
      <w:r w:rsidR="004171DE" w:rsidRPr="00A35149">
        <w:rPr>
          <w:rFonts w:asciiTheme="majorBidi" w:hAnsiTheme="majorBidi" w:cstheme="majorBidi"/>
        </w:rPr>
        <w:t>)</w:t>
      </w:r>
      <w:r w:rsidR="009660A3" w:rsidRPr="00A35149">
        <w:rPr>
          <w:rFonts w:asciiTheme="majorBidi" w:hAnsiTheme="majorBidi" w:cstheme="majorBidi"/>
        </w:rPr>
        <w:t xml:space="preserve"> </w:t>
      </w:r>
      <w:r w:rsidR="00A50A1B" w:rsidRPr="00A35149">
        <w:rPr>
          <w:rFonts w:asciiTheme="majorBidi" w:hAnsiTheme="majorBidi" w:cstheme="majorBidi"/>
          <w:color w:val="4472C4" w:themeColor="accent1"/>
        </w:rPr>
        <w:fldChar w:fldCharType="begin" w:fldLock="1"/>
      </w:r>
      <w:r w:rsidR="0067225B" w:rsidRPr="00A35149">
        <w:rPr>
          <w:rFonts w:asciiTheme="majorBidi" w:hAnsiTheme="majorBidi" w:cstheme="majorBidi"/>
          <w:color w:val="4472C4" w:themeColor="accent1"/>
        </w:rPr>
        <w:instrText>ADDIN CSL_CITATION {"citationItems":[{"id":"ITEM-1","itemData":{"DOI":"10.1016/j.ajhg.2011.11.029","ISSN":"00029297","PMID":"22243964","abstract":"The past five years have seen many scientific and biological discoveries made through the experimental design of genome-wide association studies (GWASs). These studies were aimed at detecting variants at genomic loci that are associated with complex traits in the population and, in particular, at detecting associations between common single-nucleotide polymorphisms (SNPs) and common diseases such as heart disease, diabetes, auto-immune diseases, and psychiatric disorders. We start by giving a number of quotes from scientists and journalists about perceived problems with GWASs. We will then briefly give the history of GWASs and focus on the discoveries made through this experimental design, what those discoveries tell us and do not tell us about the genetics and biology of complex traits, and what immediate utility has come out of these studies. Rather than giving an exhaustive review of all reported findings for all diseases and other complex traits, we focus on the results for auto-immune diseases and metabolic diseases. We return to the perceived failure or disappointment about GWASs in the concluding section. © 2012 The American Society of Human Genetics.","author":[{"dropping-particle":"","family":"Visscher","given":"Peter M.","non-dropping-particle":"","parse-names":false,"suffix":""},{"dropping-particle":"","family":"Brown","given":"Matthew A.","non-dropping-particle":"","parse-names":false,"suffix":""},{"dropping-particle":"","family":"McCarthy","given":"Mark I.","non-dropping-particle":"","parse-names":false,"suffix":""},{"dropping-particle":"","family":"Yang","given":"Jian","non-dropping-particle":"","parse-names":false,"suffix":""}],"container-title":"American Journal of Human Genetics","id":"ITEM-1","issue":"1","issued":{"date-parts":[["2012"]]},"page":"7-24","title":"Five years of GWAS discovery","type":"article-journal","volume":"90"},"uris":["http://www.mendeley.com/documents/?uuid=90640c2f-5fd7-4a3e-98cc-8e7311e74abd"]}],"mendeley":{"formattedCitation":"(Visscher &lt;i&gt;et al.&lt;/i&gt;, 2012)","plainTextFormattedCitation":"(Visscher et al., 2012)","previouslyFormattedCitation":"(Visscher &lt;i&gt;et al.&lt;/i&gt;, 2012)"},"properties":{"noteIndex":0},"schema":"https://github.com/citation-style-language/schema/raw/master/csl-citation.json"}</w:instrText>
      </w:r>
      <w:r w:rsidR="00A50A1B" w:rsidRPr="00A35149">
        <w:rPr>
          <w:rFonts w:asciiTheme="majorBidi" w:hAnsiTheme="majorBidi" w:cstheme="majorBidi"/>
          <w:color w:val="4472C4" w:themeColor="accent1"/>
        </w:rPr>
        <w:fldChar w:fldCharType="separate"/>
      </w:r>
      <w:r w:rsidR="00A50A1B" w:rsidRPr="00A35149">
        <w:rPr>
          <w:rFonts w:asciiTheme="majorBidi" w:hAnsiTheme="majorBidi" w:cstheme="majorBidi"/>
          <w:noProof/>
          <w:color w:val="4472C4" w:themeColor="accent1"/>
        </w:rPr>
        <w:t xml:space="preserve">(Visscher </w:t>
      </w:r>
      <w:r w:rsidR="00A50A1B" w:rsidRPr="00A35149">
        <w:rPr>
          <w:rFonts w:asciiTheme="majorBidi" w:hAnsiTheme="majorBidi" w:cstheme="majorBidi"/>
          <w:i/>
          <w:noProof/>
          <w:color w:val="4472C4" w:themeColor="accent1"/>
        </w:rPr>
        <w:t>et al.</w:t>
      </w:r>
      <w:r w:rsidR="00A50A1B" w:rsidRPr="00A35149">
        <w:rPr>
          <w:rFonts w:asciiTheme="majorBidi" w:hAnsiTheme="majorBidi" w:cstheme="majorBidi"/>
          <w:noProof/>
          <w:color w:val="4472C4" w:themeColor="accent1"/>
        </w:rPr>
        <w:t>, 2012)</w:t>
      </w:r>
      <w:r w:rsidR="00A50A1B" w:rsidRPr="00A35149">
        <w:rPr>
          <w:rFonts w:asciiTheme="majorBidi" w:hAnsiTheme="majorBidi" w:cstheme="majorBidi"/>
          <w:color w:val="4472C4" w:themeColor="accent1"/>
        </w:rPr>
        <w:fldChar w:fldCharType="end"/>
      </w:r>
      <w:r w:rsidR="00A50A1B" w:rsidRPr="00A35149">
        <w:rPr>
          <w:rFonts w:asciiTheme="majorBidi" w:hAnsiTheme="majorBidi" w:cstheme="majorBidi"/>
        </w:rPr>
        <w:t>,</w:t>
      </w:r>
      <w:r w:rsidRPr="00A35149">
        <w:rPr>
          <w:rFonts w:asciiTheme="majorBidi" w:hAnsiTheme="majorBidi" w:cstheme="majorBidi"/>
        </w:rPr>
        <w:t xml:space="preserve"> these became</w:t>
      </w:r>
      <w:r w:rsidR="0054529C" w:rsidRPr="00A35149">
        <w:rPr>
          <w:rFonts w:asciiTheme="majorBidi" w:hAnsiTheme="majorBidi" w:cstheme="majorBidi"/>
        </w:rPr>
        <w:t xml:space="preserve"> </w:t>
      </w:r>
      <w:r w:rsidRPr="00A35149">
        <w:rPr>
          <w:rFonts w:asciiTheme="majorBidi" w:hAnsiTheme="majorBidi" w:cstheme="majorBidi"/>
        </w:rPr>
        <w:t xml:space="preserve">the </w:t>
      </w:r>
      <w:r w:rsidR="0054529C" w:rsidRPr="00A35149">
        <w:rPr>
          <w:rFonts w:asciiTheme="majorBidi" w:hAnsiTheme="majorBidi" w:cstheme="majorBidi"/>
        </w:rPr>
        <w:t xml:space="preserve">leading genetic tool for phenotype-genotype investigations. Over time, GWAS have been used to identify associations between thousands of variants for a wide variety of traits and diseases, with mixed results. GWAS drew much criticism concerning their validity, error rate, interpretation, application, biological causation </w:t>
      </w:r>
      <w:r w:rsidR="0054529C" w:rsidRPr="00A35149">
        <w:rPr>
          <w:rFonts w:asciiTheme="majorBidi" w:hAnsiTheme="majorBidi" w:cstheme="majorBidi"/>
          <w:color w:val="4472C4" w:themeColor="accent1"/>
        </w:rPr>
        <w:fldChar w:fldCharType="begin" w:fldLock="1"/>
      </w:r>
      <w:r w:rsidR="0054529C" w:rsidRPr="00A35149">
        <w:rPr>
          <w:rFonts w:asciiTheme="majorBidi" w:hAnsiTheme="majorBidi" w:cstheme="majorBidi"/>
          <w:color w:val="4472C4" w:themeColor="accent1"/>
        </w:rPr>
        <w:instrText>ADDIN CSL_CITATION {"citationItems":[{"id":"ITEM-1","itemData":{"DOI":"10.5808/gi.2012.10.4.220","ISSN":"1598-866X","abstract":"Recent rapid advances in genetic research are ushering us into the genome sequence era, where an individual's genome information is utilized for clinical practice. The most spectacular results of the human genome study have been provided by genome-wide association studies (GWASs). This is a review of the history of GWASs as related to my work. Further efforts are necessary to make full use of its potential power to medicine.","author":[{"dropping-particle":"","family":"Ikegawa","given":"Shiro","non-dropping-particle":"","parse-names":false,"suffix":""}],"container-title":"Genomics &amp; Informatics","id":"ITEM-1","issue":"4","issued":{"date-parts":[["2012"]]},"page":"220","title":"A Short History of the Genome-Wide Association Study: Where We Were and Where We Are Going","type":"article-journal","volume":"10"},"uris":["http://www.mendeley.com/documents/?uuid=ce96b8fa-e866-4fc5-93bf-b458f66b6fa7"]}],"mendeley":{"formattedCitation":"(Ikegawa, 2012)","plainTextFormattedCitation":"(Ikegawa, 2012)","previouslyFormattedCitation":"(Ikegawa, 2012)"},"properties":{"noteIndex":0},"schema":"https://github.com/citation-style-language/schema/raw/master/csl-citation.json"}</w:instrText>
      </w:r>
      <w:r w:rsidR="0054529C" w:rsidRPr="00A35149">
        <w:rPr>
          <w:rFonts w:asciiTheme="majorBidi" w:hAnsiTheme="majorBidi" w:cstheme="majorBidi"/>
          <w:color w:val="4472C4" w:themeColor="accent1"/>
        </w:rPr>
        <w:fldChar w:fldCharType="separate"/>
      </w:r>
      <w:r w:rsidR="0054529C" w:rsidRPr="00A35149">
        <w:rPr>
          <w:rFonts w:asciiTheme="majorBidi" w:hAnsiTheme="majorBidi" w:cstheme="majorBidi"/>
          <w:noProof/>
          <w:color w:val="4472C4" w:themeColor="accent1"/>
        </w:rPr>
        <w:t>(Ikegawa, 2012)</w:t>
      </w:r>
      <w:r w:rsidR="0054529C" w:rsidRPr="00A35149">
        <w:rPr>
          <w:rFonts w:asciiTheme="majorBidi" w:hAnsiTheme="majorBidi" w:cstheme="majorBidi"/>
          <w:color w:val="4472C4" w:themeColor="accent1"/>
        </w:rPr>
        <w:fldChar w:fldCharType="end"/>
      </w:r>
      <w:r w:rsidR="0054529C" w:rsidRPr="00A35149">
        <w:rPr>
          <w:rFonts w:asciiTheme="majorBidi" w:hAnsiTheme="majorBidi" w:cstheme="majorBidi"/>
        </w:rPr>
        <w:t xml:space="preserve"> and replication </w:t>
      </w:r>
      <w:r w:rsidR="004171DE" w:rsidRPr="00A35149">
        <w:rPr>
          <w:rFonts w:asciiTheme="majorBidi" w:hAnsiTheme="majorBidi" w:cstheme="majorBidi"/>
          <w:color w:val="4472C4" w:themeColor="accent1"/>
        </w:rPr>
        <w:t>(</w:t>
      </w:r>
      <w:r w:rsidR="0054529C" w:rsidRPr="00A35149">
        <w:rPr>
          <w:rFonts w:asciiTheme="majorBidi" w:hAnsiTheme="majorBidi" w:cstheme="majorBidi"/>
          <w:color w:val="4472C4" w:themeColor="accent1"/>
        </w:rPr>
        <w:fldChar w:fldCharType="begin" w:fldLock="1"/>
      </w:r>
      <w:r w:rsidR="00A01FF0" w:rsidRPr="00A35149">
        <w:rPr>
          <w:rFonts w:asciiTheme="majorBidi" w:hAnsiTheme="majorBidi" w:cstheme="majorBidi"/>
          <w:color w:val="4472C4" w:themeColor="accent1"/>
        </w:rPr>
        <w:instrText>ADDIN CSL_CITATION {"citationItems":[{"id":"ITEM-1","itemData":{"DOI":"10.1371/journal.pgen.1006916","ISSN":"15537404","abstract":"Genome-wide association studies (GWAS) have identified hundreds of SNPs responsible for variation in human quantitative traits. However, genome-wide-significant associations often fail to replicate across independent cohorts, in apparent inconsistency with their apparent strong effects in discovery cohorts. This limited success of replication raises pervasive questions about the utility of the GWAS field. We identify all 332 studies of quantitative traits from the NHGRI-EBI GWAS Database with attempted replication. We find that the majority of studies provide insufficient data to evaluate replication rates. The remaining papers replicate significantly worse than expected (p &lt; 10−14), even when adjusting for regression-to-the-mean of effect size between discovery- and replication-cohorts termed the Winner’s Curse (p &lt; 10−16). We show this is due in part to misreporting replication cohort-size as a maximum number, rather than per-locus one. In 39 studies accurately reporting per-locus cohort-size for attempted replication of 707 loci in samples with similar ancestry, replication rate matched expectation (predicted 458, observed 457, p = 0.94). In contrast, ancestry differences between replication and discovery (13 studies, 385 loci) cause the most highly-powered decile of loci to replicate worse than expected, due to difference in linkage disequilibrium.","author":[{"dropping-particle":"","family":"Palmer","given":"Cameron","non-dropping-particle":"","parse-names":false,"suffix":""},{"dropping-particle":"","family":"Pe’er","given":"Itsik","non-dropping-particle":"","parse-names":false,"suffix":""}],"container-title":"PLoS Genetics","id":"ITEM-1","issue":"7","issued":{"date-parts":[["2017"]]},"title":"Statistical correction of the Winner’s Curse explains replication variability in quantitative trait genome-wide association studies","type":"article-journal","volume":"13"},"uris":["http://www.mendeley.com/documents/?uuid=0081d9ef-027c-4f1a-b5be-fb2cd1c628f8"]}],"mendeley":{"formattedCitation":"(Palmer and Pe’er, 2017)","manualFormatting":"Palmer and Pe’er, 2017","plainTextFormattedCitation":"(Palmer and Pe’er, 2017)","previouslyFormattedCitation":"(Palmer and Pe’er, 2017)"},"properties":{"noteIndex":0},"schema":"https://github.com/citation-style-language/schema/raw/master/csl-citation.json"}</w:instrText>
      </w:r>
      <w:r w:rsidR="0054529C" w:rsidRPr="00A35149">
        <w:rPr>
          <w:rFonts w:asciiTheme="majorBidi" w:hAnsiTheme="majorBidi" w:cstheme="majorBidi"/>
          <w:color w:val="4472C4" w:themeColor="accent1"/>
        </w:rPr>
        <w:fldChar w:fldCharType="separate"/>
      </w:r>
      <w:r w:rsidR="0054529C" w:rsidRPr="00A35149">
        <w:rPr>
          <w:rFonts w:asciiTheme="majorBidi" w:hAnsiTheme="majorBidi" w:cstheme="majorBidi"/>
          <w:noProof/>
          <w:color w:val="4472C4" w:themeColor="accent1"/>
        </w:rPr>
        <w:t>Palmer and Pe’er, 2017</w:t>
      </w:r>
      <w:r w:rsidR="0054529C" w:rsidRPr="00A35149">
        <w:rPr>
          <w:rFonts w:asciiTheme="majorBidi" w:hAnsiTheme="majorBidi" w:cstheme="majorBidi"/>
          <w:color w:val="4472C4" w:themeColor="accent1"/>
        </w:rPr>
        <w:fldChar w:fldCharType="end"/>
      </w:r>
      <w:r w:rsidR="004171DE" w:rsidRPr="00A35149">
        <w:rPr>
          <w:rFonts w:asciiTheme="majorBidi" w:hAnsiTheme="majorBidi" w:cstheme="majorBidi"/>
          <w:color w:val="4472C4" w:themeColor="accent1"/>
        </w:rPr>
        <w:t>)</w:t>
      </w:r>
      <w:r w:rsidR="0054529C" w:rsidRPr="00A35149">
        <w:rPr>
          <w:rFonts w:asciiTheme="majorBidi" w:hAnsiTheme="majorBidi" w:cstheme="majorBidi"/>
        </w:rPr>
        <w:t xml:space="preserve">. </w:t>
      </w:r>
      <w:r w:rsidR="00BE5DB6" w:rsidRPr="00A35149">
        <w:rPr>
          <w:rFonts w:asciiTheme="majorBidi" w:hAnsiTheme="majorBidi" w:cstheme="majorBidi"/>
        </w:rPr>
        <w:t xml:space="preserve">Since much of this criticism concerned small sample sizes with reduced the power of association analyses and yield spurious associations, major efforts were taken to recruit thousands and tens of </w:t>
      </w:r>
      <w:r w:rsidR="00987C41" w:rsidRPr="00A35149">
        <w:rPr>
          <w:rFonts w:asciiTheme="majorBidi" w:hAnsiTheme="majorBidi" w:cstheme="majorBidi"/>
        </w:rPr>
        <w:t>thousands of</w:t>
      </w:r>
      <w:r w:rsidR="00BE5DB6" w:rsidRPr="00A35149">
        <w:rPr>
          <w:rFonts w:asciiTheme="majorBidi" w:hAnsiTheme="majorBidi" w:cstheme="majorBidi"/>
        </w:rPr>
        <w:t xml:space="preserve"> participants into studies where their biological data and prognosis were collected. These collections served as the basis for </w:t>
      </w:r>
      <w:r w:rsidR="00EE3DEF" w:rsidRPr="00A35149">
        <w:rPr>
          <w:rFonts w:asciiTheme="majorBidi" w:hAnsiTheme="majorBidi" w:cstheme="majorBidi"/>
        </w:rPr>
        <w:t xml:space="preserve">what </w:t>
      </w:r>
      <w:r w:rsidR="00710F00" w:rsidRPr="00A35149">
        <w:rPr>
          <w:rFonts w:asciiTheme="majorBidi" w:hAnsiTheme="majorBidi" w:cstheme="majorBidi"/>
        </w:rPr>
        <w:t xml:space="preserve">is </w:t>
      </w:r>
      <w:r w:rsidR="00EE3DEF" w:rsidRPr="00A35149">
        <w:rPr>
          <w:rFonts w:asciiTheme="majorBidi" w:hAnsiTheme="majorBidi" w:cstheme="majorBidi"/>
        </w:rPr>
        <w:t xml:space="preserve">considered today </w:t>
      </w:r>
      <w:r w:rsidR="001D1DC2" w:rsidRPr="00A35149">
        <w:rPr>
          <w:rFonts w:asciiTheme="majorBidi" w:hAnsiTheme="majorBidi" w:cstheme="majorBidi"/>
        </w:rPr>
        <w:t xml:space="preserve">as </w:t>
      </w:r>
      <w:r w:rsidR="00710F00" w:rsidRPr="00A35149">
        <w:rPr>
          <w:rFonts w:asciiTheme="majorBidi" w:hAnsiTheme="majorBidi" w:cstheme="majorBidi"/>
        </w:rPr>
        <w:t xml:space="preserve">a </w:t>
      </w:r>
      <w:r w:rsidR="00BE5DB6" w:rsidRPr="00A35149">
        <w:rPr>
          <w:rFonts w:asciiTheme="majorBidi" w:hAnsiTheme="majorBidi" w:cstheme="majorBidi"/>
        </w:rPr>
        <w:t>(genomic) biobank</w:t>
      </w:r>
      <w:r w:rsidR="00A01FF0" w:rsidRPr="00A35149">
        <w:rPr>
          <w:rFonts w:asciiTheme="majorBidi" w:hAnsiTheme="majorBidi" w:cstheme="majorBidi"/>
        </w:rPr>
        <w:t xml:space="preserve"> </w:t>
      </w:r>
      <w:r w:rsidR="00A01FF0" w:rsidRPr="00A35149">
        <w:rPr>
          <w:rFonts w:asciiTheme="majorBidi" w:hAnsiTheme="majorBidi" w:cstheme="majorBidi"/>
          <w:color w:val="4472C4" w:themeColor="accent1"/>
        </w:rPr>
        <w:fldChar w:fldCharType="begin" w:fldLock="1"/>
      </w:r>
      <w:r w:rsidR="00A01FF0" w:rsidRPr="00A35149">
        <w:rPr>
          <w:rFonts w:asciiTheme="majorBidi" w:hAnsiTheme="majorBidi" w:cstheme="majorBidi"/>
          <w:color w:val="4472C4" w:themeColor="accent1"/>
        </w:rPr>
        <w:instrText>ADDIN CSL_CITATION {"citationItems":[{"id":"ITEM-1","itemData":{"DOI":"10.1007/978-3-319-20579-3_2","ISSN":"22148019","abstract":"Biobanking of human biological specimens has evolved from the simple private collection of often poorly annotated residual clinical specimens, to well annotated and organized collections setup by commercial and not-for-profit organizations. The activities of biobanks is now the focus of international and government agencies in recognition of the need to adopt best practices and provide scientific, ethical and legal guidelines for the industry. The demand for more, high quality and clinically annotated biospecimens will increase, primarily due to the unprecedented level of genomic, post genomic and personalized medicine research activities going on. Demand for more biospecimens provides new challenges and opportunities for developing strategies to build biobanking into a business that is better able to supply the biospecimen needs of the future. A paradigm shift is required particularly in organization and funding, as well as in how and where biospecimens are collected, stored and distributed. New collection sites, organized as Research Ready Hospitals (RRHs) and new public-private partnership models are needed for sustainability and increased biospecimen availability. Biobanks will need to adopt industry-wide standard operating procedures, better and “non-destructive” methods for quality assessment, less expensive methods for sample storage/distribution, and objective methods to manage scarce biospecimens. Ultimately, the success of future biobanks will rely greatly on the success of public-private partnerships, number and diversity of available biospecimens, cost management and the realization that an effective biobank is one that provides high quality and affordable biospecimens to drive research that leads to better health and quality of life for all.","author":[{"dropping-particle":"","family":"Somiari","given":"Stella B.","non-dropping-particle":"","parse-names":false,"suffix":""},{"dropping-particle":"","family":"Somiari","given":"Richard I.","non-dropping-particle":"","parse-names":false,"suffix":""}],"container-title":"Advances in Experimental Medicine and Biology","id":"ITEM-1","issued":{"date-parts":[["2015"]]},"page":"11-27","title":"The future of biobanking: A conceptual look at how biobanks can respond to the growing human biospecimen needs of researchers","type":"chapter","volume":"864"},"uris":["http://www.mendeley.com/documents/?uuid=23ab9f94-fcb1-4d0e-8c84-702901dbb251"]}],"mendeley":{"formattedCitation":"(Somiari and Somiari, 2015)","plainTextFormattedCitation":"(Somiari and Somiari, 2015)","previouslyFormattedCitation":"(Somiari and Somiari, 2015)"},"properties":{"noteIndex":0},"schema":"https://github.com/citation-style-language/schema/raw/master/csl-citation.json"}</w:instrText>
      </w:r>
      <w:r w:rsidR="00A01FF0" w:rsidRPr="00A35149">
        <w:rPr>
          <w:rFonts w:asciiTheme="majorBidi" w:hAnsiTheme="majorBidi" w:cstheme="majorBidi"/>
          <w:color w:val="4472C4" w:themeColor="accent1"/>
        </w:rPr>
        <w:fldChar w:fldCharType="separate"/>
      </w:r>
      <w:r w:rsidR="00A01FF0" w:rsidRPr="00A35149">
        <w:rPr>
          <w:rFonts w:asciiTheme="majorBidi" w:hAnsiTheme="majorBidi" w:cstheme="majorBidi"/>
          <w:noProof/>
          <w:color w:val="4472C4" w:themeColor="accent1"/>
        </w:rPr>
        <w:t>(Somiari and Somiari, 2015)</w:t>
      </w:r>
      <w:r w:rsidR="00A01FF0" w:rsidRPr="00A35149">
        <w:rPr>
          <w:rFonts w:asciiTheme="majorBidi" w:hAnsiTheme="majorBidi" w:cstheme="majorBidi"/>
          <w:color w:val="4472C4" w:themeColor="accent1"/>
        </w:rPr>
        <w:fldChar w:fldCharType="end"/>
      </w:r>
      <w:r w:rsidR="00A01FF0" w:rsidRPr="00A35149">
        <w:rPr>
          <w:rFonts w:asciiTheme="majorBidi" w:hAnsiTheme="majorBidi" w:cstheme="majorBidi"/>
        </w:rPr>
        <w:t>.</w:t>
      </w:r>
    </w:p>
    <w:p w14:paraId="2BF1D2FF" w14:textId="77777777" w:rsidR="0054529C" w:rsidRPr="00A35149" w:rsidRDefault="0054529C" w:rsidP="00286B5F">
      <w:pPr>
        <w:ind w:firstLine="720"/>
        <w:rPr>
          <w:rFonts w:asciiTheme="majorBidi" w:hAnsiTheme="majorBidi" w:cstheme="majorBidi"/>
        </w:rPr>
      </w:pPr>
    </w:p>
    <w:p w14:paraId="4DD1BFCF" w14:textId="6FC671E5" w:rsidR="00A01C8C" w:rsidRPr="00A35149" w:rsidRDefault="00710F00" w:rsidP="003E4435">
      <w:pPr>
        <w:ind w:firstLine="720"/>
        <w:rPr>
          <w:rFonts w:asciiTheme="majorBidi" w:hAnsiTheme="majorBidi" w:cstheme="majorBidi"/>
        </w:rPr>
      </w:pPr>
      <w:r w:rsidRPr="00A35149">
        <w:rPr>
          <w:rFonts w:asciiTheme="majorBidi" w:hAnsiTheme="majorBidi" w:cstheme="majorBidi"/>
        </w:rPr>
        <w:t xml:space="preserve">Today, biobanks are known as </w:t>
      </w:r>
      <w:r w:rsidR="0054529C" w:rsidRPr="00A35149">
        <w:rPr>
          <w:rFonts w:asciiTheme="majorBidi" w:hAnsiTheme="majorBidi" w:cstheme="majorBidi"/>
        </w:rPr>
        <w:t xml:space="preserve">massive scale datasets containing many hundreds of thousands of participants from </w:t>
      </w:r>
      <w:r w:rsidR="006A7F82" w:rsidRPr="00A35149">
        <w:rPr>
          <w:rFonts w:asciiTheme="majorBidi" w:hAnsiTheme="majorBidi" w:cstheme="majorBidi"/>
        </w:rPr>
        <w:t>specified</w:t>
      </w:r>
      <w:r w:rsidR="0054529C" w:rsidRPr="00A35149">
        <w:rPr>
          <w:rFonts w:asciiTheme="majorBidi" w:hAnsiTheme="majorBidi" w:cstheme="majorBidi"/>
        </w:rPr>
        <w:t xml:space="preserve"> population</w:t>
      </w:r>
      <w:r w:rsidR="006A7F82" w:rsidRPr="00A35149">
        <w:rPr>
          <w:rFonts w:asciiTheme="majorBidi" w:hAnsiTheme="majorBidi" w:cstheme="majorBidi"/>
        </w:rPr>
        <w:t>s</w:t>
      </w:r>
      <w:r w:rsidRPr="00A35149">
        <w:rPr>
          <w:rFonts w:asciiTheme="majorBidi" w:hAnsiTheme="majorBidi" w:cstheme="majorBidi"/>
        </w:rPr>
        <w:t>.</w:t>
      </w:r>
      <w:r w:rsidR="0054529C" w:rsidRPr="00A35149">
        <w:rPr>
          <w:rFonts w:asciiTheme="majorBidi" w:hAnsiTheme="majorBidi" w:cstheme="majorBidi"/>
        </w:rPr>
        <w:t xml:space="preserve"> </w:t>
      </w:r>
      <w:r w:rsidRPr="00A35149">
        <w:rPr>
          <w:rFonts w:asciiTheme="majorBidi" w:hAnsiTheme="majorBidi" w:cstheme="majorBidi"/>
        </w:rPr>
        <w:t xml:space="preserve">Biobanks </w:t>
      </w:r>
      <w:r w:rsidR="0054529C" w:rsidRPr="00A35149">
        <w:rPr>
          <w:rFonts w:asciiTheme="majorBidi" w:hAnsiTheme="majorBidi" w:cstheme="majorBidi"/>
        </w:rPr>
        <w:t xml:space="preserve">have brought </w:t>
      </w:r>
      <w:r w:rsidR="006A7F82" w:rsidRPr="00A35149">
        <w:rPr>
          <w:rFonts w:asciiTheme="majorBidi" w:hAnsiTheme="majorBidi" w:cstheme="majorBidi"/>
        </w:rPr>
        <w:t xml:space="preserve">enormous </w:t>
      </w:r>
      <w:r w:rsidR="0054529C" w:rsidRPr="00A35149">
        <w:rPr>
          <w:rFonts w:asciiTheme="majorBidi" w:hAnsiTheme="majorBidi" w:cstheme="majorBidi"/>
        </w:rPr>
        <w:t>power to association studies.</w:t>
      </w:r>
      <w:r w:rsidR="00A01C8C" w:rsidRPr="00A35149">
        <w:rPr>
          <w:rFonts w:asciiTheme="majorBidi" w:hAnsiTheme="majorBidi" w:cstheme="majorBidi"/>
        </w:rPr>
        <w:t xml:space="preserve"> </w:t>
      </w:r>
      <w:r w:rsidR="0033355E" w:rsidRPr="00A35149">
        <w:rPr>
          <w:rFonts w:asciiTheme="majorBidi" w:hAnsiTheme="majorBidi" w:cstheme="majorBidi"/>
        </w:rPr>
        <w:t xml:space="preserve">Their potential to enable personalised treatment became clear even before the technology and matured and both private and government-sponsored banks began amassing tissues and data </w:t>
      </w:r>
      <w:r w:rsidR="0033355E" w:rsidRPr="00A35149">
        <w:rPr>
          <w:rFonts w:asciiTheme="majorBidi" w:hAnsiTheme="majorBidi" w:cstheme="majorBidi"/>
          <w:color w:val="4472C4" w:themeColor="accent1"/>
        </w:rPr>
        <w:fldChar w:fldCharType="begin" w:fldLock="1"/>
      </w:r>
      <w:r w:rsidR="0033355E" w:rsidRPr="00A35149">
        <w:rPr>
          <w:rFonts w:asciiTheme="majorBidi" w:hAnsiTheme="majorBidi" w:cstheme="majorBidi"/>
          <w:color w:val="4472C4" w:themeColor="accent1"/>
        </w:rPr>
        <w:instrText>ADDIN CSL_CITATION {"citationItems":[{"id":"ITEM-1","itemData":{"DOI":"10.1126/science.298.5596.1158","ISSN":"00368075","abstract":"Countries and health providers are following the path Iceland's deCODE Genetics blazed 5 years ago and combining health and genetic data on large populations. They promise to deliver \"personalized\" medicine, but will they? Some ethicists also worry that data won't remain confidential and suggest that companies, which will play a role in some projects, should not be allowed to profit from people's genetic heritage.","author":[{"dropping-particle":"","family":"Kaiser","given":"Jocelyn","non-dropping-particle":"","parse-names":false,"suffix":""}],"container-title":"Science","id":"ITEM-1","issue":"5596","issued":{"date-parts":[["2002"]]},"page":"1158-1161","title":"Population databases boom, From Iceland to the U.S.","type":"article-journal","volume":"298"},"uris":["http://www.mendeley.com/documents/?uuid=b3195f87-be25-4054-8022-e7cf4fc17e4b"]}],"mendeley":{"formattedCitation":"(Kaiser, 2002)","plainTextFormattedCitation":"(Kaiser, 2002)","previouslyFormattedCitation":"(Kaiser, 2002)"},"properties":{"noteIndex":0},"schema":"https://github.com/citation-style-language/schema/raw/master/csl-citation.json"}</w:instrText>
      </w:r>
      <w:r w:rsidR="0033355E" w:rsidRPr="00A35149">
        <w:rPr>
          <w:rFonts w:asciiTheme="majorBidi" w:hAnsiTheme="majorBidi" w:cstheme="majorBidi"/>
          <w:color w:val="4472C4" w:themeColor="accent1"/>
        </w:rPr>
        <w:fldChar w:fldCharType="separate"/>
      </w:r>
      <w:r w:rsidR="0033355E" w:rsidRPr="00A35149">
        <w:rPr>
          <w:rFonts w:asciiTheme="majorBidi" w:hAnsiTheme="majorBidi" w:cstheme="majorBidi"/>
          <w:noProof/>
          <w:color w:val="4472C4" w:themeColor="accent1"/>
        </w:rPr>
        <w:t>(Kaiser, 2002)</w:t>
      </w:r>
      <w:r w:rsidR="0033355E" w:rsidRPr="00A35149">
        <w:rPr>
          <w:rFonts w:asciiTheme="majorBidi" w:hAnsiTheme="majorBidi" w:cstheme="majorBidi"/>
          <w:color w:val="4472C4" w:themeColor="accent1"/>
        </w:rPr>
        <w:fldChar w:fldCharType="end"/>
      </w:r>
      <w:r w:rsidR="0033355E" w:rsidRPr="00A35149">
        <w:rPr>
          <w:rFonts w:asciiTheme="majorBidi" w:hAnsiTheme="majorBidi" w:cstheme="majorBidi"/>
        </w:rPr>
        <w:t xml:space="preserve">. </w:t>
      </w:r>
      <w:r w:rsidR="00977254" w:rsidRPr="00A35149">
        <w:rPr>
          <w:rFonts w:asciiTheme="majorBidi" w:hAnsiTheme="majorBidi" w:cstheme="majorBidi"/>
        </w:rPr>
        <w:t xml:space="preserve">For example, </w:t>
      </w:r>
      <w:r w:rsidR="00286B5F" w:rsidRPr="00A35149">
        <w:rPr>
          <w:rFonts w:asciiTheme="majorBidi" w:hAnsiTheme="majorBidi" w:cstheme="majorBidi"/>
        </w:rPr>
        <w:t xml:space="preserve">Generation Scotland </w:t>
      </w:r>
      <w:r w:rsidR="00286B5F" w:rsidRPr="00A35149">
        <w:rPr>
          <w:rFonts w:asciiTheme="majorBidi" w:hAnsiTheme="majorBidi" w:cstheme="majorBidi"/>
          <w:color w:val="4472C4" w:themeColor="accent1"/>
        </w:rPr>
        <w:fldChar w:fldCharType="begin" w:fldLock="1"/>
      </w:r>
      <w:r w:rsidR="00286B5F" w:rsidRPr="00A35149">
        <w:rPr>
          <w:rFonts w:asciiTheme="majorBidi" w:hAnsiTheme="majorBidi" w:cstheme="majorBidi"/>
          <w:color w:val="4472C4" w:themeColor="accent1"/>
        </w:rPr>
        <w:instrText>ADDIN CSL_CITATION {"citationItems":[{"id":"ITEM-1","itemData":{"DOI":"10.1186/1471-2350-7-74","ISSN":"14712350","abstract":"Background: Generation Scotland: the Scottish Family Health Study aims to identify genetic variants accounting for variation in levels of quantitative traits underlying the major common complex diseases (such as cardiovascular disease, cognitive decline, mental illness) in Scotland. Methods/Design: Generation Scotland will recruit a family-based cohort of up to 50,000 individuals (comprising siblings and parent-offspring groups) across Scotland. It will be a six-year programme, beginning in Glasgow and Tayside in the first two years (Phase 1) before extending to other parts of Scotland in the remaining four years (Phase 2). In Phase 1, individuals aged between 35 and 55 years, living in the East and West of Scotland will be invited to participate, along with at least one (and preferably more) siblings and any other first degree relatives aged 18 or over. The total initial sample size will be 15,000 and it is planned that this will increase to 50,000 in Phase 2. All participants will be asked to contribute blood samples from which DNA will be extracted and stored for future investigation. The information from the DNA, along with answers to a life-style and medical history questionnaire, clinical and biochemical measurements taken at the time of donation, and subsequent health developments over the life course (traced through electronic health records) will be stored and used for research purposes. In addition, a detailed public consultation process will begin that will allow respondents' views to shape and develop the study. This is an important aspect to the research, and forms the continuation of a long-term parallel engagement process. Discussion: As well as gene identification, the family-based study design will allow measurement of the heritability and familial aggregation of relevant quantitative traits, and the study of how genetic effects may vary by parent-of-origin. Long-term potential outcomes of this research include the targeting of disease prevention and treatment, and the development of screening tools based on the new genetic information. This study approach is complementary to other population-based genetic epidemiology studies, such as UK Biobank, which are established primarily to characterise genes and genetic risk in the population. © 2006 Smith et al; licensee BioMed Central Ltd.","author":[{"dropping-particle":"","family":"Smith","given":"Blair H.","non-dropping-particle":"","parse-names":false,"suffix":""},{"dropping-particle":"","family":"Campbell","given":"Harry","non-dropping-particle":"","parse-names":false,"suffix":""},{"dropping-particle":"","family":"Blackwood","given":"Douglas","non-dropping-particle":"","parse-names":false,"suffix":""},{"dropping-particle":"","family":"Connell","given":"John","non-dropping-particle":"","parse-names":false,"suffix":""},{"dropping-particle":"","family":"Connor","given":"Mike","non-dropping-particle":"","parse-names":false,"suffix":""},{"dropping-particle":"","family":"Deary","given":"Ian J.","non-dropping-particle":"","parse-names":false,"suffix":""},{"dropping-particle":"","family":"Dominiczak","given":"Anna F.","non-dropping-particle":"","parse-names":false,"suffix":""},{"dropping-particle":"","family":"Fitzpatrick","given":"Bridie","non-dropping-particle":"","parse-names":false,"suffix":""},{"dropping-particle":"","family":"Ford","given":"Ian","non-dropping-particle":"","parse-names":false,"suffix":""},{"dropping-particle":"","family":"Jackson","given":"Cathy","non-dropping-particle":"","parse-names":false,"suffix":""},{"dropping-particle":"","family":"Haddow","given":"Gillian","non-dropping-particle":"","parse-names":false,"suffix":""},{"dropping-particle":"","family":"Kerr","given":"Shona","non-dropping-particle":"","parse-names":false,"suffix":""},{"dropping-particle":"","family":"Lindsay","given":"Robert","non-dropping-particle":"","parse-names":false,"suffix":""},{"dropping-particle":"","family":"McGilchrist","given":"Mark","non-dropping-particle":"","parse-names":false,"suffix":""},{"dropping-particle":"","family":"Morton","given":"Robin","non-dropping-particle":"","parse-names":false,"suffix":""},{"dropping-particle":"","family":"Murray","given":"Graeme","non-dropping-particle":"","parse-names":false,"suffix":""},{"dropping-particle":"","family":"Palmer","given":"Colin N.A.","non-dropping-particle":"","parse-names":false,"suffix":""},{"dropping-particle":"","family":"Pell","given":"Jill P.","non-dropping-particle":"","parse-names":false,"suffix":""},{"dropping-particle":"","family":"Ralston","given":"Stuart H.","non-dropping-particle":"","parse-names":false,"suffix":""},{"dropping-particle":"","family":"Clair","given":"David","non-dropping-particle":"St.","parse-names":false,"suffix":""},{"dropping-particle":"","family":"Sullivan","given":"Frank","non-dropping-particle":"","parse-names":false,"suffix":""},{"dropping-particle":"","family":"Watt","given":"Graham","non-dropping-particle":"","parse-names":false,"suffix":""},{"dropping-particle":"","family":"Wolf","given":"Roland","non-dropping-particle":"","parse-names":false,"suffix":""},{"dropping-particle":"","family":"Wright","given":"Alan","non-dropping-particle":"","parse-names":false,"suffix":""},{"dropping-particle":"","family":"Porteous","given":"David","non-dropping-particle":"","parse-names":false,"suffix":""},{"dropping-particle":"","family":"Morris","given":"Andrew D.","non-dropping-particle":"","parse-names":false,"suffix":""}],"container-title":"BMC Medical Genetics","id":"ITEM-1","issued":{"date-parts":[["2006"]]},"title":"Generation Scotland: The Scottish Family Health Study; a new resource for researching genes and heritability","type":"article-journal","volume":"7"},"uris":["http://www.mendeley.com/documents/?uuid=359c9b05-2a21-483c-baff-6fd5c93874ae"]}],"mendeley":{"formattedCitation":"(Smith &lt;i&gt;et al.&lt;/i&gt;, 2006)","plainTextFormattedCitation":"(Smith et al., 2006)","previouslyFormattedCitation":"(Smith &lt;i&gt;et al.&lt;/i&gt;, 2006)"},"properties":{"noteIndex":0},"schema":"https://github.com/citation-style-language/schema/raw/master/csl-citation.json"}</w:instrText>
      </w:r>
      <w:r w:rsidR="00286B5F" w:rsidRPr="00A35149">
        <w:rPr>
          <w:rFonts w:asciiTheme="majorBidi" w:hAnsiTheme="majorBidi" w:cstheme="majorBidi"/>
          <w:color w:val="4472C4" w:themeColor="accent1"/>
        </w:rPr>
        <w:fldChar w:fldCharType="separate"/>
      </w:r>
      <w:r w:rsidR="00286B5F" w:rsidRPr="00A35149">
        <w:rPr>
          <w:rFonts w:asciiTheme="majorBidi" w:hAnsiTheme="majorBidi" w:cstheme="majorBidi"/>
          <w:noProof/>
          <w:color w:val="4472C4" w:themeColor="accent1"/>
        </w:rPr>
        <w:t xml:space="preserve">(Smith </w:t>
      </w:r>
      <w:r w:rsidR="00286B5F" w:rsidRPr="00A35149">
        <w:rPr>
          <w:rFonts w:asciiTheme="majorBidi" w:hAnsiTheme="majorBidi" w:cstheme="majorBidi"/>
          <w:i/>
          <w:noProof/>
          <w:color w:val="4472C4" w:themeColor="accent1"/>
        </w:rPr>
        <w:t>et al.</w:t>
      </w:r>
      <w:r w:rsidR="00286B5F" w:rsidRPr="00A35149">
        <w:rPr>
          <w:rFonts w:asciiTheme="majorBidi" w:hAnsiTheme="majorBidi" w:cstheme="majorBidi"/>
          <w:noProof/>
          <w:color w:val="4472C4" w:themeColor="accent1"/>
        </w:rPr>
        <w:t>, 2006)</w:t>
      </w:r>
      <w:r w:rsidR="00286B5F" w:rsidRPr="00A35149">
        <w:rPr>
          <w:rFonts w:asciiTheme="majorBidi" w:hAnsiTheme="majorBidi" w:cstheme="majorBidi"/>
          <w:color w:val="4472C4" w:themeColor="accent1"/>
        </w:rPr>
        <w:fldChar w:fldCharType="end"/>
      </w:r>
      <w:r w:rsidR="00286B5F" w:rsidRPr="00A35149">
        <w:rPr>
          <w:rFonts w:asciiTheme="majorBidi" w:hAnsiTheme="majorBidi" w:cstheme="majorBidi"/>
        </w:rPr>
        <w:t xml:space="preserve"> includes </w:t>
      </w:r>
      <w:r w:rsidR="00286B5F" w:rsidRPr="00A35149">
        <w:rPr>
          <w:rFonts w:asciiTheme="majorBidi" w:hAnsiTheme="majorBidi" w:cstheme="majorBidi"/>
        </w:rPr>
        <w:lastRenderedPageBreak/>
        <w:t xml:space="preserve">DNA, tissues, and phenotypic information from nearly 30,000 Scots </w:t>
      </w:r>
      <w:r w:rsidR="00286B5F" w:rsidRPr="00A35149">
        <w:rPr>
          <w:rFonts w:asciiTheme="majorBidi" w:hAnsiTheme="majorBidi" w:cstheme="majorBidi"/>
        </w:rPr>
        <w:fldChar w:fldCharType="begin" w:fldLock="1"/>
      </w:r>
      <w:r w:rsidR="00286B5F" w:rsidRPr="00A35149">
        <w:rPr>
          <w:rFonts w:asciiTheme="majorBidi" w:hAnsiTheme="majorBidi" w:cstheme="majorBidi"/>
        </w:rPr>
        <w:instrText>ADDIN CSL_CITATION {"citationItems":[{"id":"ITEM-1","itemData":{"author":[{"dropping-particle":"","family":"Generation Scotland","given":"","non-dropping-particle":"","parse-names":false,"suffix":""}],"id":"ITEM-1","issue":"July","issued":{"date-parts":[["2016"]]},"title":"Generation Scotland : Facts and Figures","type":"article-journal"},"uris":["http://www.mendeley.com/documents/?uuid=eb7ea253-5f3a-45dc-9aec-5edfe990faa6"]}],"mendeley":{"formattedCitation":"(Generation Scotland, 2016)","plainTextFormattedCitation":"(Generation Scotland, 2016)","previouslyFormattedCitation":"(Generation Scotland, 2016)"},"properties":{"noteIndex":0},"schema":"https://github.com/citation-style-language/schema/raw/master/csl-citation.json"}</w:instrText>
      </w:r>
      <w:r w:rsidR="00286B5F" w:rsidRPr="00A35149">
        <w:rPr>
          <w:rFonts w:asciiTheme="majorBidi" w:hAnsiTheme="majorBidi" w:cstheme="majorBidi"/>
        </w:rPr>
        <w:fldChar w:fldCharType="separate"/>
      </w:r>
      <w:r w:rsidR="00286B5F" w:rsidRPr="00A35149">
        <w:rPr>
          <w:rFonts w:asciiTheme="majorBidi" w:hAnsiTheme="majorBidi" w:cstheme="majorBidi"/>
          <w:noProof/>
        </w:rPr>
        <w:t>(Generation Scotland, 2016)</w:t>
      </w:r>
      <w:r w:rsidR="00286B5F" w:rsidRPr="00A35149">
        <w:rPr>
          <w:rFonts w:asciiTheme="majorBidi" w:hAnsiTheme="majorBidi" w:cstheme="majorBidi"/>
        </w:rPr>
        <w:fldChar w:fldCharType="end"/>
      </w:r>
      <w:r w:rsidR="00286B5F" w:rsidRPr="00A35149">
        <w:rPr>
          <w:rFonts w:asciiTheme="majorBidi" w:hAnsiTheme="majorBidi" w:cstheme="majorBidi"/>
        </w:rPr>
        <w:t xml:space="preserve">, the 100,000 Genomes Project, sequenced the genomes of 100,000 NHS patients with rare diseases aiming to understand the </w:t>
      </w:r>
      <w:r w:rsidR="00CF57C5" w:rsidRPr="00A35149">
        <w:rPr>
          <w:rFonts w:asciiTheme="majorBidi" w:hAnsiTheme="majorBidi" w:cstheme="majorBidi"/>
        </w:rPr>
        <w:t>aetiology</w:t>
      </w:r>
      <w:r w:rsidR="00286B5F" w:rsidRPr="00A35149">
        <w:rPr>
          <w:rFonts w:asciiTheme="majorBidi" w:hAnsiTheme="majorBidi" w:cstheme="majorBidi"/>
        </w:rPr>
        <w:t xml:space="preserve"> of their conditions from their genomic data </w:t>
      </w:r>
      <w:r w:rsidR="00286B5F" w:rsidRPr="00A35149">
        <w:rPr>
          <w:rFonts w:asciiTheme="majorBidi" w:hAnsiTheme="majorBidi" w:cstheme="majorBidi"/>
          <w:color w:val="4472C4" w:themeColor="accent1"/>
        </w:rPr>
        <w:fldChar w:fldCharType="begin" w:fldLock="1"/>
      </w:r>
      <w:r w:rsidR="00286B5F" w:rsidRPr="00A35149">
        <w:rPr>
          <w:rFonts w:asciiTheme="majorBidi" w:hAnsiTheme="majorBidi" w:cstheme="majorBidi"/>
          <w:color w:val="4472C4" w:themeColor="accent1"/>
        </w:rPr>
        <w:instrText>ADDIN CSL_CITATION {"citationItems":[{"id":"ITEM-1","itemData":{"DOI":"10.6084/M9.FIGSHARE.4530893.V2","abstract":"This document sets out the protocol for the development, delivery, and operation of the 100,000 Genomes Project. It also details the patient and clinical benefits, the scientific and transformational objectives, the implementation strategy, as well as the ethical and governance frameworks required for the Project.","author":[{"dropping-particle":"","family":"Caulfield","given":"Mark","non-dropping-particle":"","parse-names":false,"suffix":""},{"dropping-particle":"","family":"Davies","given":"Jim","non-dropping-particle":"","parse-names":false,"suffix":""},{"dropping-particle":"","family":"Dennys","given":"Martin","non-dropping-particle":"","parse-names":false,"suffix":""},{"dropping-particle":"","family":"Elbahy","given":"Leila","non-dropping-particle":"","parse-names":false,"suffix":""},{"dropping-particle":"","family":"Fowler","given":"Tom","non-dropping-particle":"","parse-names":false,"suffix":""},{"dropping-particle":"","family":"Hill","given":"Sue","non-dropping-particle":"","parse-names":false,"suffix":""},{"dropping-particle":"","family":"Hubbard","given":"Tim","non-dropping-particle":"","parse-names":false,"suffix":""},{"dropping-particle":"","family":"Jostins","given":"Luke","non-dropping-particle":"","parse-names":false,"suffix":""},{"dropping-particle":"","family":"Maltby","given":"Nick","non-dropping-particle":"","parse-names":false,"suffix":""},{"dropping-particle":"","family":"Mahon-Pearson","given":"Jeanna","non-dropping-particle":"","parse-names":false,"suffix":""},{"dropping-particle":"","family":"McVean","given":"Gil","non-dropping-particle":"","parse-names":false,"suffix":""},{"dropping-particle":"","family":"Nevin-Ridley","given":"Katrina","non-dropping-particle":"","parse-names":false,"suffix":""},{"dropping-particle":"","family":"Parker","given":"Matthew","non-dropping-particle":"","parse-names":false,"suffix":""},{"dropping-particle":"","family":"Parry","given":"Vivienne","non-dropping-particle":"","parse-names":false,"suffix":""},{"dropping-particle":"","family":"Rendon","given":"Augusto","non-dropping-particle":"","parse-names":false,"suffix":""},{"dropping-particle":"","family":"Riley","given":"Laura","non-dropping-particle":"","parse-names":false,"suffix":""},{"dropping-particle":"","family":"Turnbull","given":"Clare","non-dropping-particle":"","parse-names":false,"suffix":""},{"dropping-particle":"","family":"Woods","given":"Kerrie","non-dropping-particle":"","parse-names":false,"suffix":""},{"dropping-particle":"","family":"McKee","given":"Shane","non-dropping-particle":"","parse-names":false,"suffix":""},{"dropping-particle":"","family":"Moffatt","given":"Anne","non-dropping-particle":"","parse-names":false,"suffix":""},{"dropping-particle":"","family":"McCarroll","given":"Julie","non-dropping-particle":"","parse-names":false,"suffix":""}],"container-title":"Genomics England","id":"ITEM-1","issued":{"date-parts":[["2017"]]},"title":"The 100,000 Genomes Project Protocol","type":"report"},"uris":["http://www.mendeley.com/documents/?uuid=39b84d7e-6db9-47a5-a718-d53010f10f8c"]}],"mendeley":{"formattedCitation":"(Caulfield &lt;i&gt;et al.&lt;/i&gt;, 2017)","plainTextFormattedCitation":"(Caulfield et al., 2017)","previouslyFormattedCitation":"(Caulfield &lt;i&gt;et al.&lt;/i&gt;, 2017)"},"properties":{"noteIndex":0},"schema":"https://github.com/citation-style-language/schema/raw/master/csl-citation.json"}</w:instrText>
      </w:r>
      <w:r w:rsidR="00286B5F" w:rsidRPr="00A35149">
        <w:rPr>
          <w:rFonts w:asciiTheme="majorBidi" w:hAnsiTheme="majorBidi" w:cstheme="majorBidi"/>
          <w:color w:val="4472C4" w:themeColor="accent1"/>
        </w:rPr>
        <w:fldChar w:fldCharType="separate"/>
      </w:r>
      <w:r w:rsidR="00286B5F" w:rsidRPr="00A35149">
        <w:rPr>
          <w:rFonts w:asciiTheme="majorBidi" w:hAnsiTheme="majorBidi" w:cstheme="majorBidi"/>
          <w:noProof/>
          <w:color w:val="4472C4" w:themeColor="accent1"/>
        </w:rPr>
        <w:t xml:space="preserve">(Caulfield </w:t>
      </w:r>
      <w:r w:rsidR="00286B5F" w:rsidRPr="00A35149">
        <w:rPr>
          <w:rFonts w:asciiTheme="majorBidi" w:hAnsiTheme="majorBidi" w:cstheme="majorBidi"/>
          <w:i/>
          <w:noProof/>
          <w:color w:val="4472C4" w:themeColor="accent1"/>
        </w:rPr>
        <w:t>et al.</w:t>
      </w:r>
      <w:r w:rsidR="00286B5F" w:rsidRPr="00A35149">
        <w:rPr>
          <w:rFonts w:asciiTheme="majorBidi" w:hAnsiTheme="majorBidi" w:cstheme="majorBidi"/>
          <w:noProof/>
          <w:color w:val="4472C4" w:themeColor="accent1"/>
        </w:rPr>
        <w:t>, 2017)</w:t>
      </w:r>
      <w:r w:rsidR="00286B5F" w:rsidRPr="00A35149">
        <w:rPr>
          <w:rFonts w:asciiTheme="majorBidi" w:hAnsiTheme="majorBidi" w:cstheme="majorBidi"/>
          <w:color w:val="4472C4" w:themeColor="accent1"/>
        </w:rPr>
        <w:fldChar w:fldCharType="end"/>
      </w:r>
      <w:r w:rsidR="00286B5F" w:rsidRPr="00A35149">
        <w:rPr>
          <w:rFonts w:asciiTheme="majorBidi" w:hAnsiTheme="majorBidi" w:cstheme="majorBidi"/>
        </w:rPr>
        <w:t xml:space="preserve"> and the UK Biobank project, sequenced the complete genomes of over half a million individual</w:t>
      </w:r>
      <w:r w:rsidR="003E4435" w:rsidRPr="00A35149">
        <w:rPr>
          <w:rFonts w:asciiTheme="majorBidi" w:hAnsiTheme="majorBidi" w:cstheme="majorBidi"/>
        </w:rPr>
        <w:t xml:space="preserve">s </w:t>
      </w:r>
      <w:r w:rsidR="003E4435" w:rsidRPr="00A35149">
        <w:rPr>
          <w:rFonts w:asciiTheme="majorBidi" w:hAnsiTheme="majorBidi" w:cstheme="majorBidi"/>
          <w:color w:val="4472C4" w:themeColor="accent1"/>
        </w:rPr>
        <w:fldChar w:fldCharType="begin" w:fldLock="1"/>
      </w:r>
      <w:r w:rsidR="003E4435" w:rsidRPr="00A35149">
        <w:rPr>
          <w:rFonts w:asciiTheme="majorBidi" w:hAnsiTheme="majorBidi" w:cstheme="majorBidi"/>
          <w:color w:val="4472C4" w:themeColor="accent1"/>
        </w:rPr>
        <w:instrText>ADDIN CSL_CITATION {"citationItems":[{"id":"ITEM-1","itemData":{"DOI":"10.1371/journal.pmed.1001779","ISSN":"15491676","PMID":"25826379","author":[{"dropping-particle":"","family":"Sudlow","given":"Cathie","non-dropping-particle":"","parse-names":false,"suffix":""},{"dropping-particle":"","family":"Gallacher","given":"John","non-dropping-particle":"","parse-names":false,"suffix":""},{"dropping-particle":"","family":"Allen","given":"Naomi","non-dropping-particle":"","parse-names":false,"suffix":""},{"dropping-particle":"","family":"Beral","given":"Valerie","non-dropping-particle":"","parse-names":false,"suffix":""},{"dropping-particle":"","family":"Burton","given":"Paul","non-dropping-particle":"","parse-names":false,"suffix":""},{"dropping-particle":"","family":"Danesh","given":"John","non-dropping-particle":"","parse-names":false,"suffix":""},{"dropping-particle":"","family":"Downey","given":"Paul","non-dropping-particle":"","parse-names":false,"suffix":""},{"dropping-particle":"","family":"Elliott","given":"Paul","non-dropping-particle":"","parse-names":false,"suffix":""},{"dropping-particle":"","family":"Green","given":"Jane","non-dropping-particle":"","parse-names":false,"suffix":""},{"dropping-particle":"","family":"Landray","given":"Martin","non-dropping-particle":"","parse-names":false,"suffix":""},{"dropping-particle":"","family":"Liu","given":"Bette","non-dropping-particle":"","parse-names":false,"suffix":""},{"dropping-particle":"","family":"Matthews","given":"Paul","non-dropping-particle":"","parse-names":false,"suffix":""},{"dropping-particle":"","family":"Ong","given":"Giok","non-dropping-particle":"","parse-names":false,"suffix":""},{"dropping-particle":"","family":"Pell","given":"Jill","non-dropping-particle":"","parse-names":false,"suffix":""},{"dropping-particle":"","family":"Silman","given":"Alan","non-dropping-particle":"","parse-names":false,"suffix":""},{"dropping-particle":"","family":"Young","given":"Alan","non-dropping-particle":"","parse-names":false,"suffix":""},{"dropping-particle":"","family":"Sprosen","given":"Tim","non-dropping-particle":"","parse-names":false,"suffix":""},{"dropping-particle":"","family":"Peakman","given":"Tim","non-dropping-particle":"","parse-names":false,"suffix":""},{"dropping-particle":"","family":"Collins","given":"Rory","non-dropping-particle":"","parse-names":false,"suffix":""}],"container-title":"PLoS Medicine","id":"ITEM-1","issue":"3","issued":{"date-parts":[["2015"]]},"title":"UK Biobank: An Open Access Resource for Identifying the Causes of a Wide Range of Complex Diseases of Middle and Old Age","type":"article-journal","volume":"12"},"uris":["http://www.mendeley.com/documents/?uuid=70b19715-6a69-4213-8742-0cbd3af718aa"]}],"mendeley":{"formattedCitation":"(Sudlow &lt;i&gt;et al.&lt;/i&gt;, 2015)","plainTextFormattedCitation":"(Sudlow et al., 2015)","previouslyFormattedCitation":"(Sudlow &lt;i&gt;et al.&lt;/i&gt;, 2015)"},"properties":{"noteIndex":0},"schema":"https://github.com/citation-style-language/schema/raw/master/csl-citation.json"}</w:instrText>
      </w:r>
      <w:r w:rsidR="003E4435" w:rsidRPr="00A35149">
        <w:rPr>
          <w:rFonts w:asciiTheme="majorBidi" w:hAnsiTheme="majorBidi" w:cstheme="majorBidi"/>
          <w:color w:val="4472C4" w:themeColor="accent1"/>
        </w:rPr>
        <w:fldChar w:fldCharType="separate"/>
      </w:r>
      <w:r w:rsidR="003E4435" w:rsidRPr="00A35149">
        <w:rPr>
          <w:rFonts w:asciiTheme="majorBidi" w:hAnsiTheme="majorBidi" w:cstheme="majorBidi"/>
          <w:noProof/>
          <w:color w:val="4472C4" w:themeColor="accent1"/>
        </w:rPr>
        <w:t xml:space="preserve">(Sudlow </w:t>
      </w:r>
      <w:r w:rsidR="003E4435" w:rsidRPr="00A35149">
        <w:rPr>
          <w:rFonts w:asciiTheme="majorBidi" w:hAnsiTheme="majorBidi" w:cstheme="majorBidi"/>
          <w:i/>
          <w:noProof/>
          <w:color w:val="4472C4" w:themeColor="accent1"/>
        </w:rPr>
        <w:t>et al.</w:t>
      </w:r>
      <w:r w:rsidR="003E4435" w:rsidRPr="00A35149">
        <w:rPr>
          <w:rFonts w:asciiTheme="majorBidi" w:hAnsiTheme="majorBidi" w:cstheme="majorBidi"/>
          <w:noProof/>
          <w:color w:val="4472C4" w:themeColor="accent1"/>
        </w:rPr>
        <w:t>, 2015)</w:t>
      </w:r>
      <w:r w:rsidR="003E4435" w:rsidRPr="00A35149">
        <w:rPr>
          <w:rFonts w:asciiTheme="majorBidi" w:hAnsiTheme="majorBidi" w:cstheme="majorBidi"/>
          <w:color w:val="4472C4" w:themeColor="accent1"/>
        </w:rPr>
        <w:fldChar w:fldCharType="end"/>
      </w:r>
      <w:r w:rsidR="00286B5F" w:rsidRPr="00A35149">
        <w:rPr>
          <w:rFonts w:asciiTheme="majorBidi" w:hAnsiTheme="majorBidi" w:cstheme="majorBidi"/>
        </w:rPr>
        <w:t xml:space="preserve"> with the aim of improving the prevention, diagnosis, and treatment of a wide range of diseases </w:t>
      </w:r>
      <w:r w:rsidR="00286B5F" w:rsidRPr="00A35149">
        <w:rPr>
          <w:rFonts w:asciiTheme="majorBidi" w:hAnsiTheme="majorBidi" w:cstheme="majorBidi"/>
          <w:color w:val="4472C4" w:themeColor="accent1"/>
        </w:rPr>
        <w:fldChar w:fldCharType="begin" w:fldLock="1"/>
      </w:r>
      <w:r w:rsidR="00286B5F" w:rsidRPr="00A35149">
        <w:rPr>
          <w:rFonts w:asciiTheme="majorBidi" w:hAnsiTheme="majorBidi" w:cstheme="majorBidi"/>
          <w:color w:val="4472C4" w:themeColor="accent1"/>
        </w:rPr>
        <w:instrText>ADDIN CSL_CITATION {"citationItems":[{"id":"ITEM-1","itemData":{"DOI":"10.1038/s41586-018-0579-z","ISSN":"14764687","abstract":"The UK Biobank project is a prospective cohort study with deep genetic and phenotypic data collected on approximately 500,000 individuals from across the United Kingdom, aged between 40 and 69 at recruitment. The open resource is unique in its size and scope. A rich variety of phenotypic and health-related information is available on each participant, including biological measurements, lifestyle indicators, biomarkers in blood and urine, and imaging of the body and brain. Follow-up information is provided by linking health and medical records. Genome-wide genotype data have been collected on all participants, providing many opportunities for the discovery of new genetic associations and the genetic bases of complex traits. Here we describe the centralized analysis of the genetic data, including genotype quality, properties of population structure and relatedness of the genetic data, and efficient phasing and genotype imputation that increases the number of testable variants to around 96 million. Classical allelic variation at 11 human leukocyte antigen genes was imputed, resulting in the recovery of signals with known associations between human leukocyte antigen alleles and many diseases.","author":[{"dropping-particle":"","family":"Bycroft","given":"Clare","non-dropping-particle":"","parse-names":false,"suffix":""},{"dropping-particle":"","family":"Freeman","given":"Colin","non-dropping-particle":"","parse-names":false,"suffix":""},{"dropping-particle":"","family":"Petkova","given":"Desislava","non-dropping-particle":"","parse-names":false,"suffix":""},{"dropping-particle":"","family":"Band","given":"Gavin","non-dropping-particle":"","parse-names":false,"suffix":""},{"dropping-particle":"","family":"Elliott","given":"Lloyd T.","non-dropping-particle":"","parse-names":false,"suffix":""},{"dropping-particle":"","family":"Sharp","given":"Kevin","non-dropping-particle":"","parse-names":false,"suffix":""},{"dropping-particle":"","family":"Motyer","given":"Allan","non-dropping-particle":"","parse-names":false,"suffix":""},{"dropping-particle":"","family":"Vukcevic","given":"Damjan","non-dropping-particle":"","parse-names":false,"suffix":""},{"dropping-particle":"","family":"Delaneau","given":"Olivier","non-dropping-particle":"","parse-names":false,"suffix":""},{"dropping-particle":"","family":"O’Connell","given":"Jared","non-dropping-particle":"","parse-names":false,"suffix":""},{"dropping-particle":"","family":"Cortes","given":"Adrian","non-dropping-particle":"","parse-names":false,"suffix":""},{"dropping-particle":"","family":"Welsh","given":"Samantha","non-dropping-particle":"","parse-names":false,"suffix":""},{"dropping-particle":"","family":"Young","given":"Alan","non-dropping-particle":"","parse-names":false,"suffix":""},{"dropping-particle":"","family":"Effingham","given":"Mark","non-dropping-particle":"","parse-names":false,"suffix":""},{"dropping-particle":"","family":"McVean","given":"Gil","non-dropping-particle":"","parse-names":false,"suffix":""},{"dropping-particle":"","family":"Leslie","given":"Stephen","non-dropping-particle":"","parse-names":false,"suffix":""},{"dropping-particle":"","family":"Allen","given":"Naomi","non-dropping-particle":"","parse-names":false,"suffix":""},{"dropping-particle":"","family":"Donnelly","given":"Peter","non-dropping-particle":"","parse-names":false,"suffix":""},{"dropping-particle":"","family":"Marchini","given":"Jonathan","non-dropping-particle":"","parse-names":false,"suffix":""}],"container-title":"Nature","id":"ITEM-1","issue":"7726","issued":{"date-parts":[["2018"]]},"page":"203-209","title":"The UK Biobank resource with deep phenotyping and genomic data","type":"article-journal","volume":"562"},"uris":["http://www.mendeley.com/documents/?uuid=dcc69a79-fde3-4820-9dcf-e1a4cdf36de8"]}],"mendeley":{"formattedCitation":"(Bycroft &lt;i&gt;et al.&lt;/i&gt;, 2018)","plainTextFormattedCitation":"(Bycroft et al., 2018)","previouslyFormattedCitation":"(Bycroft &lt;i&gt;et al.&lt;/i&gt;, 2018)"},"properties":{"noteIndex":0},"schema":"https://github.com/citation-style-language/schema/raw/master/csl-citation.json"}</w:instrText>
      </w:r>
      <w:r w:rsidR="00286B5F" w:rsidRPr="00A35149">
        <w:rPr>
          <w:rFonts w:asciiTheme="majorBidi" w:hAnsiTheme="majorBidi" w:cstheme="majorBidi"/>
          <w:color w:val="4472C4" w:themeColor="accent1"/>
        </w:rPr>
        <w:fldChar w:fldCharType="separate"/>
      </w:r>
      <w:r w:rsidR="00286B5F" w:rsidRPr="00A35149">
        <w:rPr>
          <w:rFonts w:asciiTheme="majorBidi" w:hAnsiTheme="majorBidi" w:cstheme="majorBidi"/>
          <w:noProof/>
          <w:color w:val="4472C4" w:themeColor="accent1"/>
        </w:rPr>
        <w:t xml:space="preserve">(Bycroft </w:t>
      </w:r>
      <w:r w:rsidR="00286B5F" w:rsidRPr="00A35149">
        <w:rPr>
          <w:rFonts w:asciiTheme="majorBidi" w:hAnsiTheme="majorBidi" w:cstheme="majorBidi"/>
          <w:i/>
          <w:noProof/>
          <w:color w:val="4472C4" w:themeColor="accent1"/>
        </w:rPr>
        <w:t>et al.</w:t>
      </w:r>
      <w:r w:rsidR="00286B5F" w:rsidRPr="00A35149">
        <w:rPr>
          <w:rFonts w:asciiTheme="majorBidi" w:hAnsiTheme="majorBidi" w:cstheme="majorBidi"/>
          <w:noProof/>
          <w:color w:val="4472C4" w:themeColor="accent1"/>
        </w:rPr>
        <w:t>, 2018)</w:t>
      </w:r>
      <w:r w:rsidR="00286B5F" w:rsidRPr="00A35149">
        <w:rPr>
          <w:rFonts w:asciiTheme="majorBidi" w:hAnsiTheme="majorBidi" w:cstheme="majorBidi"/>
          <w:color w:val="4472C4" w:themeColor="accent1"/>
        </w:rPr>
        <w:fldChar w:fldCharType="end"/>
      </w:r>
      <w:r w:rsidR="00286B5F" w:rsidRPr="00A35149">
        <w:rPr>
          <w:rFonts w:asciiTheme="majorBidi" w:hAnsiTheme="majorBidi" w:cstheme="majorBidi"/>
        </w:rPr>
        <w:t xml:space="preserve">. Pending projects include the Genome Russia Project, which aims to fill the gap in the mapping of human populations by providing the whole-genome sequences of some 3,000 people from a variety of regions of Russia </w:t>
      </w:r>
      <w:r w:rsidR="00286B5F" w:rsidRPr="00A35149">
        <w:rPr>
          <w:rFonts w:asciiTheme="majorBidi" w:hAnsiTheme="majorBidi" w:cstheme="majorBidi"/>
          <w:color w:val="4472C4" w:themeColor="accent1"/>
        </w:rPr>
        <w:fldChar w:fldCharType="begin" w:fldLock="1"/>
      </w:r>
      <w:r w:rsidR="00286B5F" w:rsidRPr="00A35149">
        <w:rPr>
          <w:rFonts w:asciiTheme="majorBidi" w:hAnsiTheme="majorBidi" w:cstheme="majorBidi"/>
          <w:color w:val="4472C4" w:themeColor="accent1"/>
        </w:rPr>
        <w:instrText>ADDIN CSL_CITATION {"citationItems":[{"id":"ITEM-1","itemData":{"DOI":"10.1186/s13742-015-0095-0","ISSN":"2047217X","abstract":"© 2015 Oleksyk et al. We are witnessing the great era of genome exploration of the world, as genetic variation in people is being detailed across multiple varied world populations in an effort unprecedented since the first human genome sequence appeared in 2001. H</w:instrText>
      </w:r>
      <w:r w:rsidR="00286B5F" w:rsidRPr="00A35149">
        <w:rPr>
          <w:rFonts w:asciiTheme="majorBidi" w:hAnsiTheme="majorBidi" w:cstheme="majorBidi"/>
          <w:color w:val="4472C4" w:themeColor="accent1"/>
          <w:lang w:val="en-US"/>
        </w:rPr>
        <w:instrText>owever, these efforts have yet to produce a comprehensive mapping of humankind, because important regions of modern human civilization remain unexplored. The Genome Russia Project promises to fill one of the largest gaps, the expansive regions across the Russian Federation, informing not just medical genomics of the territories, but also the migration settlements of historic and pre-historic Eurasian peoples.","author":[{"dropping-particle":"","family":"Oleksyk","given":"Taras K.","non-dropping-particle":"","parse-names":false,"suffix":""},{"dropping-particle":"","family":"Brukhin","given":"Vladimir","non-dropping-particle":"","parse-names":false,"suffix":""},{"dropping-particle":"","family":"O'Brien","given":"Stephen J.","non-dropping-particle":"","parse-names":false,"suffix":""}],"container-title":"GigaScience","id":"ITEM-1","issue":"1","issued":{"date-parts":[["2015"]]},"page":"53","title":"The Genome Russia project: Closing the largest remaining omission on the world Genome map","type":"article-journal","volume":"4"},"uris":["http://www.mendeley.com/documents/?uuid=1a1bcb3d-7d1f-41fa-850a-1a757268f7da"]}],"mendeley":{"formattedCitation":"(Oleksyk, Brukhin and O’Brien, 2015)","manualFormatting":"(Oleksyk et al., 2015)","plainTextFormattedCitation":"(Oleksyk, Brukhin and O’Brien, 2015)","previouslyFormattedCitation":"(Oleksyk, Brukhin and O’Brien, 2015)"},"properties":{"noteIndex":0},"schema":"https://github.com/citation-style-language/schema/raw/master/csl-citation.json"}</w:instrText>
      </w:r>
      <w:r w:rsidR="00286B5F" w:rsidRPr="00A35149">
        <w:rPr>
          <w:rFonts w:asciiTheme="majorBidi" w:hAnsiTheme="majorBidi" w:cstheme="majorBidi"/>
          <w:color w:val="4472C4" w:themeColor="accent1"/>
        </w:rPr>
        <w:fldChar w:fldCharType="separate"/>
      </w:r>
      <w:r w:rsidR="00286B5F" w:rsidRPr="00A35149">
        <w:rPr>
          <w:rFonts w:asciiTheme="majorBidi" w:hAnsiTheme="majorBidi" w:cstheme="majorBidi"/>
          <w:noProof/>
          <w:color w:val="4472C4" w:themeColor="accent1"/>
          <w:lang w:val="en-US"/>
        </w:rPr>
        <w:t xml:space="preserve">(Oleksyk </w:t>
      </w:r>
      <w:r w:rsidR="00286B5F" w:rsidRPr="00A35149">
        <w:rPr>
          <w:rFonts w:asciiTheme="majorBidi" w:hAnsiTheme="majorBidi" w:cstheme="majorBidi"/>
          <w:i/>
          <w:iCs/>
          <w:noProof/>
          <w:color w:val="4472C4" w:themeColor="accent1"/>
          <w:lang w:val="en-US"/>
        </w:rPr>
        <w:t>et al.</w:t>
      </w:r>
      <w:r w:rsidR="00286B5F" w:rsidRPr="00A35149">
        <w:rPr>
          <w:rFonts w:asciiTheme="majorBidi" w:hAnsiTheme="majorBidi" w:cstheme="majorBidi"/>
          <w:noProof/>
          <w:color w:val="4472C4" w:themeColor="accent1"/>
          <w:lang w:val="en-US"/>
        </w:rPr>
        <w:t>, 2015)</w:t>
      </w:r>
      <w:r w:rsidR="00286B5F" w:rsidRPr="00A35149">
        <w:rPr>
          <w:rFonts w:asciiTheme="majorBidi" w:hAnsiTheme="majorBidi" w:cstheme="majorBidi"/>
          <w:color w:val="4472C4" w:themeColor="accent1"/>
        </w:rPr>
        <w:fldChar w:fldCharType="end"/>
      </w:r>
      <w:r w:rsidR="0033355E" w:rsidRPr="00A35149">
        <w:rPr>
          <w:rFonts w:asciiTheme="majorBidi" w:hAnsiTheme="majorBidi" w:cstheme="majorBidi"/>
          <w:lang w:val="en-US"/>
        </w:rPr>
        <w:t xml:space="preserve">. </w:t>
      </w:r>
      <w:r w:rsidR="00315FD1" w:rsidRPr="00A35149">
        <w:rPr>
          <w:rFonts w:asciiTheme="majorBidi" w:hAnsiTheme="majorBidi" w:cstheme="majorBidi"/>
          <w:lang w:val="en-US"/>
        </w:rPr>
        <w:t>Biobanks are not without controversy.</w:t>
      </w:r>
      <w:r w:rsidR="0033355E" w:rsidRPr="00A35149">
        <w:rPr>
          <w:rFonts w:asciiTheme="majorBidi" w:hAnsiTheme="majorBidi" w:cstheme="majorBidi"/>
        </w:rPr>
        <w:t xml:space="preserve"> In Iceland, </w:t>
      </w:r>
      <w:proofErr w:type="spellStart"/>
      <w:r w:rsidR="0033355E" w:rsidRPr="00A35149">
        <w:rPr>
          <w:rFonts w:asciiTheme="majorBidi" w:hAnsiTheme="majorBidi" w:cstheme="majorBidi"/>
        </w:rPr>
        <w:t>deCODE</w:t>
      </w:r>
      <w:proofErr w:type="spellEnd"/>
      <w:r w:rsidR="0033355E" w:rsidRPr="00A35149">
        <w:rPr>
          <w:rFonts w:asciiTheme="majorBidi" w:hAnsiTheme="majorBidi" w:cstheme="majorBidi"/>
        </w:rPr>
        <w:t xml:space="preserve"> genetics has created the world’s most extensive and comprehensive population data collection on genealogy, genotypes and phenotypes of </w:t>
      </w:r>
      <w:r w:rsidR="00315FD1" w:rsidRPr="00A35149">
        <w:rPr>
          <w:rFonts w:asciiTheme="majorBidi" w:hAnsiTheme="majorBidi" w:cstheme="majorBidi"/>
        </w:rPr>
        <w:t>a single population</w:t>
      </w:r>
      <w:r w:rsidR="0033355E" w:rsidRPr="00A35149">
        <w:rPr>
          <w:rFonts w:asciiTheme="majorBidi" w:hAnsiTheme="majorBidi" w:cstheme="majorBidi"/>
        </w:rPr>
        <w:t xml:space="preserve">. However, </w:t>
      </w:r>
      <w:r w:rsidR="00315FD1" w:rsidRPr="00A35149">
        <w:rPr>
          <w:rFonts w:asciiTheme="majorBidi" w:hAnsiTheme="majorBidi" w:cstheme="majorBidi"/>
        </w:rPr>
        <w:t xml:space="preserve">the economic value of the genomic data remained largely inaccessible and the company filed for bankruptcy </w:t>
      </w:r>
      <w:r w:rsidR="00315FD1" w:rsidRPr="00A35149">
        <w:rPr>
          <w:rFonts w:asciiTheme="majorBidi" w:hAnsiTheme="majorBidi" w:cstheme="majorBidi"/>
          <w:noProof/>
          <w:color w:val="4472C4" w:themeColor="accent1"/>
        </w:rPr>
        <w:t>(Kaiser, 2009)</w:t>
      </w:r>
      <w:r w:rsidR="00315FD1" w:rsidRPr="00A35149">
        <w:rPr>
          <w:rFonts w:asciiTheme="majorBidi" w:eastAsia="Arial" w:hAnsiTheme="majorBidi" w:cstheme="majorBidi"/>
        </w:rPr>
        <w:t xml:space="preserve">. </w:t>
      </w:r>
      <w:r w:rsidR="0033355E" w:rsidRPr="00A35149">
        <w:rPr>
          <w:rFonts w:asciiTheme="majorBidi" w:eastAsia="Arial" w:hAnsiTheme="majorBidi" w:cstheme="majorBidi"/>
        </w:rPr>
        <w:t xml:space="preserve">The experience of </w:t>
      </w:r>
      <w:proofErr w:type="spellStart"/>
      <w:r w:rsidR="0033355E" w:rsidRPr="00A35149">
        <w:rPr>
          <w:rFonts w:asciiTheme="majorBidi" w:hAnsiTheme="majorBidi" w:cstheme="majorBidi"/>
        </w:rPr>
        <w:t>deCODE</w:t>
      </w:r>
      <w:proofErr w:type="spellEnd"/>
      <w:r w:rsidR="0033355E" w:rsidRPr="00A35149">
        <w:rPr>
          <w:rFonts w:asciiTheme="majorBidi" w:hAnsiTheme="majorBidi" w:cstheme="majorBidi"/>
        </w:rPr>
        <w:t xml:space="preserve"> highlighted the risks in entrusting private companies to manage genomic databases</w:t>
      </w:r>
      <w:r w:rsidR="00315FD1" w:rsidRPr="00A35149">
        <w:rPr>
          <w:rFonts w:asciiTheme="majorBidi" w:hAnsiTheme="majorBidi" w:cstheme="majorBidi"/>
        </w:rPr>
        <w:t>,</w:t>
      </w:r>
      <w:r w:rsidR="0033355E" w:rsidRPr="00A35149">
        <w:rPr>
          <w:rFonts w:asciiTheme="majorBidi" w:hAnsiTheme="majorBidi" w:cstheme="majorBidi"/>
        </w:rPr>
        <w:t xml:space="preserve"> promot</w:t>
      </w:r>
      <w:r w:rsidR="00315FD1" w:rsidRPr="00A35149">
        <w:rPr>
          <w:rFonts w:asciiTheme="majorBidi" w:hAnsiTheme="majorBidi" w:cstheme="majorBidi"/>
        </w:rPr>
        <w:t>ing</w:t>
      </w:r>
      <w:r w:rsidR="0033355E" w:rsidRPr="00A35149">
        <w:rPr>
          <w:rFonts w:asciiTheme="majorBidi" w:hAnsiTheme="majorBidi" w:cstheme="majorBidi"/>
        </w:rPr>
        <w:t xml:space="preserve"> similar efforts to have at least a partial government control in the dozens of newly founded biobanks (reviewed in </w:t>
      </w:r>
      <w:r w:rsidR="0033355E" w:rsidRPr="00A35149">
        <w:rPr>
          <w:rFonts w:asciiTheme="majorBidi" w:hAnsiTheme="majorBidi" w:cstheme="majorBidi"/>
          <w:color w:val="4472C4" w:themeColor="accent1"/>
        </w:rPr>
        <w:fldChar w:fldCharType="begin" w:fldLock="1"/>
      </w:r>
      <w:r w:rsidR="0033355E" w:rsidRPr="00A35149">
        <w:rPr>
          <w:rFonts w:asciiTheme="majorBidi" w:hAnsiTheme="majorBidi" w:cstheme="majorBidi"/>
          <w:color w:val="4472C4" w:themeColor="accent1"/>
        </w:rPr>
        <w:instrText>ADDIN CSL_CITATION {"citationItems":[{"id":"ITEM-1","itemData":{"DOI":"10.7249/rr1520","abstract":"Genomic medicine, as a field, has the potential to change the way we prevent, manage and treat disease. Key findings Population-based sequencing initiatives have diverse goals, but are increasingly focused on clinical application. Population-based sequencing initiatives have had direct impacts on biomedicine as a field, as well as contributing to the social institutions that govern science and innovation more widely. Direct achievements of population-based sequencing initiatives include: catalogues of population-specific genetic variation that have enabled clinical association studies; longitudinal datasets that can enhance our understanding of the links between genetic, lifestyle and environmental factors; enhanced prospects for diagnosis and improved disease-management; and contributions to research and innovation capacity-building (e.g. new analytical tools, skills, equipment and facilities). Population-sequencing initiatives have advanced the state of debate on research ethics and data management, and introduced new approaches to addressing the accompanying social concerns, such as informed consent and privacy and security provisions.","author":[{"dropping-particle":"","family":"Dubow","given":"Talitha","non-dropping-particle":"","parse-names":false,"suffix":""},{"dropping-particle":"","family":"Marjanovic","given":"Sonja","non-dropping-particle":"","parse-names":false,"suffix":""}],"container-title":"Population-scale sequencing and the future of genomic medicine: Learning from past and present efforts","id":"ITEM-1","issued":{"date-parts":[["2016"]]},"title":"Population-scale sequencing and the future of genomic medicine: Learning from past and present efforts","type":"book"},"uris":["http://www.mendeley.com/documents/?uuid=0b55d558-a6df-4ed7-9126-295992bee548"]}],"mendeley":{"formattedCitation":"(Dubow and Marjanovic, 2016)","plainTextFormattedCitation":"(Dubow and Marjanovic, 2016)","previouslyFormattedCitation":"(Dubow and Marjanovic, 2016)"},"properties":{"noteIndex":0},"schema":"https://github.com/citation-style-language/schema/raw/master/csl-citation.json"}</w:instrText>
      </w:r>
      <w:r w:rsidR="0033355E" w:rsidRPr="00A35149">
        <w:rPr>
          <w:rFonts w:asciiTheme="majorBidi" w:hAnsiTheme="majorBidi" w:cstheme="majorBidi"/>
          <w:color w:val="4472C4" w:themeColor="accent1"/>
        </w:rPr>
        <w:fldChar w:fldCharType="separate"/>
      </w:r>
      <w:r w:rsidR="0033355E" w:rsidRPr="00A35149">
        <w:rPr>
          <w:rFonts w:asciiTheme="majorBidi" w:hAnsiTheme="majorBidi" w:cstheme="majorBidi"/>
          <w:noProof/>
          <w:color w:val="4472C4" w:themeColor="accent1"/>
        </w:rPr>
        <w:t>(Dubow and Marjanovic, 2016)</w:t>
      </w:r>
      <w:r w:rsidR="0033355E" w:rsidRPr="00A35149">
        <w:rPr>
          <w:rFonts w:asciiTheme="majorBidi" w:hAnsiTheme="majorBidi" w:cstheme="majorBidi"/>
          <w:color w:val="4472C4" w:themeColor="accent1"/>
        </w:rPr>
        <w:fldChar w:fldCharType="end"/>
      </w:r>
      <w:r w:rsidR="004F6022" w:rsidRPr="00A35149">
        <w:rPr>
          <w:rFonts w:asciiTheme="majorBidi" w:hAnsiTheme="majorBidi" w:cstheme="majorBidi"/>
          <w:color w:val="4472C4" w:themeColor="accent1"/>
        </w:rPr>
        <w:t xml:space="preserve"> (Figure 1</w:t>
      </w:r>
      <w:r w:rsidR="0005627D" w:rsidRPr="00A35149">
        <w:rPr>
          <w:rFonts w:asciiTheme="majorBidi" w:hAnsiTheme="majorBidi" w:cstheme="majorBidi"/>
          <w:color w:val="4472C4" w:themeColor="accent1"/>
        </w:rPr>
        <w:t>)</w:t>
      </w:r>
      <w:r w:rsidR="00A463D2" w:rsidRPr="00A35149">
        <w:rPr>
          <w:rFonts w:asciiTheme="majorBidi" w:hAnsiTheme="majorBidi" w:cstheme="majorBidi"/>
        </w:rPr>
        <w:t>.</w:t>
      </w:r>
      <w:r w:rsidR="00A463D2" w:rsidRPr="00A35149">
        <w:rPr>
          <w:rFonts w:asciiTheme="majorBidi" w:hAnsiTheme="majorBidi" w:cstheme="majorBidi"/>
          <w:color w:val="0070C0"/>
        </w:rPr>
        <w:t xml:space="preserve"> </w:t>
      </w:r>
      <w:r w:rsidR="00A463D2" w:rsidRPr="00A35149">
        <w:rPr>
          <w:rFonts w:asciiTheme="majorBidi" w:hAnsiTheme="majorBidi" w:cstheme="majorBidi"/>
        </w:rPr>
        <w:t xml:space="preserve">Moreover, as the use of biobanks </w:t>
      </w:r>
      <w:r w:rsidR="00BE5DB6" w:rsidRPr="00A35149">
        <w:rPr>
          <w:rFonts w:asciiTheme="majorBidi" w:hAnsiTheme="majorBidi" w:cstheme="majorBidi"/>
        </w:rPr>
        <w:t xml:space="preserve">is </w:t>
      </w:r>
      <w:r w:rsidR="00A463D2" w:rsidRPr="00A35149">
        <w:rPr>
          <w:rFonts w:asciiTheme="majorBidi" w:hAnsiTheme="majorBidi" w:cstheme="majorBidi"/>
        </w:rPr>
        <w:t>expand</w:t>
      </w:r>
      <w:r w:rsidR="00BE5DB6" w:rsidRPr="00A35149">
        <w:rPr>
          <w:rFonts w:asciiTheme="majorBidi" w:hAnsiTheme="majorBidi" w:cstheme="majorBidi"/>
        </w:rPr>
        <w:t>ing</w:t>
      </w:r>
      <w:r w:rsidR="00A463D2" w:rsidRPr="00A35149">
        <w:rPr>
          <w:rFonts w:asciiTheme="majorBidi" w:hAnsiTheme="majorBidi" w:cstheme="majorBidi"/>
        </w:rPr>
        <w:t xml:space="preserve"> beyond their locality</w:t>
      </w:r>
      <w:r w:rsidR="00BE5DB6" w:rsidRPr="00A35149">
        <w:rPr>
          <w:rFonts w:asciiTheme="majorBidi" w:hAnsiTheme="majorBidi" w:cstheme="majorBidi"/>
        </w:rPr>
        <w:t>,</w:t>
      </w:r>
      <w:r w:rsidR="00A463D2" w:rsidRPr="00A35149">
        <w:rPr>
          <w:rFonts w:asciiTheme="majorBidi" w:hAnsiTheme="majorBidi" w:cstheme="majorBidi"/>
        </w:rPr>
        <w:t xml:space="preserve"> for example, in the case of rare conditions where samples need to be pooled from multiple biobanks, the view of biobanks </w:t>
      </w:r>
      <w:r w:rsidR="00BE5DB6" w:rsidRPr="00A35149">
        <w:rPr>
          <w:rFonts w:asciiTheme="majorBidi" w:hAnsiTheme="majorBidi" w:cstheme="majorBidi"/>
        </w:rPr>
        <w:t xml:space="preserve">should be changed from localized managed resources to </w:t>
      </w:r>
      <w:r w:rsidR="00C36388" w:rsidRPr="00A35149">
        <w:rPr>
          <w:rFonts w:asciiTheme="majorBidi" w:hAnsiTheme="majorBidi" w:cstheme="majorBidi"/>
        </w:rPr>
        <w:t xml:space="preserve">more global </w:t>
      </w:r>
      <w:r w:rsidR="00A463D2" w:rsidRPr="00A35149">
        <w:rPr>
          <w:rFonts w:asciiTheme="majorBidi" w:hAnsiTheme="majorBidi" w:cstheme="majorBidi"/>
        </w:rPr>
        <w:t>resources that should adhere to international standards</w:t>
      </w:r>
      <w:r w:rsidR="00E00B45" w:rsidRPr="00A35149">
        <w:rPr>
          <w:rFonts w:asciiTheme="majorBidi" w:hAnsiTheme="majorBidi" w:cstheme="majorBidi"/>
        </w:rPr>
        <w:t xml:space="preserve"> to increase the accuracy of association studies</w:t>
      </w:r>
      <w:r w:rsidR="002F46D1" w:rsidRPr="00A35149">
        <w:rPr>
          <w:rFonts w:asciiTheme="majorBidi" w:hAnsiTheme="majorBidi" w:cstheme="majorBidi"/>
        </w:rPr>
        <w:t xml:space="preserve"> and the use of biobanks </w:t>
      </w:r>
      <w:r w:rsidR="00A01FF0" w:rsidRPr="00A35149">
        <w:rPr>
          <w:rFonts w:asciiTheme="majorBidi" w:hAnsiTheme="majorBidi" w:cstheme="majorBidi"/>
          <w:color w:val="4472C4" w:themeColor="accent1"/>
        </w:rPr>
        <w:fldChar w:fldCharType="begin" w:fldLock="1"/>
      </w:r>
      <w:r w:rsidR="00506C83" w:rsidRPr="00A35149">
        <w:rPr>
          <w:rFonts w:asciiTheme="majorBidi" w:hAnsiTheme="majorBidi" w:cstheme="majorBidi"/>
          <w:color w:val="4472C4" w:themeColor="accent1"/>
        </w:rPr>
        <w:instrText>ADDIN CSL_CITATION {"citationItems":[{"id":"ITEM-1","itemData":{"DOI":"10.1038/nm0313-253a","ISSN":"1546170X","author":[{"dropping-particle":"","family":"Scudellari","given":"Megan","non-dropping-particle":"","parse-names":false,"suffix":""}],"container-title":"Nature Medicine","id":"ITEM-1","issued":{"date-parts":[["2013"]]},"title":"Biobank managers bemoan underuse of collected samples","type":"article-journal"},"uris":["http://www.mendeley.com/documents/?uuid=fd57cd0f-e4fa-4fae-862e-13073ebf1fd8"]}],"mendeley":{"formattedCitation":"(Scudellari, 2013)","plainTextFormattedCitation":"(Scudellari, 2013)","previouslyFormattedCitation":"(Scudellari, 2013)"},"properties":{"noteIndex":0},"schema":"https://github.com/citation-style-language/schema/raw/master/csl-citation.json"}</w:instrText>
      </w:r>
      <w:r w:rsidR="00A01FF0" w:rsidRPr="00A35149">
        <w:rPr>
          <w:rFonts w:asciiTheme="majorBidi" w:hAnsiTheme="majorBidi" w:cstheme="majorBidi"/>
          <w:color w:val="4472C4" w:themeColor="accent1"/>
        </w:rPr>
        <w:fldChar w:fldCharType="separate"/>
      </w:r>
      <w:r w:rsidR="00A01FF0" w:rsidRPr="00A35149">
        <w:rPr>
          <w:rFonts w:asciiTheme="majorBidi" w:hAnsiTheme="majorBidi" w:cstheme="majorBidi"/>
          <w:noProof/>
          <w:color w:val="4472C4" w:themeColor="accent1"/>
        </w:rPr>
        <w:t>(Scudellari, 2013)</w:t>
      </w:r>
      <w:r w:rsidR="00A01FF0" w:rsidRPr="00A35149">
        <w:rPr>
          <w:rFonts w:asciiTheme="majorBidi" w:hAnsiTheme="majorBidi" w:cstheme="majorBidi"/>
          <w:color w:val="4472C4" w:themeColor="accent1"/>
        </w:rPr>
        <w:fldChar w:fldCharType="end"/>
      </w:r>
      <w:r w:rsidR="00A01FF0" w:rsidRPr="00A35149">
        <w:rPr>
          <w:rFonts w:asciiTheme="majorBidi" w:hAnsiTheme="majorBidi" w:cstheme="majorBidi"/>
        </w:rPr>
        <w:t>.</w:t>
      </w:r>
    </w:p>
    <w:p w14:paraId="3124B31E" w14:textId="639E3A02" w:rsidR="007A6533" w:rsidRPr="00A35149" w:rsidRDefault="007A6533" w:rsidP="007A6533">
      <w:pPr>
        <w:rPr>
          <w:rFonts w:asciiTheme="majorBidi" w:hAnsiTheme="majorBidi" w:cstheme="majorBidi"/>
          <w:b/>
          <w:bCs/>
          <w:i/>
          <w:iCs/>
          <w:color w:val="4472C4" w:themeColor="accent1"/>
        </w:rPr>
      </w:pPr>
    </w:p>
    <w:p w14:paraId="48244D19" w14:textId="6D9956EA" w:rsidR="007A6533" w:rsidRDefault="007A6533" w:rsidP="007A6533">
      <w:pPr>
        <w:rPr>
          <w:rFonts w:asciiTheme="majorBidi" w:hAnsiTheme="majorBidi" w:cstheme="majorBidi"/>
          <w:b/>
          <w:bCs/>
          <w:i/>
          <w:iCs/>
          <w:color w:val="4472C4" w:themeColor="accent1"/>
        </w:rPr>
      </w:pPr>
    </w:p>
    <w:p w14:paraId="2EA844DF" w14:textId="41E71E1D" w:rsidR="002E00CA" w:rsidRPr="00A35149" w:rsidRDefault="002E00CA" w:rsidP="007A6533">
      <w:pPr>
        <w:rPr>
          <w:rFonts w:asciiTheme="majorBidi" w:hAnsiTheme="majorBidi" w:cstheme="majorBidi"/>
          <w:b/>
          <w:bCs/>
          <w:i/>
          <w:iCs/>
          <w:color w:val="4472C4" w:themeColor="accent1"/>
        </w:rPr>
      </w:pPr>
      <w:r>
        <w:rPr>
          <w:rFonts w:asciiTheme="majorBidi" w:hAnsiTheme="majorBidi" w:cstheme="majorBidi"/>
          <w:b/>
          <w:bCs/>
          <w:i/>
          <w:iCs/>
          <w:noProof/>
          <w:color w:val="4472C4" w:themeColor="accent1"/>
        </w:rPr>
        <w:drawing>
          <wp:inline distT="0" distB="0" distL="0" distR="0" wp14:anchorId="71F3EB23" wp14:editId="6F704A81">
            <wp:extent cx="5755640" cy="32391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5640" cy="3239135"/>
                    </a:xfrm>
                    <a:prstGeom prst="rect">
                      <a:avLst/>
                    </a:prstGeom>
                    <a:noFill/>
                    <a:ln>
                      <a:noFill/>
                    </a:ln>
                  </pic:spPr>
                </pic:pic>
              </a:graphicData>
            </a:graphic>
          </wp:inline>
        </w:drawing>
      </w:r>
    </w:p>
    <w:p w14:paraId="3A84151D" w14:textId="01706BB0" w:rsidR="007A6533" w:rsidRPr="00A35149" w:rsidRDefault="007A6533" w:rsidP="007A6533">
      <w:pPr>
        <w:rPr>
          <w:rFonts w:asciiTheme="majorBidi" w:hAnsiTheme="majorBidi" w:cstheme="majorBidi"/>
          <w:i/>
          <w:iCs/>
          <w:color w:val="000000" w:themeColor="text1"/>
          <w:sz w:val="22"/>
          <w:szCs w:val="22"/>
        </w:rPr>
      </w:pPr>
      <w:r w:rsidRPr="00A35149">
        <w:rPr>
          <w:rFonts w:asciiTheme="majorBidi" w:hAnsiTheme="majorBidi" w:cstheme="majorBidi"/>
          <w:b/>
          <w:bCs/>
          <w:i/>
          <w:iCs/>
          <w:color w:val="4472C4" w:themeColor="accent1"/>
          <w:sz w:val="22"/>
          <w:szCs w:val="22"/>
        </w:rPr>
        <w:t>Figure 1:</w:t>
      </w:r>
      <w:r w:rsidRPr="00A35149">
        <w:rPr>
          <w:rFonts w:asciiTheme="majorBidi" w:hAnsiTheme="majorBidi" w:cstheme="majorBidi"/>
          <w:i/>
          <w:iCs/>
          <w:color w:val="4472C4" w:themeColor="accent1"/>
          <w:sz w:val="22"/>
          <w:szCs w:val="22"/>
        </w:rPr>
        <w:t xml:space="preserve"> </w:t>
      </w:r>
      <w:r w:rsidRPr="00A35149">
        <w:rPr>
          <w:rFonts w:asciiTheme="majorBidi" w:hAnsiTheme="majorBidi" w:cstheme="majorBidi"/>
          <w:i/>
          <w:iCs/>
          <w:color w:val="000000" w:themeColor="text1"/>
          <w:sz w:val="22"/>
          <w:szCs w:val="22"/>
        </w:rPr>
        <w:t>The distribution of national biobanks throughout the world, colour-coded by country or continent. International initiatives have been listed separately. The size of the shapes represents the intended size of the biobank/study (intended number of samples/individuals). Coloured dots around the edge of the shapes represent the type of information that the biobank contains (ref key).</w:t>
      </w:r>
    </w:p>
    <w:p w14:paraId="489459C3" w14:textId="77777777" w:rsidR="007A6533" w:rsidRPr="00A35149" w:rsidRDefault="007A6533" w:rsidP="007A6533">
      <w:pPr>
        <w:rPr>
          <w:rFonts w:asciiTheme="majorBidi" w:hAnsiTheme="majorBidi" w:cstheme="majorBidi"/>
          <w:i/>
          <w:iCs/>
          <w:color w:val="000000" w:themeColor="text1"/>
          <w:sz w:val="22"/>
          <w:szCs w:val="22"/>
        </w:rPr>
      </w:pPr>
    </w:p>
    <w:p w14:paraId="77963419" w14:textId="77777777" w:rsidR="00B81D88" w:rsidRPr="00A35149" w:rsidRDefault="00B81D88" w:rsidP="00B81D88">
      <w:pPr>
        <w:ind w:firstLine="720"/>
        <w:rPr>
          <w:rFonts w:asciiTheme="majorBidi" w:hAnsiTheme="majorBidi" w:cstheme="majorBidi"/>
        </w:rPr>
      </w:pPr>
    </w:p>
    <w:p w14:paraId="63B9DBC3" w14:textId="3617EB35" w:rsidR="00C70452" w:rsidRPr="00A35149" w:rsidRDefault="00E00B45" w:rsidP="00E00B45">
      <w:pPr>
        <w:ind w:firstLine="720"/>
        <w:rPr>
          <w:rFonts w:asciiTheme="majorBidi" w:hAnsiTheme="majorBidi" w:cstheme="majorBidi"/>
        </w:rPr>
      </w:pPr>
      <w:r w:rsidRPr="00A35149">
        <w:rPr>
          <w:rFonts w:asciiTheme="majorBidi" w:hAnsiTheme="majorBidi" w:cstheme="majorBidi"/>
        </w:rPr>
        <w:t xml:space="preserve">Even </w:t>
      </w:r>
      <w:r w:rsidR="00510336" w:rsidRPr="00A35149">
        <w:rPr>
          <w:rFonts w:asciiTheme="majorBidi" w:hAnsiTheme="majorBidi" w:cstheme="majorBidi"/>
        </w:rPr>
        <w:t>past</w:t>
      </w:r>
      <w:r w:rsidRPr="00A35149">
        <w:rPr>
          <w:rFonts w:asciiTheme="majorBidi" w:hAnsiTheme="majorBidi" w:cstheme="majorBidi"/>
        </w:rPr>
        <w:t xml:space="preserve"> the formation of biobanks, </w:t>
      </w:r>
      <w:r w:rsidR="00BF195A" w:rsidRPr="00A35149">
        <w:rPr>
          <w:rFonts w:asciiTheme="majorBidi" w:hAnsiTheme="majorBidi" w:cstheme="majorBidi"/>
        </w:rPr>
        <w:t xml:space="preserve">many </w:t>
      </w:r>
      <w:r w:rsidRPr="00A35149">
        <w:rPr>
          <w:rFonts w:asciiTheme="majorBidi" w:hAnsiTheme="majorBidi" w:cstheme="majorBidi"/>
        </w:rPr>
        <w:t>associations results failed to replicate</w:t>
      </w:r>
      <w:r w:rsidR="00433DEF" w:rsidRPr="00A35149">
        <w:rPr>
          <w:rFonts w:asciiTheme="majorBidi" w:hAnsiTheme="majorBidi" w:cstheme="majorBidi"/>
        </w:rPr>
        <w:t xml:space="preserve"> (e.g.,</w:t>
      </w:r>
      <w:r w:rsidR="00506C83" w:rsidRPr="00A35149">
        <w:rPr>
          <w:rFonts w:asciiTheme="majorBidi" w:hAnsiTheme="majorBidi" w:cstheme="majorBidi"/>
        </w:rPr>
        <w:t xml:space="preserve"> </w:t>
      </w:r>
      <w:r w:rsidR="00506C83" w:rsidRPr="00A35149">
        <w:rPr>
          <w:rFonts w:asciiTheme="majorBidi" w:hAnsiTheme="majorBidi" w:cstheme="majorBidi"/>
        </w:rPr>
        <w:fldChar w:fldCharType="begin" w:fldLock="1"/>
      </w:r>
      <w:r w:rsidR="00506C83" w:rsidRPr="00A35149">
        <w:rPr>
          <w:rFonts w:asciiTheme="majorBidi" w:hAnsiTheme="majorBidi" w:cstheme="majorBidi"/>
        </w:rPr>
        <w:instrText>ADDIN CSL_CITATION {"citationItems":[{"id":"ITEM-1","itemData":{"DOI":"10.1176/appi.ajp.2018.18070881","ISSN":"15357228","abstract":"Objective: Interest in candidate gene and candidate gene-by-environment interaction hypotheses regarding major depressive disorder remains strong despite controversy surrounding the validity of previous findings. In response to this controversy, the present investigation empirically identified 18 candidate genes for depression that have been studied 10 or more times and examined evidence for their relevance to depression phenotypes. Methods: Utilizing data from large population-based and case-control samples (Ns ranging from 62,138 to 443,264 across subsamples), the authors conducted a series of preregistered analyses examining candidate gene polymorphism main effects, polymorphism-by-environment interactions, and gene-level effects across a number of operational definitions of depression (e.g., lifetime diagnosis, current severity, episode recurrence) and environmental moderators (e.g., sexual or physical abuse during childhood, socioeconomic adversity). Results: No clear evidence was found for any candidate gene polymorphism associations with depression phenotypes or any polymorphism-by-environment moderator effects. As a set, depression candidate genes were no more associated with depression phenotypes than noncandidate genes. The authors demonstrate that phenotypic measurement error is unlikely to account for these null findings. Conclusions: The study results do not support previous depression candidate gene findings, in which large genetic effects are frequently reported in samples orders of magnitude smaller than those examined here. Instead, the results suggest that early hypotheses about depression candidate genes were incorrect and that the large number of associations reported in the depression candidate gene literature are likely to be false positives.","author":[{"dropping-particle":"","family":"Border","given":"Richard","non-dropping-particle":"","parse-names":false,"suffix":""},{"dropping-particle":"","family":"Johnson","given":"Emma C.","non-dropping-particle":"","parse-names":false,"suffix":""},{"dropping-particle":"","family":"Evans","given":"Luke M.","non-dropping-particle":"","parse-names":false,"suffix":""},{"dropping-particle":"","family":"Smolen","given":"Andrew","non-dropping-particle":"","parse-names":false,"suffix":""},{"dropping-particle":"","family":"Berley","given":"Noah","non-dropping-particle":"","parse-names":false,"suffix":""},{"dropping-particle":"","family":"Sullivan","given":"Patrick F.","non-dropping-particle":"","parse-names":false,"suffix":""},{"dropping-particle":"","family":"Keller","given":"Matthew C.","non-dropping-particle":"","parse-names":false,"suffix":""}],"container-title":"American Journal of Psychiatry","id":"ITEM-1","issue":"5","issued":{"date-parts":[["2019"]]},"page":"376-387","title":"No support for historical candidate gene or candidate gene-by-interaction hypotheses for major depression across multiple large samples","type":"article-journal","volume":"176"},"uris":["http://www.mendeley.com/documents/?uuid=a4f18a73-23e9-40a4-9c4b-99492a5ab713"]}],"mendeley":{"formattedCitation":"(Border &lt;i&gt;et al.&lt;/i&gt;, 2019)","manualFormatting":"Border et al., 2019)","plainTextFormattedCitation":"(Border et al., 2019)","previouslyFormattedCitation":"(Border &lt;i&gt;et al.&lt;/i&gt;, 2019)"},"properties":{"noteIndex":0},"schema":"https://github.com/citation-style-language/schema/raw/master/csl-citation.json"}</w:instrText>
      </w:r>
      <w:r w:rsidR="00506C83" w:rsidRPr="00A35149">
        <w:rPr>
          <w:rFonts w:asciiTheme="majorBidi" w:hAnsiTheme="majorBidi" w:cstheme="majorBidi"/>
        </w:rPr>
        <w:fldChar w:fldCharType="separate"/>
      </w:r>
      <w:r w:rsidR="00506C83" w:rsidRPr="00A35149">
        <w:rPr>
          <w:rFonts w:asciiTheme="majorBidi" w:hAnsiTheme="majorBidi" w:cstheme="majorBidi"/>
          <w:noProof/>
          <w:color w:val="4472C4" w:themeColor="accent1"/>
        </w:rPr>
        <w:t xml:space="preserve">Border </w:t>
      </w:r>
      <w:r w:rsidR="00506C83" w:rsidRPr="00A35149">
        <w:rPr>
          <w:rFonts w:asciiTheme="majorBidi" w:hAnsiTheme="majorBidi" w:cstheme="majorBidi"/>
          <w:i/>
          <w:noProof/>
          <w:color w:val="4472C4" w:themeColor="accent1"/>
        </w:rPr>
        <w:t>et al.</w:t>
      </w:r>
      <w:r w:rsidR="00506C83" w:rsidRPr="00A35149">
        <w:rPr>
          <w:rFonts w:asciiTheme="majorBidi" w:hAnsiTheme="majorBidi" w:cstheme="majorBidi"/>
          <w:noProof/>
          <w:color w:val="4472C4" w:themeColor="accent1"/>
        </w:rPr>
        <w:t>, 2019</w:t>
      </w:r>
      <w:r w:rsidR="00506C83" w:rsidRPr="00A35149">
        <w:rPr>
          <w:rFonts w:asciiTheme="majorBidi" w:hAnsiTheme="majorBidi" w:cstheme="majorBidi"/>
          <w:noProof/>
        </w:rPr>
        <w:t>)</w:t>
      </w:r>
      <w:r w:rsidR="00506C83" w:rsidRPr="00A35149">
        <w:rPr>
          <w:rFonts w:asciiTheme="majorBidi" w:hAnsiTheme="majorBidi" w:cstheme="majorBidi"/>
        </w:rPr>
        <w:fldChar w:fldCharType="end"/>
      </w:r>
      <w:r w:rsidR="00595C6B" w:rsidRPr="00A35149">
        <w:rPr>
          <w:rFonts w:asciiTheme="majorBidi" w:hAnsiTheme="majorBidi" w:cstheme="majorBidi"/>
        </w:rPr>
        <w:t xml:space="preserve"> or differ in effect worldwide</w:t>
      </w:r>
      <w:r w:rsidR="000648AF" w:rsidRPr="00A35149">
        <w:rPr>
          <w:rFonts w:asciiTheme="majorBidi" w:hAnsiTheme="majorBidi" w:cstheme="majorBidi"/>
        </w:rPr>
        <w:t xml:space="preserve"> - e.g. BMI</w:t>
      </w:r>
      <w:r w:rsidR="0067225B" w:rsidRPr="00A35149">
        <w:rPr>
          <w:rFonts w:asciiTheme="majorBidi" w:hAnsiTheme="majorBidi" w:cstheme="majorBidi"/>
          <w:color w:val="4472C4" w:themeColor="accent1"/>
        </w:rPr>
        <w:t xml:space="preserve"> </w:t>
      </w:r>
      <w:r w:rsidR="0067225B" w:rsidRPr="00A35149">
        <w:rPr>
          <w:rFonts w:asciiTheme="majorBidi" w:hAnsiTheme="majorBidi" w:cstheme="majorBidi"/>
          <w:color w:val="4472C4" w:themeColor="accent1"/>
        </w:rPr>
        <w:fldChar w:fldCharType="begin" w:fldLock="1"/>
      </w:r>
      <w:r w:rsidR="0067225B" w:rsidRPr="00A35149">
        <w:rPr>
          <w:rFonts w:asciiTheme="majorBidi" w:hAnsiTheme="majorBidi" w:cstheme="majorBidi"/>
          <w:color w:val="4472C4" w:themeColor="accent1"/>
        </w:rPr>
        <w:instrText>ADDIN CSL_CITATION {"citationItems":[{"id":"ITEM-1","itemData":{"DOI":"10.1007/s00439-019-02014-8","ISSN":"14321203","abstract":"Replicable genetic association signals have consistently been found through genome-wide association studies in recent years. The recent dramatic expansion of study sizes improves power of estimation of effect sizes, genomic prediction, causal inference, and polygenic selection, but it simultaneously increases susceptibility of these methods to bias due to subtle population structure. Standard methods using genetic principal components to correct for structure might not always be appropriate and we use a simulation study to illustrate when correction might be ineffective for avoiding biases. New methods such as trans-ethnic modeling and chromosome painting allow for a richer understanding of the relationship between traits and population structure. We illustrate the arguments using real examples (stroke and educational attainment) and provide a more nuanced understanding of population structure, which is set to be revisited as a critical aspect of future analyses in genetic epidemiology. We also make simple recommendations for how problems can be avoided in the future. Our results have particular importance for the implementation of GWAS meta-analysis, for prediction of traits, and for causal inference.","author":[{"dropping-particle":"","family":"Lawson","given":"Daniel John","non-dropping-particle":"","parse-names":false,"suffix":""},{"dropping-particle":"","family":"Davies","given":"Neil Martin","non-dropping-particle":"","parse-names":false,"suffix":""},{"dropping-particle":"","family":"Haworth","given":"Simon","non-dropping-particle":"","parse-names":false,"suffix":""},{"dropping-particle":"","family":"Ashraf","given":"Bilal","non-dropping-particle":"","parse-names":false,"suffix":""},{"dropping-particle":"","family":"Howe","given":"Laurence","non-dropping-particle":"","parse-names":false,"suffix":""},{"dropping-particle":"","family":"Crawford","given":"Andrew","non-dropping-particle":"","parse-names":false,"suffix":""},{"dropping-particle":"","family":"Hemani","given":"Gibran","non-dropping-particle":"","parse-names":false,"suffix":""},{"dropping-particle":"","family":"Davey Smith","given":"George","non-dropping-particle":"","parse-names":false,"suffix":""},{"dropping-particle":"","family":"Timpson","given":"Nicholas John","non-dropping-particle":"","parse-names":false,"suffix":""}],"container-title":"Human Genetics","id":"ITEM-1","issue":"1","issued":{"date-parts":[["2020"]]},"page":"23-41","title":"Is population structure in the genetic biobank era irrelevant, a challenge, or an opportunity?","type":"article-journal","volume":"139"},"uris":["http://www.mendeley.com/documents/?uuid=bb27f0d0-21f5-4666-a96a-3bc82d8de46b"]}],"mendeley":{"formattedCitation":"(Lawson &lt;i&gt;et al.&lt;/i&gt;, 2020)","plainTextFormattedCitation":"(Lawson et al., 2020)","previouslyFormattedCitation":"(Lawson &lt;i&gt;et al.&lt;/i&gt;, 2020)"},"properties":{"noteIndex":0},"schema":"https://github.com/citation-style-language/schema/raw/master/csl-citation.json"}</w:instrText>
      </w:r>
      <w:r w:rsidR="0067225B" w:rsidRPr="00A35149">
        <w:rPr>
          <w:rFonts w:asciiTheme="majorBidi" w:hAnsiTheme="majorBidi" w:cstheme="majorBidi"/>
          <w:color w:val="4472C4" w:themeColor="accent1"/>
        </w:rPr>
        <w:fldChar w:fldCharType="separate"/>
      </w:r>
      <w:r w:rsidR="0067225B" w:rsidRPr="00A35149">
        <w:rPr>
          <w:rFonts w:asciiTheme="majorBidi" w:hAnsiTheme="majorBidi" w:cstheme="majorBidi"/>
          <w:noProof/>
          <w:color w:val="4472C4" w:themeColor="accent1"/>
        </w:rPr>
        <w:t xml:space="preserve">(Lawson </w:t>
      </w:r>
      <w:r w:rsidR="0067225B" w:rsidRPr="00A35149">
        <w:rPr>
          <w:rFonts w:asciiTheme="majorBidi" w:hAnsiTheme="majorBidi" w:cstheme="majorBidi"/>
          <w:i/>
          <w:noProof/>
          <w:color w:val="4472C4" w:themeColor="accent1"/>
        </w:rPr>
        <w:t>et al.</w:t>
      </w:r>
      <w:r w:rsidR="0067225B" w:rsidRPr="00A35149">
        <w:rPr>
          <w:rFonts w:asciiTheme="majorBidi" w:hAnsiTheme="majorBidi" w:cstheme="majorBidi"/>
          <w:noProof/>
          <w:color w:val="4472C4" w:themeColor="accent1"/>
        </w:rPr>
        <w:t>, 2020)</w:t>
      </w:r>
      <w:r w:rsidR="0067225B" w:rsidRPr="00A35149">
        <w:rPr>
          <w:rFonts w:asciiTheme="majorBidi" w:hAnsiTheme="majorBidi" w:cstheme="majorBidi"/>
          <w:color w:val="4472C4" w:themeColor="accent1"/>
        </w:rPr>
        <w:fldChar w:fldCharType="end"/>
      </w:r>
      <w:r w:rsidR="000648AF" w:rsidRPr="00A35149">
        <w:rPr>
          <w:rFonts w:asciiTheme="majorBidi" w:hAnsiTheme="majorBidi" w:cstheme="majorBidi"/>
        </w:rPr>
        <w:t xml:space="preserve">, Schizophrenia </w:t>
      </w:r>
      <w:r w:rsidR="0067225B" w:rsidRPr="00A35149">
        <w:rPr>
          <w:rFonts w:asciiTheme="majorBidi" w:hAnsiTheme="majorBidi" w:cstheme="majorBidi"/>
          <w:color w:val="4472C4" w:themeColor="accent1"/>
        </w:rPr>
        <w:fldChar w:fldCharType="begin" w:fldLock="1"/>
      </w:r>
      <w:r w:rsidR="0067225B" w:rsidRPr="00A35149">
        <w:rPr>
          <w:rFonts w:asciiTheme="majorBidi" w:hAnsiTheme="majorBidi" w:cstheme="majorBidi"/>
          <w:color w:val="4472C4" w:themeColor="accent1"/>
        </w:rPr>
        <w:instrText>ADDIN CSL_CITATION {"citationItems":[{"id":"ITEM-1","itemData":{"DOI":"10.1192/bjp.bp.114.150490","ISSN":"14721465","abstract":"Background A large schizophrenia genome-wide association study (GWAS) and a subsequent extensive replication study of individuals of European ancestry identified eight new loci with genomewide significance and suggested that the MIR137-mediated pathway plays a role in the predisposition for schizophrenia. Aims To validate the above findings in a Han Chinese population. Method We analysed the single nucleotide polymorphisms (SNPs) in the newly identified schizophrenia candidate loci and predicted MIR137 target genes based on our published Han Chinese populations (BIOX) GWAS data. We then analysed 18 SNPs from the candidate regions in an independent cohort that consisted of 3585 patients with schizophrenia and 5496 controls of Han Chinese ancestry. Results We replicated the associations of five markers (P50.05), including three that were located in the predicted MIR137 target genes. Two loci (ITIH3/4: rs2239547, P =1.17×10-10 and CALN1: rs2944829, P=9.97×10-9) exhibited genome-wide significance in the Han Chinese population. Conclusions The ITIH3/4 locus has been reported to be of genome-wide significance in the European population. The successful replication of this finding in a different ethnic group provides stronger evidence for the association between schizophrenia and ITIH3/4. We detected the first genome-wide significant association of schizophrenia with CALN1, which is a predicted target of MIR137, and thus provide new evidence for the associations between MIR137 targets and schizophrenia.","author":[{"dropping-particle":"","family":"Li","given":"Zhiqiang","non-dropping-particle":"","parse-names":false,"suffix":""},{"dropping-particle":"","family":"Xiang","given":"Yuqian","non-dropping-particle":"","parse-names":false,"suffix":""},{"dropping-particle":"","family":"Chen","given":"Jianhua","non-dropping-particle":"","parse-names":false,"suffix":""},{"dropping-particle":"","family":"Li","given":"Qiaoli","non-dropping-particle":"","parse-names":false,"suffix":""},{"dropping-particle":"","family":"Shen","given":"Jiawei","non-dropping-particle":"","parse-names":false,"suffix":""},{"dropping-particle":"","family":"Liu","given":"Yun","non-dropping-particle":"","parse-names":false,"suffix":""},{"dropping-particle":"","family":"Li","given":"Wenjin","non-dropping-particle":"","parse-names":false,"suffix":""},{"dropping-particle":"","family":"Xing","given":"Qinghe","non-dropping-particle":"","parse-names":false,"suffix":""},{"dropping-particle":"","family":"Wang","given":"Qingzhong","non-dropping-particle":"","parse-names":false,"suffix":""},{"dropping-particle":"","family":"Wang","given":"Lei","non-dropping-particle":"","parse-names":false,"suffix":""},{"dropping-particle":"","family":"Feng","given":"Guoyin","non-dropping-particle":"","parse-names":false,"suffix":""},{"dropping-particle":"","family":"He","given":"Lin","non-dropping-particle":"","parse-names":false,"suffix":""},{"dropping-particle":"","family":"Zhao","given":"Xinzhi","non-dropping-particle":"","parse-names":false,"suffix":""},{"dropping-particle":"","family":"Shi","given":"Yongyong","non-dropping-particle":"","parse-names":false,"suffix":""}],"container-title":"British Journal of Psychiatry","id":"ITEM-1","issue":"6","issued":{"date-parts":[["2015"]]},"page":"490-494","title":"Loci with genome-wide associations with schizophrenia in the Han Chinese population","type":"article-journal","volume":"207"},"uris":["http://www.mendeley.com/documents/?uuid=655a9c02-9b1f-4885-af41-bcbb45dbf6d8"]}],"mendeley":{"formattedCitation":"(Li &lt;i&gt;et al.&lt;/i&gt;, 2015)","plainTextFormattedCitation":"(Li et al., 2015)","previouslyFormattedCitation":"(Li &lt;i&gt;et al.&lt;/i&gt;, 2015)"},"properties":{"noteIndex":0},"schema":"https://github.com/citation-style-language/schema/raw/master/csl-citation.json"}</w:instrText>
      </w:r>
      <w:r w:rsidR="0067225B" w:rsidRPr="00A35149">
        <w:rPr>
          <w:rFonts w:asciiTheme="majorBidi" w:hAnsiTheme="majorBidi" w:cstheme="majorBidi"/>
          <w:color w:val="4472C4" w:themeColor="accent1"/>
        </w:rPr>
        <w:fldChar w:fldCharType="separate"/>
      </w:r>
      <w:r w:rsidR="0067225B" w:rsidRPr="00A35149">
        <w:rPr>
          <w:rFonts w:asciiTheme="majorBidi" w:hAnsiTheme="majorBidi" w:cstheme="majorBidi"/>
          <w:noProof/>
          <w:color w:val="4472C4" w:themeColor="accent1"/>
        </w:rPr>
        <w:t xml:space="preserve">(Li </w:t>
      </w:r>
      <w:r w:rsidR="0067225B" w:rsidRPr="00A35149">
        <w:rPr>
          <w:rFonts w:asciiTheme="majorBidi" w:hAnsiTheme="majorBidi" w:cstheme="majorBidi"/>
          <w:i/>
          <w:noProof/>
          <w:color w:val="4472C4" w:themeColor="accent1"/>
        </w:rPr>
        <w:t>et al.</w:t>
      </w:r>
      <w:r w:rsidR="0067225B" w:rsidRPr="00A35149">
        <w:rPr>
          <w:rFonts w:asciiTheme="majorBidi" w:hAnsiTheme="majorBidi" w:cstheme="majorBidi"/>
          <w:noProof/>
          <w:color w:val="4472C4" w:themeColor="accent1"/>
        </w:rPr>
        <w:t>, 2015)</w:t>
      </w:r>
      <w:r w:rsidR="0067225B" w:rsidRPr="00A35149">
        <w:rPr>
          <w:rFonts w:asciiTheme="majorBidi" w:hAnsiTheme="majorBidi" w:cstheme="majorBidi"/>
          <w:color w:val="4472C4" w:themeColor="accent1"/>
        </w:rPr>
        <w:fldChar w:fldCharType="end"/>
      </w:r>
      <w:r w:rsidR="000648AF" w:rsidRPr="00A35149">
        <w:rPr>
          <w:rFonts w:asciiTheme="majorBidi" w:hAnsiTheme="majorBidi" w:cstheme="majorBidi"/>
          <w:color w:val="4472C4" w:themeColor="accent1"/>
        </w:rPr>
        <w:t xml:space="preserve"> </w:t>
      </w:r>
      <w:r w:rsidR="000648AF" w:rsidRPr="00A35149">
        <w:rPr>
          <w:rFonts w:asciiTheme="majorBidi" w:hAnsiTheme="majorBidi" w:cstheme="majorBidi"/>
        </w:rPr>
        <w:t>Hypertension</w:t>
      </w:r>
      <w:r w:rsidR="00E94131" w:rsidRPr="00A35149">
        <w:rPr>
          <w:rFonts w:asciiTheme="majorBidi" w:hAnsiTheme="majorBidi" w:cstheme="majorBidi"/>
        </w:rPr>
        <w:t xml:space="preserve"> </w:t>
      </w:r>
      <w:r w:rsidR="0067225B" w:rsidRPr="00A35149">
        <w:rPr>
          <w:rFonts w:asciiTheme="majorBidi" w:hAnsiTheme="majorBidi" w:cstheme="majorBidi"/>
          <w:color w:val="4472C4" w:themeColor="accent1"/>
        </w:rPr>
        <w:fldChar w:fldCharType="begin" w:fldLock="1"/>
      </w:r>
      <w:r w:rsidR="0067225B" w:rsidRPr="00A35149">
        <w:rPr>
          <w:rFonts w:asciiTheme="majorBidi" w:hAnsiTheme="majorBidi" w:cstheme="majorBidi"/>
          <w:color w:val="4472C4" w:themeColor="accent1"/>
        </w:rPr>
        <w:instrText>ADDIN CSL_CITATION {"citationItems":[{"id":"ITEM-1","itemData":{"DOI":"10.1007/s40142-014-0032-z","ISSN":"2167-4876","abstract":"Genome-wide association studies have been successful in identifying an increasing number of loci as associated with blood pressure and hypertension. However, most studies undertaken to date have only included individuals of European-ancestry for discovery of loci. Although there are differences in the prevalence and incidence of cardiovascular diseases between ancestries, it is expected that a common set of genomic loci will have an underlying involvement in blood pressure across ancestries with differences in genetic effect sizes due to ancestry-related differences in linkage disequilibrium (with the true causal variant) and environmental interactions. The differences in genetic variation between ancestries, for example, linkage disequilibrium structure and allele frequencies, can be exploited to identify additional loci associated with blood pressure traits and also to fine-map signals. This review will summarise the findings to date and discuss approaches for testing association with blood pressure across different ancestries.","author":[{"dropping-particle":"V.","family":"Wain","given":"Louise","non-dropping-particle":"","parse-names":false,"suffix":""}],"container-title":"Current Genetic Medicine Reports","id":"ITEM-1","issue":"1","issued":{"date-parts":[["2014"]]},"page":"13-22","title":"Blood Pressure Genetics and Hypertension: Genome-Wide Analysis and Role of Ancestry","type":"article-journal","volume":"2"},"uris":["http://www.mendeley.com/documents/?uuid=84b93f58-d6d2-4cb6-8f84-166da707187c"]}],"mendeley":{"formattedCitation":"(Wain, 2014)","plainTextFormattedCitation":"(Wain, 2014)","previouslyFormattedCitation":"(Wain, 2014)"},"properties":{"noteIndex":0},"schema":"https://github.com/citation-style-language/schema/raw/master/csl-citation.json"}</w:instrText>
      </w:r>
      <w:r w:rsidR="0067225B" w:rsidRPr="00A35149">
        <w:rPr>
          <w:rFonts w:asciiTheme="majorBidi" w:hAnsiTheme="majorBidi" w:cstheme="majorBidi"/>
          <w:color w:val="4472C4" w:themeColor="accent1"/>
        </w:rPr>
        <w:fldChar w:fldCharType="separate"/>
      </w:r>
      <w:r w:rsidR="0067225B" w:rsidRPr="00A35149">
        <w:rPr>
          <w:rFonts w:asciiTheme="majorBidi" w:hAnsiTheme="majorBidi" w:cstheme="majorBidi"/>
          <w:noProof/>
          <w:color w:val="4472C4" w:themeColor="accent1"/>
        </w:rPr>
        <w:t>(Wain, 2014)</w:t>
      </w:r>
      <w:r w:rsidR="0067225B" w:rsidRPr="00A35149">
        <w:rPr>
          <w:rFonts w:asciiTheme="majorBidi" w:hAnsiTheme="majorBidi" w:cstheme="majorBidi"/>
          <w:color w:val="4472C4" w:themeColor="accent1"/>
        </w:rPr>
        <w:fldChar w:fldCharType="end"/>
      </w:r>
      <w:r w:rsidR="00E94131" w:rsidRPr="00A35149">
        <w:rPr>
          <w:rFonts w:asciiTheme="majorBidi" w:hAnsiTheme="majorBidi" w:cstheme="majorBidi"/>
        </w:rPr>
        <w:t xml:space="preserve"> and </w:t>
      </w:r>
      <w:proofErr w:type="spellStart"/>
      <w:r w:rsidR="00E94131" w:rsidRPr="00A35149">
        <w:rPr>
          <w:rFonts w:asciiTheme="majorBidi" w:hAnsiTheme="majorBidi" w:cstheme="majorBidi"/>
        </w:rPr>
        <w:t>Parkinsons</w:t>
      </w:r>
      <w:proofErr w:type="spellEnd"/>
      <w:r w:rsidR="00E94131" w:rsidRPr="00A35149">
        <w:rPr>
          <w:rFonts w:asciiTheme="majorBidi" w:hAnsiTheme="majorBidi" w:cstheme="majorBidi"/>
        </w:rPr>
        <w:t xml:space="preserve">’ disease </w:t>
      </w:r>
      <w:r w:rsidR="0067225B" w:rsidRPr="00A35149">
        <w:rPr>
          <w:rFonts w:asciiTheme="majorBidi" w:hAnsiTheme="majorBidi" w:cstheme="majorBidi"/>
          <w:color w:val="4472C4" w:themeColor="accent1"/>
        </w:rPr>
        <w:fldChar w:fldCharType="begin" w:fldLock="1"/>
      </w:r>
      <w:r w:rsidR="0067225B" w:rsidRPr="00A35149">
        <w:rPr>
          <w:rFonts w:asciiTheme="majorBidi" w:hAnsiTheme="majorBidi" w:cstheme="majorBidi"/>
          <w:color w:val="4472C4" w:themeColor="accent1"/>
        </w:rPr>
        <w:instrText>ADDIN CSL_CITATION {"citationItems":[{"id":"ITEM-1","itemData":{"DOI":"10.1038/ng.3043","ISSN":"15461718","abstract":"We conducted a meta-analysis of Parkinson's disease genome-wide association studies using a common set of 7,893,274 variants across 13,708 cases and 95,282 controls. Twenty-six loci were identified as having genome-wide significant association; these and 6 additional previously reported loci were then tested in an independent set of 5,353 cases and 5,551 controls. Of the 32 tested SNPs, 24 replicated, including 6 newly identified loci. Conditional analyses within loci showed that four loci, including GBA, GAK-DGKQ, SNCA and the HLA region, contain a secondary independent risk variant. In total, we identified and replicated 28 independent risk variants for Parkinson's disease across 24 loci. Although the effect of each individual locus was small, risk profile analysis showed substantial cumulative risk in a comparison of the highest and lowest quintiles of genetic risk (odds ratio (OR) = 3.31, 95% confidence interval (CI) = 2.55-4.30; P = 2 × 10-16). We also show six risk loci associated with proximal gene expression or DNA methylation.","author":[{"dropping-particle":"","family":"Nalls","given":"Mike A.","non-dropping-particle":"","parse-names":false,"suffix":""},{"dropping-particle":"","family":"Pankratz","given":"Nathan","non-dropping-particle":"","parse-names":false,"suffix":""},{"dropping-particle":"","family":"Lill","given":"Christina M.","non-dropping-particle":"","parse-names":false,"suffix":""},{"dropping-particle":"","family":"Do","given":"Chuong B.","non-dropping-particle":"","parse-names":false,"suffix":""},{"dropping-particle":"","family":"Hernandez","given":"Dena G.","non-dropping-particle":"","parse-names":false,"suffix":""},{"dropping-particle":"","family":"Saad","given":"Mohamad","non-dropping-particle":"","parse-names":false,"suffix":""},{"dropping-particle":"","family":"Destefano","given":"Anita L.","non-dropping-particle":"","parse-names":false,"suffix":""},{"dropping-particle":"","family":"Kara","given":"Eleanna","non-dropping-particle":"","parse-names":false,"suffix":""},{"dropping-particle":"","family":"Bras","given":"Jose","non-dropping-particle":"","parse-names":false,"suffix":""},{"dropping-particle":"","family":"Sharma","given":"Manu","non-dropping-particle":"","parse-names":false,"suffix":""},{"dropping-particle":"","family":"Schulte","given":"Claudia","non-dropping-particle":"","parse-names":false,"suffix":""},{"dropping-particle":"","family":"Keller","given":"Margaux F.","non-dropping-particle":"","parse-names":false,"suffix":""},{"dropping-particle":"","family":"Arepalli","given":"Sampath","non-dropping-particle":"","parse-names":false,"suffix":""},{"dropping-particle":"","family":"Letson","given":"Christopher","non-dropping-particle":"","parse-names":false,"suffix":""},{"dropping-particle":"","family":"Edsall","given":"Connor","non-dropping-particle":"","parse-names":false,"suffix":""},{"dropping-particle":"","family":"Stefansson","given":"Hreinn","non-dropping-particle":"","parse-names":false,"suffix":""},{"dropping-particle":"","family":"Liu","given":"Xinmin","non-dropping-particle":"","parse-names":false,"suffix":""},{"dropping-particle":"","family":"Pliner","given":"Hannah","non-dropping-particle":"","parse-names":false,"suffix":""},{"dropping-particle":"","family":"Lee","given":"Joseph H.","non-dropping-particle":"","parse-names":false,"suffix":""},{"dropping-particle":"","family":"Cheng","given":"Rong","non-dropping-particle":"","parse-names":false,"suffix":""},{"dropping-particle":"","family":"Ikram","given":"M. Arfan","non-dropping-particle":"","parse-names":false,"suffix":""},{"dropping-particle":"","family":"Ioannidis","given":"John P.A.","non-dropping-particle":"","parse-names":false,"suffix":""},{"dropping-particle":"","family":"Hadjigeorgiou","given":"Georgios M.","non-dropping-particle":"","parse-names":false,"suffix":""},{"dropping-particle":"","family":"Bis","given":"Joshua C.","non-dropping-particle":"","parse-names":false,"suffix":""},{"dropping-particle":"","family":"Martinez","given":"Maria","non-dropping-particle":"","parse-names":false,"suffix":""},{"dropping-particle":"","family":"Perlmutter","given":"Joel S.","non-dropping-particle":"","parse-names":false,"suffix":""},{"dropping-particle":"","family":"Goate","given":"Alison","non-dropping-particle":"","parse-names":false,"suffix":""},{"dropping-particle":"","family":"Marder","given":"Karen","non-dropping-particle":"","parse-names":false,"suffix":""},{"dropping-particle":"","family":"Fiske","given":"Brian","non-dropping-particle":"","parse-names":false,"suffix":""},{"dropping-particle":"","family":"Sutherland","given":"Margaret","non-dropping-particle":"","parse-names":false,"suffix":""},{"dropping-particle":"","family":"Xiromerisiou","given":"Georgia","non-dropping-particle":"","parse-names":false,"suffix":""},{"dropping-particle":"","family":"Myers","given":"Richard H.","non-dropping-particle":"","parse-names":false,"suffix":""},{"dropping-particle":"","family":"Clark","given":"Lorraine N.","non-dropping-particle":"","parse-names":false,"suffix":""},{"dropping-particle":"","family":"Stefansson","given":"Kari","non-dropping-particle":"","parse-names":false,"suffix":""},{"dropping-particle":"","family":"Hardy","given":"John A.","non-dropping-particle":"","parse-names":false,"suffix":""},{"dropping-particle":"","family":"Heutink","given":"Peter","non-dropping-particle":"","parse-names":false,"suffix":""},{"dropping-particle":"","family":"Chen","given":"Honglei","non-dropping-particle":"","parse-names":false,"suffix":""},{"dropping-particle":"","family":"Wood","given":"Nicholas W.","non-dropping-particle":"","parse-names":false,"suffix":""},{"dropping-particle":"","family":"Houlden","given":"Henry","non-dropping-particle":"","parse-names":false,"suffix":""},{"dropping-particle":"","family":"Payami","given":"Haydeh","non-dropping-particle":"","parse-names":false,"suffix":""},{"dropping-particle":"","family":"Brice","given":"Alexis","non-dropping-particle":"","parse-names":false,"suffix":""},{"dropping-particle":"","family":"Scott","given":"William K.","non-dropping-particle":"","parse-names":false,"suffix":""},{"dropping-particle":"","family":"Gasser","given":"Thomas","non-dropping-particle":"","parse-names":false,"suffix":""},{"dropping-particle":"","family":"Bertram","given":"Lars","non-dropping-particle":"","parse-names":false,"suffix":""},{"dropping-particle":"","family":"Eriksson","given":"Nicholas","non-dropping-particle":"","parse-names":false,"suffix":""},{"dropping-particle":"","family":"Foroud","given":"Tatiana","non-dropping-particle":"","parse-names":false,"suffix":""},{"dropping-particle":"","family":"Singleton","given":"Andrew B.","non-dropping-particle":"","parse-names":false,"suffix":""}],"container-title":"Nature Genetics","id":"ITEM-1","issue":"9","issued":{"date-parts":[["2014"]]},"page":"989-993","title":"Large-scale meta-analysis of genome-wide association data identifies six new risk loci for Parkinson's disease","type":"article-journal","volume":"46"},"uris":["http://www.mendeley.com/documents/?uuid=75c0c826-d62b-45c9-bbd6-b87c91979ab8"]}],"mendeley":{"formattedCitation":"(Nalls &lt;i&gt;et al.&lt;/i&gt;, 2014)","plainTextFormattedCitation":"(Nalls et al., 2014)","previouslyFormattedCitation":"(Nalls &lt;i&gt;et al.&lt;/i&gt;, 2014)"},"properties":{"noteIndex":0},"schema":"https://github.com/citation-style-language/schema/raw/master/csl-citation.json"}</w:instrText>
      </w:r>
      <w:r w:rsidR="0067225B" w:rsidRPr="00A35149">
        <w:rPr>
          <w:rFonts w:asciiTheme="majorBidi" w:hAnsiTheme="majorBidi" w:cstheme="majorBidi"/>
          <w:color w:val="4472C4" w:themeColor="accent1"/>
        </w:rPr>
        <w:fldChar w:fldCharType="separate"/>
      </w:r>
      <w:r w:rsidR="0067225B" w:rsidRPr="00A35149">
        <w:rPr>
          <w:rFonts w:asciiTheme="majorBidi" w:hAnsiTheme="majorBidi" w:cstheme="majorBidi"/>
          <w:noProof/>
          <w:color w:val="4472C4" w:themeColor="accent1"/>
        </w:rPr>
        <w:t xml:space="preserve">(Nalls </w:t>
      </w:r>
      <w:r w:rsidR="0067225B" w:rsidRPr="00A35149">
        <w:rPr>
          <w:rFonts w:asciiTheme="majorBidi" w:hAnsiTheme="majorBidi" w:cstheme="majorBidi"/>
          <w:i/>
          <w:noProof/>
          <w:color w:val="4472C4" w:themeColor="accent1"/>
        </w:rPr>
        <w:t>et al.</w:t>
      </w:r>
      <w:r w:rsidR="0067225B" w:rsidRPr="00A35149">
        <w:rPr>
          <w:rFonts w:asciiTheme="majorBidi" w:hAnsiTheme="majorBidi" w:cstheme="majorBidi"/>
          <w:noProof/>
          <w:color w:val="4472C4" w:themeColor="accent1"/>
        </w:rPr>
        <w:t>, 2014)</w:t>
      </w:r>
      <w:r w:rsidR="0067225B" w:rsidRPr="00A35149">
        <w:rPr>
          <w:rFonts w:asciiTheme="majorBidi" w:hAnsiTheme="majorBidi" w:cstheme="majorBidi"/>
          <w:color w:val="4472C4" w:themeColor="accent1"/>
        </w:rPr>
        <w:fldChar w:fldCharType="end"/>
      </w:r>
      <w:r w:rsidRPr="00A35149">
        <w:rPr>
          <w:rFonts w:asciiTheme="majorBidi" w:hAnsiTheme="majorBidi" w:cstheme="majorBidi"/>
        </w:rPr>
        <w:t xml:space="preserve">. Although strong </w:t>
      </w:r>
      <w:r w:rsidR="00A01C8C" w:rsidRPr="00A35149">
        <w:rPr>
          <w:rFonts w:asciiTheme="majorBidi" w:hAnsiTheme="majorBidi" w:cstheme="majorBidi"/>
        </w:rPr>
        <w:t xml:space="preserve">associations </w:t>
      </w:r>
      <w:r w:rsidR="00977254" w:rsidRPr="00A35149">
        <w:rPr>
          <w:rFonts w:asciiTheme="majorBidi" w:hAnsiTheme="majorBidi" w:cstheme="majorBidi"/>
        </w:rPr>
        <w:t xml:space="preserve">between genetic variants and a phenotype </w:t>
      </w:r>
      <w:r w:rsidR="00A01C8C" w:rsidRPr="00A35149">
        <w:rPr>
          <w:rFonts w:asciiTheme="majorBidi" w:hAnsiTheme="majorBidi" w:cstheme="majorBidi"/>
        </w:rPr>
        <w:t xml:space="preserve">typically </w:t>
      </w:r>
      <w:r w:rsidR="00A01C8C" w:rsidRPr="00A35149">
        <w:rPr>
          <w:rFonts w:asciiTheme="majorBidi" w:hAnsiTheme="majorBidi" w:cstheme="majorBidi"/>
        </w:rPr>
        <w:lastRenderedPageBreak/>
        <w:t>replicate</w:t>
      </w:r>
      <w:r w:rsidRPr="00A35149">
        <w:rPr>
          <w:rFonts w:asciiTheme="majorBidi" w:hAnsiTheme="majorBidi" w:cstheme="majorBidi"/>
        </w:rPr>
        <w:t>d</w:t>
      </w:r>
      <w:r w:rsidR="00A01C8C" w:rsidRPr="00A35149">
        <w:rPr>
          <w:rFonts w:asciiTheme="majorBidi" w:hAnsiTheme="majorBidi" w:cstheme="majorBidi"/>
        </w:rPr>
        <w:t xml:space="preserve"> within the population that was </w:t>
      </w:r>
      <w:r w:rsidR="005A00F0" w:rsidRPr="00A35149">
        <w:rPr>
          <w:rFonts w:asciiTheme="majorBidi" w:hAnsiTheme="majorBidi" w:cstheme="majorBidi"/>
        </w:rPr>
        <w:t>studied</w:t>
      </w:r>
      <w:r w:rsidRPr="00A35149">
        <w:rPr>
          <w:rFonts w:asciiTheme="majorBidi" w:hAnsiTheme="majorBidi" w:cstheme="majorBidi"/>
        </w:rPr>
        <w:t>,</w:t>
      </w:r>
      <w:r w:rsidR="005A00F0" w:rsidRPr="00A35149">
        <w:rPr>
          <w:rFonts w:asciiTheme="majorBidi" w:hAnsiTheme="majorBidi" w:cstheme="majorBidi"/>
        </w:rPr>
        <w:t xml:space="preserve"> </w:t>
      </w:r>
      <w:r w:rsidRPr="00A35149">
        <w:rPr>
          <w:rFonts w:asciiTheme="majorBidi" w:hAnsiTheme="majorBidi" w:cstheme="majorBidi"/>
        </w:rPr>
        <w:t xml:space="preserve">they </w:t>
      </w:r>
      <w:r w:rsidR="00977254" w:rsidRPr="00A35149">
        <w:rPr>
          <w:rFonts w:asciiTheme="majorBidi" w:hAnsiTheme="majorBidi" w:cstheme="majorBidi"/>
        </w:rPr>
        <w:t xml:space="preserve">may not </w:t>
      </w:r>
      <w:r w:rsidRPr="00A35149">
        <w:rPr>
          <w:rFonts w:asciiTheme="majorBidi" w:hAnsiTheme="majorBidi" w:cstheme="majorBidi"/>
        </w:rPr>
        <w:t xml:space="preserve">have been </w:t>
      </w:r>
      <w:r w:rsidR="00977254" w:rsidRPr="00A35149">
        <w:rPr>
          <w:rFonts w:asciiTheme="majorBidi" w:hAnsiTheme="majorBidi" w:cstheme="majorBidi"/>
        </w:rPr>
        <w:t>replicate</w:t>
      </w:r>
      <w:r w:rsidRPr="00A35149">
        <w:rPr>
          <w:rFonts w:asciiTheme="majorBidi" w:hAnsiTheme="majorBidi" w:cstheme="majorBidi"/>
        </w:rPr>
        <w:t>d</w:t>
      </w:r>
      <w:r w:rsidR="00977254" w:rsidRPr="00A35149">
        <w:rPr>
          <w:rFonts w:asciiTheme="majorBidi" w:hAnsiTheme="majorBidi" w:cstheme="majorBidi"/>
        </w:rPr>
        <w:t xml:space="preserve"> elsewhere</w:t>
      </w:r>
      <w:r w:rsidR="00A01C8C" w:rsidRPr="00A35149">
        <w:rPr>
          <w:rFonts w:asciiTheme="majorBidi" w:hAnsiTheme="majorBidi" w:cstheme="majorBidi"/>
        </w:rPr>
        <w:t xml:space="preserve">. This leads naturally to </w:t>
      </w:r>
      <w:r w:rsidR="005A60F9" w:rsidRPr="00A35149">
        <w:rPr>
          <w:rFonts w:asciiTheme="majorBidi" w:hAnsiTheme="majorBidi" w:cstheme="majorBidi"/>
        </w:rPr>
        <w:t xml:space="preserve">further </w:t>
      </w:r>
      <w:r w:rsidR="00A01C8C" w:rsidRPr="00A35149">
        <w:rPr>
          <w:rFonts w:asciiTheme="majorBidi" w:hAnsiTheme="majorBidi" w:cstheme="majorBidi"/>
        </w:rPr>
        <w:t>question</w:t>
      </w:r>
      <w:r w:rsidR="00D71489" w:rsidRPr="00A35149">
        <w:rPr>
          <w:rFonts w:asciiTheme="majorBidi" w:hAnsiTheme="majorBidi" w:cstheme="majorBidi"/>
        </w:rPr>
        <w:t xml:space="preserve">ing </w:t>
      </w:r>
      <w:r w:rsidRPr="00A35149">
        <w:rPr>
          <w:rFonts w:asciiTheme="majorBidi" w:hAnsiTheme="majorBidi" w:cstheme="majorBidi"/>
        </w:rPr>
        <w:t xml:space="preserve">the </w:t>
      </w:r>
      <w:r w:rsidR="00D71489" w:rsidRPr="00A35149">
        <w:rPr>
          <w:rFonts w:asciiTheme="majorBidi" w:hAnsiTheme="majorBidi" w:cstheme="majorBidi"/>
        </w:rPr>
        <w:t xml:space="preserve">value </w:t>
      </w:r>
      <w:r w:rsidR="00C36388" w:rsidRPr="00A35149">
        <w:rPr>
          <w:rFonts w:asciiTheme="majorBidi" w:hAnsiTheme="majorBidi" w:cstheme="majorBidi"/>
        </w:rPr>
        <w:t xml:space="preserve">and cost-effectiveness </w:t>
      </w:r>
      <w:r w:rsidRPr="00A35149">
        <w:rPr>
          <w:rFonts w:asciiTheme="majorBidi" w:hAnsiTheme="majorBidi" w:cstheme="majorBidi"/>
        </w:rPr>
        <w:t xml:space="preserve">of association studies and biobanks </w:t>
      </w:r>
      <w:r w:rsidR="00506C83" w:rsidRPr="00A35149">
        <w:rPr>
          <w:rFonts w:asciiTheme="majorBidi" w:hAnsiTheme="majorBidi" w:cstheme="majorBidi"/>
          <w:color w:val="4472C4" w:themeColor="accent1"/>
        </w:rPr>
        <w:fldChar w:fldCharType="begin" w:fldLock="1"/>
      </w:r>
      <w:r w:rsidR="00D63A31" w:rsidRPr="00A35149">
        <w:rPr>
          <w:rFonts w:asciiTheme="majorBidi" w:hAnsiTheme="majorBidi" w:cstheme="majorBidi"/>
          <w:color w:val="4472C4" w:themeColor="accent1"/>
        </w:rPr>
        <w:instrText>ADDIN CSL_CITATION {"citationItems":[{"id":"ITEM-1","itemData":{"DOI":"10.1186/s12910-016-0124-2","ISSN":"14726939","abstract":"Biobanks have been heralded as essential tools for translating biomedical research into practice, driving precision medicine to improve pathways for global healthcare treatment and services. Many nations have established specific governance systems to facilitate research and to address the complex ethical, legal and social challenges that they present, but this has not lead to uniformity across the world. Despite significant progress in responding to the ethical, legal and social implications of biobanking, operational, sustainability and funding challenges continue to emerge. No coherent strategy has yet been identified for addressing them. This has brought into question the overall viability and usefulness of biobanks in light of the significant resources required to keep them running. This review sets out the challenges that the biobanking community has had to overcome since their inception in the early 2000s. The first section provides a brief outline of the diversity in biobank and regulatory architecture in seven countries: Australia, Germany, Japan, Singapore, Taiwan, the UK, and the USA. The article then discusses four waves of responses to biobanking challenges. This article had its genesis in a discussion on biobanks during the Centre for Health, Law and Emerging Technologies (HeLEX) conference in Oxford UK, co-sponsored by the Centre for Law and Genetics (University of Tasmania). This article aims to provide a review of the issues associated with biobank practices and governance, with a view to informing the future course of both large-scale and smaller scale biobanks.","author":[{"dropping-particle":"","family":"Chalmers","given":"Don","non-dropping-particle":"","parse-names":false,"suffix":""},{"dropping-particle":"","family":"Nicol","given":"Dianne","non-dropping-particle":"","parse-names":false,"suffix":""},{"dropping-particle":"","family":"Kaye","given":"Jane","non-dropping-particle":"","parse-names":false,"suffix":""},{"dropping-particle":"","family":"Bell","given":"Jessica","non-dropping-particle":"","parse-names":false,"suffix":""},{"dropping-particle":"V.","family":"Campbell","given":"Alastair","non-dropping-particle":"","parse-names":false,"suffix":""},{"dropping-particle":"","family":"Ho","given":"Calvin W.L.","non-dropping-particle":"","parse-names":false,"suffix":""},{"dropping-particle":"","family":"Kato","given":"Kazuto","non-dropping-particle":"","parse-names":false,"suffix":""},{"dropping-particle":"","family":"Minari","given":"Jusaku","non-dropping-particle":"","parse-names":false,"suffix":""},{"dropping-particle":"","family":"Ho","given":"Chih Hsing","non-dropping-particle":"","parse-names":false,"suffix":""},{"dropping-particle":"","family":"Mitchell","given":"Colin","non-dropping-particle":"","parse-names":false,"suffix":""},{"dropping-particle":"","family":"Molnár-Gábor","given":"Fruzsina","non-dropping-particle":"","parse-names":false,"suffix":""},{"dropping-particle":"","family":"Otlowski","given":"Margaret","non-dropping-particle":"","parse-names":false,"suffix":""},{"dropping-particle":"","family":"Thiel","given":"Daniel","non-dropping-particle":"","parse-names":false,"suffix":""},{"dropping-particle":"","family":"Fullerton","given":"Stephanie M.","non-dropping-particle":"","parse-names":false,"suffix":""},{"dropping-particle":"","family":"Whitton","given":"Tess","non-dropping-particle":"","parse-names":false,"suffix":""}],"container-title":"BMC Medical Ethics","id":"ITEM-1","issue":"1","issued":{"date-parts":[["2016"]]},"title":"Has the biobank bubble burst? Withstanding the challenges for sustainable biobanking in the digital era Donna Dickenson, Sandra Soo-Jin Lee, and Michael Morrison","type":"article-journal","volume":"17"},"uris":["http://www.mendeley.com/documents/?uuid=921cc55b-8622-4d1a-b2c1-74bf43e22521"]}],"mendeley":{"formattedCitation":"(Chalmers &lt;i&gt;et al.&lt;/i&gt;, 2016)","plainTextFormattedCitation":"(Chalmers et al., 2016)","previouslyFormattedCitation":"(Chalmers &lt;i&gt;et al.&lt;/i&gt;, 2016)"},"properties":{"noteIndex":0},"schema":"https://github.com/citation-style-language/schema/raw/master/csl-citation.json"}</w:instrText>
      </w:r>
      <w:r w:rsidR="00506C83" w:rsidRPr="00A35149">
        <w:rPr>
          <w:rFonts w:asciiTheme="majorBidi" w:hAnsiTheme="majorBidi" w:cstheme="majorBidi"/>
          <w:color w:val="4472C4" w:themeColor="accent1"/>
        </w:rPr>
        <w:fldChar w:fldCharType="separate"/>
      </w:r>
      <w:r w:rsidR="00506C83" w:rsidRPr="00A35149">
        <w:rPr>
          <w:rFonts w:asciiTheme="majorBidi" w:hAnsiTheme="majorBidi" w:cstheme="majorBidi"/>
          <w:noProof/>
          <w:color w:val="4472C4" w:themeColor="accent1"/>
        </w:rPr>
        <w:t xml:space="preserve">(Chalmers </w:t>
      </w:r>
      <w:r w:rsidR="00506C83" w:rsidRPr="00A35149">
        <w:rPr>
          <w:rFonts w:asciiTheme="majorBidi" w:hAnsiTheme="majorBidi" w:cstheme="majorBidi"/>
          <w:i/>
          <w:noProof/>
          <w:color w:val="4472C4" w:themeColor="accent1"/>
        </w:rPr>
        <w:t>et al.</w:t>
      </w:r>
      <w:r w:rsidR="00506C83" w:rsidRPr="00A35149">
        <w:rPr>
          <w:rFonts w:asciiTheme="majorBidi" w:hAnsiTheme="majorBidi" w:cstheme="majorBidi"/>
          <w:noProof/>
          <w:color w:val="4472C4" w:themeColor="accent1"/>
        </w:rPr>
        <w:t>, 2016)</w:t>
      </w:r>
      <w:r w:rsidR="00506C83" w:rsidRPr="00A35149">
        <w:rPr>
          <w:rFonts w:asciiTheme="majorBidi" w:hAnsiTheme="majorBidi" w:cstheme="majorBidi"/>
          <w:color w:val="4472C4" w:themeColor="accent1"/>
        </w:rPr>
        <w:fldChar w:fldCharType="end"/>
      </w:r>
      <w:r w:rsidR="00C36388" w:rsidRPr="00A35149">
        <w:rPr>
          <w:rFonts w:asciiTheme="majorBidi" w:hAnsiTheme="majorBidi" w:cstheme="majorBidi"/>
          <w:color w:val="4472C4" w:themeColor="accent1"/>
        </w:rPr>
        <w:t xml:space="preserve"> </w:t>
      </w:r>
      <w:r w:rsidR="00A01C8C" w:rsidRPr="00A35149">
        <w:rPr>
          <w:rFonts w:asciiTheme="majorBidi" w:hAnsiTheme="majorBidi" w:cstheme="majorBidi"/>
        </w:rPr>
        <w:t xml:space="preserve">– what do the associations mean, and what are they useful for? </w:t>
      </w:r>
      <w:r w:rsidR="005A00F0" w:rsidRPr="00A35149">
        <w:rPr>
          <w:rFonts w:asciiTheme="majorBidi" w:hAnsiTheme="majorBidi" w:cstheme="majorBidi"/>
        </w:rPr>
        <w:t xml:space="preserve">How can we decide whether the association is relevant for different individuals, particularly those of mixed origins or those who may not know their origins? </w:t>
      </w:r>
      <w:r w:rsidR="005A60F9" w:rsidRPr="00A35149">
        <w:rPr>
          <w:rFonts w:asciiTheme="majorBidi" w:hAnsiTheme="majorBidi" w:cstheme="majorBidi"/>
        </w:rPr>
        <w:t xml:space="preserve">What are the considerations when designing a new biobank or merging data from multiple biobanks? </w:t>
      </w:r>
      <w:r w:rsidR="00A01C8C" w:rsidRPr="00A35149">
        <w:rPr>
          <w:rFonts w:asciiTheme="majorBidi" w:hAnsiTheme="majorBidi" w:cstheme="majorBidi"/>
        </w:rPr>
        <w:t>We argue that understanding population structure is a key component to answering these questions</w:t>
      </w:r>
      <w:r w:rsidR="00FB2B40" w:rsidRPr="00A35149">
        <w:rPr>
          <w:rFonts w:asciiTheme="majorBidi" w:hAnsiTheme="majorBidi" w:cstheme="majorBidi"/>
        </w:rPr>
        <w:t xml:space="preserve"> and contribute to the sustainability of biobanks</w:t>
      </w:r>
      <w:r w:rsidR="00A01C8C" w:rsidRPr="00A35149">
        <w:rPr>
          <w:rFonts w:asciiTheme="majorBidi" w:hAnsiTheme="majorBidi" w:cstheme="majorBidi"/>
        </w:rPr>
        <w:t>.</w:t>
      </w:r>
      <w:r w:rsidR="005A60F9" w:rsidRPr="00A35149">
        <w:rPr>
          <w:rFonts w:asciiTheme="majorBidi" w:hAnsiTheme="majorBidi" w:cstheme="majorBidi"/>
        </w:rPr>
        <w:t xml:space="preserve"> In the following, we review the current state of </w:t>
      </w:r>
      <w:r w:rsidRPr="00A35149">
        <w:rPr>
          <w:rFonts w:asciiTheme="majorBidi" w:hAnsiTheme="majorBidi" w:cstheme="majorBidi"/>
        </w:rPr>
        <w:t>knowledge</w:t>
      </w:r>
      <w:r w:rsidR="005A60F9" w:rsidRPr="00A35149">
        <w:rPr>
          <w:rFonts w:asciiTheme="majorBidi" w:hAnsiTheme="majorBidi" w:cstheme="majorBidi"/>
        </w:rPr>
        <w:t xml:space="preserve"> on the </w:t>
      </w:r>
      <w:r w:rsidRPr="00A35149">
        <w:rPr>
          <w:rFonts w:asciiTheme="majorBidi" w:hAnsiTheme="majorBidi" w:cstheme="majorBidi"/>
        </w:rPr>
        <w:t xml:space="preserve">importance </w:t>
      </w:r>
      <w:r w:rsidR="005A60F9" w:rsidRPr="00A35149">
        <w:rPr>
          <w:rFonts w:asciiTheme="majorBidi" w:hAnsiTheme="majorBidi" w:cstheme="majorBidi"/>
        </w:rPr>
        <w:t xml:space="preserve">of population </w:t>
      </w:r>
      <w:r w:rsidRPr="00A35149">
        <w:rPr>
          <w:rFonts w:asciiTheme="majorBidi" w:hAnsiTheme="majorBidi" w:cstheme="majorBidi"/>
        </w:rPr>
        <w:t xml:space="preserve">structure </w:t>
      </w:r>
      <w:r w:rsidR="005A60F9" w:rsidRPr="00A35149">
        <w:rPr>
          <w:rFonts w:asciiTheme="majorBidi" w:hAnsiTheme="majorBidi" w:cstheme="majorBidi"/>
        </w:rPr>
        <w:t xml:space="preserve">to </w:t>
      </w:r>
      <w:r w:rsidRPr="00A35149">
        <w:rPr>
          <w:rFonts w:asciiTheme="majorBidi" w:hAnsiTheme="majorBidi" w:cstheme="majorBidi"/>
        </w:rPr>
        <w:t xml:space="preserve">association studies and </w:t>
      </w:r>
      <w:r w:rsidR="005A60F9" w:rsidRPr="00A35149">
        <w:rPr>
          <w:rFonts w:asciiTheme="majorBidi" w:hAnsiTheme="majorBidi" w:cstheme="majorBidi"/>
        </w:rPr>
        <w:t xml:space="preserve">biobanks and the implications to downstream analyses. We </w:t>
      </w:r>
      <w:r w:rsidRPr="00A35149">
        <w:rPr>
          <w:rFonts w:asciiTheme="majorBidi" w:hAnsiTheme="majorBidi" w:cstheme="majorBidi"/>
        </w:rPr>
        <w:t xml:space="preserve">then </w:t>
      </w:r>
      <w:r w:rsidR="005A60F9" w:rsidRPr="00A35149">
        <w:rPr>
          <w:rFonts w:asciiTheme="majorBidi" w:hAnsiTheme="majorBidi" w:cstheme="majorBidi"/>
        </w:rPr>
        <w:t xml:space="preserve">review </w:t>
      </w:r>
      <w:r w:rsidR="002C529E" w:rsidRPr="00A35149">
        <w:rPr>
          <w:rFonts w:asciiTheme="majorBidi" w:hAnsiTheme="majorBidi" w:cstheme="majorBidi"/>
        </w:rPr>
        <w:t xml:space="preserve">biobank relevant </w:t>
      </w:r>
      <w:r w:rsidR="005A60F9" w:rsidRPr="00A35149">
        <w:rPr>
          <w:rFonts w:asciiTheme="majorBidi" w:hAnsiTheme="majorBidi" w:cstheme="majorBidi"/>
        </w:rPr>
        <w:t xml:space="preserve">models </w:t>
      </w:r>
      <w:r w:rsidR="002C529E" w:rsidRPr="00A35149">
        <w:rPr>
          <w:rFonts w:asciiTheme="majorBidi" w:hAnsiTheme="majorBidi" w:cstheme="majorBidi"/>
        </w:rPr>
        <w:t xml:space="preserve">that </w:t>
      </w:r>
      <w:r w:rsidRPr="00A35149">
        <w:rPr>
          <w:rFonts w:asciiTheme="majorBidi" w:hAnsiTheme="majorBidi" w:cstheme="majorBidi"/>
        </w:rPr>
        <w:t xml:space="preserve">describe </w:t>
      </w:r>
      <w:r w:rsidR="005A60F9" w:rsidRPr="00A35149">
        <w:rPr>
          <w:rFonts w:asciiTheme="majorBidi" w:hAnsiTheme="majorBidi" w:cstheme="majorBidi"/>
        </w:rPr>
        <w:t>population structure</w:t>
      </w:r>
      <w:r w:rsidR="002C529E" w:rsidRPr="00A35149">
        <w:rPr>
          <w:rFonts w:asciiTheme="majorBidi" w:hAnsiTheme="majorBidi" w:cstheme="majorBidi"/>
        </w:rPr>
        <w:t>.</w:t>
      </w:r>
      <w:r w:rsidR="005A60F9" w:rsidRPr="00A35149">
        <w:rPr>
          <w:rFonts w:asciiTheme="majorBidi" w:hAnsiTheme="majorBidi" w:cstheme="majorBidi"/>
        </w:rPr>
        <w:t xml:space="preserve"> </w:t>
      </w:r>
      <w:r w:rsidRPr="00A35149">
        <w:rPr>
          <w:rFonts w:asciiTheme="majorBidi" w:hAnsiTheme="majorBidi" w:cstheme="majorBidi"/>
        </w:rPr>
        <w:t xml:space="preserve">We end with </w:t>
      </w:r>
      <w:r w:rsidR="005A60F9" w:rsidRPr="00A35149">
        <w:rPr>
          <w:rFonts w:asciiTheme="majorBidi" w:hAnsiTheme="majorBidi" w:cstheme="majorBidi"/>
        </w:rPr>
        <w:t>the challenges and benefits of the tools that implements these models.</w:t>
      </w:r>
    </w:p>
    <w:p w14:paraId="6664D28B" w14:textId="77777777" w:rsidR="005A60F9" w:rsidRPr="00A35149" w:rsidRDefault="005A60F9" w:rsidP="005A60F9">
      <w:pPr>
        <w:ind w:firstLine="720"/>
        <w:rPr>
          <w:rFonts w:asciiTheme="majorBidi" w:hAnsiTheme="majorBidi" w:cstheme="majorBidi"/>
        </w:rPr>
      </w:pPr>
    </w:p>
    <w:p w14:paraId="69B6B7DD" w14:textId="7E446A93" w:rsidR="00C70452" w:rsidRPr="00A35149" w:rsidRDefault="00C104C3" w:rsidP="00C70452">
      <w:pPr>
        <w:pStyle w:val="Heading2"/>
        <w:rPr>
          <w:rFonts w:asciiTheme="majorBidi" w:hAnsiTheme="majorBidi"/>
          <w:color w:val="4472C4" w:themeColor="accent1"/>
        </w:rPr>
      </w:pPr>
      <w:r w:rsidRPr="00A35149">
        <w:rPr>
          <w:rFonts w:asciiTheme="majorBidi" w:hAnsiTheme="majorBidi"/>
          <w:color w:val="4472C4" w:themeColor="accent1"/>
        </w:rPr>
        <w:t>Population diversity</w:t>
      </w:r>
    </w:p>
    <w:p w14:paraId="0000005B" w14:textId="21B887F5" w:rsidR="007F6EEB" w:rsidRPr="00A35149" w:rsidRDefault="007F6EEB">
      <w:pPr>
        <w:widowControl w:val="0"/>
        <w:rPr>
          <w:rFonts w:asciiTheme="majorBidi" w:hAnsiTheme="majorBidi" w:cstheme="majorBidi"/>
        </w:rPr>
      </w:pPr>
    </w:p>
    <w:p w14:paraId="0000005C" w14:textId="03C4BF3E" w:rsidR="007F6EEB" w:rsidRPr="00A35149" w:rsidRDefault="00430C7C" w:rsidP="00952061">
      <w:pPr>
        <w:widowControl w:val="0"/>
        <w:ind w:firstLine="720"/>
        <w:rPr>
          <w:rFonts w:asciiTheme="majorBidi" w:hAnsiTheme="majorBidi" w:cstheme="majorBidi"/>
          <w:highlight w:val="white"/>
        </w:rPr>
      </w:pPr>
      <w:r w:rsidRPr="00A35149">
        <w:rPr>
          <w:rFonts w:asciiTheme="majorBidi" w:hAnsiTheme="majorBidi" w:cstheme="majorBidi"/>
        </w:rPr>
        <w:t xml:space="preserve">Human genetic variation is a significant contributor to phenotypic variation among individuals and populations, with single-nucleotide polymorphisms (SNPs) being the most common form of genetic variation. </w:t>
      </w:r>
      <w:r w:rsidR="00315FD1" w:rsidRPr="00A35149">
        <w:rPr>
          <w:rFonts w:asciiTheme="majorBidi" w:hAnsiTheme="majorBidi" w:cstheme="majorBidi"/>
        </w:rPr>
        <w:t>Of the</w:t>
      </w:r>
      <w:r w:rsidR="00992F17" w:rsidRPr="00A35149">
        <w:rPr>
          <w:rFonts w:asciiTheme="majorBidi" w:hAnsiTheme="majorBidi" w:cstheme="majorBidi"/>
        </w:rPr>
        <w:t xml:space="preserve"> entire </w:t>
      </w:r>
      <w:r w:rsidRPr="00A35149">
        <w:rPr>
          <w:rFonts w:asciiTheme="majorBidi" w:hAnsiTheme="majorBidi" w:cstheme="majorBidi"/>
        </w:rPr>
        <w:t>human genomic variation</w:t>
      </w:r>
      <w:r w:rsidR="00315FD1" w:rsidRPr="00A35149">
        <w:rPr>
          <w:rFonts w:asciiTheme="majorBidi" w:hAnsiTheme="majorBidi" w:cstheme="majorBidi"/>
        </w:rPr>
        <w:t>,</w:t>
      </w:r>
      <w:r w:rsidRPr="00A35149">
        <w:rPr>
          <w:rFonts w:asciiTheme="majorBidi" w:hAnsiTheme="majorBidi" w:cstheme="majorBidi"/>
        </w:rPr>
        <w:t xml:space="preserve"> only a paucity (12%) is between continental populations and </w:t>
      </w:r>
      <w:r w:rsidR="008861A0" w:rsidRPr="00A35149">
        <w:rPr>
          <w:rFonts w:asciiTheme="majorBidi" w:hAnsiTheme="majorBidi" w:cstheme="majorBidi"/>
        </w:rPr>
        <w:t xml:space="preserve">even </w:t>
      </w:r>
      <w:r w:rsidR="00315FD1" w:rsidRPr="00A35149">
        <w:rPr>
          <w:rFonts w:asciiTheme="majorBidi" w:hAnsiTheme="majorBidi" w:cstheme="majorBidi"/>
        </w:rPr>
        <w:t>less</w:t>
      </w:r>
      <w:r w:rsidRPr="00A35149">
        <w:rPr>
          <w:rFonts w:asciiTheme="majorBidi" w:hAnsiTheme="majorBidi" w:cstheme="majorBidi"/>
        </w:rPr>
        <w:t xml:space="preserve"> genetic variation (1%) is between intra-continental populations </w:t>
      </w:r>
      <w:r w:rsidR="00C74380" w:rsidRPr="00A35149">
        <w:rPr>
          <w:rFonts w:asciiTheme="majorBidi" w:hAnsiTheme="majorBidi" w:cstheme="majorBidi"/>
          <w:color w:val="4472C4" w:themeColor="accent1"/>
        </w:rPr>
        <w:fldChar w:fldCharType="begin" w:fldLock="1"/>
      </w:r>
      <w:r w:rsidR="00C74380" w:rsidRPr="00A35149">
        <w:rPr>
          <w:rFonts w:asciiTheme="majorBidi" w:hAnsiTheme="majorBidi" w:cstheme="majorBidi"/>
          <w:color w:val="4472C4" w:themeColor="accent1"/>
        </w:rPr>
        <w:instrText>ADDIN CSL_CITATION {"citationItems":[{"id":"ITEM-1","itemData":{"DOI":"10.1371/journal.pone.0049837","ISSN":"19326203","abstract":"Studies of the apportionment of human genetic variation have long established that most human variation is within population groups and that the additional variation between population groups is small but greatest when comparing different continental populations. These studies often used Wright's FST that apportions the standardized variance in allele frequencies within and between population groups. Because local adaptations increase population differentiation, high-FST may be found at closely linked loci under selection and used to identify genes undergoing directional or heterotic selection. We re-examined these processes using HapMap data. We analyzed 3 million SNPs on 602 samples from eight worldwide populations and a consensus subset of 1 million SNPs found in all populations. We identified four major features of the data: First, a hierarchically FST analysis showed that only a paucity (12%) of the total genetic variation is distributed between continental populations and even a lesser genetic variation (1%) is found between intra-continental populations. Second, the global FST distribution closely follows an exponential distribution. Third, although the overall FST distribution is similarly shaped (inverse J), FST distributions varies markedly by allele frequency when divided into non-overlapping groups by allele frequency range. Because the mean allele frequency is a crude indicator of allele age, these distributions mark the time-dependent change in genetic differentiation. Finally, the change in mean-FST of these groups is linear in allele frequency. These results suggest that investigating the extremes of the FST distribution for each allele frequency group is more efficient for detecting selection. Consequently, we demonstrate that such extreme SNPs are more clustered along the chromosomes than expected from linkage disequilibrium for each allele frequency group. These genomic regions are therefore likely candidates for natural selection. © 2012 Eran Elhaik.","author":[{"dropping-particle":"","family":"Elhaik","given":"Eran","non-dropping-particle":"","parse-names":false,"suffix":""}],"container-title":"PLoS ONE","id":"ITEM-1","issue":"11","issued":{"date-parts":[["2012"]]},"title":"Empirical Distributions of FST from Large-Scale Human Polymorphism Data","type":"article-journal","volume":"7"},"uris":["http://www.mendeley.com/documents/?uuid=85b41a15-0fe8-48cc-a56c-8bd6cac128e1"]}],"mendeley":{"formattedCitation":"(Elhaik, 2012)","plainTextFormattedCitation":"(Elhaik, 2012)","previouslyFormattedCitation":"(Elhaik, 2012)"},"properties":{"noteIndex":0},"schema":"https://github.com/citation-style-language/schema/raw/master/csl-citation.json"}</w:instrText>
      </w:r>
      <w:r w:rsidR="00C74380" w:rsidRPr="00A35149">
        <w:rPr>
          <w:rFonts w:asciiTheme="majorBidi" w:hAnsiTheme="majorBidi" w:cstheme="majorBidi"/>
          <w:color w:val="4472C4" w:themeColor="accent1"/>
        </w:rPr>
        <w:fldChar w:fldCharType="separate"/>
      </w:r>
      <w:r w:rsidR="00C74380" w:rsidRPr="00A35149">
        <w:rPr>
          <w:rFonts w:asciiTheme="majorBidi" w:hAnsiTheme="majorBidi" w:cstheme="majorBidi"/>
          <w:noProof/>
          <w:color w:val="4472C4" w:themeColor="accent1"/>
        </w:rPr>
        <w:t>(Elhaik, 2012)</w:t>
      </w:r>
      <w:r w:rsidR="00C74380" w:rsidRPr="00A35149">
        <w:rPr>
          <w:rFonts w:asciiTheme="majorBidi" w:hAnsiTheme="majorBidi" w:cstheme="majorBidi"/>
          <w:color w:val="4472C4" w:themeColor="accent1"/>
        </w:rPr>
        <w:fldChar w:fldCharType="end"/>
      </w:r>
      <w:r w:rsidRPr="00A35149">
        <w:rPr>
          <w:rFonts w:asciiTheme="majorBidi" w:hAnsiTheme="majorBidi" w:cstheme="majorBidi"/>
        </w:rPr>
        <w:t>. In other words, a relatively small group of SNPs are geographically differentiated</w:t>
      </w:r>
      <w:r w:rsidR="00315FD1" w:rsidRPr="00A35149">
        <w:rPr>
          <w:rFonts w:asciiTheme="majorBidi" w:hAnsiTheme="majorBidi" w:cstheme="majorBidi"/>
        </w:rPr>
        <w:t xml:space="preserve">, whilst </w:t>
      </w:r>
      <w:r w:rsidR="002E6346" w:rsidRPr="00A35149">
        <w:rPr>
          <w:rFonts w:asciiTheme="majorBidi" w:hAnsiTheme="majorBidi" w:cstheme="majorBidi"/>
        </w:rPr>
        <w:t>a much larger group of SNPs vary among individuals irrespective of geography</w:t>
      </w:r>
      <w:r w:rsidRPr="00A35149">
        <w:rPr>
          <w:rFonts w:asciiTheme="majorBidi" w:hAnsiTheme="majorBidi" w:cstheme="majorBidi"/>
        </w:rPr>
        <w:t xml:space="preserve">. </w:t>
      </w:r>
      <w:r w:rsidR="00992F17" w:rsidRPr="00A35149">
        <w:rPr>
          <w:rFonts w:asciiTheme="majorBidi" w:hAnsiTheme="majorBidi" w:cstheme="majorBidi"/>
        </w:rPr>
        <w:t xml:space="preserve">However, </w:t>
      </w:r>
      <w:r w:rsidR="00952061" w:rsidRPr="00A35149">
        <w:rPr>
          <w:rFonts w:asciiTheme="majorBidi" w:hAnsiTheme="majorBidi" w:cstheme="majorBidi"/>
        </w:rPr>
        <w:t>most</w:t>
      </w:r>
      <w:r w:rsidR="00992F17" w:rsidRPr="00A35149">
        <w:rPr>
          <w:rFonts w:asciiTheme="majorBidi" w:hAnsiTheme="majorBidi" w:cstheme="majorBidi"/>
        </w:rPr>
        <w:t xml:space="preserve"> of th</w:t>
      </w:r>
      <w:r w:rsidR="00952061" w:rsidRPr="00A35149">
        <w:rPr>
          <w:rFonts w:asciiTheme="majorBidi" w:hAnsiTheme="majorBidi" w:cstheme="majorBidi"/>
        </w:rPr>
        <w:t>e</w:t>
      </w:r>
      <w:r w:rsidR="00992F17" w:rsidRPr="00A35149">
        <w:rPr>
          <w:rFonts w:asciiTheme="majorBidi" w:hAnsiTheme="majorBidi" w:cstheme="majorBidi"/>
        </w:rPr>
        <w:t xml:space="preserve">se variants are </w:t>
      </w:r>
      <w:r w:rsidR="00952061" w:rsidRPr="00A35149">
        <w:rPr>
          <w:rFonts w:asciiTheme="majorBidi" w:hAnsiTheme="majorBidi" w:cstheme="majorBidi"/>
        </w:rPr>
        <w:t xml:space="preserve">rare and </w:t>
      </w:r>
      <w:r w:rsidR="00992F17" w:rsidRPr="00A35149">
        <w:rPr>
          <w:rFonts w:asciiTheme="majorBidi" w:hAnsiTheme="majorBidi" w:cstheme="majorBidi"/>
        </w:rPr>
        <w:t xml:space="preserve">non-functional </w:t>
      </w:r>
      <w:r w:rsidR="00D63A31" w:rsidRPr="00A35149">
        <w:rPr>
          <w:rFonts w:asciiTheme="majorBidi" w:hAnsiTheme="majorBidi" w:cstheme="majorBidi"/>
          <w:color w:val="4472C4" w:themeColor="accent1"/>
        </w:rPr>
        <w:fldChar w:fldCharType="begin" w:fldLock="1"/>
      </w:r>
      <w:r w:rsidR="00D63A31" w:rsidRPr="00A35149">
        <w:rPr>
          <w:rFonts w:asciiTheme="majorBidi" w:hAnsiTheme="majorBidi" w:cstheme="majorBidi"/>
          <w:color w:val="4472C4" w:themeColor="accent1"/>
        </w:rPr>
        <w:instrText>ADDIN CSL_CITATION {"citationItems":[{"id":"ITEM-1","itemData":{"DOI":"10.1080/01621459.2019.1635482","ISSN":"0162-1459","abstract":"The sample frequency spectrum (SFS), or histogram of allele counts, is an important summary statistic in evolutionary biology, and is often used to infer the history of population size changes, migrations, and other demographic events affecting a set of populations. The expected multipopulation SFS under a given demographic model can be efficiently computed when the populations in the model are related by a tree, scaling to hundreds of populations. Admixture, back-migration, and introgression are common natural processes that violate the assumption of a tree-like population history, however, and until now the expected SFS could be computed for only a handful of populations when the demographic history is not a tree. In this article, we present a new method for efficiently computing the expected SFS and linear functionals of it, for demographies described by general directed acyclic graphs. This method can scale to more populations than previously possible for complex demographic histories including admixture. We apply our method to an 8-population SFS to estimate the timing and strength of a proposed \"basal Eurasian\" admixture event in human history. We implement and release our method in a new open-source software package momi2.","author":[{"dropping-particle":"","family":"Kamm","given":"Jack","non-dropping-particle":"","parse-names":false,"suffix":""},{"dropping-particle":"","family":"Terhorst","given":"Jonathan","non-dropping-particle":"","parse-names":false,"suffix":""},{"dropping-particle":"","family":"Durbin","given":"Richard","non-dropping-particle":"","parse-names":false,"suffix":""},{"dropping-particle":"","family":"Song","given":"Yun S.","non-dropping-particle":"","parse-names":false,"suffix":""}],"container-title":"Journal of the American Statistical Association","id":"ITEM-1","issued":{"date-parts":[["2019"]]},"page":"1-16","title":"Efficiently Inferring the Demographic History of Many Populations With Allele Count Data","type":"article-journal"},"uris":["http://www.mendeley.com/documents/?uuid=d2387c7e-f007-4ae4-a5a7-abc28c76865f"]}],"mendeley":{"formattedCitation":"(Kamm &lt;i&gt;et al.&lt;/i&gt;, 2019)","plainTextFormattedCitation":"(Kamm et al., 2019)","previouslyFormattedCitation":"(Kamm &lt;i&gt;et al.&lt;/i&gt;, 2019)"},"properties":{"noteIndex":0},"schema":"https://github.com/citation-style-language/schema/raw/master/csl-citation.json"}</w:instrText>
      </w:r>
      <w:r w:rsidR="00D63A31" w:rsidRPr="00A35149">
        <w:rPr>
          <w:rFonts w:asciiTheme="majorBidi" w:hAnsiTheme="majorBidi" w:cstheme="majorBidi"/>
          <w:color w:val="4472C4" w:themeColor="accent1"/>
        </w:rPr>
        <w:fldChar w:fldCharType="separate"/>
      </w:r>
      <w:r w:rsidR="00D63A31" w:rsidRPr="00A35149">
        <w:rPr>
          <w:rFonts w:asciiTheme="majorBidi" w:hAnsiTheme="majorBidi" w:cstheme="majorBidi"/>
          <w:noProof/>
          <w:color w:val="4472C4" w:themeColor="accent1"/>
        </w:rPr>
        <w:t xml:space="preserve">(Kamm </w:t>
      </w:r>
      <w:r w:rsidR="00D63A31" w:rsidRPr="00A35149">
        <w:rPr>
          <w:rFonts w:asciiTheme="majorBidi" w:hAnsiTheme="majorBidi" w:cstheme="majorBidi"/>
          <w:i/>
          <w:noProof/>
          <w:color w:val="4472C4" w:themeColor="accent1"/>
        </w:rPr>
        <w:t>et al.</w:t>
      </w:r>
      <w:r w:rsidR="00D63A31" w:rsidRPr="00A35149">
        <w:rPr>
          <w:rFonts w:asciiTheme="majorBidi" w:hAnsiTheme="majorBidi" w:cstheme="majorBidi"/>
          <w:noProof/>
          <w:color w:val="4472C4" w:themeColor="accent1"/>
        </w:rPr>
        <w:t>, 2019)</w:t>
      </w:r>
      <w:r w:rsidR="00D63A31" w:rsidRPr="00A35149">
        <w:rPr>
          <w:rFonts w:asciiTheme="majorBidi" w:hAnsiTheme="majorBidi" w:cstheme="majorBidi"/>
          <w:color w:val="4472C4" w:themeColor="accent1"/>
        </w:rPr>
        <w:fldChar w:fldCharType="end"/>
      </w:r>
      <w:r w:rsidR="00D63A31" w:rsidRPr="00A35149">
        <w:rPr>
          <w:rFonts w:asciiTheme="majorBidi" w:hAnsiTheme="majorBidi" w:cstheme="majorBidi"/>
        </w:rPr>
        <w:t>.</w:t>
      </w:r>
      <w:r w:rsidR="00992F17" w:rsidRPr="00A35149">
        <w:rPr>
          <w:rFonts w:asciiTheme="majorBidi" w:hAnsiTheme="majorBidi" w:cstheme="majorBidi"/>
        </w:rPr>
        <w:t xml:space="preserve"> </w:t>
      </w:r>
      <w:r w:rsidR="004C735E" w:rsidRPr="00A35149">
        <w:rPr>
          <w:rFonts w:asciiTheme="majorBidi" w:hAnsiTheme="majorBidi" w:cstheme="majorBidi"/>
        </w:rPr>
        <w:t xml:space="preserve">Both common and </w:t>
      </w:r>
      <w:r w:rsidR="00992F17" w:rsidRPr="00A35149">
        <w:rPr>
          <w:rFonts w:asciiTheme="majorBidi" w:hAnsiTheme="majorBidi" w:cstheme="majorBidi"/>
        </w:rPr>
        <w:t>functional variants</w:t>
      </w:r>
      <w:r w:rsidR="0084233F" w:rsidRPr="00A35149">
        <w:rPr>
          <w:rFonts w:asciiTheme="majorBidi" w:hAnsiTheme="majorBidi" w:cstheme="majorBidi"/>
        </w:rPr>
        <w:t xml:space="preserve"> are strong predictors of </w:t>
      </w:r>
      <w:r w:rsidR="002E6346" w:rsidRPr="00A35149">
        <w:rPr>
          <w:rFonts w:asciiTheme="majorBidi" w:hAnsiTheme="majorBidi" w:cstheme="majorBidi"/>
        </w:rPr>
        <w:t>geography</w:t>
      </w:r>
      <w:r w:rsidR="0084233F" w:rsidRPr="00A35149">
        <w:rPr>
          <w:rFonts w:asciiTheme="majorBidi" w:hAnsiTheme="majorBidi" w:cstheme="majorBidi"/>
        </w:rPr>
        <w:t xml:space="preserve">, </w:t>
      </w:r>
      <w:r w:rsidR="00952061" w:rsidRPr="00A35149">
        <w:rPr>
          <w:rFonts w:asciiTheme="majorBidi" w:hAnsiTheme="majorBidi" w:cstheme="majorBidi"/>
        </w:rPr>
        <w:t xml:space="preserve">phenotypes </w:t>
      </w:r>
      <w:r w:rsidR="0084233F" w:rsidRPr="00A35149">
        <w:rPr>
          <w:rFonts w:asciiTheme="majorBidi" w:hAnsiTheme="majorBidi" w:cstheme="majorBidi"/>
        </w:rPr>
        <w:t>and</w:t>
      </w:r>
      <w:r w:rsidR="002E6346" w:rsidRPr="00A35149">
        <w:rPr>
          <w:rFonts w:asciiTheme="majorBidi" w:hAnsiTheme="majorBidi" w:cstheme="majorBidi"/>
        </w:rPr>
        <w:t xml:space="preserve"> cultural practices that </w:t>
      </w:r>
      <w:r w:rsidR="00952061" w:rsidRPr="00A35149">
        <w:rPr>
          <w:rFonts w:asciiTheme="majorBidi" w:hAnsiTheme="majorBidi" w:cstheme="majorBidi"/>
        </w:rPr>
        <w:t xml:space="preserve">may be </w:t>
      </w:r>
      <w:r w:rsidR="002E6346" w:rsidRPr="00A35149">
        <w:rPr>
          <w:rFonts w:asciiTheme="majorBidi" w:hAnsiTheme="majorBidi" w:cstheme="majorBidi"/>
        </w:rPr>
        <w:t xml:space="preserve">linked with the risk for </w:t>
      </w:r>
      <w:r w:rsidR="00A260B3" w:rsidRPr="00A35149">
        <w:rPr>
          <w:rFonts w:asciiTheme="majorBidi" w:hAnsiTheme="majorBidi" w:cstheme="majorBidi"/>
        </w:rPr>
        <w:t>a</w:t>
      </w:r>
      <w:r w:rsidR="002E6346" w:rsidRPr="00A35149">
        <w:rPr>
          <w:rFonts w:asciiTheme="majorBidi" w:hAnsiTheme="majorBidi" w:cstheme="majorBidi"/>
        </w:rPr>
        <w:t xml:space="preserve"> disease. Thereby, geographic</w:t>
      </w:r>
      <w:r w:rsidR="0084233F" w:rsidRPr="00A35149">
        <w:rPr>
          <w:rFonts w:asciiTheme="majorBidi" w:hAnsiTheme="majorBidi" w:cstheme="majorBidi"/>
        </w:rPr>
        <w:t>al and ancestral</w:t>
      </w:r>
      <w:r w:rsidR="002E6346" w:rsidRPr="00A35149">
        <w:rPr>
          <w:rFonts w:asciiTheme="majorBidi" w:hAnsiTheme="majorBidi" w:cstheme="majorBidi"/>
        </w:rPr>
        <w:t xml:space="preserve"> origin</w:t>
      </w:r>
      <w:r w:rsidR="0084233F" w:rsidRPr="00A35149">
        <w:rPr>
          <w:rFonts w:asciiTheme="majorBidi" w:hAnsiTheme="majorBidi" w:cstheme="majorBidi"/>
        </w:rPr>
        <w:t>s</w:t>
      </w:r>
      <w:r w:rsidR="002E6346" w:rsidRPr="00A35149">
        <w:rPr>
          <w:rFonts w:asciiTheme="majorBidi" w:hAnsiTheme="majorBidi" w:cstheme="majorBidi"/>
        </w:rPr>
        <w:t xml:space="preserve"> can not only inform of us of </w:t>
      </w:r>
      <w:r w:rsidR="000F6C0C" w:rsidRPr="00A35149">
        <w:rPr>
          <w:rFonts w:asciiTheme="majorBidi" w:hAnsiTheme="majorBidi" w:cstheme="majorBidi"/>
        </w:rPr>
        <w:t xml:space="preserve">what </w:t>
      </w:r>
      <w:r w:rsidR="002E6346" w:rsidRPr="00A35149">
        <w:rPr>
          <w:rFonts w:asciiTheme="majorBidi" w:hAnsiTheme="majorBidi" w:cstheme="majorBidi"/>
        </w:rPr>
        <w:t>risk</w:t>
      </w:r>
      <w:r w:rsidR="000F6C0C" w:rsidRPr="00A35149">
        <w:rPr>
          <w:rFonts w:asciiTheme="majorBidi" w:hAnsiTheme="majorBidi" w:cstheme="majorBidi"/>
        </w:rPr>
        <w:t xml:space="preserve"> of disease an individual has, </w:t>
      </w:r>
      <w:r w:rsidR="002E6346" w:rsidRPr="00A35149">
        <w:rPr>
          <w:rFonts w:asciiTheme="majorBidi" w:hAnsiTheme="majorBidi" w:cstheme="majorBidi"/>
        </w:rPr>
        <w:t>but also modify the effect of treatment</w:t>
      </w:r>
      <w:r w:rsidR="000F6C0C" w:rsidRPr="00A35149">
        <w:rPr>
          <w:rFonts w:asciiTheme="majorBidi" w:hAnsiTheme="majorBidi" w:cstheme="majorBidi"/>
        </w:rPr>
        <w:t xml:space="preserve"> </w:t>
      </w:r>
      <w:r w:rsidR="00D63A31" w:rsidRPr="00A35149">
        <w:rPr>
          <w:rFonts w:asciiTheme="majorBidi" w:hAnsiTheme="majorBidi" w:cstheme="majorBidi"/>
          <w:color w:val="4472C4" w:themeColor="accent1"/>
        </w:rPr>
        <w:fldChar w:fldCharType="begin" w:fldLock="1"/>
      </w:r>
      <w:r w:rsidR="00ED2B44" w:rsidRPr="00A35149">
        <w:rPr>
          <w:rFonts w:asciiTheme="majorBidi" w:hAnsiTheme="majorBidi" w:cstheme="majorBidi"/>
          <w:color w:val="4472C4" w:themeColor="accent1"/>
        </w:rPr>
        <w:instrText>ADDIN CSL_CITATION {"citationItems":[{"id":"ITEM-1","itemData":{"DOI":"10.1056/nejmra1510065","ISSN":"0028-4793","abstract":"Conslusions: Although most variations in results among countries are probably due to chance, variations can occasionally reflect important differences among countries in either the true benefits of an intervention or its true harms. When a randomized, clinical trial shows marked variations in results among countries, one should seek supporting evidence to understand whether the observed results are likely to be real, an artifact of the design analysis or implementation of the trial, or simply due to chance.","author":[{"dropping-particle":"","family":"Yusuf","given":"Salim","non-dropping-particle":"","parse-names":false,"suffix":""},{"dropping-particle":"","family":"Wittes","given":"Janet","non-dropping-particle":"","parse-names":false,"suffix":""}],"container-title":"New England Journal of Medicine","id":"ITEM-1","issue":"23","issued":{"date-parts":[["2016"]]},"page":"2263-2271","title":"Interpreting Geographic Variations in Results of Randomized, Controlled Trials","type":"article-journal","volume":"375"},"uris":["http://www.mendeley.com/documents/?uuid=8a80d4d0-2c54-497c-9d5a-916e3e9aaa41"]}],"mendeley":{"formattedCitation":"(Yusuf and Wittes, 2016)","plainTextFormattedCitation":"(Yusuf and Wittes, 2016)","previouslyFormattedCitation":"(Yusuf and Wittes, 2016)"},"properties":{"noteIndex":0},"schema":"https://github.com/citation-style-language/schema/raw/master/csl-citation.json"}</w:instrText>
      </w:r>
      <w:r w:rsidR="00D63A31" w:rsidRPr="00A35149">
        <w:rPr>
          <w:rFonts w:asciiTheme="majorBidi" w:hAnsiTheme="majorBidi" w:cstheme="majorBidi"/>
          <w:color w:val="4472C4" w:themeColor="accent1"/>
        </w:rPr>
        <w:fldChar w:fldCharType="separate"/>
      </w:r>
      <w:r w:rsidR="00D63A31" w:rsidRPr="00A35149">
        <w:rPr>
          <w:rFonts w:asciiTheme="majorBidi" w:hAnsiTheme="majorBidi" w:cstheme="majorBidi"/>
          <w:noProof/>
          <w:color w:val="4472C4" w:themeColor="accent1"/>
        </w:rPr>
        <w:t>(Yusuf and Wittes, 2016)</w:t>
      </w:r>
      <w:r w:rsidR="00D63A31" w:rsidRPr="00A35149">
        <w:rPr>
          <w:rFonts w:asciiTheme="majorBidi" w:hAnsiTheme="majorBidi" w:cstheme="majorBidi"/>
          <w:color w:val="4472C4" w:themeColor="accent1"/>
        </w:rPr>
        <w:fldChar w:fldCharType="end"/>
      </w:r>
      <w:r w:rsidR="00D63A31" w:rsidRPr="00A35149">
        <w:rPr>
          <w:rFonts w:asciiTheme="majorBidi" w:hAnsiTheme="majorBidi" w:cstheme="majorBidi"/>
        </w:rPr>
        <w:t>.</w:t>
      </w:r>
      <w:r w:rsidR="002E6346" w:rsidRPr="00A35149">
        <w:rPr>
          <w:rFonts w:asciiTheme="majorBidi" w:hAnsiTheme="majorBidi" w:cstheme="majorBidi"/>
        </w:rPr>
        <w:t xml:space="preserve"> </w:t>
      </w:r>
      <w:r w:rsidR="0084233F" w:rsidRPr="00A35149">
        <w:rPr>
          <w:rFonts w:asciiTheme="majorBidi" w:hAnsiTheme="majorBidi" w:cstheme="majorBidi"/>
        </w:rPr>
        <w:t>In general, and with the clear exception for</w:t>
      </w:r>
      <w:r w:rsidRPr="00A35149">
        <w:rPr>
          <w:rFonts w:asciiTheme="majorBidi" w:hAnsiTheme="majorBidi" w:cstheme="majorBidi"/>
        </w:rPr>
        <w:t xml:space="preserve"> </w:t>
      </w:r>
      <w:r w:rsidR="000F6C0C" w:rsidRPr="00A35149">
        <w:rPr>
          <w:rFonts w:asciiTheme="majorBidi" w:hAnsiTheme="majorBidi" w:cstheme="majorBidi"/>
        </w:rPr>
        <w:t xml:space="preserve">high </w:t>
      </w:r>
      <w:r w:rsidRPr="00A35149">
        <w:rPr>
          <w:rFonts w:asciiTheme="majorBidi" w:hAnsiTheme="majorBidi" w:cstheme="majorBidi"/>
        </w:rPr>
        <w:t>admixture or migration followed by relative isolation</w:t>
      </w:r>
      <w:r w:rsidR="00030D99" w:rsidRPr="00A35149">
        <w:rPr>
          <w:rFonts w:asciiTheme="majorBidi" w:hAnsiTheme="majorBidi" w:cstheme="majorBidi"/>
        </w:rPr>
        <w:t xml:space="preserve"> </w:t>
      </w:r>
      <w:r w:rsidR="00C74380" w:rsidRPr="00A35149">
        <w:rPr>
          <w:rFonts w:asciiTheme="majorBidi" w:hAnsiTheme="majorBidi" w:cstheme="majorBidi"/>
          <w:color w:val="4472C4" w:themeColor="accent1"/>
        </w:rPr>
        <w:fldChar w:fldCharType="begin" w:fldLock="1"/>
      </w:r>
      <w:r w:rsidR="00FE63EE" w:rsidRPr="00A35149">
        <w:rPr>
          <w:rFonts w:asciiTheme="majorBidi" w:hAnsiTheme="majorBidi" w:cstheme="majorBidi"/>
          <w:color w:val="4472C4" w:themeColor="accent1"/>
        </w:rPr>
        <w:instrText xml:space="preserve">ADDIN CSL_CITATION {"citationItems":[{"id":"ITEM-1","itemData":{"DOI":"10.1073/pnas.0507611102","ISSN":"00278424","abstract":"Equilibrium models of isolation by distance predict an increase in genetic differentiation with geographic distance. Here we find a linear relationship between genetic and geographic distance in a worldwide sample of human populations, with major deviations from the fitted line explicable by admixture or extreme isolation. A close relationship is shown to exist between the correlation of geographic distance and genetic differentiation (as measured by F(ST)) and the geographic pattern of heterozygosity across populations. Considering a worldwide set of geographic locations as possible sources of the human expansion, we find that heterozygosities in the globally distributed populations of the data set are best explained by an expansion originating in Africa and that no geographic origin outside of Africa accounts as well for the observed patterns of genetic diversity. Although the relationship between F(ST) and geographic distance has been interpreted in the past as the result of an equilibrium model of drift and dispersal, simulation shows that the geographic pattern of heterozygosities in this data set is consistent with a model of a serial founder effect starting at a single origin. Given this serial-founder scenario, the relationship between genetic and geographic distance allows us to derive bounds for the effects of drift and natural selection on human genetic variation.","author":[{"dropping-particle":"","family":"Ramachandran","given":"Sohini","non-dropping-particle":"","parse-names":false,"suffix":""},{"dropping-particle":"","family":"Deshpande","given":"Omkar","non-dropping-particle":"","parse-names":false,"suffix":""},{"dropping-particle":"","family":"Roseman","given":"Charles C.","non-dropping-particle":"","parse-names":false,"suffix":""},{"dropping-particle":"","family":"Rosenberg","given":"Noah A.","non-dropping-particle":"","parse-names":false,"suffix":""},{"dropping-particle":"","family":"Feldman","given":"Marcus W.","non-dropping-particle":"","parse-names":false,"suffix":""},{"dropping-particle":"","family":"Cavalli-Sforza","given":"L. Luca","non-dropping-particle":"","parse-names":false,"suffix":""}],"container-title":"Proceedings of the National Academy of Sciences of the United States of America","id":"ITEM-1","issue":"44","issued":{"date-parts":[["2005"]]},"page":"15942-15947","title":"Support from the relationship of genetic and geographic in human populations for a serial founder effect originating in Africa","type":"article-journal","volume":"102"},"uris":["http://www.mendeley.com/documents/?uuid=b472af0c-9d45-43f5-a787-d7bb4aa9ddc4"]},{"id":"ITEM-2","itemData":{"DOI":"10.1038/srep35837","ISSN":"20452322","abstract":"The Druze are an aggregate of communities in the Levant and Near East living almost exclusively in the mountains of Syria, Lebanon and Israel whose </w:instrText>
      </w:r>
      <w:r w:rsidR="00FE63EE" w:rsidRPr="00A35149">
        <w:rPr>
          <w:rFonts w:ascii="Cambria Math" w:hAnsi="Cambria Math" w:cs="Cambria Math"/>
          <w:color w:val="4472C4" w:themeColor="accent1"/>
        </w:rPr>
        <w:instrText>∼</w:instrText>
      </w:r>
      <w:r w:rsidR="00FE63EE" w:rsidRPr="00A35149">
        <w:rPr>
          <w:rFonts w:asciiTheme="majorBidi" w:hAnsiTheme="majorBidi" w:cstheme="majorBidi"/>
          <w:color w:val="4472C4" w:themeColor="accent1"/>
        </w:rPr>
        <w:instrText>1000 year old religion formally opposes mixed marriages and conversions. Despite increasing interest in genetics of the population structure of the Druze, their population history remains unknown. We investigated the genetic relationships between Israeli Druze and both modern and ancient populations. We evaluated our findings in light of three hypotheses purporting to explain Druze history that posit Arabian, Persian or mixed Near Eastern-Levantine roots. The biogeographical analysis localised proto-Druze to the mountainous regions of southeastern Turkey, northern Iraq and southeast Syria and their descendants clustered along a trajectory between these two regions. The mixed Near Eastern-Middle Eastern localisation of the Druze, shown using both modern and ancient DNA data, is distinct from that of neighbouring Syrians, Palestinians and most of the Lebanese, who exhibit a high affinity to the Levant. Druze biogeographic affinity, migration patterns, time of emergence and genetic similarity to Near Eastern populations are highly suggestive of Armenian-Turkish ancestries for the proto-Druze.","author":[{"dropping-particle":"","family":"Marshall","given":"Scarlett","non-dropping-particle":"","parse-names":false,"suffix":""},{"dropping-particle":"","family":"Das","given":"Ranajit","non-dropping-particle":"","parse-names":false,"suffix":""},{"dropping-particle":"","family":"Pirooznia","given":"Mehdi","non-dropping-particle":"","parse-names":false,"suffix":""},{"dropping-particle":"","family":"Elhaik","given":"Eran","non-dropping-particle":"","parse-names":false,"suffix":""}],"container-title":"Scientific Reports","id":"ITEM-2","issued":{"date-parts":[["2016"]]},"title":"Reconstructing Druze population history","type":"article-journal","volume":"6"},"uris":["http://www.mendeley.com/documents/?uuid=49666d21-5f84-4db9-bed8-8a3d51813370"]},{"id":"ITEM-3","itemData":{"DOI":"10.1093/gbe/evw046","ISSN":"17596653","abstract":"© The Author 2016. Published by Oxford University Press on behalf of the Society for Molecular Biology and Evolution. The Yiddish language is over 1,000yearsold and incorporates German, Slavic, and Hebrew elements. The prevalent view claims Yiddish has a German origin, whereas the opposing view posits a Slavic origin with strong Iranian and weak Turkic substrata. One of the major difficulties in deciding between these hypotheses is the unknown geographical origin of Yiddish speaking Ashkenazic Jews (AJs). An analysis of 393 Ashkenazic, Iranian, and mountain Jews and over 600 non-Jewish genomes demonstrated that Greeks, Romans, Iranians, and Turks exhibit the highest genetic similarity with AJs. The Geographic Population Structure analysis localized most AJs along major primeval trade routes in northeastern Turkey adjacent to primeval villages with names that may be derived from \"Ashkenaz.\" Iranian and mountain Jews were localized along trade routes on the Turkey's eastern border. Loss of maternal haplogroups was evident in non-Yiddish speaking AJs. Our results suggest that AJs originated from a Slavo-Iranian confederation, which the Jews call \"Ashkenazic\" (i.e., \"Scythian\"), though these Jews probably spoke Persian and/or Ossete. This is compatible with linguistic evidence suggesting that Yiddish is a Slavic language created by Irano-Turko-Slavic Jewish merchants along the Silk Roads as a cryptic trade language, spoken only by its originators to gain an advantage in trade. Later, in the 9th century, Yiddish underwent relexification by adopting a new vocabulary that consists of a minority of German and Hebrew anda majority of newly coined Germanoid and Hebroid elements that replaced most of the original Eastern Slavic and Sorbian vocabularies, while keeping the original grammars intact.","author":[{"dropping-particle":"","family":"Das","given":"Ranajit","non-dropping-particle":"","parse-names":false,"suffix":""},{"dropping-particle":"","family":"Wexler","given":"Paul","non-dropping-particle":"","parse-names":false,"suffix":""},{"dropping-particle":"","family":"Pirooznia","given":"Mehdi","non-dropping-particle":"","parse-names":false,"suffix":""},{"dropping-particle":"","family":"Elhaik","given":"Eran","non-dropping-particle":"","parse-names":false,"suffix":""}],"container-title":"Genome Biology and Evolution","id":"ITEM-3","issue":"4","issued":{"date-parts":[["2016"]]},"page":"1132-1149","title":"Localizing Ashkenazic Jews to primeval villages in the ancient Iranian lands of Ashkenaz","type":"article-journal","volume":"8"},"uris":["http://www.mendeley.com/documents/?uuid=04fec834-d5c5-4740-817a-397f81d8e9dd"]}],"mendeley":{"formattedCitation":"(Ramachandran &lt;i&gt;et al.&lt;/i&gt;, 2005; Das &lt;i&gt;et al.&lt;/i&gt;, 2016; Marshall &lt;i&gt;et al.&lt;/i&gt;, 2016)","plainTextFormattedCitation":"(Ramachandran et al., 2005; Das et al., 2016; Marshall et al., 2016)","previouslyFormattedCitation":"(Ramachandran &lt;i&gt;et al.&lt;/i&gt;, 2005; Das &lt;i&gt;et al.&lt;/i&gt;, 2016; Marshall &lt;i&gt;et al.&lt;/i&gt;, 2016)"},"properties":{"noteIndex":0},"schema":"https://github.com/citation-style-language/schema/raw/master/csl-citation.json"}</w:instrText>
      </w:r>
      <w:r w:rsidR="00C74380" w:rsidRPr="00A35149">
        <w:rPr>
          <w:rFonts w:asciiTheme="majorBidi" w:hAnsiTheme="majorBidi" w:cstheme="majorBidi"/>
          <w:color w:val="4472C4" w:themeColor="accent1"/>
        </w:rPr>
        <w:fldChar w:fldCharType="separate"/>
      </w:r>
      <w:r w:rsidR="00C74380" w:rsidRPr="00A35149">
        <w:rPr>
          <w:rFonts w:asciiTheme="majorBidi" w:hAnsiTheme="majorBidi" w:cstheme="majorBidi"/>
          <w:noProof/>
          <w:color w:val="4472C4" w:themeColor="accent1"/>
        </w:rPr>
        <w:t xml:space="preserve">(Ramachandran </w:t>
      </w:r>
      <w:r w:rsidR="00C74380" w:rsidRPr="00A35149">
        <w:rPr>
          <w:rFonts w:asciiTheme="majorBidi" w:hAnsiTheme="majorBidi" w:cstheme="majorBidi"/>
          <w:i/>
          <w:noProof/>
          <w:color w:val="4472C4" w:themeColor="accent1"/>
        </w:rPr>
        <w:t>et al.</w:t>
      </w:r>
      <w:r w:rsidR="00C74380" w:rsidRPr="00A35149">
        <w:rPr>
          <w:rFonts w:asciiTheme="majorBidi" w:hAnsiTheme="majorBidi" w:cstheme="majorBidi"/>
          <w:noProof/>
          <w:color w:val="4472C4" w:themeColor="accent1"/>
        </w:rPr>
        <w:t xml:space="preserve">, 2005; Das </w:t>
      </w:r>
      <w:r w:rsidR="00C74380" w:rsidRPr="00A35149">
        <w:rPr>
          <w:rFonts w:asciiTheme="majorBidi" w:hAnsiTheme="majorBidi" w:cstheme="majorBidi"/>
          <w:i/>
          <w:noProof/>
          <w:color w:val="4472C4" w:themeColor="accent1"/>
        </w:rPr>
        <w:t>et al.</w:t>
      </w:r>
      <w:r w:rsidR="00C74380" w:rsidRPr="00A35149">
        <w:rPr>
          <w:rFonts w:asciiTheme="majorBidi" w:hAnsiTheme="majorBidi" w:cstheme="majorBidi"/>
          <w:noProof/>
          <w:color w:val="4472C4" w:themeColor="accent1"/>
        </w:rPr>
        <w:t xml:space="preserve">, 2016; Marshall </w:t>
      </w:r>
      <w:r w:rsidR="00C74380" w:rsidRPr="00A35149">
        <w:rPr>
          <w:rFonts w:asciiTheme="majorBidi" w:hAnsiTheme="majorBidi" w:cstheme="majorBidi"/>
          <w:i/>
          <w:noProof/>
          <w:color w:val="4472C4" w:themeColor="accent1"/>
        </w:rPr>
        <w:t>et al.</w:t>
      </w:r>
      <w:r w:rsidR="00C74380" w:rsidRPr="00A35149">
        <w:rPr>
          <w:rFonts w:asciiTheme="majorBidi" w:hAnsiTheme="majorBidi" w:cstheme="majorBidi"/>
          <w:noProof/>
          <w:color w:val="4472C4" w:themeColor="accent1"/>
        </w:rPr>
        <w:t>, 2016)</w:t>
      </w:r>
      <w:r w:rsidR="00C74380" w:rsidRPr="00A35149">
        <w:rPr>
          <w:rFonts w:asciiTheme="majorBidi" w:hAnsiTheme="majorBidi" w:cstheme="majorBidi"/>
          <w:color w:val="4472C4" w:themeColor="accent1"/>
        </w:rPr>
        <w:fldChar w:fldCharType="end"/>
      </w:r>
      <w:r w:rsidRPr="00A35149">
        <w:rPr>
          <w:rFonts w:asciiTheme="majorBidi" w:hAnsiTheme="majorBidi" w:cstheme="majorBidi"/>
        </w:rPr>
        <w:t xml:space="preserve">, </w:t>
      </w:r>
      <w:r w:rsidR="008861A0" w:rsidRPr="00A35149">
        <w:rPr>
          <w:rFonts w:asciiTheme="majorBidi" w:hAnsiTheme="majorBidi" w:cstheme="majorBidi"/>
        </w:rPr>
        <w:t xml:space="preserve">most </w:t>
      </w:r>
      <w:r w:rsidRPr="00A35149">
        <w:rPr>
          <w:rFonts w:asciiTheme="majorBidi" w:hAnsiTheme="majorBidi" w:cstheme="majorBidi"/>
        </w:rPr>
        <w:t xml:space="preserve">associations between geographic location and genetic similarity </w:t>
      </w:r>
      <w:r w:rsidR="008861A0" w:rsidRPr="00A35149">
        <w:rPr>
          <w:rFonts w:asciiTheme="majorBidi" w:hAnsiTheme="majorBidi" w:cstheme="majorBidi"/>
        </w:rPr>
        <w:t>are</w:t>
      </w:r>
      <w:r w:rsidRPr="00A35149">
        <w:rPr>
          <w:rFonts w:asciiTheme="majorBidi" w:hAnsiTheme="majorBidi" w:cstheme="majorBidi"/>
        </w:rPr>
        <w:t xml:space="preserve"> expected to hold worldwide </w:t>
      </w:r>
      <w:r w:rsidR="00C74380" w:rsidRPr="00A35149">
        <w:rPr>
          <w:rFonts w:asciiTheme="majorBidi" w:hAnsiTheme="majorBidi" w:cstheme="majorBidi"/>
          <w:color w:val="4472C4" w:themeColor="accent1"/>
        </w:rPr>
        <w:fldChar w:fldCharType="begin" w:fldLock="1"/>
      </w:r>
      <w:r w:rsidR="00ED2B44" w:rsidRPr="00A35149">
        <w:rPr>
          <w:rFonts w:asciiTheme="majorBidi" w:hAnsiTheme="majorBidi" w:cstheme="majorBidi"/>
          <w:color w:val="4472C4" w:themeColor="accent1"/>
        </w:rPr>
        <w:instrText>ADDIN CSL_CITATION {"citationItems":[{"id":"ITEM-1","itemData":{"DOI":"10.1038/ncomms4513","ISSN":"20411723","abstract":"The search for a method that utilizes biological information to predict humans' place of origin has occupied scientists for millennia. Over the past four decades, scientists have employed genetic data in an effort to achieve this goal but with limited success. While biogeographical algorithms using next-generation sequencing data have achieved an accuracy of 700km in Europe, they were inaccurate elsewhere. Here we describe the Geographic Population Structure (GPS) algorithm and demonstrate its accuracy with three data sets using 40,000-130,000 SNPs. GPS placed 83% of worldwide individuals in their country of origin. Applied to over 200 Sardinians villagers, GPS placed a quarter of them in their villages and most of the rest within 50km of their villages. GPS's accuracy and power to infer the biogeography of worldwide individuals down to their country or, in some cases, village, of origin, underscores the promise of admixture-based methods for biogeography and has ramifications for genetic ancestry testing. © 2014 Macmillan Publishers Limited. All rights reserved.","author":[{"dropping-particle":"","family":"Elhaik","given":"Eran","non-dropping-particle":"","parse-names":false,"suffix":""},{"dropping-particle":"","family":"Tatarinova","given":"Tatiana","non-dropping-particle":"","parse-names":false,"suffix":""},{"dropping-particle":"","family":"Chebotarev","given":"Dmitri","non-dropping-particle":"","parse-names":false,"suffix":""},{"dropping-particle":"","family":"Piras","given":"Ignazio S.","non-dropping-particle":"","parse-names":false,"suffix":""},{"dropping-particle":"","family":"Calò","given":"Carla Maria","non-dropping-particle":"","parse-names":false,"suffix":""},{"dropping-particle":"","family":"Montis","given":"Antonella","non-dropping-particle":"De","parse-names":false,"suffix":""},{"dropping-particle":"","family":"Atzori","given":"Manuela","non-dropping-particle":"","parse-names":false,"suffix":""},{"dropping-particle":"","family":"Marini","given":"Monica","non-dropping-particle":"","parse-names":false,"suffix":""},{"dropping-particle":"","family":"Tofanelli","given":"Sergio","non-dropping-particle":"","parse-names":false,"suffix":""},{"dropping-particle":"","family":"Francalacci","given":"Paolo","non-dropping-particle":"","parse-names":false,"suffix":""},{"dropping-particle":"","family":"Pagani","given":"Luca","non-dropping-particle":"","parse-names":false,"suffix":""},{"dropping-particle":"","family":"Tyler-Smith","given":"Chris","non-dropping-particle":"","parse-names":false,"suffix":""},{"dropping-particle":"","family":"Xue","given":"Yali","non-dropping-particle":"","parse-names":false,"suffix":""},{"dropping-particle":"","family":"Cucca","given":"Francesco","non-dropping-particle":"","parse-names":false,"suffix":""},{"dropping-particle":"","family":"Schurr","given":"Theodore G.","non-dropping-particle":"","parse-names":false,"suffix":""},{"dropping-particle":"","family":"Gaieski","given":"Jill B.","non-dropping-particle":"","parse-names":false,"suffix":""},{"dropping-particle":"","family":"Melendez","given":"Carlalynne","non-dropping-particle":"","parse-names":false,"suffix":""},{"dropping-particle":"","family":"Vilar","given":"Miguel G.","non-dropping-particle":"","parse-names":false,"suffix":""},{"dropping-particle":"","family":"Owings","given":"Amanda C.","non-dropping-particle":"","parse-names":false,"suffix":""},{"dropping-particle":"","family":"Gómez","given":"Rocío","non-dropping-particle":"","parse-names":false,"suffix":""},{"dropping-particle":"","family":"Fujita","given":"Ricardo","non-dropping-particle":"","parse-names":false,"suffix":""},{"dropping-particle":"","family":"Santos","given":"Fabrício R.","non-dropping-particle":"","parse-names":false,"suffix":""},{"dropping-particle":"","family":"Comas","given":"David","non-dropping-particle":"","parse-names":false,"suffix":""},{"dropping-particle":"","family":"Balanovsky","given":"Oleg","non-dropping-particle":"","parse-names":false,"suffix":""},{"dropping-particle":"","family":"Balanovska","given":"Elena","non-dropping-particle":"","parse-names":false,"suffix":""},{"dropping-particle":"","family":"Zalloua","given":"Pierre","non-dropping-particle":"","parse-names":false,"suffix":""},{"dropping-particle":"","family":"Soodyall","given":"Himla","non-dropping-particle":"","parse-names":false,"suffix":""},{"dropping-particle":"","family":"Pitchappan","given":"Ramasamy","non-dropping-particle":"","parse-names":false,"suffix":""},{"dropping-particle":"","family":"Prasad","given":"Arun Kumar Ganesh","non-dropping-particle":"","parse-names":false,"suffix":""},{"dropping-particle":"","family":"Hammer","given":"Michael","non-dropping-particle":"","parse-names":false,"suffix":""},{"dropping-particle":"","family":"Matisoo-Smith","given":"Lisa","non-dropping-particle":"","parse-names":false,"suffix":""},{"dropping-particle":"","family":"Wells","given":"R. Spencer","non-dropping-particle":"","parse-names":false,"suffix":""},{"dropping-particle":"","family":"Acosta","given":"Oscar","non-dropping-particle":"","parse-names":false,"suffix":""},{"dropping-particle":"","family":"Adhikarla","given":"Syama","non-dropping-particle":"","parse-names":false,"suffix":""},{"dropping-particle":"","family":"Adler","given":"Christina J.","non-dropping-particle":"","parse-names":false,"suffix":""},{"dropping-particle":"","family":"Bertranpetit","given":"Jaume","non-dropping-particle":"","parse-names":false,"suffix":""},{"dropping-particle":"","family":"Clarke","given":"Andrew C.","non-dropping-particle":"","parse-names":false,"suffix":""},{"dropping-particle":"","family":"Cooper","given":"Alan","non-dropping-particle":"","parse-names":false,"suffix":""},{"dropping-particle":"","family":"Sarkissian","given":"Clio S.I.","non-dropping-particle":"Der","parse-names":false,"suffix":""},{"dropping-particle":"","family":"Haak","given":"Wolfgang","non-dropping-particle":"","parse-names":false,"suffix":""},{"dropping-particle":"","family":"Haber","given":"Marc","non-dropping-particle":"","parse-names":false,"suffix":""},{"dropping-particle":"","family":"Jin","given":"Li","non-dropping-particle":"","parse-names":false,"suffix":""},{"dropping-particle":"","family":"Kaplan","given":"Matthew E.","non-dropping-particle":"","parse-names":false,"suffix":""},{"dropping-particle":"","family":"Li","given":"Hui","non-dropping-particle":"","parse-names":false,"suffix":""},{"dropping-particle":"","family":"Li","given":"Shilin","non-dropping-particle":"","parse-names":false,"suffix":""},{"dropping-particle":"","family":"Martínez-Cruz","given":"Begoña","non-dropping-particle":"","parse-names":false,"suffix":""},{"dropping-particle":"","family":"Merchant","given":"Nirav C.","non-dropping-particle":"","parse-names":false,"suffix":""},{"dropping-particle":"","family":"Mitchell","given":"John R.","non-dropping-particle":"","parse-names":false,"suffix":""},{"dropping-particle":"","family":"Parida","given":"Laxmi","non-dropping-particle":"","parse-names":false,"suffix":""},{"dropping-particle":"","family":"Platt","given":"Daniel E.","non-dropping-particle":"","parse-names":false,"suffix":""},{"dropping-particle":"","family":"Quintana-Murci","given":"Lluis","non-dropping-particle":"","parse-names":false,"suffix":""},{"dropping-particle":"","family":"Renfrew","given":"Colin","non-dropping-particle":"","parse-names":false,"suffix":""},{"dropping-particle":"","family":"Lacerda","given":"Daniela R.","non-dropping-particle":"","parse-names":false,"suffix":""},{"dropping-particle":"","family":"Royyuru","given":"Ajay K.","non-dropping-particle":"","parse-names":false,"suffix":""},{"dropping-particle":"","family":"Sandoval","given":"Jose Raul","non-dropping-particle":"","parse-names":false,"suffix":""},{"dropping-particle":"","family":"Santhakumari","given":"Arun Varatharajan","non-dropping-particle":"","parse-names":false,"suffix":""},{"dropping-particle":"","family":"Hernanz","given":"David F.Soria","non-dropping-particle":"","parse-names":false,"suffix":""},{"dropping-particle":"","family":"Swamikrishnan","given":"Pandikumar","non-dropping-particle":"","parse-names":false,"suffix":""},{"dropping-particle":"","family":"Ziegle","given":"Janet S.","non-dropping-particle":"","parse-names":false,"suffix":""}],"container-title":"Nature Communications","id":"ITEM-1","issued":{"date-parts":[["2014"]]},"title":"Geographic population structure analysis of worldwide human populations infers their biogeographical origins","type":"article-journal","volume":"5"},"uris":["http://www.mendeley.com/documents/?uuid=5563293a-ec5f-4e1c-b942-97b5ab2c0510"]}],"mendeley":{"formattedCitation":"(Elhaik &lt;i&gt;et al.&lt;/i&gt;, 2014)","manualFormatting":"(e.g., Elhaik et al., 2014)","plainTextFormattedCitation":"(Elhaik et al., 2014)","previouslyFormattedCitation":"(Elhaik &lt;i&gt;et al.&lt;/i&gt;, 2014)"},"properties":{"noteIndex":0},"schema":"https://github.com/citation-style-language/schema/raw/master/csl-citation.json"}</w:instrText>
      </w:r>
      <w:r w:rsidR="00C74380" w:rsidRPr="00A35149">
        <w:rPr>
          <w:rFonts w:asciiTheme="majorBidi" w:hAnsiTheme="majorBidi" w:cstheme="majorBidi"/>
          <w:color w:val="4472C4" w:themeColor="accent1"/>
        </w:rPr>
        <w:fldChar w:fldCharType="separate"/>
      </w:r>
      <w:r w:rsidR="00C74380" w:rsidRPr="00A35149">
        <w:rPr>
          <w:rFonts w:asciiTheme="majorBidi" w:hAnsiTheme="majorBidi" w:cstheme="majorBidi"/>
          <w:noProof/>
          <w:color w:val="4472C4" w:themeColor="accent1"/>
        </w:rPr>
        <w:t>(</w:t>
      </w:r>
      <w:r w:rsidR="004C735E" w:rsidRPr="00A35149">
        <w:rPr>
          <w:rFonts w:asciiTheme="majorBidi" w:hAnsiTheme="majorBidi" w:cstheme="majorBidi"/>
          <w:noProof/>
          <w:color w:val="4472C4" w:themeColor="accent1"/>
        </w:rPr>
        <w:t xml:space="preserve">e.g., </w:t>
      </w:r>
      <w:r w:rsidR="00C74380" w:rsidRPr="00A35149">
        <w:rPr>
          <w:rFonts w:asciiTheme="majorBidi" w:hAnsiTheme="majorBidi" w:cstheme="majorBidi"/>
          <w:noProof/>
          <w:color w:val="4472C4" w:themeColor="accent1"/>
        </w:rPr>
        <w:t xml:space="preserve">Elhaik </w:t>
      </w:r>
      <w:r w:rsidR="00C74380" w:rsidRPr="00A35149">
        <w:rPr>
          <w:rFonts w:asciiTheme="majorBidi" w:hAnsiTheme="majorBidi" w:cstheme="majorBidi"/>
          <w:i/>
          <w:noProof/>
          <w:color w:val="4472C4" w:themeColor="accent1"/>
        </w:rPr>
        <w:t>et al.</w:t>
      </w:r>
      <w:r w:rsidR="00C74380" w:rsidRPr="00A35149">
        <w:rPr>
          <w:rFonts w:asciiTheme="majorBidi" w:hAnsiTheme="majorBidi" w:cstheme="majorBidi"/>
          <w:noProof/>
          <w:color w:val="4472C4" w:themeColor="accent1"/>
        </w:rPr>
        <w:t>, 2014)</w:t>
      </w:r>
      <w:r w:rsidR="00C74380" w:rsidRPr="00A35149">
        <w:rPr>
          <w:rFonts w:asciiTheme="majorBidi" w:hAnsiTheme="majorBidi" w:cstheme="majorBidi"/>
          <w:color w:val="4472C4" w:themeColor="accent1"/>
        </w:rPr>
        <w:fldChar w:fldCharType="end"/>
      </w:r>
      <w:r w:rsidRPr="00A35149">
        <w:rPr>
          <w:rFonts w:asciiTheme="majorBidi" w:hAnsiTheme="majorBidi" w:cstheme="majorBidi"/>
        </w:rPr>
        <w:t xml:space="preserve">, due to the exchange of genes and migrants between geographically proximate populations </w:t>
      </w:r>
      <w:r w:rsidR="00C74380" w:rsidRPr="00A35149">
        <w:rPr>
          <w:rFonts w:asciiTheme="majorBidi" w:hAnsiTheme="majorBidi" w:cstheme="majorBidi"/>
          <w:color w:val="4472C4" w:themeColor="accent1"/>
        </w:rPr>
        <w:t xml:space="preserve">(e.g., </w:t>
      </w:r>
      <w:r w:rsidR="00C74380" w:rsidRPr="00A35149">
        <w:rPr>
          <w:rFonts w:asciiTheme="majorBidi" w:hAnsiTheme="majorBidi" w:cstheme="majorBidi"/>
          <w:color w:val="4472C4" w:themeColor="accent1"/>
        </w:rPr>
        <w:fldChar w:fldCharType="begin" w:fldLock="1"/>
      </w:r>
      <w:r w:rsidR="00C74380" w:rsidRPr="00A35149">
        <w:rPr>
          <w:rFonts w:asciiTheme="majorBidi" w:hAnsiTheme="majorBidi" w:cstheme="majorBidi"/>
          <w:color w:val="4472C4" w:themeColor="accent1"/>
        </w:rPr>
        <w:instrText>ADDIN CSL_CITATION {"citationItems":[{"id":"ITEM-1","itemData":{"DOI":"10.1126/science.1078311","ISSN":"00368075","abstract":"We studied human population structure using genotypes at 377 autosomal microsatellite loci in 1056 individuals from 52 populations. Within-population differences among individuals account for 93 to 95% of genetic variation; differences among major groups constitute only 3 to 5%. Nevertheless, without using prior information about the origins of individuals, we identified six main genetic clusters, five of which correspond to major geographic regions, and subclusters that often correspond to individual populations. General agreement of genetic and predefined populations suggests that self-reported ancestry can facilitate assessments of epidemiological risks but does not obviate the need to use genetic information in genetic association studies.","author":[{"dropping-particle":"","family":"Rosenberg","given":"Noah A.","non-dropping-particle":"","parse-names":false,"suffix":""},{"dropping-particle":"","family":"Pritchard","given":"Jonathan K.","non-dropping-particle":"","parse-names":false,"suffix":""},{"dropping-particle":"","family":"Weber","given":"James L.","non-dropping-particle":"","parse-names":false,"suffix":""},{"dropping-particle":"","family":"Cann","given":"Howard M.","non-dropping-particle":"","parse-names":false,"suffix":""},{"dropping-particle":"","family":"Kidd","given":"Kenneth K.","non-dropping-particle":"","parse-names":false,"suffix":""},{"dropping-particle":"","family":"Zhivotovsky","given":"Lev A.","non-dropping-particle":"","parse-names":false,"suffix":""},{"dropping-particle":"","family":"Feldman","given":"Marcus W.","non-dropping-particle":"","parse-names":false,"suffix":""}],"container-title":"Science","id":"ITEM-1","issue":"5602","issued":{"date-parts":[["2002"]]},"page":"2381-2385","title":"Genetic structure of human populations","type":"article-journal","volume":"298"},"uris":["http://www.mendeley.com/documents/?uuid=b141c51e-cf8d-4f4d-a0a7-86eca05b24a7"]},{"id":"ITEM-2","itemData":{"DOI":"10.1038/ng1456","ISSN":"10614036","abstract":"Descriptions of human genetic variation given thirty years ago have held up well, considering the substantial accrual of DNA sequence data in the interim. Most importantly, estimates of between-group genetic variation have remained relatively low. Despite the low average level of between-group variation, clusters recently inferred from multilocus genetic data coincide closely with groups defined by self-identified race or continental ancestry. This correspondence implies that genetic factors might contribute to unexplained between-group phenotypic variation. Current understanding of the contribution of genes to variation in most complex traits is limited, however. Under these circumstances, assumptions about genetic contributions to group differences are unfounded. In the absence of detailed understanding, 'racial' and 'ethnic' categories will remain useful in biomedical research. Further, we suggest approaches and guidelines for assessing the contribution of genetic factors to between-group phenotypic differences, including studies of candidate genes and analyses of recently admixed populations.","author":[{"dropping-particle":"","family":"Mountain","given":"Joanna L.","non-dropping-particle":"","parse-names":false,"suffix":""},{"dropping-particle":"","family":"Risch","given":"Neil","non-dropping-particle":"","parse-names":false,"suffix":""}],"container-title":"Nature Genetics","id":"ITEM-2","issued":{"date-parts":[["2004"]]},"title":"Assessing genetic contributions to phenotypic differences among 'racial' and 'ethnic' groups","type":"article-journal","volume":"36"},"uris":["http://www.mendeley.com/documents/?uuid=27eaaeb7-ccf3-41d7-a151-b36f86e455b1"]},{"id":"ITEM-3","itemData":{"DOI":"10.1038/nature06742","ISSN":"1476-4687","PMID":"18288195","abstract":"Genome-wide patterns of variation across individuals provide a powerful source of data for uncovering the history of migration, range expansion, and adaptation of the human species. However, high-resolution surveys of variation in genotype, haplotype and copy number have generally focused on a small number of population groups. Here we report the analysis of high-quality genotypes at 525,910 single-nucleotide polymorphisms (SNPs) and 396 copy-number-variable loci in a worldwide sample of 29 populations. Analysis of SNP genotypes yields strongly supported fine-scale inferences about population structure. Increasing linkage disequilibrium is observed with increasing geographic distance from Africa, as expected under a serial founder effect for the out-of-Africa spread of human populations. New approaches for haplotype analysis produce inferences about population structure that complement results based on unphased SNPs. Despite a difference from SNPs in the frequency spectrum of the copy-number variants (CNVs) detected--including a comparatively large number of CNVs in previously unexamined populations from Oceania and the Americas--the global distribution of CNVs largely accords with population structure analyses for SNP data sets of similar size. Our results produce new inferences about inter-population variation, support the utility of CNVs in human population-genetic research, and serve as a genomic resource for human-genetic studies in diverse worldwide populations.","author":[{"dropping-particle":"","family":"Jakobsson","given":"Mattias","non-dropping-particle":"","parse-names":false,"suffix":""},{"dropping-particle":"","family":"Scholz","given":"Sonja W","non-dropping-particle":"","parse-names":false,"suffix":""},{"dropping-particle":"","family":"Scheet","given":"Paul","non-dropping-particle":"","parse-names":false,"suffix":""},{"dropping-particle":"","family":"Gibbs","given":"J Raphael","non-dropping-particle":"","parse-names":false,"suffix":""},{"dropping-particle":"","family":"VanLiere","given":"Jenna M","non-dropping-particle":"","parse-names":false,"suffix":""},{"dropping-particle":"","family":"Fung","given":"Hon-Chung","non-dropping-particle":"","parse-names":false,"suffix":""},{"dropping-particle":"","family":"Szpiech","given":"Zachary A","non-dropping-particle":"","parse-names":false,"suffix":""},{"dropping-particle":"","family":"Degnan","given":"James H","non-dropping-particle":"","parse-names":false,"suffix":""},{"dropping-particle":"","family":"Wang","given":"Kai","non-dropping-particle":"","parse-names":false,"suffix":""},{"dropping-particle":"","family":"Guerreiro","given":"Rita","non-dropping-particle":"","parse-names":false,"suffix":""},{"dropping-particle":"","family":"Bras","given":"Jose M","non-dropping-particle":"","parse-names":false,"suffix":""},{"dropping-particle":"","family":"Schymick","given":"Jennifer C","non-dropping-particle":"","parse-names":false,"suffix":""},{"dropping-particle":"","family":"Hernandez","given":"Dena G","non-dropping-particle":"","parse-names":false,"suffix":""},{"dropping-particle":"","family":"Traynor","given":"Bryan J","non-dropping-particle":"","parse-names":false,"suffix":""},{"dropping-particle":"","family":"Simon-Sanchez","given":"Javier","non-dropping-particle":"","parse-names":false,"suffix":""},{"dropping-particle":"","family":"Matarin","given":"Mar","non-dropping-particle":"","parse-names":false,"suffix":""},{"dropping-particle":"","family":"Britton","given":"Angela","non-dropping-particle":"","parse-names":false,"suffix":""},{"dropping-particle":"","family":"Leemput","given":"Joyce","non-dropping-particle":"van de","parse-names":false,"suffix":""},{"dropping-particle":"","family":"Rafferty","given":"Ian","non-dropping-particle":"","parse-names":false,"suffix":""},{"dropping-particle":"","family":"Bucan","given":"Maja","non-dropping-particle":"","parse-names":false,"suffix":""},{"dropping-particle":"","family":"Cann","given":"Howard M","non-dropping-particle":"","parse-names":false,"suffix":""},{"dropping-particle":"","family":"Hardy","given":"John A","non-dropping-particle":"","parse-names":false,"suffix":""},{"dropping-particle":"","family":"Rosenberg","given":"Noah A","non-dropping-particle":"","parse-names":false,"suffix":""},{"dropping-particle":"","family":"Singleton","given":"Andrew B","non-dropping-particle":"","parse-names":false,"suffix":""}],"container-title":"Nature","id":"ITEM-3","issue":"7181","issued":{"date-parts":[["2008"]]},"page":"998-1003","title":"Genotype, haplotype and copy-number variation in worldwide human populations.","type":"article-journal","volume":"451"},"uris":["http://www.mendeley.com/documents/?uuid=e2fac994-2f5f-4e4a-8c21-f02d826d9ff8"]},{"id":"ITEM-4","itemData":{"DOI":"10.1002/gepi.20296","ISSN":"07410395","abstract":"Hidden population substructure can cause population stratification and lead to false-positive findings in population-based genome-wide association (GWA) studies. Given a large panel of markers scanned in a GWA study, it becomes increasingly feasible to uncover the hidden population substructure within the study sample based on measured genotypes across the genome. Recognizing that population substructure can be displayed as clustered and/or continuous patterns of genetic variation, we propose a method that aims at the detection and correction of the confounding effect resulting from both patterns of population substructure. The proposed method is an extension of the EIGENSTRAT method (Price et al. [2006] Nat Genet 38:904-909). This approach is computationally feasible and easily applied to large-scale GWA studies. We show through simulation studies that, compared with the EIGENSTRAT method, the new method requires a smaller number of markers and yields a more appropriate correction for population stratification.","author":[{"dropping-particle":"","family":"Li","given":"Qizhai","non-dropping-particle":"","parse-names":false,"suffix":""},{"dropping-particle":"","family":"Yu","given":"Kai","non-dropping-particle":"","parse-names":false,"suffix":""}],"container-title":"Genetic Epidemiology","id":"ITEM-4","issue":"3","issued":{"date-parts":[["2008"]]},"page":"215-226","title":"Improved correction for population stratification in genome-wide association studies by identifying hidden population structures","type":"article-journal","volume":"32"},"uris":["http://www.mendeley.com/documents/?uuid=fe0ea113-87d8-414c-84b5-061f0aebdc08"]},{"id":"ITEM-5","itemData":{"DOI":"10.1101/gr.085589.108","ISSN":"10889051","abstract":"We report an analysis of more than 240,000 loci genotyped using the Affymetrix SNP microarray in 554 individuals from 27 worldwide populations in Africa, Asia, and Europe. To provide a more extensive and complete sampling of human genetic variation, we have included caste and tribal samples from two states in South India, Daghestanis from eastern Europe, and the Iban from Malaysia. Consistent with observations made by Charles Darwin, our results highlight shared variation among human populations and demonstrate that much genetic variation is geographically continuous. At the same time, principal components analyses reveal discernible genetic differentiation among almost all identified populations in our sample, and in most cases, individuals can be clearly assigned to defined populations on the basis of SNP genotypes. All individuals are accurately classified into continental groups using a model-based clustering algorithm, but between closely related populations, genetic and self-classifications conflict for some individuals. The 250K data permitted high-level resolution of genetic variation among Indian caste and tribal populations and between highland and lowland Daghestani populations. In particular, upper-caste individuals from Tamil Nadu and Andhra Pradesh form one defined group, lower-caste individuals from these two states form another, and the tribal Irula samples form a third. Our results emphasize the correlation of genetic and geographic distances and highlight other elements, including social factors that have contributed to population structure.","author":[{"dropping-particle":"","family":"Xing","given":"Jinchuan","non-dropping-particle":"","parse-names":false,"suffix":""},{"dropping-particle":"","family":"Watkins","given":"W. Scott","non-dropping-particle":"","parse-names":false,"suffix":""},{"dropping-particle":"","family":"Witherspoon","given":"David J.","non-dropping-particle":"","parse-names":false,"suffix":""},{"dropping-particle":"","family":"Zhang","given":"Yuhua","non-dropping-particle":"","parse-names":false,"suffix":""},{"dropping-particle":"","family":"Guthery","given":"Stephen L.","non-dropping-particle":"","parse-names":false,"suffix":""},{"dropping-particle":"","family":"Thara","given":"Rangaswamy","non-dropping-particle":"","parse-names":false,"suffix":""},{"dropping-particle":"","family":"Mowry","given":"Bryan J.","non-dropping-particle":"","parse-names":false,"suffix":""},{"dropping-particle":"","family":"Bulayeva","given":"Kazima","non-dropping-particle":"","parse-names":false,"suffix":""},{"dropping-particle":"","family":"Weiss","given":"Robert B.","non-dropping-particle":"","parse-names":false,"suffix":""},{"dropping-particle":"","family":"Jorde","given":"Lynn B.","non-dropping-particle":"","parse-names":false,"suffix":""}],"container-title":"Genome Research","id":"ITEM-5","issue":"5","issued":{"date-parts":[["2009"]]},"page":"815-825","title":"Fine-scaled human genetic structure revealed by SNP microarrays","type":"article-journal","volume":"19"},"uris":["http://www.mendeley.com/documents/?uuid=a93eb028-2d55-499b-b1b2-31e770f2bc72"]}],"mendeley":{"formattedCitation":"(Rosenberg &lt;i&gt;et al.&lt;/i&gt;, 2002; Mountain and Risch, 2004; Jakobsson &lt;i&gt;et al.&lt;/i&gt;, 2008; Li and Yu, 2008; Xing &lt;i&gt;et al.&lt;/i&gt;, 2009)","manualFormatting":"Rosenberg et al., 2002; Mountain and Risch, 2004; Jakobsson et al., 2008; Li and Yu, 2008; Xing et al., 2009)","plainTextFormattedCitation":"(Rosenberg et al., 2002; Mountain and Risch, 2004; Jakobsson et al., 2008; Li and Yu, 2008; Xing et al., 2009)","previouslyFormattedCitation":"(Rosenberg &lt;i&gt;et al.&lt;/i&gt;, 2002; Mountain and Risch, 2004; Jakobsson &lt;i&gt;et al.&lt;/i&gt;, 2008; Li and Yu, 2008; Xing &lt;i&gt;et al.&lt;/i&gt;, 2009)"},"properties":{"noteIndex":0},"schema":"https://github.com/citation-style-language/schema/raw/master/csl-citation.json"}</w:instrText>
      </w:r>
      <w:r w:rsidR="00C74380" w:rsidRPr="00A35149">
        <w:rPr>
          <w:rFonts w:asciiTheme="majorBidi" w:hAnsiTheme="majorBidi" w:cstheme="majorBidi"/>
          <w:color w:val="4472C4" w:themeColor="accent1"/>
        </w:rPr>
        <w:fldChar w:fldCharType="separate"/>
      </w:r>
      <w:r w:rsidR="00C74380" w:rsidRPr="00A35149">
        <w:rPr>
          <w:rFonts w:asciiTheme="majorBidi" w:hAnsiTheme="majorBidi" w:cstheme="majorBidi"/>
          <w:noProof/>
          <w:color w:val="4472C4" w:themeColor="accent1"/>
        </w:rPr>
        <w:t xml:space="preserve">Rosenberg </w:t>
      </w:r>
      <w:r w:rsidR="00C74380" w:rsidRPr="00A35149">
        <w:rPr>
          <w:rFonts w:asciiTheme="majorBidi" w:hAnsiTheme="majorBidi" w:cstheme="majorBidi"/>
          <w:i/>
          <w:noProof/>
          <w:color w:val="4472C4" w:themeColor="accent1"/>
        </w:rPr>
        <w:t>et al.</w:t>
      </w:r>
      <w:r w:rsidR="00C74380" w:rsidRPr="00A35149">
        <w:rPr>
          <w:rFonts w:asciiTheme="majorBidi" w:hAnsiTheme="majorBidi" w:cstheme="majorBidi"/>
          <w:noProof/>
          <w:color w:val="4472C4" w:themeColor="accent1"/>
        </w:rPr>
        <w:t xml:space="preserve">, 2002; Mountain and Risch, 2004; Jakobsson </w:t>
      </w:r>
      <w:r w:rsidR="00C74380" w:rsidRPr="00A35149">
        <w:rPr>
          <w:rFonts w:asciiTheme="majorBidi" w:hAnsiTheme="majorBidi" w:cstheme="majorBidi"/>
          <w:i/>
          <w:noProof/>
          <w:color w:val="4472C4" w:themeColor="accent1"/>
        </w:rPr>
        <w:t>et al.</w:t>
      </w:r>
      <w:r w:rsidR="00C74380" w:rsidRPr="00A35149">
        <w:rPr>
          <w:rFonts w:asciiTheme="majorBidi" w:hAnsiTheme="majorBidi" w:cstheme="majorBidi"/>
          <w:noProof/>
          <w:color w:val="4472C4" w:themeColor="accent1"/>
        </w:rPr>
        <w:t xml:space="preserve">, 2008; Li and Yu, 2008; Xing </w:t>
      </w:r>
      <w:r w:rsidR="00C74380" w:rsidRPr="00A35149">
        <w:rPr>
          <w:rFonts w:asciiTheme="majorBidi" w:hAnsiTheme="majorBidi" w:cstheme="majorBidi"/>
          <w:i/>
          <w:noProof/>
          <w:color w:val="4472C4" w:themeColor="accent1"/>
        </w:rPr>
        <w:t>et al.</w:t>
      </w:r>
      <w:r w:rsidR="00C74380" w:rsidRPr="00A35149">
        <w:rPr>
          <w:rFonts w:asciiTheme="majorBidi" w:hAnsiTheme="majorBidi" w:cstheme="majorBidi"/>
          <w:noProof/>
          <w:color w:val="4472C4" w:themeColor="accent1"/>
        </w:rPr>
        <w:t>, 2009)</w:t>
      </w:r>
      <w:r w:rsidR="00C74380" w:rsidRPr="00A35149">
        <w:rPr>
          <w:rFonts w:asciiTheme="majorBidi" w:hAnsiTheme="majorBidi" w:cstheme="majorBidi"/>
          <w:color w:val="4472C4" w:themeColor="accent1"/>
        </w:rPr>
        <w:fldChar w:fldCharType="end"/>
      </w:r>
      <w:r w:rsidR="00C74380" w:rsidRPr="00A35149">
        <w:rPr>
          <w:rFonts w:asciiTheme="majorBidi" w:hAnsiTheme="majorBidi" w:cstheme="majorBidi"/>
        </w:rPr>
        <w:t>.</w:t>
      </w:r>
      <w:r w:rsidRPr="00A35149">
        <w:rPr>
          <w:rFonts w:asciiTheme="majorBidi" w:hAnsiTheme="majorBidi" w:cstheme="majorBidi"/>
        </w:rPr>
        <w:t xml:space="preserve"> These relationships are also expected to hold for common and rare variants</w:t>
      </w:r>
      <w:r w:rsidR="004C735E" w:rsidRPr="00A35149">
        <w:rPr>
          <w:rFonts w:asciiTheme="majorBidi" w:hAnsiTheme="majorBidi" w:cstheme="majorBidi"/>
        </w:rPr>
        <w:t xml:space="preserve"> </w:t>
      </w:r>
      <w:r w:rsidR="00C74380" w:rsidRPr="00A35149">
        <w:rPr>
          <w:rFonts w:asciiTheme="majorBidi" w:hAnsiTheme="majorBidi" w:cstheme="majorBidi"/>
          <w:color w:val="4472C4" w:themeColor="accent1"/>
        </w:rPr>
        <w:fldChar w:fldCharType="begin" w:fldLock="1"/>
      </w:r>
      <w:r w:rsidR="00C74380" w:rsidRPr="00A35149">
        <w:rPr>
          <w:rFonts w:asciiTheme="majorBidi" w:hAnsiTheme="majorBidi" w:cstheme="majorBidi"/>
          <w:color w:val="4472C4" w:themeColor="accent1"/>
        </w:rPr>
        <w:instrText>ADDIN CSL_CITATION {"citationItems":[{"id":"ITEM-1","itemData":{"DOI":"10.1038/nature11632","ISSN":"14764687","abstract":"By characterizing the geographic and functional spectrum of human genetic variation, the 1000 Genomes Project aims to build a resource to help to understand the genetic contribution to disease. Here we describe the genomes of 1,092 individuals from 14 populations, constructed using a combination of low-coverage whole-genome and exome sequencing. By developing methods to integrate information across several algorithms and diverse data sources, we provide a validated haplotype map of 38 million single nucleotide polymorphisms, 1.4 million short insertions and deletions, and more than 14,000 larger deletions. We show that individuals from different populations carry different profiles of rare and common variants, and that low-frequency variants show substantial geographic differentiation, which is further increased by the action of purifying selection. We show that evolutionary conservation and coding consequence are key determinants of the strength of purifying selection, that rare-variant load varies substantially across biological pathways, and that each individual contains hundreds of rare non-coding variants at conserved sites, such as motif-disrupting changes in transcription-factor-binding sites. This resource, which captures up to 98% of accessible single nucleotide polymorphisms at a frequency of 1% in related populations, enables analysis of common and low-frequency variants in individuals from diverse, including admixed, populations.","author":[{"dropping-particle":"","family":"Altshuler","given":"David M.","non-dropping-particle":"","parse-names":false,"suffix":""},{"dropping-particle":"","family":"Durbin","given":"Richard M.","non-dropping-particle":"","parse-names":false,"suffix":""},{"dropping-particle":"","family":"Abecasis","given":"Gonçalo R.","non-dropping-particle":"","parse-names":false,"suffix":""},{"dropping-particle":"","family":"Bentley","given":"David R.","non-dropping-particle":"","parse-names":false,"suffix":""},{"dropping-particle":"","family":"Chakravarti","given":"Aravinda","non-dropping-particle":"","parse-names":false,"suffix":""},{"dropping-particle":"","family":"Clark","given":"Andrew G.","non-dropping-particle":"","parse-names":false,"suffix":""},{"dropping-particle":"","family":"Donnelly","given":"Peter","non-dropping-particle":"","parse-names":false,"suffix":""},{"dropping-particle":"","family":"Eichler","given":"Evan E.","non-dropping-particle":"","parse-names":false,"suffix":""},{"dropping-particle":"","family":"Flicek","given":"Paul","non-dropping-particle":"","parse-names":false,"suffix":""},{"dropping-particle":"","family":"Gabriel","given":"Stacey B.","non-dropping-particle":"","parse-names":false,"suffix":""},{"dropping-particle":"","family":"Gibbs","given":"Richard A.","non-dropping-particle":"","parse-names":false,"suffix":""},{"dropping-particle":"","family":"Green","given":"Eric D.","non-dropping-particle":"","parse-names":false,"suffix":""},{"dropping-particle":"","family":"Hurles","given":"Matthew E.","non-dropping-particle":"","parse-names":false,"suffix":""},{"dropping-particle":"","family":"Knoppers","given":"Bartha M.","non-dropping-particle":"","parse-names":false,"suffix":""},{"dropping-particle":"","family":"Korbel","given":"Jan O.","non-dropping-particle":"","parse-names":false,"suffix":""},{"dropping-particle":"","family":"Lander","given":"Eric S.","non-dropping-particle":"","parse-names":false,"suffix":""},{"dropping-particle":"","family":"Lee","given":"Charles","non-dropping-particle":"","parse-names":false,"suffix":""},{"dropping-particle":"","family":"Lehrach","given":"Hans","non-dropping-particle":"","parse-names":false,"suffix":""},{"dropping-particle":"","family":"Mardis","given":"Elaine R.","non-dropping-particle":"","parse-names":false,"suffix":""},{"dropping-particle":"","family":"Marth","given":"Gabor T.","non-dropping-particle":"","parse-names":false,"suffix":""},{"dropping-particle":"","family":"McVean","given":"Gil A.","non-dropping-particle":"","parse-names":false,"suffix":""},{"dropping-particle":"","family":"Nickerson","given":"Deborah A.","non-dropping-particle":"","parse-names":false,"suffix":""},{"dropping-particle":"","family":"Schmidt","given":"Jeanette P.","non-dropping-particle":"","parse-names":false,"suffix":""},{"dropping-particle":"","family":"Sherry","given":"Stephen T.","non-dropping-particle":"","parse-names":false,"suffix":""},{"dropping-particle":"","family":"Wang","given":"Jun","non-dropping-particle":"","parse-names":false,"suffix":""},{"dropping-particle":"","family":"Wilson","given":"Richard K.","non-dropping-particle":"","parse-names":false,"suffix":""},{"dropping-particle":"","family":"Dinh","given":"Huyen","non-dropping-particle":"","parse-names":false,"suffix":""},{"dropping-particle":"","family":"Kovar","given":"Christie","non-dropping-particle":"","parse-names":false,"suffix":""},{"dropping-particle":"","family":"Lee","given":"Sandra","non-dropping-particle":"","parse-names":false,"suffix":""},{"dropping-particle":"","family":"Lewis","given":"Lora","non-dropping-particle":"","parse-names":false,"suffix":""},{"dropping-particle":"","family":"Muzny","given":"Donna","non-dropping-particle":"","parse-names":false,"suffix":""},{"dropping-particle":"","family":"Reid","given":"Jeff","non-dropping-particle":"","parse-names":false,"suffix":""},{"dropping-particle":"","family":"Wang","given":"Min","non-dropping-particle":"","parse-names":false,"suffix":""},{"dropping-particle":"","family":"Fang","given":"Xiaodong","non-dropping-particle":"","parse-names":false,"suffix":""},{"dropping-particle":"","family":"Guo","given":"Xiaosen","non-dropping-particle":"","parse-names":false,"suffix":""},{"dropping-particle":"","family":"Jian","given":"Min","non-dropping-particle":"","parse-names":false,"suffix":""},{"dropping-particle":"","family":"Jiang","given":"Hui","non-dropping-particle":"","parse-names":false,"suffix":""},{"dropping-particle":"","family":"Jin","given":"Xin","non-dropping-particle":"","parse-names":false,"suffix":""},{"dropping-particle":"","family":"Li","given":"Guoqing","non-dropping-particle":"","parse-names":false,"suffix":""},{"dropping-particle":"","family":"Li","given":"Jingxiang","non-dropping-particle":"","parse-names":false,"suffix":""},{"dropping-particle":"","family":"Li","given":"Yingrui","non-dropping-particle":"","parse-names":false,"suffix":""},{"dropping-particle":"","family":"Li","given":"Zhuo","non-dropping-particle":"","parse-names":false,"suffix":""},{"dropping-particle":"","family":"Liu","given":"Xiao","non-dropping-particle":"","parse-names":false,"suffix":""},{"dropping-particle":"","family":"Lu","given":"Yao","non-dropping-particle":"","parse-names":false,"suffix":""},{"dropping-particle":"","family":"Ma","given":"Xuedi","non-dropping-particle":"","parse-names":false,"suffix":""},{"dropping-particle":"","family":"Su","given":"Zhe","non-dropping-particle":"","parse-names":false,"suffix":""},{"dropping-particle":"","family":"Tai","given":"Shuaishuai","non-dropping-particle":"","parse-names":false,"suffix":""},{"dropping-particle":"","family":"Tang","given":"Meifang","non-dropping-particle":"","parse-names":false,"suffix":""},{"dropping-particle":"","family":"Wang","given":"Bo","non-dropping-particle":"","parse-names":false,"suffix":""},{"dropping-particle":"","family":"Wang","given":"Guangbiao","non-dropping-particle":"","parse-names":false,"suffix":""},{"dropping-particle":"","family":"Wu","given":"Honglong","non-dropping-particle":"","parse-names":false,"suffix":""},{"dropping-particle":"","family":"Wu","given":"Renhua","non-dropping-particle":"","parse-names":false,"suffix":""},{"dropping-particle":"","family":"Yin","given":"Ye","non-dropping-particle":"","parse-names":false,"suffix":""},{"dropping-particle":"","family":"Zhang","given":"Wenwei","non-dropping-particle":"","parse-names":false,"suffix":""},{"dropping-particle":"","family":"Zhao","given":"Jiao","non-dropping-particle":"","parse-names":false,"suffix":""},{"dropping-particle":"","family":"Zhao","given":"Meiru","non-dropping-particle":"","parse-names":false,"suffix":""},{"dropping-particle":"","family":"Zheng","given":"Xiaole","non-dropping-particle":"","parse-names":false,"suffix":""},{"dropping-particle":"","family":"Zhou","given":"Yan","non-dropping-particle":"","parse-names":false,"suffix":""},{"dropping-particle":"","family":"Gupta","given":"Namrata","non-dropping-particle":"","parse-names":false,"suffix":""},{"dropping-particle":"","family":"Clarke","given":"Laura","non-dropping-particle":"","parse-names":false,"suffix":""},{"dropping-particle":"","family":"Leinonen","given":"Rasko","non-dropping-particle":"","parse-names":false,"suffix":""},{"dropping-particle":"","family":"Smith","given":"Richard E.","non-dropping-particle":"","parse-names":false,"suffix":""},{"dropping-particle":"","family":"Zheng-Bradley","given":"Xiangqun","non-dropping-particle":"","parse-names":false,"suffix":""},{"dropping-particle":"","family":"Grocock","given":"Russell","non-dropping-particle":"","parse-names":false,"suffix":""},{"dropping-particle":"","family":"Humphray","given":"Sean","non-dropping-particle":"","parse-names":false,"suffix":""},{"dropping-particle":"","family":"James","given":"Terena","non-dropping-particle":"","parse-names":false,"suffix":""},{"dropping-particle":"","family":"Kingsbury","given":"Zoya","non-dropping-particle":"","parse-names":false,"suffix":""},{"dropping-particle":"","family":"Sudbrak","given":"Ralf","non-dropping-particle":"","parse-names":false,"suffix":""},{"dropping-particle":"","family":"Albrecht","given":"Marcus W.","non-dropping-particle":"","parse-names":false,"suffix":""},{"dropping-particle":"","family":"Amstislavskiy","given":"Vyacheslav S.","non-dropping-particle":"","parse-names":false,"suffix":""},{"dropping-particle":"","family":"Borodina","given":"Tatiana A.","non-dropping-particle":"","parse-names":false,"suffix":""},{"dropping-particle":"","family":"Lienhard","given":"Matthias","non-dropping-particle":"","parse-names":false,"suffix":""},{"dropping-particle":"","family":"Mertes","given":"Florian","non-dropping-particle":"","parse-names":false,"suffix":""},{"dropping-particle":"","family":"Sultan","given":"Marc","non-dropping-particle":"","parse-names":false,"suffix":""},{"dropping-particle":"","family":"Timmermann","given":"Bernd","non-dropping-particle":"","parse-names":false,"suffix":""},{"dropping-particle":"","family":"Yaspo","given":"Marie Laure","non-dropping-particle":"","parse-names":false,"suffix":""},{"dropping-particle":"","family":"Fulton","given":"Lucinda","non-dropping-particle":"","parse-names":false,"suffix":""},{"dropping-particle":"","family":"Fulton","given":"Robert","non-dropping-particle":"","parse-names":false,"suffix":""},{"dropping-particle":"","family":"Weinstock","given":"George M.","non-dropping-particle":"","parse-names":false,"suffix":""},{"dropping-particle":"","family":"Balasubramaniam","given":"Senduran","non-dropping-particle":"","parse-names":false,"suffix":""},{"dropping-particle":"","family":"Burton","given":"John","non-dropping-particle":"","parse-names":false,"suffix":""},{"dropping-particle":"","family":"Danecek","given":"Petr","non-dropping-particle":"","parse-names":false,"suffix":""},{"dropping-particle":"","family":"Keane","given":"Thomas M.","non-dropping-particle":"","parse-names":false,"suffix":""},{"dropping-particle":"","family":"Kolb-Kokocinski","given":"Anja","non-dropping-particle":"","parse-names":false,"suffix":""},{"dropping-particle":"","family":"McCarthy","given":"Shane","non-dropping-particle":"","parse-names":false,"suffix":""},{"dropping-particle":"","family":"Stalker","given":"James","non-dropping-particle":"","parse-names":false,"suffix":""},{"dropping-particle":"","family":"Quail","given":"Michael","non-dropping-particle":"","parse-names":false,"suffix":""},{"dropping-particle":"","family":"Davies","given":"Christopher J.","non-dropping-particle":"","parse-names":false,"suffix":""},{"dropping-particle":"","family":"Gollub","given":"Jeremy","non-dropping-particle":"","parse-names":false,"suffix":""},{"dropping-particle":"","family":"Webster","given":"Teresa","non-dropping-particle":"","parse-names":false,"suffix":""},{"dropping-particle":"","family":"Wong","given":"Brant","non-dropping-particle":"","parse-names":false,"suffix":""},{"dropping-particle":"","family":"Zhan","given":"Yiping","non-dropping-particle":"","parse-names":false,"suffix":""},{"dropping-particle":"","family":"Auton","given":"Adam","non-dropping-particle":"","parse-names":false,"suffix":""},{"dropping-particle":"","family":"Yu","given":"Fuli","non-dropping-particle":"","parse-names":false,"suffix":""},{"dropping-particle":"","family":"Bainbridge","given":"Matthew","non-dropping-particle":"","parse-names":false,"suffix":""},{"dropping-particle":"","family":"Challis","given":"Danny","non-dropping-particle":"","parse-names":false,"suffix":""},{"dropping-particle":"","family":"Evani","given":"Uday S.","non-dropping-particle":"","parse-names":false,"suffix":""},{"dropping-particle":"","family":"Lu","given":"James","non-dropping-particle":"","parse-names":false,"suffix":""},{"dropping-particle":"","family":"Nagaswamy","given":"Uma","non-dropping-particle":"","parse-names":false,"suffix":""},{"dropping-particle":"","family":"Sabo","given":"Aniko","non-dropping-particle":"","parse-names":false,"suffix":""},{"dropping-particle":"","family":"Wang","given":"Yi","non-dropping-particle":"","parse-names":false,"suffix":""},{"dropping-particle":"","family":"Yu","given":"Jin","non-dropping-particle":"","parse-names":false,"suffix":""},{"dropping-particle":"","family":"Coin","given":"Lachlan J.M.","non-dropping-particle":"","parse-names":false,"suffix":""},{"dropping-particle":"","family":"Fang","given":"Lin","non-dropping-particle":"","parse-names":false,"suffix":""},{"dropping-particle":"","family":"Li","given":"Qibin","non-dropping-particle":"","parse-names":false,"suffix":""},{"dropping-particle":"","family":"Li","given":"Zhenyu","non-dropping-particle":"","parse-names":false,"suffix":""},{"dropping-particle":"","family":"Lin","given":"Haoxiang","non-dropping-particle":"","parse-names":false,"suffix":""},{"dropping-particle":"","family":"Liu","given":"Binghang","non-dropping-particle":"","parse-names":false,"suffix":""},{"dropping-particle":"","family":"Luo","given":"Ruibang","non-dropping-particle":"","parse-names":false,"suffix":""},{"dropping-particle":"","family":"Qin","given":"Nan","non-dropping-particle":"","parse-names":false,"suffix":""},{"dropping-particle":"","family":"Shao","given":"Haojing","non-dropping-particle":"","parse-names":false,"suffix":""},{"dropping-particle":"","family":"Wang","given":"Bingqiang","non-dropping-particle":"","parse-names":false,"suffix":""},{"dropping-particle":"","family":"Xie","given":"Yinlong","non-dropping-particle":"","parse-names":false,"suffix":""},{"dropping-particle":"","family":"Ye","given":"Chen","non-dropping-particle":"","parse-names":false,"suffix":""},{"dropping-particle":"","family":"Yu","given":"Chang","non-dropping-particle":"","parse-names":false,"suffix":""},{"dropping-particle":"","family":"Zhang","given":"Fan","non-dropping-particle":"","parse-names":false,"suffix":""},{"dropping-particle":"","family":"Zheng","given":"Hancheng","non-dropping-particle":"","parse-names":false,"suffix":""},{"dropping-particle":"","family":"Zhu","given":"Hongmei","non-dropping-particle":"","parse-names":false,"suffix":""},{"dropping-particle":"","family":"Garrison","given":"Erik P.","non-dropping-particle":"","parse-names":false,"suffix":""},{"dropping-particle":"","family":"Kural","given":"Deniz","non-dropping-particle":"","parse-names":false,"suffix":""},{"dropping-particle":"","family":"Lee","given":"Wan Ping","non-dropping-particle":"","parse-names":false,"suffix":""},{"dropping-particle":"","family":"Fung Leong","given":"Wen","non-dropping-particle":"","parse-names":false,"suffix":""},{"dropping-particle":"","family":"Ward","given":"Alistair N.","non-dropping-particle":"","parse-names":false,"suffix":""},{"dropping-particle":"","family":"Wu","given":"Jiantao","non-dropping-particle":"","parse-names":false,"suffix":""},{"dropping-particle":"","family":"Zhang","given":"Mengyao","non-dropping-particle":"","parse-names":false,"suffix":""},{"dropping-particle":"","family":"Griffin","given":"Lauren","non-dropping-particle":"","parse-names":false,"suffix":""},{"dropping-particle":"","family":"Hsieh","given":"Chih Heng","non-dropping-particle":"","parse-names":false,"suffix":""},{"dropping-particle":"","family":"Mills","given":"Ryan E.","non-dropping-particle":"","parse-names":false,"suffix":""},{"dropping-particle":"","family":"Shi","given":"Xinghua","non-dropping-particle":"","parse-names":false,"suffix":""},{"dropping-particle":"","family":"Grotthuss","given":"Marcin","non-dropping-particle":"Von","parse-names":false,"suffix":""},{"dropping-particle":"","family":"Zhang","given":"Chengsheng","non-dropping-particle":"","parse-names":false,"suffix":""},{"dropping-particle":"","family":"Daly","given":"Mark J.","non-dropping-particle":"","parse-names":false,"suffix":""},{"dropping-particle":"","family":"Depristo","given":"Mark A.","non-dropping-particle":"","parse-names":false,"suffix":""},{"dropping-particle":"","family":"Banks","given":"Eric","non-dropping-particle":"","parse-names":false,"suffix":""},{"dropping-particle":"","family":"Bhatia","given":"Gaurav","non-dropping-particle":"","parse-names":false,"suffix":""},{"dropping-particle":"","family":"Carneiro","given":"Mauricio O.","non-dropping-particle":"","parse-names":false,"suffix":""},{"dropping-particle":"","family":"Angel","given":"Guillermo","non-dropping-particle":"Del","parse-names":false,"suffix":""},{"dropping-particle":"","family":"Genovese","given":"Giulio","non-dropping-particle":"","parse-names":false,"suffix":""},{"dropping-particle":"","family":"Handsaker","given":"Robert E.","non-dropping-particle":"","parse-names":false,"suffix":""},{"dropping-particle":"","family":"Hartl","given":"Chris","non-dropping-particle":"","parse-names":false,"suffix":""},{"dropping-particle":"","family":"McCarroll","given":"Steven A.","non-dropping-particle":"","parse-names":false,"suffix":""},{"dropping-particle":"","family":"Nemesh","given":"James C.","non-dropping-particle":"","parse-names":false,"suffix":""},{"dropping-particle":"","family":"Poplin","given":"Ryan E.","non-dropping-particle":"","parse-names":false,"suffix":""},{"dropping-particle":"","family":"Schaffner","given":"Stephen F.","non-dropping-particle":"","parse-names":false,"suffix":""},{"dropping-particle":"","family":"Shakir","given":"Khalid","non-dropping-particle":"","parse-names":false,"suffix":""},{"dropping-particle":"","family":"Yoon","given":"Seungtai C.","non-dropping-particle":"","parse-names":false,"suffix":""},{"dropping-particle":"","family":"Lihm","given":"Jayon","non-dropping-particle":"","parse-names":false,"suffix":""},{"dropping-particle":"","family":"Makarov","given":"Vladimir","non-dropping-particle":"","parse-names":false,"suffix":""},{"dropping-particle":"","family":"Jin","given":"Hanjun","non-dropping-particle":"","parse-names":false,"suffix":""},{"dropping-particle":"","family":"Kim","given":"Wook","non-dropping-particle":"","parse-names":false,"suffix":""},{"dropping-particle":"","family":"Cheol Kim","given":"Ki","non-dropping-particle":"","parse-names":false,"suffix":""},{"dropping-particle":"","family":"Rausch","given":"Tobias","non-dropping-particle":"","parse-names":false,"suffix":""},{"dropping-particle":"","family":"Beal","given":"Kathryn","non-dropping-particle":"","parse-names":false,"suffix":""},{"dropping-particle":"","family":"Cunningham","given":"Fiona","non-dropping-particle":"","parse-names":false,"suffix":""},{"dropping-particle":"","family":"Herrero","given":"Javier","non-dropping-particle":"","parse-names":false,"suffix":""},{"dropping-particle":"","family":"McLaren","given":"William M.","non-dropping-particle":"","parse-names":false,"suffix":""},{"dropping-particle":"","family":"Ritchie","given":"Graham R.S.","non-dropping-particle":"","parse-names":false,"suffix":""},{"dropping-particle":"","family":"Gottipati","given":"Srikanth","non-dropping-particle":"","parse-names":false,"suffix":""},{"dropping-particle":"","family":"Keinan","given":"Alon","non-dropping-particle":"","parse-names":false,"suffix":""},{"dropping-particle":"","family":"Rodriguez-Flores","given":"Juan L.","non-dropping-particle":"","parse-names":false,"suffix":""},{"dropping-particle":"","family":"Sabeti","given":"Pardis C.","non-dropping-particle":"","parse-names":false,"suffix":""},{"dropping-particle":"","family":"Grossman","given":"Sharon R.","non-dropping-particle":"","parse-names":false,"suffix":""},{"dropping-particle":"","family":"Tabrizi","given":"Shervin","non-dropping-particle":"","parse-names":false,"suffix":""},{"dropping-particle":"","family":"Tariyal","given":"Ridhi","non-dropping-particle":"","parse-names":false,"suffix":""},{"dropping-particle":"","family":"Cooper","given":"David N.","non-dropping-particle":"","parse-names":false,"suffix":""},{"dropping-particle":"V.","family":"Ball","given":"Edward","non-dropping-particle":"","parse-names":false,"suffix":""},{"dropping-particle":"","family":"Stenson","given":"Peter D.","non-dropping-particle":"","parse-names":false,"suffix":""},{"dropping-particle":"","family":"Barnes","given":"Bret","non-dropping-particle":"","parse-names":false,"suffix":""},{"dropping-particle":"","family":"Bauer","given":"Markus","non-dropping-particle":"","parse-names":false,"suffix":""},{"dropping-particle":"","family":"Keira Cheetham","given":"R.","non-dropping-particle":"","parse-names":false,"suffix":""},{"dropping-particle":"","family":"Cox","given":"Tony","non-dropping-particle":"","parse-names":false,"suffix":""},{"dropping-particle":"","family":"Eberle","given":"Michael","non-dropping-particle":"","parse-names":false,"suffix":""},{"dropping-particle":"","family":"Kahn","given":"Scott","non-dropping-particle":"","parse-names":false,"suffix":""},{"dropping-particle":"","family":"Murray","given":"Lisa","non-dropping-particle":"","parse-names":false,"suffix":""},{"dropping-particle":"","family":"Peden","given":"John","non-dropping-particle":"","parse-names":false,"suffix":""},{"dropping-particle":"","family":"Shaw","given":"Richard","non-dropping-particle":"","parse-names":false,"suffix":""},{"dropping-particle":"","family":"Ye","given":"Kai","non-dropping-particle":"","parse-names":false,"suffix":""},{"dropping-particle":"","family":"Batzer","given":"Mark A.","non-dropping-particle":"","parse-names":false,"suffix":""},{"dropping-particle":"","family":"Konkel","given":"Miriam K.","non-dropping-particle":"","parse-names":false,"suffix":""},{"dropping-particle":"","family":"Walker","given":"Jerilyn A.","non-dropping-particle":"","parse-names":false,"suffix":""},{"dropping-particle":"","family":"MacArthur","given":"Daniel G.","non-dropping-particle":"","parse-names":false,"suffix":""},{"dropping-particle":"","family":"Lek","given":"Monkol","non-dropping-particle":"","parse-names":false,"suffix":""},{"dropping-particle":"","family":"Herwig","given":"Ralf","non-dropping-particle":"","parse-names":false,"suffix":""},{"dropping-particle":"","family":"Shriver","given":"Mark D.","non-dropping-particle":"","parse-names":false,"suffix":""},{"dropping-particle":"","family":"Bustamante","given":"Carlos D.","non-dropping-particle":"","parse-names":false,"suffix":""},{"dropping-particle":"","family":"Byrnes","given":"Jake K.","non-dropping-particle":"","parse-names":false,"suffix":""},{"dropping-particle":"","family":"La Vega","given":"Francisco M.","non-dropping-particle":"De","parse-names":false,"suffix":""},{"dropping-particle":"","family":"Gravel","given":"Simon","non-dropping-particle":"","parse-names":false,"suffix":""},{"dropping-particle":"","family":"Kenny","given":"Eimear E.","non-dropping-particle":"","parse-names":false,"suffix":""},{"dropping-particle":"","family":"Kidd","given":"Jeffrey M.","non-dropping-particle":"","parse-names":false,"suffix":""},{"dropping-particle":"","family":"Maples","given":"Brian K.","non-dropping-particle":"","parse-names":false,"suffix":""},{"dropping-particle":"","family":"Moreno-Estrada","given":"Andres","non-dropping-particle":"","parse-names":false,"suffix":""},{"dropping-particle":"","family":"Zakharia","given":"Fouad","non-dropping-particle":"","parse-names":false,"suffix":""},{"dropping-particle":"","family":"Halperin","given":"Eran","non-dropping-particle":"","parse-names":false,"suffix":""},{"dropping-particle":"","family":"Baran","given":"Yael","non-dropping-particle":"","parse-names":false,"suffix":""},{"dropping-particle":"","family":"Craig","given":"David W.","non-dropping-particle":"","parse-names":false,"suffix":""},{"dropping-particle":"","family":"Christoforides","given":"Alexis","non-dropping-particle":"","parse-names":false,"suffix":""},{"dropping-particle":"","family":"Homer","given":"Nils","non-dropping-particle":"","parse-names":false,"suffix":""},{"dropping-particle":"","family":"Izatt","given":"Tyler","non-dropping-particle":"","parse-names":false,"suffix":""},{"dropping-particle":"","family":"Kurdoglu","given":"Ahmet A.","non-dropping-particle":"","parse-names":false,"suffix":""},{"dropping-particle":"","family":"Sinari","given":"Shripad A.","non-dropping-particle":"","parse-names":false,"suffix":""},{"dropping-particle":"","family":"Squire","given":"Kevin","non-dropping-particle":"","parse-names":false,"suffix":""},{"dropping-particle":"","family":"Xiao","given":"Chunlin","non-dropping-particle":"","parse-names":false,"suffix":""},{"dropping-particle":"","family":"Sebat","given":"Jonathan","non-dropping-particle":"","parse-names":false,"suffix":""},{"dropping-particle":"","family":"Bafna","given":"Vineet","non-dropping-particle":"","parse-names":false,"suffix":""},{"dropping-particle":"","family":"Ye","given":"Kenny","non-dropping-particle":"","parse-names":false,"suffix":""},{"dropping-particle":"","family":"Burchard","given":"Esteban G.","non-dropping-particle":"","parse-names":false,"suffix":""},{"dropping-particle":"","family":"Hernandez","given":"Ryan D.","non-dropping-particle":"","parse-names":false,"suffix":""},{"dropping-particle":"","family":"Gignoux","given":"Christopher R.","non-dropping-particle":"","parse-names":false,"suffix":""},{"dropping-particle":"","family":"Haussler","given":"David","non-dropping-particle":"","parse-names":false,"suffix":""},{"dropping-particle":"","family":"Katzman","given":"Sol J.","non-dropping-particle":"","parse-names":false,"suffix":""},{"dropping-particle":"","family":"James Kent","given":"W.","non-dropping-particle":"","parse-names":false,"suffix":""},{"dropping-particle":"","family":"Howie","given":"Bryan","non-dropping-particle":"","parse-names":false,"suffix":""},{"dropping-particle":"","family":"Ruiz-Linares","given":"Andres","non-dropping-particle":"","parse-names":false,"suffix":""},{"dropping-particle":"","family":"Dermitzakis","given":"Emmanouil T.","non-dropping-particle":"","parse-names":false,"suffix":""},{"dropping-particle":"","family":"Lappalainen","given":"Tuuli","non-dropping-particle":"","parse-names":false,"suffix":""},{"dropping-particle":"","family":"Devine","given":"Scott E.","non-dropping-particle":"","parse-names":false,"suffix":""},{"dropping-particle":"","family":"Liu","given":"Xinyue","non-dropping-particle":"","parse-names":false,"suffix":""},{"dropping-particle":"","family":"Maroo","given":"Ankit","non-dropping-particle":"","parse-names":false,"suffix":""},{"dropping-particle":"","family":"Tallon","given":"Luke J.","non-dropping-particle":"","parse-names":false,"suffix":""},{"dropping-particle":"","family":"Rosenfeld","given":"Jeffrey A.","non-dropping-particle":"","parse-names":false,"suffix":""},{"dropping-particle":"","family":"Michelson","given":"Leslie P.","non-dropping-particle":"","parse-names":false,"suffix":""},{"dropping-particle":"","family":"Min Kang","given":"Hyun","non-dropping-particle":"","parse-names":false,"suffix":""},{"dropping-particle":"","family":"Anderson","given":"Paul","non-dropping-particle":"","parse-names":false,"suffix":""},{"dropping-particle":"","family":"Angius","given":"Andrea","non-dropping-particle":"","parse-names":false,"suffix":""},{"dropping-particle":"","family":"Bigham","given":"Abigail","non-dropping-particle":"","parse-names":false,"suffix":""},{"dropping-particle":"","family":"Blackwell","given":"Tom","non-dropping-particle":"","parse-names":false,"suffix":""},{"dropping-particle":"","family":"Busonero","given":"Fabio","non-dropping-particle":"","parse-names":false,"suffix":""},{"dropping-particle":"","family":"Cucca","given":"Francesco","non-dropping-particle":"","parse-names":false,"suffix":""},{"dropping-particle":"","family":"Fuchsberger","given":"Christian","non-dropping-particle":"","parse-names":false,"suffix":""},{"dropping-particle":"","family":"Jones","given":"Chris","non-dropping-particle":"","parse-names":false,"suffix":""},{"dropping-particle":"","family":"Jun","given":"Goo","non-dropping-particle":"","parse-names":false,"suffix":""},{"dropping-particle":"","family":"Li","given":"Yun","non-dropping-particle":"","parse-names":false,"suffix":""},{"dropping-particle":"","family":"Lyons","given":"Robert","non-dropping-particle":"","parse-names":false,"suffix":""},{"dropping-particle":"","family":"Maschio","given":"Andrea","non-dropping-particle":"","parse-names":false,"suffix":""},{"dropping-particle":"","family":"Porcu","given":"Eleonora","non-dropping-particle":"","parse-names":false,"suffix":""},{"dropping-particle":"","family":"Reinier","given":"Fred","non-dropping-particle":"","parse-names":false,"suffix":""},{"dropping-particle":"","family":"Sanna","given":"Serena","non-dropping-particle":"","parse-names":false,"suffix":""},{"dropping-particle":"","family":"Schlessinger","given":"David","non-dropping-particle":"","parse-names":false,"suffix":""},{"dropping-particle":"","family":"Sidore","given":"Carlo","non-dropping-particle":"","parse-names":false,"suffix":""},{"dropping-particle":"","family":"Tan","given":"Adrian","non-dropping-particle":"","parse-names":false,"suffix":""},{"dropping-particle":"","family":"Kate Trost","given":"Mary","non-dropping-particle":"","parse-names":false,"suffix":""},{"dropping-particle":"","family":"Awadalla","given":"Philip","non-dropping-particle":"","parse-names":false,"suffix":""},{"dropping-particle":"","family":"Hodgkinson","given":"Alan","non-dropping-particle":"","parse-names":false,"suffix":""},{"dropping-particle":"","family":"Lunter","given":"Gerton","non-dropping-particle":"","parse-names":false,"suffix":""},{"dropping-particle":"","family":"Marchini","given":"Jonathan L.","non-dropping-particle":"","parse-names":false,"suffix":""},{"dropping-particle":"","family":"Myers","given":"Simon","non-dropping-particle":"","parse-names":false,"suffix":""},{"dropping-particle":"","family":"Churchhouse","given":"Claire","non-dropping-particle":"","parse-names":false,"suffix":""},{"dropping-particle":"","family":"Delaneau","given":"Olivier","non-dropping-particle":"","parse-names":false,"suffix":""},{"dropping-particle":"","family":"Gupta-Hinch","given":"Anjali","non-dropping-particle":"","parse-names":false,"suffix":""},{"dropping-particle":"","family":"Iqbal","given":"Zamin","non-dropping-particle":"","parse-names":false,"suffix":""},{"dropping-particle":"","family":"Mathieson","given":"Iain","non-dropping-particle":"","parse-names":false,"suffix":""},{"dropping-particle":"","family":"Rimmer","given":"Andy","non-dropping-particle":"","parse-names":false,"suffix":""},{"dropping-particle":"","family":"Xifara","given":"Dionysia K.","non-dropping-particle":"","parse-names":false,"suffix":""},{"dropping-particle":"","family":"Oleksyk","given":"Taras K.","non-dropping-particle":"","parse-names":false,"suffix":""},{"dropping-particle":"","family":"Fu","given":"Yunxin","non-dropping-particle":"","parse-names":false,"suffix":""},{"dropping-particle":"","family":"Liu","given":"Xiaoming","non-dropping-particle":"","parse-names":false,"suffix":""},{"dropping-particle":"","family":"Xiong","given":"Momiao","non-dropping-particle":"","parse-names":false,"suffix":""},{"dropping-particle":"","family":"Jorde","given":"Lynn","non-dropping-particle":"","parse-names":false,"suffix":""},{"dropping-particle":"","family":"Witherspoon","given":"David","non-dropping-particle":"","parse-names":false,"suffix":""},{"dropping-particle":"","family":"Xing","given":"Jinchuan","non-dropping-particle":"","parse-names":false,"suffix":""},{"dropping-particle":"","family":"Browning","given":"Brian L.","non-dropping-particle":"","parse-names":false,"suffix":""},{"dropping-particle":"","family":"Alkan","given":"Can","non-dropping-particle":"","parse-names":false,"suffix":""},{"dropping-particle":"","family":"Hajirasouliha","given":"Iman","non-dropping-particle":"","parse-names":false,"suffix":""},{"dropping-particle":"","family":"Hormozdiari","given":"Fereydoun","non-dropping-particle":"","parse-names":false,"suffix":""},{"dropping-particle":"","family":"Ko","given":"Arthur","non-dropping-particle":"","parse-names":false,"suffix":""},{"dropping-particle":"","family":"Sudmant","given":"Peter H.","non-dropping-particle":"","parse-names":false,"suffix":""},{"dropping-particle":"","family":"Chen","given":"Ken","non-dropping-particle":"","parse-names":false,"suffix":""},{"dropping-particle":"","family":"Chinwalla","given":"Asif","non-dropping-particle":"","parse-names":false,"suffix":""},{"dropping-particle":"","family":"Ding","given":"Li","non-dropping-particle":"","parse-names":false,"suffix":""},{"dropping-particle":"","family":"Dooling","given":"David","non-dropping-particle":"","parse-names":false,"suffix":""},{"dropping-particle":"","family":"Koboldt","given":"Daniel C.","non-dropping-particle":"","parse-names":false,"suffix":""},{"dropping-particle":"","family":"McLellan","given":"Michael D.","non-dropping-particle":"","parse-names":false,"suffix":""},{"dropping-particle":"","family":"Wallis","given":"John W.","non-dropping-particle":"","parse-names":false,"suffix":""},{"dropping-particle":"","family":"Wendl","given":"Michael C.","non-dropping-particle":"","parse-names":false,"suffix":""},{"dropping-particle":"","family":"Zhang","given":"Qunyuan","non-dropping-particle":"","parse-names":false,"suffix":""},{"dropping-particle":"","family":"Tyler-Smith","given":"Chris","non-dropping-particle":"","parse-names":false,"suffix":""},{"dropping-particle":"","family":"Albers","given":"Cornelis A.","non-dropping-particle":"","parse-names":false,"suffix":""},{"dropping-particle":"","family":"Ayub","given":"Qasim","non-dropping-particle":"","parse-names":false,"suffix":""},{"dropping-particle":"","family":"Chen","given":"Yuan","non-dropping-particle":"","parse-names":false,"suffix":""},{"dropping-particle":"","family":"Coffey","given":"Alison J.","non-dropping-particle":"","parse-names":false,"suffix":""},{"dropping-particle":"","family":"Colonna","given":"Vincenza","non-dropping-particle":"","parse-names":false,"suffix":""},{"dropping-particle":"","family":"Huang","given":"Ni","non-dropping-particle":"","parse-names":false,"suffix":""},{"dropping-particle":"","family":"Jostins","given":"Luke","non-dropping-particle":"","parse-names":false,"suffix":""},{"dropping-particle":"","family":"Li","given":"Heng","non-dropping-particle":"","parse-names":false,"suffix":""},{"dropping-particle":"","family":"Scally","given":"Aylwyn","non-dropping-particle":"","parse-names":false,"suffix":""},{"dropping-particle":"","family":"Walter","given":"Klaudia","non-dropping-particle":"","parse-names":false,"suffix":""},{"dropping-particle":"","family":"Xue","given":"Yali","non-dropping-particle":"","parse-names":false,"suffix":""},{"dropping-particle":"","family":"Zhang","given":"Yujun","non-dropping-particle":"","parse-names":false,"suffix":""},{"dropping-particle":"","family":"Gerstein","given":"Mark B.","non-dropping-particle":"","parse-names":false,"suffix":""},{"dropping-particle":"","family":"Abyzov","given":"Alexej","non-dropping-particle":"","parse-names":false,"suffix":""},{"dropping-particle":"","family":"Balasubramanian","given":"Suganthi","non-dropping-particle":"","parse-names":false,"suffix":""},{"dropping-particle":"","family":"Chen","given":"Jieming","non-dropping-particle":"","parse-names":false,"suffix":""},{"dropping-particle":"","family":"Clarke","given":"Declan","non-dropping-particle":"","parse-names":false,"suffix":""},{"dropping-particle":"","family":"Fu","given":"Yao","non-dropping-particle":"","parse-names":false,"suffix":""},{"dropping-particle":"","family":"Habegger","given":"Lukas","non-dropping-particle":"","parse-names":false,"suffix":""},{"dropping-particle":"","family":"Harmanci","given":"Arif O.","non-dropping-particle":"","parse-names":false,"suffix":""},{"dropping-particle":"","family":"Jin","given":"Mike","non-dropping-particle":"","parse-names":false,"suffix":""},{"dropping-particle":"","family":"Khurana","given":"Ekta","non-dropping-particle":"","parse-names":false,"suffix":""},{"dropping-particle":"","family":"Jasmine Mu","given":"Xinmeng","non-dropping-particle":"","parse-names":false,"suffix":""},{"dropping-particle":"","family":"Sisu","given":"Cristina","non-dropping-particle":"","parse-names":false,"suffix":""},{"dropping-particle":"","family":"Degenhardt","given":"Jeremiah","non-dropping-particle":"","parse-names":false,"suffix":""},{"dropping-particle":"","family":"Stütz","given":"Adrian M.","non-dropping-particle":"","parse-names":false,"suffix":""},{"dropping-particle":"","family":"Keira Cheetham","given":"R.","non-dropping-particle":"","parse-names":false,"suffix":""},{"dropping-particle":"","family":"Church","given":"Deanna","non-dropping-particle":"","parse-names":false,"suffix":""},{"dropping-particle":"","family":"Michaelson","given":"Jacob J.","non-dropping-particle":"","parse-names":false,"suffix":""},{"dropping-particle":"","family":"Blackburne","given":"Ben","non-dropping-particle":"","parse-names":false,"suffix":""},{"dropping-particle":"","family":"Lindsay","given":"Sarah J.","non-dropping-particle":"","parse-names":false,"suffix":""},{"dropping-particle":"","family":"Ning","given":"Zemin","non-dropping-particle":"","parse-names":false,"suffix":""},{"dropping-particle":"","family":"Frankish","given":"Adam","non-dropping-particle":"","parse-names":false,"suffix":""},{"dropping-particle":"","family":"Harrow","given":"Jennifer","non-dropping-particle":"","parse-names":false,"suffix":""},{"dropping-particle":"","family":"Mu","given":"Xinmeng Jasmine","non-dropping-particle":"","parse-names":false,"suffix":""},{"dropping-particle":"","family":"Fowler","given":"Gerald","non-dropping-particle":"","parse-names":false,"suffix":""},{"dropping-particle":"","family":"Hale","given":"Walker","non-dropping-particle":"","parse-names":false,"suffix":""},{"dropping-particle":"","family":"Kalra","given":"Divya","non-dropping-particle":"","parse-names":false,"suffix":""},{"dropping-particle":"","family":"Barker","given":"Jonathan","non-dropping-particle":"","parse-names":false,"suffix":""},{"dropping-particle":"","family":"Kelman","given":"Gavin","non-dropping-particle":"","parse-names":false,"suffix":""},{"dropping-particle":"","family":"Kulesha","given":"Eugene","non-dropping-particle":"","parse-names":false,"suffix":""},{"dropping-particle":"","family":"Radhakrishnan","given":"Rajesh","non-dropping-particle":"","parse-names":false,"suffix":""},{"dropping-particle":"","family":"Roa","given":"Asier","non-dropping-particle":"","parse-names":false,"suffix":""},{"dropping-particle":"","family":"Smirnov","given":"Dmitriy","non-dropping-particle":"","parse-names":false,"suffix":""},{"dropping-particle":"","family":"Streeter","given":"Ian","non-dropping-particle":"","parse-names":false,"suffix":""},{"dropping-particle":"","family":"Toneva","given":"Iliana","non-dropping-particle":"","parse-names":false,"suffix":""},{"dropping-particle":"","family":"Vaughan","given":"Brendan","non-dropping-particle":"","parse-names":false,"suffix":""},{"dropping-particle":"","family":"Ananiev","given":"Victor","non-dropping-particle":"","parse-names":false,"suffix":""},{"dropping-particle":"","family":"Belaia","given":"Zinaida","non-dropping-particle":"","parse-names":false,"suffix":""},{"dropping-particle":"","family":"Beloslyudtsev","given":"Dimitriy","non-dropping-particle":"","parse-names":false,"suffix":""},{"dropping-particle":"","family":"Bouk","given":"Nathan","non-dropping-particle":"","parse-names":false,"suffix":""},{"dropping-particle":"","family":"Chen","given":"Chao","non-dropping-particle":"","parse-names":false,"suffix":""},{"dropping-particle":"","family":"Cohen","given":"Robert","non-dropping-particle":"","parse-names":false,"suffix":""},{"dropping-particle":"","family":"Cook","given":"Charles","non-dropping-particle":"","parse-names":false,"suffix":""},{"dropping-particle":"","family":"Garner","given":"John","non-dropping-particle":"","parse-names":false,"suffix":""},{"dropping-particle":"","family":"Hefferon","given":"Timothy","non-dropping-particle":"","parse-names":false,"suffix":""},{"dropping-particle":"","family":"Kimelman","given":"Mikhail","non-dropping-particle":"","parse-names":false,"suffix":""},{"dropping-particle":"","family":"Liu","given":"Chunlei","non-dropping-particle":"","parse-names":false,"suffix":""},{"dropping-particle":"","family":"Lopez","given":"John","non-dropping-particle":"","parse-names":false,"suffix":""},{"dropping-particle":"","family":"Meric","given":"Peter","non-dropping-particle":"","parse-names":false,"suffix":""},{"dropping-particle":"","family":"O'Sullivan","given":"Chris","non-dropping-particle":"","parse-names":false,"suffix":""},{"dropping-particle":"","family":"Ostapchuk","given":"Yuri","non-dropping-particle":"","parse-names":false,"suffix":""},{"dropping-particle":"","family":"Phan","given":"Lon","non-dropping-particle":"","parse-names":false,"suffix":""},{"dropping-particle":"","family":"Ponomarov","given":"Sergiy","non-dropping-particle":"","parse-names":false,"suffix":""},{"dropping-particle":"","family":"Schneider","given":"Valerie","non-dropping-particle":"","parse-names":false,"suffix":""},{"dropping-particle":"","family":"Shekhtman","given":"Eugene","non-dropping-particle":"","parse-names":false,"suffix":""},{"dropping-particle":"","family":"Sirotkin","given":"Karl","non-dropping-particle":"","parse-names":false,"suffix":""},{"dropping-particle":"","family":"Slotta","given":"Douglas","non-dropping-particle":"","parse-names":false,"suffix":""},{"dropping-particle":"","family":"Zhang","given":"Hua","non-dropping-particle":"","parse-names":false,"suffix":""},{"dropping-particle":"","family":"Barnes","given":"Kathleen C.","non-dropping-particle":"","parse-names":false,"suffix":""},{"dropping-particle":"","family":"Beiswanger","given":"Christine","non-dropping-particle":"","parse-names":false,"suffix":""},{"dropping-particle":"","family":"Cai","given":"Hongyu","non-dropping-particle":"","parse-names":false,"suffix":""},{"dropping-particle":"","family":"Cao","given":"Hongzhi","non-dropping-particle":"","parse-names":false,"suffix":""},{"dropping-particle":"","family":"Gharani","given":"Neda","non-dropping-particle":"","parse-names":false,"suffix":""},{"dropping-particle":"","family":"Henn","given":"Brenna","non-dropping-particle":"","parse-names":false,"suffix":""},{"dropping-particle":"","family":"Jones","given":"Danielle","non-dropping-particle":"","parse-names":false,"suffix":""},{"dropping-particle":"","family":"Kaye","given":"Jane S.","non-dropping-particle":"","parse-names":false,"suffix":""},{"dropping-particle":"","family":"Kent","given":"Alastair","non-dropping-particle":"","parse-names":false,"suffix":""},{"dropping-particle":"","family":"Kerasidou","given":"Angeliki","non-dropping-particle":"","parse-names":false,"suffix":""},{"dropping-particle":"","family":"Mathias","given":"Rasika","non-dropping-particle":"","parse-names":false,"suffix":""},{"dropping-particle":"","family":"Ossorio","given":"Pilar N.","non-dropping-particle":"","parse-names":false,"suffix":""},{"dropping-particle":"","family":"Parker","given":"Michael","non-dropping-particle":"","parse-names":false,"suffix":""},{"dropping-particle":"","family":"Reich","given":"David","non-dropping-particle":"","parse-names":false,"suffix":""},{"dropping-particle":"","family":"Rotimi","given":"Charles N.","non-dropping-particle":"","parse-names":false,"suffix":""},{"dropping-particle":"","family":"Royal","given":"Charmaine D.","non-dropping-particle":"","parse-names":false,"suffix":""},{"dropping-particle":"","family":"Sandoval","given":"Karla","non-dropping-particle":"","parse-names":false,"suffix":""},{"dropping-particle":"","family":"Su","given":"Yeyang","non-dropping-particle":"","parse-names":false,"suffix":""},{"dropping-particle":"","family":"Tian","given":"Zhongming","non-dropping-particle":"","parse-names":false,"suffix":""},{"dropping-particle":"","family":"Tishkoff","given":"Sarah","non-dropping-particle":"","parse-names":false,"suffix":""},{"dropping-particle":"","family":"Toji","given":"Lorraine H.","non-dropping-particle":"","parse-names":false,"suffix":""},{"dropping-particle":"","family":"Via","given":"Marc","non-dropping-particle":"","parse-names":false,"suffix":""},{"dropping-particle":"","family":"Wang","given":"Yuhong","non-dropping-particle":"","parse-names":false,"suffix":""},{"dropping-particle":"","family":"Yang","given":"Huanming","non-dropping-particle":"","parse-names":false,"suffix":""},{"dropping-particle":"","family":"Yang","given":"Ling","non-dropping-particle":"","parse-names":false,"suffix":""},{"dropping-particle":"","family":"Zhu","given":"Jiayong","non-dropping-particle":"","parse-names":false,"suffix":""},{"dropping-particle":"","family":"Bodmer","given":"Walter","non-dropping-particle":"","parse-names":false,"suffix":""},{"dropping-particle":"","family":"Bedoya","given":"Gabriel","non-dropping-particle":"","parse-names":false,"suffix":""},{"dropping-particle":"","family":"Ming","given":"Cai Zhi","non-dropping-particle":"","parse-names":false,"suffix":""},{"dropping-particle":"","family":"Yang","given":"Gao","non-dropping-particle":"","parse-names":false,"suffix":""},{"dropping-particle":"","family":"Jia You","given":"Chu","non-dropping-particle":"","parse-names":false,"suffix":""},{"dropping-particle":"","family":"Peltonen","given":"Leena","non-dropping-particle":"","parse-names":false,"suffix":""},{"dropping-particle":"","family":"Garcia-Montero","given":"Andres","non-dropping-particle":"","parse-names":false,"suffix":""},{"dropping-particle":"","family":"Orfao","given":"Alberto","non-dropping-particle":"","parse-names":false,"suffix":""},{"dropping-particle":"","family":"Dutil","given":"Julie","non-dropping-particle":"","parse-names":false,"suffix":""},{"dropping-particle":"","family":"Martinez-Cruzado","given":"Juan C.","non-dropping-particle":"","parse-names":false,"suffix":""},{"dropping-particle":"","family":"Brooks","given":"Lisa D.","non-dropping-particle":"","parse-names":false,"suffix":""},{"dropping-particle":"","family":"Felsenfeld","given":"Adam L.","non-dropping-particle":"","parse-names":false,"suffix":""},{"dropping-particle":"","family":"McEwen","given":"Jean E.","non-dropping-particle":"","parse-names":false,"suffix":""},{"dropping-particle":"","family":"Clemm","given":"Nicholas C.","non-dropping-particle":"","parse-names":false,"suffix":""},{"dropping-particle":"","family":"Duncanson","given":"Audrey","non-dropping-particle":"","parse-names":false,"suffix":""},{"dropping-particle":"","family":"Dunn","given":"Michael","non-dropping-particle":"","parse-names":false,"suffix":""},{"dropping-particle":"","family":"Guyer","given":"Mark S.","non-dropping-particle":"","parse-names":false,"suffix":""},{"dropping-particle":"","family":"Peterson","given":"Jane L.","non-dropping-particle":"","parse-names":false,"suffix":""},{"dropping-particle":"","family":"Lacroute","given":"Phil","non-dropping-particle":"","parse-names":false,"suffix":""}],"container-title":"Nature","id":"ITEM-1","issued":{"date-parts":[["2012"]]},"page":"56-65","title":"An integrated map of genetic variation from 1,092 human genomes","type":"article-journal","volume":"491"},"uris":["http://www.mendeley.com/documents/?uuid=4cc0cc18-de0e-47ae-8f0c-e8ef74ea4937"]}],"mendeley":{"formattedCitation":"(Altshuler &lt;i&gt;et al.&lt;/i&gt;, 2012)","plainTextFormattedCitation":"(Altshuler et al., 2012)","previouslyFormattedCitation":"(Altshuler &lt;i&gt;et al.&lt;/i&gt;, 2012)"},"properties":{"noteIndex":0},"schema":"https://github.com/citation-style-language/schema/raw/master/csl-citation.json"}</w:instrText>
      </w:r>
      <w:r w:rsidR="00C74380" w:rsidRPr="00A35149">
        <w:rPr>
          <w:rFonts w:asciiTheme="majorBidi" w:hAnsiTheme="majorBidi" w:cstheme="majorBidi"/>
          <w:color w:val="4472C4" w:themeColor="accent1"/>
        </w:rPr>
        <w:fldChar w:fldCharType="separate"/>
      </w:r>
      <w:r w:rsidR="00C74380" w:rsidRPr="00A35149">
        <w:rPr>
          <w:rFonts w:asciiTheme="majorBidi" w:hAnsiTheme="majorBidi" w:cstheme="majorBidi"/>
          <w:noProof/>
          <w:color w:val="4472C4" w:themeColor="accent1"/>
        </w:rPr>
        <w:t xml:space="preserve">(Altshuler </w:t>
      </w:r>
      <w:r w:rsidR="00C74380" w:rsidRPr="00A35149">
        <w:rPr>
          <w:rFonts w:asciiTheme="majorBidi" w:hAnsiTheme="majorBidi" w:cstheme="majorBidi"/>
          <w:i/>
          <w:noProof/>
          <w:color w:val="4472C4" w:themeColor="accent1"/>
        </w:rPr>
        <w:t>et al.</w:t>
      </w:r>
      <w:r w:rsidR="00C74380" w:rsidRPr="00A35149">
        <w:rPr>
          <w:rFonts w:asciiTheme="majorBidi" w:hAnsiTheme="majorBidi" w:cstheme="majorBidi"/>
          <w:noProof/>
          <w:color w:val="4472C4" w:themeColor="accent1"/>
        </w:rPr>
        <w:t>, 2012)</w:t>
      </w:r>
      <w:r w:rsidR="00C74380" w:rsidRPr="00A35149">
        <w:rPr>
          <w:rFonts w:asciiTheme="majorBidi" w:hAnsiTheme="majorBidi" w:cstheme="majorBidi"/>
          <w:color w:val="4472C4" w:themeColor="accent1"/>
        </w:rPr>
        <w:fldChar w:fldCharType="end"/>
      </w:r>
      <w:r w:rsidRPr="00A35149">
        <w:rPr>
          <w:rFonts w:asciiTheme="majorBidi" w:hAnsiTheme="majorBidi" w:cstheme="majorBidi"/>
        </w:rPr>
        <w:t xml:space="preserve">. </w:t>
      </w:r>
      <w:r w:rsidR="004C735E" w:rsidRPr="00A35149">
        <w:rPr>
          <w:rFonts w:asciiTheme="majorBidi" w:hAnsiTheme="majorBidi" w:cstheme="majorBidi"/>
        </w:rPr>
        <w:t xml:space="preserve">The </w:t>
      </w:r>
      <w:r w:rsidRPr="00A35149">
        <w:rPr>
          <w:rFonts w:asciiTheme="majorBidi" w:hAnsiTheme="majorBidi" w:cstheme="majorBidi"/>
        </w:rPr>
        <w:t>geographic differentiation between populations underlies their genetic variation or population structure, and studies in the field aim to analy</w:t>
      </w:r>
      <w:r w:rsidR="002766BD" w:rsidRPr="00A35149">
        <w:rPr>
          <w:rFonts w:asciiTheme="majorBidi" w:hAnsiTheme="majorBidi" w:cstheme="majorBidi"/>
        </w:rPr>
        <w:t>s</w:t>
      </w:r>
      <w:r w:rsidRPr="00A35149">
        <w:rPr>
          <w:rFonts w:asciiTheme="majorBidi" w:hAnsiTheme="majorBidi" w:cstheme="majorBidi"/>
        </w:rPr>
        <w:t xml:space="preserve">e, describe, or account for the genetic variation in time and space within and among populations. </w:t>
      </w:r>
    </w:p>
    <w:p w14:paraId="1CEB9EA6" w14:textId="77777777" w:rsidR="00272EC8" w:rsidRPr="00A35149" w:rsidRDefault="00272EC8" w:rsidP="001F7075">
      <w:pPr>
        <w:widowControl w:val="0"/>
        <w:rPr>
          <w:rFonts w:asciiTheme="majorBidi" w:eastAsia="Times New Roman" w:hAnsiTheme="majorBidi" w:cstheme="majorBidi"/>
        </w:rPr>
      </w:pPr>
    </w:p>
    <w:p w14:paraId="1816F3E0" w14:textId="2DE95F0D" w:rsidR="00272EC8" w:rsidRPr="00A35149" w:rsidRDefault="00272EC8" w:rsidP="00272EC8">
      <w:pPr>
        <w:widowControl w:val="0"/>
        <w:ind w:firstLine="720"/>
        <w:rPr>
          <w:rFonts w:asciiTheme="majorBidi" w:hAnsiTheme="majorBidi" w:cstheme="majorBidi"/>
        </w:rPr>
      </w:pPr>
      <w:r w:rsidRPr="00A35149">
        <w:rPr>
          <w:rFonts w:asciiTheme="majorBidi" w:hAnsiTheme="majorBidi" w:cstheme="majorBidi"/>
        </w:rPr>
        <w:t xml:space="preserve">Unfortunately, worldwide diversity </w:t>
      </w:r>
      <w:r w:rsidR="004C735E" w:rsidRPr="00A35149">
        <w:rPr>
          <w:rFonts w:asciiTheme="majorBidi" w:hAnsiTheme="majorBidi" w:cstheme="majorBidi"/>
        </w:rPr>
        <w:t>mis</w:t>
      </w:r>
      <w:r w:rsidRPr="00A35149">
        <w:rPr>
          <w:rFonts w:asciiTheme="majorBidi" w:hAnsiTheme="majorBidi" w:cstheme="majorBidi"/>
        </w:rPr>
        <w:t xml:space="preserve">represented in GWAS studies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{"citationItems":[{"id":"ITEM-1","itemData":{"DOI":"10.1016/j.cell.2019.02.048","ISSN":"10974172","abstract":"The majority of studies of genetic association with disease have been performed in Europeans. This European bias has important implications for risk prediction of diseases across global populations. In this commentary, we justify the need to study more diverse populations using both empirical examples and theoretical reasoning.","author":[{"dropping-particle":"","family":"Sirugo","given":"Giorgio","non-dropping-particle":"","parse-names":false,"suffix":""},{"dropping-particle":"","family":"Williams","given":"Scott M.","non-dropping-particle":"","parse-names":false,"suffix":""},{"dropping-particle":"","family":"Tishkoff","given":"Sarah A.","non-dropping-particle":"","parse-names":false,"suffix":""}],"container-title":"Cell","id":"ITEM-1","issue":"1","issued":{"date-parts":[["2019"]]},"page":"26-31","title":"The Missing Diversity in Human Genetic Studies","type":"article-journal","volume":"177"},"uris":["http://www.mendeley.com/documents/?uuid=55ccea8a-2220-4291-9fd3-58a9f400dfa5"]}],"mendeley":{"formattedCitation":"(Sirugo, Williams and Tishkoff, 2019)","manualFormatting":"(Sirugo et al., 2019)","plainTextFormattedCitation":"(Sirugo, Williams and Tishkoff, 2019)","previouslyFormattedCitation":"(Sirugo, Williams and Tishkoff, 2019)"},"properties":{"noteIndex":0},"schema":"https://github.com/citation-style-language/schema/raw/master/csl-citation.json"}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(Sirugo </w:t>
      </w:r>
      <w:r w:rsidRPr="00A35149">
        <w:rPr>
          <w:rFonts w:asciiTheme="majorBidi" w:hAnsiTheme="majorBidi" w:cstheme="majorBidi"/>
          <w:i/>
          <w:iCs/>
          <w:noProof/>
          <w:color w:val="4472C4" w:themeColor="accent1"/>
        </w:rPr>
        <w:t>et al.</w:t>
      </w:r>
      <w:r w:rsidRPr="00A35149">
        <w:rPr>
          <w:rFonts w:asciiTheme="majorBidi" w:hAnsiTheme="majorBidi" w:cstheme="majorBidi"/>
          <w:noProof/>
          <w:color w:val="4472C4" w:themeColor="accent1"/>
        </w:rPr>
        <w:t>, 2019)</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By 2009, 96% of individuals represented in GWAS were of European descent </w:t>
      </w:r>
      <w:r w:rsidRPr="00A35149">
        <w:rPr>
          <w:rFonts w:asciiTheme="majorBidi" w:hAnsiTheme="majorBidi" w:cstheme="majorBidi"/>
        </w:rPr>
        <w:fldChar w:fldCharType="begin" w:fldLock="1"/>
      </w:r>
      <w:r w:rsidRPr="00A35149">
        <w:rPr>
          <w:rFonts w:asciiTheme="majorBidi" w:hAnsiTheme="majorBidi" w:cstheme="majorBidi"/>
        </w:rPr>
        <w:instrText>ADDIN CSL_CITATION {"citationItems":[{"id":"ITEM-1","itemData":{"DOI":"10.1016/j.tig.2009.09.012","ISSN":"01689525","abstract":"Studies of human genetics, particularly genome-wide association studies (GWAS), have concentrated heavily on European populations, with individuals of African ancestry rarely represented. Reasons for this include the distribution of biomedical funding and the increased population structure and reduced linkage disequilibrium in African populations. Currently, few GWAS findings have clinical utility and, therefore, the field has not yet contributed to health-care disparities. As human genomics research progresses towards the whole-genome sequencing era, however, more clinically relevant results are likely to be discovered. As we discuss here, to avoid the genetics community contributing to healthcare disparities, it is important to adopt measures to ensure that populations of diverse ancestry are included in genomic studies, and that no major population groups are excluded. © 2009 Elsevier Ltd. All rights reserved.","author":[{"dropping-particle":"","family":"Need","given":"Anna C.","non-dropping-particle":"","parse-names":false,"suffix":""},{"dropping-particle":"","family":"Goldstein","given":"David B.","non-dropping-particle":"","parse-names":false,"suffix":""}],"container-title":"Trends in Genetics","id":"ITEM-1","issue":"11","issued":{"date-parts":[["2009"]]},"page":"489-494","title":"Next generation disparities in human genomics: concerns and remedies","type":"article-journal","volume":"25"},"uris":["http://www.mendeley.com/documents/?uuid=acb7961b-3c46-4be6-8950-37423eb01f07"]}],"mendeley":{"formattedCitation":"(Need and Goldstein, 2009)","plainTextFormattedCitation":"(Need and Goldstein, 2009)","previouslyFormattedCitation":"(Need and Goldstein, 2009)"},"properties":{"noteIndex":0},"schema":"https://github.com/citation-style-language/schema/raw/master/csl-citation.json"}</w:instrText>
      </w:r>
      <w:r w:rsidRPr="00A35149">
        <w:rPr>
          <w:rFonts w:asciiTheme="majorBidi" w:hAnsiTheme="majorBidi" w:cstheme="majorBidi"/>
        </w:rPr>
        <w:fldChar w:fldCharType="separate"/>
      </w:r>
      <w:r w:rsidRPr="00A35149">
        <w:rPr>
          <w:rFonts w:asciiTheme="majorBidi" w:hAnsiTheme="majorBidi" w:cstheme="majorBidi"/>
          <w:noProof/>
        </w:rPr>
        <w:t>(Need and Goldstein, 2009)</w:t>
      </w:r>
      <w:r w:rsidRPr="00A35149">
        <w:rPr>
          <w:rFonts w:asciiTheme="majorBidi" w:hAnsiTheme="majorBidi" w:cstheme="majorBidi"/>
        </w:rPr>
        <w:fldChar w:fldCharType="end"/>
      </w:r>
      <w:r w:rsidRPr="00A35149">
        <w:rPr>
          <w:rFonts w:asciiTheme="majorBidi" w:hAnsiTheme="majorBidi" w:cstheme="majorBidi"/>
        </w:rPr>
        <w:t xml:space="preserve">. This over-representation was rationalized by the interest to focus on ancestrally </w:t>
      </w:r>
      <w:r w:rsidR="004C735E" w:rsidRPr="00A35149">
        <w:rPr>
          <w:rFonts w:asciiTheme="majorBidi" w:hAnsiTheme="majorBidi" w:cstheme="majorBidi"/>
        </w:rPr>
        <w:t>“</w:t>
      </w:r>
      <w:r w:rsidRPr="00A35149">
        <w:rPr>
          <w:rFonts w:asciiTheme="majorBidi" w:hAnsiTheme="majorBidi" w:cstheme="majorBidi"/>
        </w:rPr>
        <w:t>homogenous</w:t>
      </w:r>
      <w:r w:rsidR="004C735E" w:rsidRPr="00A35149">
        <w:rPr>
          <w:rFonts w:asciiTheme="majorBidi" w:hAnsiTheme="majorBidi" w:cstheme="majorBidi"/>
        </w:rPr>
        <w:t>”</w:t>
      </w:r>
      <w:r w:rsidRPr="00A35149">
        <w:rPr>
          <w:rFonts w:asciiTheme="majorBidi" w:hAnsiTheme="majorBidi" w:cstheme="majorBidi"/>
        </w:rPr>
        <w:t xml:space="preserve"> populations to avoid </w:t>
      </w:r>
      <w:r w:rsidRPr="00A35149">
        <w:rPr>
          <w:rFonts w:asciiTheme="majorBidi" w:hAnsiTheme="majorBidi" w:cstheme="majorBidi"/>
          <w:i/>
        </w:rPr>
        <w:t>population stratification bias</w:t>
      </w:r>
      <w:r w:rsidRPr="00A35149">
        <w:rPr>
          <w:rFonts w:asciiTheme="majorBidi" w:hAnsiTheme="majorBidi" w:cstheme="majorBidi"/>
        </w:rPr>
        <w:t xml:space="preserve">, i.e., systematic ancestry differences due to different allele frequencies in the studied cohorts that produced false positives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{"citationItems":[{"id":"ITEM-1","itemData":{"DOI":"10.1038/nrg.2017.89","ISSN":"14710064","abstract":"Including diverse populations in genomic studies has the potential to improve the use of genomic data in the clinic. Here, members of the National Human Genome Research Institute review the benefits of increasing diversity, the challenges to overcome and key recommendations for how to achieve this goal.","author":[{"dropping-particle":"","family":"Hindorff","given":"Lucia A.","non-dropping-particle":"","parse-names":false,"suffix":""},{"dropping-particle":"","family":"Bonham","given":"Vence L.","non-dropping-particle":"","parse-names":false,"suffix":""},{"dropping-particle":"","family":"Brody","given":"Lawrence C.","non-dropping-particle":"","parse-names":false,"suffix":""},{"dropping-particle":"","family":"Ginoza","given":"Margaret E.C.","non-dropping-particle":"","parse-names":false,"suffix":""},{"dropping-particle":"","family":"Hutter","given":"Carolyn M.","non-dropping-particle":"","parse-names":false,"suffix":""},{"dropping-particle":"","family":"Manolio","given":"Teri A.","non-dropping-particle":"","parse-names":false,"suffix":""},{"dropping-particle":"","family":"Green","given":"Eric D.","non-dropping-particle":"","parse-names":false,"suffix":""}],"container-title":"Nature Reviews Genetics","id":"ITEM-1","issue":"3","issued":{"date-parts":[["2018"]]},"page":"175-185","title":"Prioritizing diversity in human genomics research","type":"article-journal","volume":"19"},"uris":["http://www.mendeley.com/documents/?uuid=0416299a-a66b-48cb-874b-6ab5d4bac5b9"]}],"mendeley":{"formattedCitation":"(Hindorff &lt;i&gt;et al.&lt;/i&gt;, 2018)","plainTextFormattedCitation":"(Hindorff et al., 2018)","previouslyFormattedCitation":"(Hindorff &lt;i&gt;et al.&lt;/i&gt;, 2018)"},"properties":{"noteIndex":0},"schema":"https://github.com/citation-style-language/schema/raw/master/csl-citation.json"}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(Hindorff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2018)</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Consequent efforts to carry out studies on non-Europeans met with some success; by 2016, the proportion of Europeans included in GWAS declined to 81%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{"citationItems":[{"id":"ITEM-1","itemData":{"DOI":"10.1038/538161a","ISSN":"14764687","abstract":"A 2009 analysis revealed that 96% of participants in genome-wide asso-ciation studies (GWAS) were of European descent 1 . Such studies scan the genomes of thousands of people to find vari-ants associated with disease traits. The find-ing prompted warnings that a much broader range of populations should be investigated 2 to avoid genomic medicine being of benefit merely to \" a privileged few \" . Seven years on, we've updated that analysis. Our findings indicate that the proportion of individuals included in GWAS who are not of European descent has increased to nearly 20%. Much of this rise, however, is a result of more studies being done in Asia on populations of Asian ancestry. The degree to which people of Afri-can and Latin American ancestry, Hispanic people and indigenous peoples are repre-sented in GWAS has barely shifted. Thus, more than 20 years after the US National Institutes of Health (NIH) mandated the inclusion of diverse partici-pants in the biomedical research it funds, GWAS funded by the NIH and other sources are continuing to miss a vast portion of the world's genetic variation. Over the past decade, GWAS have been the preferred tool for discovering the genetic factors involved in common diseases. Tens of thousands of significant associations between genetic variants and biological traits have Genomics is failing on diversity","author":[{"dropping-particle":"","family":"Popejoy","given":"Alice B.","non-dropping-particle":"","parse-names":false,"suffix":""},{"dropping-particle":"","family":"Fullerton","given":"Stephanie M.","non-dropping-particle":"","parse-names":false,"suffix":""}],"container-title":"Nature","id":"ITEM-1","issue":"7624","issued":{"date-parts":[["2016"]]},"page":"161-164","title":"Genomics is failing on diversity","type":"article-journal","volume":"538"},"uris":["http://www.mendeley.com/documents/?uuid=85b7b6fa-c375-4617-b528-593303ea41b7"]}],"mendeley":{"formattedCitation":"(Popejoy and Fullerton, 2016)","plainTextFormattedCitation":"(Popejoy and Fullerton, 2016)","previouslyFormattedCitation":"(Popejoy and Fullerton, 2016)"},"properties":{"noteIndex":0},"schema":"https://github.com/citation-style-language/schema/raw/master/csl-citation.json"}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(Popejoy and Fullerton, 2016)</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and further to 78% in 2019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{"citationItems":[{"id":"ITEM-1","itemData":{"DOI":"10.1016/j.cell.2019.02.048","ISSN":"10974172","abstract":"The majority of studies of genetic association with disease have been performed in Europeans. This European bias has important implications for risk prediction of diseases across global populations. In this commentary, we justify the need to study more diverse populations using both empirical examples and theoretical reasoning.","author":[{"dropping-particle":"","family":"Sirugo","given":"Giorgio","non-dropping-particle":"","parse-names":false,"suffix":""},{"dropping-particle":"","family":"Williams","given":"Scott M.","non-dropping-particle":"","parse-names":false,"suffix":""},{"dropping-particle":"","family":"Tishkoff","given":"Sarah A.","non-dropping-particle":"","parse-names":false,"suffix":""}],"container-title":"Cell","id":"ITEM-1","issue":"1","issued":{"date-parts":[["2019"]]},"page":"26-31","title":"The Missing Diversity in Human Genetic Studies","type":"article-journal","volume":"177"},"uris":["http://www.mendeley.com/documents/?uuid=55ccea8a-2220-4291-9fd3-58a9f400dfa5"]}],"mendeley":{"formattedCitation":"(Sirugo, Williams and Tishkoff, 2019)","manualFormatting":"(Sirugo et al., 2019)","plainTextFormattedCitation":"(Sirugo, Williams and Tishkoff, 2019)","previouslyFormattedCitation":"(Sirugo, Williams and Tishkoff, 2019)"},"properties":{"noteIndex":0},"schema":"https://github.com/citation-style-language/schema/raw/master/csl-citation.json"}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(Sirugo </w:t>
      </w:r>
      <w:r w:rsidRPr="00A35149">
        <w:rPr>
          <w:rFonts w:asciiTheme="majorBidi" w:hAnsiTheme="majorBidi" w:cstheme="majorBidi"/>
          <w:i/>
          <w:iCs/>
          <w:noProof/>
          <w:color w:val="4472C4" w:themeColor="accent1"/>
        </w:rPr>
        <w:t xml:space="preserve">et al., </w:t>
      </w:r>
      <w:r w:rsidRPr="00A35149">
        <w:rPr>
          <w:rFonts w:asciiTheme="majorBidi" w:hAnsiTheme="majorBidi" w:cstheme="majorBidi"/>
          <w:noProof/>
          <w:color w:val="4472C4" w:themeColor="accent1"/>
        </w:rPr>
        <w:t>2019)</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However, even then, 71.8% of GWAS individuals are recruited from only three countries: the US, UK, and Iceland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{"citationItems":[{"id":"ITEM-1","itemData":{"DOI":"10.1038/s42003-018-0261-x","ISSN":"2399-3642","abstract":"This scientometric review of genome-wide association studies (GWAS) from 2005 to 2018 (3639 studies; 3508 traits) reveals extraordinary increases in sample sizes, rates of discovery and traits studied. A longitudinal examination shows fluctuating ancestral diversity, still predominantly European Ancestry (88% in 2017) with 72% of discoveries from participants recruited from three countries (US, UK, Iceland). US agencies, primarily NIH, fund 85% and women are less often senior authors. We generate a unique GWAS H-Index and reveal a tight social network of prominent authors and frequently used data sets. We conclude with 10 evidence-based policy recommendations for scientists, research bodies, funders, and editors.","author":[{"dropping-particle":"","family":"Mills","given":"Melinda C.","non-dropping-particle":"","parse-names":false,"suffix":""},{"dropping-particle":"","family":"Rahal","given":"Charles","non-dropping-particle":"","parse-names":false,"suffix":""}],"container-title":"Communications Biology","id":"ITEM-1","issue":"1","issued":{"date-parts":[["2019"]]},"title":"A scientometric review of genome-wide association studies","type":"article-journal","volume":"2"},"uris":["http://www.mendeley.com/documents/?uuid=7c544991-24d7-4235-9479-fa7ccfd9bc05"]}],"mendeley":{"formattedCitation":"(Mills and Rahal, 2019)","plainTextFormattedCitation":"(Mills and Rahal, 2019)","previouslyFormattedCitation":"(Mills and Rahal, 2019)"},"properties":{"noteIndex":0},"schema":"https://github.com/citation-style-language/schema/raw/master/csl-citation.json"}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(Mills and Rahal, 2019)</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w:t>
      </w:r>
    </w:p>
    <w:p w14:paraId="1394AED6" w14:textId="77777777" w:rsidR="00272EC8" w:rsidRPr="00A35149" w:rsidRDefault="00272EC8" w:rsidP="00272EC8">
      <w:pPr>
        <w:widowControl w:val="0"/>
        <w:ind w:firstLine="720"/>
        <w:rPr>
          <w:rFonts w:asciiTheme="majorBidi" w:hAnsiTheme="majorBidi" w:cstheme="majorBidi"/>
          <w:b/>
          <w:bCs/>
        </w:rPr>
      </w:pPr>
    </w:p>
    <w:p w14:paraId="09BCB957" w14:textId="65A07B6B" w:rsidR="000D4981" w:rsidRDefault="00272EC8" w:rsidP="00B81D88">
      <w:pPr>
        <w:widowControl w:val="0"/>
        <w:ind w:firstLine="720"/>
        <w:rPr>
          <w:rFonts w:asciiTheme="majorBidi" w:hAnsiTheme="majorBidi" w:cstheme="majorBidi"/>
        </w:rPr>
      </w:pPr>
      <w:r w:rsidRPr="00A35149">
        <w:rPr>
          <w:rFonts w:asciiTheme="majorBidi" w:hAnsiTheme="majorBidi" w:cstheme="majorBidi"/>
        </w:rPr>
        <w:t xml:space="preserve"> Not all major genetic datasets are equally diverse, and most are skewed towards individuals of European ancestry</w:t>
      </w:r>
      <w:r w:rsidRPr="00A35149">
        <w:rPr>
          <w:rFonts w:asciiTheme="majorBidi" w:hAnsiTheme="majorBidi" w:cstheme="majorBidi"/>
          <w:color w:val="4472C4" w:themeColor="accent1"/>
        </w:rPr>
        <w:t xml:space="preserve"> (Figure </w:t>
      </w:r>
      <w:r w:rsidR="00A35DC2" w:rsidRPr="00A35149">
        <w:rPr>
          <w:rFonts w:asciiTheme="majorBidi" w:hAnsiTheme="majorBidi" w:cstheme="majorBidi"/>
          <w:color w:val="4472C4" w:themeColor="accent1"/>
        </w:rPr>
        <w:t>2</w:t>
      </w:r>
      <w:r w:rsidRPr="00A35149">
        <w:rPr>
          <w:rFonts w:asciiTheme="majorBidi" w:hAnsiTheme="majorBidi" w:cstheme="majorBidi"/>
          <w:color w:val="4472C4" w:themeColor="accent1"/>
        </w:rPr>
        <w:t>)</w:t>
      </w:r>
      <w:r w:rsidRPr="00A35149">
        <w:rPr>
          <w:rFonts w:asciiTheme="majorBidi" w:hAnsiTheme="majorBidi" w:cstheme="majorBidi"/>
        </w:rPr>
        <w:t>. For example, 61% of the samples in the Exome Aggregation Consortium (</w:t>
      </w:r>
      <w:proofErr w:type="spellStart"/>
      <w:r w:rsidRPr="00A35149">
        <w:rPr>
          <w:rFonts w:asciiTheme="majorBidi" w:hAnsiTheme="majorBidi" w:cstheme="majorBidi"/>
        </w:rPr>
        <w:t>ExAC</w:t>
      </w:r>
      <w:proofErr w:type="spellEnd"/>
      <w:r w:rsidRPr="00A35149">
        <w:rPr>
          <w:rFonts w:asciiTheme="majorBidi" w:hAnsiTheme="majorBidi" w:cstheme="majorBidi"/>
        </w:rPr>
        <w:t xml:space="preserve">) dataset (60,252 individuals)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{"citationItems":[{"id":"ITEM-1","itemData":{"DOI":"10.1038/nature19057","ISSN":"14764687","abstract":"Large-scale reference data sets of human genetic variation are critical for the medical and functional interpretation of DNA sequence changes. Here we describe the aggregation and analysis of high-quality exome (protein-coding region) DNA sequence data for 60,706 individuals of diverse ancestries generated as part of the Exome Aggregation Consortium (ExAC). This catalogue of human genetic diversity contains an average of one variant every eight bases of the exome, and provides direct evidence for the presence of widespread mutational recurrence. We have used this catalogue to calculate objective metrics of pathogenicity for sequence variants, and to identify genes subject to strong selection against various classes of mutation; identifying 3,230 genes with near-complete depletion of predicted protein-truncating variants, with 72% of these genes having no currently established human disease phenotype. Finally, we demonstrate that these data can be used for the efficient filtering of candidate disease-causing variants, and for the discovery of human 'knockout' variants in protein-coding genes.","author":[{"dropping-particle":"","family":"Lek","given":"Monkol","non-dropping-particle":"","parse-names":false,"suffix":""},{"dropping-particle":"","family":"Karczewski","given":"Konrad J.","non-dropping-particle":"","parse-names":false,"suffix":""},{"dropping-particle":"V.","family":"Minikel","given":"Eric","non-dropping-particle":"","parse-names":false,"suffix":""},{"dropping-particle":"","family":"Samocha","given":"Kaitlin E.","non-dropping-particle":"","parse-names":false,"suffix":""},{"dropping-particle":"","family":"Banks","given":"Eric","non-dropping-particle":"","parse-names":false,"suffix":""},{"dropping-particle":"","family":"Fennell","given":"Timothy","non-dropping-particle":"","parse-names":false,"suffix":""},{"dropping-particle":"","family":"O'Donnell-Luria","given":"Anne H.","non-dropping-particle":"","parse-names":false,"suffix":""},{"dropping-particle":"","family":"Ware","given":"James S.","non-dropping-particle":"","parse-names":false,"suffix":""},{"dropping-particle":"","family":"Hill","given":"Andrew J.","non-dropping-particle":"","parse-names":false,"suffix":""},{"dropping-particle":"","family":"Cummings","given":"Beryl B.","non-dropping-particle":"","parse-names":false,"suffix":""},{"dropping-particle":"","family":"Tukiainen","given":"Taru","non-dropping-particle":"","parse-names":false,"suffix":""},{"dropping-particle":"","family":"Birnbaum","given":"Daniel P.","non-dropping-particle":"","parse-names":false,"suffix":""},{"dropping-particle":"","family":"Kosmicki","given":"Jack A.","non-dropping-particle":"","parse-names":false,"suffix":""},{"dropping-particle":"","family":"Duncan","given":"Laramie E.","non-dropping-particle":"","parse-names":false,"suffix":""},{"dropping-particle":"","family":"Estrada","given":"Karol","non-dropping-particle":"","parse-names":false,"suffix":""},{"dropping-particle":"","family":"Zhao","given":"Fengmei","non-dropping-particle":"","parse-names":false,"suffix":""},{"dropping-particle":"","family":"Zou","given":"James","non-dropping-particle":"","parse-names":false,"suffix":""},{"dropping-particle":"","family":"Pierce-Hoffman","given":"Emma","non-dropping-particle":"","parse-names":false,"suffix":""},{"dropping-particle":"","family":"Berghout","given":"Joanne","non-dropping-particle":"","parse-names":false,"suffix":""},{"dropping-particle":"","family":"Cooper","given":"David N.","non-dropping-particle":"","parse-names":false,"suffix":""},{"dropping-particle":"","family":"Deflaux","given":"Nicole","non-dropping-particle":"","parse-names":false,"suffix":""},{"dropping-particle":"","family":"DePristo","given":"Mark","non-dropping-particle":"","parse-names":false,"suffix":""},{"dropping-particle":"","family":"Do","given":"Ron","non-dropping-particle":"","parse-names":false,"suffix":""},{"dropping-particle":"","family":"Flannick","given":"Jason","non-dropping-particle":"","parse-names":false,"suffix":""},{"dropping-particle":"","family":"Fromer","given":"Menachem","non-dropping-particle":"","parse-names":false,"suffix":""},{"dropping-particle":"","family":"Gauthier","given":"Laura","non-dropping-particle":"","parse-names":false,"suffix":""},{"dropping-particle":"","family":"Goldstein","given":"Jackie","non-dropping-particle":"","parse-names":false,"suffix":""},{"dropping-particle":"","family":"Gupta","given":"Namrata","non-dropping-particle":"","parse-names":false,"suffix":""},{"dropping-particle":"","family":"Howrigan","given":"Daniel","non-dropping-particle":"","parse-names":false,"suffix":""},{"dropping-particle":"","family":"Kiezun","given":"Adam","non-dropping-particle":"","parse-names":false,"suffix":""},{"dropping-particle":"","family":"Kurki","given":"Mitja I.","non-dropping-particle":"","parse-names":false,"suffix":""},{"dropping-particle":"","family":"Moonshine","given":"Ami Levy","non-dropping-particle":"","parse-names":false,"suffix":""},{"dropping-particle":"","family":"Natarajan","given":"Pradeep","non-dropping-particle":"","parse-names":false,"suffix":""},{"dropping-particle":"","family":"Orozco","given":"Lorena","non-dropping-particle":"","parse-names":false,"suffix":""},{"dropping-particle":"","family":"Peloso","given":"Gina M.","non-dropping-particle":"","parse-names":false,"suffix":""},{"dropping-particle":"","family":"Poplin","given":"Ryan","non-dropping-particle":"","parse-names":false,"suffix":""},{"dropping-particle":"","family":"Rivas","given":"Manuel A.","non-dropping-particle":"","parse-names":false,"suffix":""},{"dropping-particle":"","family":"Ruano-Rubio","given":"Valentin","non-dropping-particle":"","parse-names":false,"suffix":""},{"dropping-particle":"","family":"Rose","given":"Samuel A.","non-dropping-particle":"","parse-names":false,"suffix":""},{"dropping-particle":"","family":"Ruderfer","given":"Douglas M.","non-dropping-particle":"","parse-names":false,"suffix":""},{"dropping-particle":"","family":"Shakir","given":"Khalid","non-dropping-particle":"","parse-names":false,"suffix":""},{"dropping-particle":"","family":"Stenson","given":"Peter D.","non-dropping-particle":"","parse-names":false,"suffix":""},{"dropping-particle":"","family":"Stevens","given":"Christine","non-dropping-particle":"","parse-names":false,"suffix":""},{"dropping-particle":"","family":"Thomas","given":"Brett P.","non-dropping-particle":"","parse-names":false,"suffix":""},{"dropping-particle":"","family":"Tiao","given":"Grace","non-dropping-particle":"","parse-names":false,"suffix":""},{"dropping-particle":"","family":"Tusie-Luna","given":"Maria T.","non-dropping-particle":"","parse-names":false,"suffix":""},{"dropping-particle":"","family":"Weisburd","given":"Ben","non-dropping-particle":"","parse-names":false,"suffix":""},{"dropping-particle":"","family":"Won","given":"Hong Hee","non-dropping-particle":"","parse-names":false,"suffix":""},{"dropping-particle":"","family":"Yu","given":"Dongmei","non-dropping-particle":"","parse-names":false,"suffix":""},{"dropping-particle":"","family":"Altshuler","given":"David M.","non-dropping-particle":"","parse-names":false,"suffix":""},{"dropping-particle":"","family":"Ardissino","given":"Diego","non-dropping-particle":"","parse-names":false,"suffix":""},{"dropping-particle":"","family":"Boehnke","given":"Michael","non-dropping-particle":"","parse-names":false,"suffix":""},{"dropping-particle":"","family":"Danesh","given":"John","non-dropping-particle":"","parse-names":false,"suffix":""},{"dropping-particle":"","family":"Donnelly","given":"Stacey","non-dropping-particle":"","parse-names":false,"suffix":""},{"dropping-particle":"","family":"Elosua","given":"Roberto","non-dropping-particle":"","parse-names":false,"suffix":""},{"dropping-particle":"","family":"Florez","given":"Jose C.","non-dropping-particle":"","parse-names":false,"suffix":""},{"dropping-particle":"","family":"Gabriel","given":"Stacey B.","non-dropping-particle":"","parse-names":false,"suffix":""},{"dropping-particle":"","family":"Getz","given":"Gad","non-dropping-particle":"","parse-names":false,"suffix":""},{"dropping-particle":"","family":"Glatt","given":"Stephen J.","non-dropping-particle":"","parse-names":false,"suffix":""},{"dropping-particle":"","family":"Hultman","given":"Christina M.","non-dropping-particle":"","parse-names":false,"suffix":""},{"dropping-particle":"","family":"Kathiresan","given":"Sekar","non-dropping-particle":"","parse-names":false,"suffix":""},{"dropping-particle":"","family":"Laakso","given":"Markku","non-dropping-particle":"","parse-names":false,"suffix":""},{"dropping-particle":"","family":"McCarroll","given":"Steven","non-dropping-particle":"","parse-names":false,"suffix":""},{"dropping-particle":"","family":"McCarthy","given":"Mark I.","non-dropping-particle":"","parse-names":false,"suffix":""},{"dropping-particle":"","family":"McGovern","given":"Dermot","non-dropping-particle":"","parse-names":false,"suffix":""},{"dropping-particle":"","family":"McPherson","given":"Ruth","non-dropping-particle":"","parse-names":false,"suffix":""},{"dropping-particle":"","family":"Neale","given":"Benjamin M.","non-dropping-particle":"","parse-names":false,"suffix":""},{"dropping-particle":"","family":"Palotie","given":"Aarno","non-dropping-particle":"","parse-names":false,"suffix":""},{"dropping-particle":"","family":"Purcell","given":"Shaun M.","non-dropping-particle":"","parse-names":false,"suffix":""},{"dropping-particle":"","family":"Saleheen","given":"Danish","non-dropping-particle":"","parse-names":false,"suffix":""},{"dropping-particle":"","family":"Scharf","given":"Jeremiah M.","non-dropping-particle":"","parse-names":false,"suffix":""},{"dropping-particle":"","family":"Sklar","given":"Pamela","non-dropping-particle":"","parse-names":false,"suffix":""},{"dropping-particle":"","family":"Sullivan","given":"Patrick F.","non-dropping-particle":"","parse-names":false,"suffix":""},{"dropping-particle":"","family":"Tuomilehto","given":"Jaakko","non-dropping-particle":"","parse-names":false,"suffix":""},{"dropping-particle":"","family":"Tsuang","given":"Ming T.","non-dropping-particle":"","parse-names":false,"suffix":""},{"dropping-particle":"","family":"Watkins","given":"Hugh C.","non-dropping-particle":"","parse-names":false,"suffix":""},{"dropping-particle":"","family":"Wilson","given":"James G.","non-dropping-particle":"","parse-names":false,"suffix":""},{"dropping-particle":"","family":"Daly","given":"Mark J.","non-dropping-particle":"","parse-names":false,"suffix":""},{"dropping-particle":"","family":"MacArthur","given":"Daniel G.","non-dropping-particle":"","parse-names":false,"suffix":""},{"dropping-particle":"","family":"Abboud","given":"H. E.","non-dropping-particle":"","parse-names":false,"suffix":""},{"dropping-particle":"","family":"Abecasis","given":"G.","non-dropping-particle":"","parse-names":false,"suffix":""},{"dropping-particle":"","family":"Aguilar-Salinas","given":"C. A.","non-dropping-particle":"","parse-names":false,"suffix":""},{"dropping-particle":"","family":"Arellano-Campos","given":"O.","non-dropping-particle":"","parse-names":false,"suffix":""},{"dropping-particle":"","family":"Atzmon","given":"G.","non-dropping-particle":"","parse-names":false,"suffix":""},{"dropping-particle":"","family":"Aukrust","given":"I.","non-dropping-particle":"","parse-names":false,"suffix":""},{"dropping-particle":"","family":"Barr","given":"C. L.","non-dropping-particle":"","parse-names":false,"suffix":""},{"dropping-particle":"","family":"Bell","given":"G. I.","non-dropping-particle":"","parse-names":false,"suffix":""},{"dropping-particle":"","family":"Bergen","given":"S.","non-dropping-particle":"","parse-names":false,"suffix":""},{"dropping-particle":"","family":"Bjørkhaug","given":"L.","non-dropping-particle":"","parse-names":false,"suffix":""},{"dropping-particle":"","family":"Blangero","given":"J.","non-dropping-particle":"","parse-names":false,"suffix":""},{"dropping-particle":"","family":"Bowden","given":"D. W.","non-dropping-particle":"","parse-names":false,"suffix":""},{"dropping-particle":"","family":"Budman","given":"C. L.","non-dropping-particle":"","parse-names":false,"suffix":""},{"dropping-particle":"","family":"Burtt","given":"N. P.","non-dropping-particle":"","parse-names":false,"suffix":""},{"dropping-particle":"","family":"Centeno-Cruz","given":"F.","non-dropping-particle":"","parse-names":false,"suffix":""},{"dropping-particle":"","family":"Chambers","given":"J. C.","non-dropping-particle":"","parse-names":false,"suffix":""},{"dropping-particle":"","family":"Chambert","given":"K.","non-dropping-particle":"","parse-names":false,"suffix":""},{"dropping-particle":"","family":"Clarke","given":"R.","non-dropping-particle":"","parse-names":false,"suffix":""},{"dropping-particle":"","family":"Collins","given":"R.","non-dropping-particle":"","parse-names":false,"suffix":""},{"dropping-particle":"","family":"Coppola","given":"G.","non-dropping-particle":"","parse-names":false,"suffix":""},{"dropping-particle":"","family":"Córdova","given":"E. J.","non-dropping-particle":"","parse-names":false,"suffix":""},{"dropping-particle":"","family":"Cortes","given":"M. L.","non-dropping-particle":"","parse-names":false,"suffix":""},{"dropping-particle":"","family":"Cox","given":"N. J.","non-dropping-particle":"","parse-names":false,"suffix":""},{"dropping-particle":"","family":"Duggirala","given":"R.","non-dropping-particle":"","parse-names":false,"suffix":""},{"dropping-particle":"","family":"Farrall","given":"M.","non-dropping-particle":"","parse-names":false,"suffix":""},{"dropping-particle":"","family":"Fernandez-Lopez","given":"J. C.","non-dropping-particle":"","parse-names":false,"suffix":""},{"dropping-particle":"","family":"Fontanillas","given":"P.","non-dropping-particle":"","parse-names":false,"suffix":""},{"dropping-particle":"","family":"Frayling","given":"T. M.","non-dropping-particle":"","parse-names":false,"suffix":""},{"dropping-particle":"","family":"Freimer","given":"N. B.","non-dropping-particle":"","parse-names":false,"suffix":""},{"dropping-particle":"","family":"Fuchsberger","given":"C.","non-dropping-particle":"","parse-names":false,"suffix":""},{"dropping-particle":"","family":"García-Ortiz","given":"H.","non-dropping-particle":"","parse-names":false,"suffix":""},{"dropping-particle":"","family":"Goel","given":"A.","non-dropping-particle":"","parse-names":false,"suffix":""},{"dropping-particle":"","family":"Gómez-Vázquez","given":"M. J.","non-dropping-particle":"","parse-names":false,"suffix":""},{"dropping-particle":"","family":"González-Villalpando","given":"M. E.","non-dropping-particle":"","parse-names":false,"suffix":""},{"dropping-particle":"","family":"González-Villalpando","given":"C.","non-dropping-particle":"","parse-names":false,"suffix":""},{"dropping-particle":"","family":"Grados","given":"M. A.","non-dropping-particle":"","parse-names":false,"suffix":""},{"dropping-particle":"","family":"Groop","given":"L.","non-dropping-particle":"","parse-names":false,"suffix":""},{"dropping-particle":"","family":"Haiman","given":"C. A.","non-dropping-particle":"","parse-names":false,"suffix":""},{"dropping-particle":"","family":"Hanis","given":"C. L.","non-dropping-particle":"","parse-names":false,"suffix":""},{"dropping-particle":"","family":"Hattersley","given":"A. T.","non-dropping-particle":"","parse-names":false,"suffix":""},{"dropping-particle":"","family":"Henderson","given":"B. E.","non-dropping-particle":"","parse-names":false,"suffix":""},{"dropping-particle":"","family":"Hopewell","given":"J. C.","non-dropping-particle":"","parse-names":false,"suffix":""},{"dropping-particle":"","family":"Huerta-Chagoya","given":"A.","non-dropping-particle":"","parse-names":false,"suffix":""},{"dropping-particle":"","family":"Islas-Andrade","given":"S.","non-dropping-particle":"","parse-names":false,"suffix":""},{"dropping-particle":"","family":"Jacobs","given":"S. B.","non-dropping-particle":"","parse-names":false,"suffix":""},{"dropping-particle":"","family":"Jalilzadeh","given":"S.","non-dropping-particle":"","parse-names":false,"suffix":""},{"dropping-particle":"","family":"Jenkinson","given":"C. P.","non-dropping-particle":"","parse-names":false,"suffix":""},{"dropping-particle":"","family":"Moran","given":"J.","non-dropping-particle":"","parse-names":false,"suffix":""},{"dropping-particle":"","family":"Jiménez-Morale","given":"S.","non-dropping-particle":"","parse-names":false,"suffix":""},{"dropping-particle":"","family":"Kähler","given":"A.","non-dropping-particle":"","parse-names":false,"suffix":""},{"dropping-particle":"","family":"King","given":"R. A.","non-dropping-particle":"","parse-names":false,"suffix":""},{"dropping-particle":"","family":"Kirov","given":"G.","non-dropping-particle":"","parse-names":false,"suffix":""},{"dropping-particle":"","family":"Kooner","given":"J. S.","non-dropping-particle":"","parse-names":false,"suffix":""},{"dropping-particle":"","family":"Kyriakou","given":"T.","non-dropping-particle":"","parse-names":false,"suffix":""},{"dropping-particle":"","family":"Lee","given":"J. Y.","non-dropping-particle":"","parse-names":false,"suffix":""},{"dropping-particle":"","family":"Lehman","given":"D. M.","non-dropping-particle":"","parse-names":false,"suffix":""},{"dropping-particle":"","family":"Lyon","given":"G.","non-dropping-particle":"","parse-names":false,"suffix":""},{"dropping-particle":"","family":"MacMahon","given":"W.","non-dropping-particle":"","parse-names":false,"suffix":""},{"dropping-particle":"","family":"Magnusson","given":"P. K.","non-dropping-particle":"","parse-names":false,"suffix":""},{"dropping-particle":"","family":"Mahajan","given":"A.","non-dropping-particle":"","parse-names":false,"suffix":""},{"dropping-particle":"","family":"Marrugat","given":"J.","non-dropping-particle":"","parse-names":false,"suffix":""},{"dropping-particle":"","family":"Martínez-Hernández","given":"A.","non-dropping-particle":"","parse-names":false,"suffix":""},{"dropping-particle":"","family":"Mathews","given":"C. A.","non-dropping-particle":"","parse-names":false,"suffix":""},{"dropping-particle":"","family":"McVean","given":"G.","non-dropping-particle":"","parse-names":false,"suffix":""},{"dropping-particle":"","family":"Meigs","given":"J. B.","non-dropping-particle":"","parse-names":false,"suffix":""},{"dropping-particle":"","family":"Meitinger","given":"T.","non-dropping-particle":"","parse-names":false,"suffix":""},{"dropping-particle":"","family":"Mendoza-Caamal","given":"E.","non-dropping-particle":"","parse-names":false,"suffix":""},{"dropping-particle":"","family":"Mercader","given":"J. M.","non-dropping-particle":"","parse-names":false,"suffix":""},{"dropping-particle":"","family":"Mohlke","given":"K. L.","non-dropping-particle":"","parse-names":false,"suffix":""},{"dropping-particle":"","family":"Moreno-Macías","given":"H.","non-dropping-particle":"","parse-names":false,"suffix":""},{"dropping-particle":"","family":"Morris","given":"A. P.","non-dropping-particle":"","parse-names":false,"suffix":""},{"dropping-particle":"","family":"Najmi","given":"L. A.","non-dropping-particle":"","parse-names":false,"suffix":""},{"dropping-particle":"","family":"Njølstad","given":"P. R.","non-dropping-particle":"","parse-names":false,"suffix":""},{"dropping-particle":"","family":"O'Donovan","given":"M. C.","non-dropping-particle":"","parse-names":false,"suffix":""},{"dropping-particle":"","family":"Ordóñez-Sánchez","given":"M. L.","non-dropping-particle":"","parse-names":false,"suffix":""},{"dropping-particle":"","family":"Owen","given":"M. J.","non-dropping-particle":"","parse-names":false,"suffix":""},{"dropping-particle":"","family":"Park","given":"T.","non-dropping-particle":"","parse-names":false,"suffix":""},{"dropping-particle":"","family":"Pauls","given":"D. L.","non-dropping-particle":"","parse-names":false,"suffix":""},{"dropping-particle":"","family":"Posthuma","given":"D.","non-dropping-particle":"","parse-names":false,"suffix":""},{"dropping-particle":"","family":"Revilla-Monsalve","given":"C.","non-dropping-particle":"","parse-names":false,"suffix":""},{"dropping-particle":"","family":"Riba","given":"L.","non-dropping-particle":"","parse-names":false,"suffix":""},{"dropping-particle":"","family":"Ripke","given":"S.","non-dropping-particle":"","parse-names":false,"suffix":""},{"dropping-particle":"","family":"Rodríguez-Guillén","given":"R.","non-dropping-particle":"","parse-names":false,"suffix":""},{"dropping-particle":"","family":"Rodríguez-Torres","given":"M.","non-dropping-particle":"","parse-names":false,"suffix":""},{"dropping-particle":"","family":"Sandor","given":"P.","non-dropping-particle":"","parse-names":false,"suffix":""},{"dropping-particle":"","family":"Seielstad","given":"M.","non-dropping-particle":"","parse-names":false,"suffix":""},{"dropping-particle":"","family":"Sladek","given":"R.","non-dropping-particle":"","parse-names":false,"suffix":""},{"dropping-particle":"","family":"Soberón","given":"X.","non-dropping-particle":"","parse-names":false,"suffix":""},{"dropping-particle":"","family":"Spector","given":"T. D.","non-dropping-particle":"","parse-names":false,"suffix":""},{"dropping-particle":"","family":"Tai","given":"S. E.","non-dropping-particle":"","parse-names":false,"suffix":""},{"dropping-particle":"","family":"Teslovich","given":"T. M.","non-dropping-particle":"","parse-names":false,"suffix":""},{"dropping-particle":"","family":"Walford","given":"G.","non-dropping-particle":"","parse-names":false,"suffix":""},{"dropping-particle":"","family":"Wilkens","given":"L. R.","non-dropping-particle":"","parse-names":false,"suffix":""},{"dropping-particle":"","family":"Williams","given":"A. L.","non-dropping-particle":"","parse-names":false,"suffix":""}],"container-title":"Nature","id":"ITEM-1","issue":"7616","issued":{"date-parts":[["2016"]]},"page":"285-291","title":"Analysis of protein-coding genetic variation in 60,706 humans","type":"article-journal","volume":"536"},"uris":["http://www.mendeley.com/documents/?uuid=2e5945d0-c94d-4ab1-803a-6134a6882b08"]}],"mendeley":{"formattedCitation":"(Lek &lt;i&gt;et al.&lt;/i&gt;, 2016)","plainTextFormattedCitation":"(Lek et al., 2016)","previouslyFormattedCitation":"(Lek &lt;i&gt;et al.&lt;/i&gt;, 2016)"},"properties":{"noteIndex":0},"schema":"https://github.com/citation-style-language/schema/raw/master/csl-citation.json"}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(Lek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2016)</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59% of the </w:t>
      </w:r>
      <w:r w:rsidRPr="00A35149">
        <w:rPr>
          <w:rFonts w:asciiTheme="majorBidi" w:hAnsiTheme="majorBidi" w:cstheme="majorBidi"/>
        </w:rPr>
        <w:lastRenderedPageBreak/>
        <w:t>Genome Aggregation Database (</w:t>
      </w:r>
      <w:proofErr w:type="spellStart"/>
      <w:r w:rsidRPr="00A35149">
        <w:rPr>
          <w:rFonts w:asciiTheme="majorBidi" w:hAnsiTheme="majorBidi" w:cstheme="majorBidi"/>
        </w:rPr>
        <w:t>gnomAD</w:t>
      </w:r>
      <w:proofErr w:type="spellEnd"/>
      <w:r w:rsidRPr="00A35149">
        <w:rPr>
          <w:rFonts w:asciiTheme="majorBidi" w:hAnsiTheme="majorBidi" w:cstheme="majorBidi"/>
        </w:rPr>
        <w:t xml:space="preserve">) (141,456 individuals)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{"citationItems":[{"id":"ITEM-1","itemData":{"DOI":"10.1101/531210","abstract":"Genetic variants that inactivate protein-coding genes are a powerful source of information about the phenotypic consequences of gene disruption: genes critical for an organism's function will be depleted for such variants in natural populations, while non-essential genes will tolerate their accumulation. However, predicted loss-of-function (pLoF) variants are enriched for annotation errors, and tend to be found at extremely low frequencies, so their analysis requires careful variant annotation and very large sample sizes. Here, we describe the aggregation of 125,748 exomes and 15,708 genomes from human sequencing studies into the Genome Aggregation Database (gnomAD). We identify 443,769 high-confidence pLoF variants in this cohort after filtering for sequencing and annotation artifacts. Using an improved model of human mutation, we classify human protein-coding genes along a spectrum representing intolerance to inactivation, validate this classification using data from model organisms and engineered human cells, and show that it can be used to improve gene discovery power for both common and rare diseases.","author":[{"dropping-particle":"","family":"Karczewski","given":"Konrad J","non-dropping-particle":"","parse-names":false,"suffix":""},{"dropping-particle":"","family":"Francioli","given":"Laurent C","non-dropping-particle":"","parse-names":false,"suffix":""},{"dropping-particle":"","family":"Tiao","given":"Grace","non-dropping-particle":"","parse-names":false,"suffix":""},{"dropping-particle":"","family":"Cummings","given":"Beryl B","non-dropping-particle":"","parse-names":false,"suffix":""},{"dropping-particle":"","family":"Alföldi","given":"Jessica","non-dropping-particle":"","parse-names":false,"suffix":""},{"dropping-particle":"","family":"Wang","given":"Qingbo","non-dropping-particle":"","parse-names":false,"suffix":""},{"dropping-particle":"","family":"Collins","given":"Ryan L","non-dropping-particle":"","parse-names":false,"suffix":""},{"dropping-particle":"","family":"Laricchia","given":"Kristen M","non-dropping-particle":"","parse-names":false,"suffix":""},{"dropping-particle":"","family":"Ganna","given":"Andrea","non-dropping-particle":"","parse-names":false,"suffix":""},{"dropping-particle":"","family":"Birnbaum","given":"Daniel P","non-dropping-particle":"","parse-names":false,"suffix":""},{"dropping-particle":"","family":"Gauthier","given":"Laura D","non-dropping-particle":"","parse-names":false,"suffix":""},{"dropping-particle":"","family":"Brand","given":"Harrison","non-dropping-particle":"","parse-names":false,"suffix":""},{"dropping-particle":"","family":"Solomonson","given":"Matthew","non-dropping-particle":"","parse-names":false,"suffix":""},{"dropping-particle":"","family":"Watts","given":"Nicholas A","non-dropping-particle":"","parse-names":false,"suffix":""},{"dropping-particle":"","family":"Rhodes","given":"Daniel","non-dropping-particle":"","parse-names":false,"suffix":""},{"dropping-particle":"","family":"Singer-Berk","given":"Moriel","non-dropping-particle":"","parse-names":false,"suffix":""},{"dropping-particle":"","family":"Seaby","given":"Eleanor G","non-dropping-particle":"","parse-names":false,"suffix":""},{"dropping-particle":"","family":"Kosmicki","given":"Jack A","non-dropping-particle":"","parse-names":false,"suffix":""},{"dropping-particle":"","family":"Walters","given":"Raymond K","non-dropping-particle":"","parse-names":false,"suffix":""},{"dropping-particle":"","family":"Tashman","given":"Katherine","non-dropping-particle":"","parse-names":false,"suffix":""},{"dropping-particle":"","family":"Farjoun","given":"Yossi","non-dropping-particle":"","parse-names":false,"suffix":""},{"dropping-particle":"","family":"Banks","given":"Eric","non-dropping-particle":"","parse-names":false,"suffix":""},{"dropping-particle":"","family":"Poterba","given":"Timothy","non-dropping-particle":"","parse-names":false,"suffix":""},{"dropping-particle":"","family":"Wang","given":"Arcturus","non-dropping-particle":"","parse-names":false,"suffix":""},{"dropping-particle":"","family":"Seed","given":"Cotton","non-dropping-particle":"","parse-names":false,"suffix":""},{"dropping-particle":"","family":"Whiffin","given":"Nicola","non-dropping-particle":"","parse-names":false,"suffix":""},{"dropping-particle":"","family":"Chong","given":"Jessica X","non-dropping-particle":"","parse-names":false,"suffix":""},{"dropping-particle":"","family":"Samocha","given":"Kaitlin E","non-dropping-particle":"","parse-names":false,"suffix":""},{"dropping-particle":"","family":"Pierce-Hoffman","given":"Emma","non-dropping-particle":"","parse-names":false,"suffix":""},{"dropping-particle":"","family":"Zappala","given":"Zachary","non-dropping-particle":"","parse-names":false,"suffix":""},{"dropping-particle":"","family":"O'Donnell-Luria","given":"Anne H","non-dropping-particle":"","parse-names":false,"suffix":""},{"dropping-particle":"","family":"Minikel","given":"Eric Vallabh","non-dropping-particle":"","parse-names":false,"suffix":""},{"dropping-particle":"","family":"Weisburd","given":"Ben","non-dropping-particle":"","parse-names":false,"suffix":""},{"dropping-particle":"","family":"Lek","given":"Monkol","non-dropping-particle":"","parse-names":false,"suffix":""},{"dropping-particle":"","family":"Ware","given":"James S","non-dropping-particle":"","parse-names":false,"suffix":""},{"dropping-particle":"","family":"Vittal","given":"Christopher","non-dropping-particle":"","parse-names":false,"suffix":""},{"dropping-particle":"","family":"Armean","given":"Irina M","non-dropping-particle":"","parse-names":false,"suffix":""},{"dropping-particle":"","family":"Bergelson","given":"Louis","non-dropping-particle":"","parse-names":false,"suffix":""},{"dropping-particle":"","family":"Cibulskis","given":"Kristian","non-dropping-particle":"","parse-names":false,"suffix":""},{"dropping-particle":"","family":"Connolly","given":"Kristen M","non-dropping-particle":"","parse-names":false,"suffix":""},{"dropping-particle":"","family":"Covarrubias","given":"Miguel","non-dropping-particle":"","parse-names":false,"suffix":""},{"dropping-particle":"","family":"Donnelly","given":"Stacey","non-dropping-particle":"","parse-names":false,"suffix":""},{"dropping-particle":"","family":"Ferriera","given":"Steven","non-dropping-particle":"","parse-names":false,"suffix":""},{"dropping-particle":"","family":"Gabriel","given":"Stacey","non-dropping-particle":"","parse-names":false,"suffix":""},{"dropping-particle":"","family":"Gentry","given":"Jeff","non-dropping-particle":"","parse-names":false,"suffix":""},{"dropping-particle":"","family":"Gupta","given":"Namrata","non-dropping-particle":"","parse-names":false,"suffix":""},{"dropping-particle":"","family":"Jeandet","given":"Thibault","non-dropping-particle":"","parse-names":false,"suffix":""},{"dropping-particle":"","family":"Kaplan","given":"Diane","non-dropping-particle":"","parse-names":false,"suffix":""},{"dropping-particle":"","family":"Llanwarne","given":"Christopher","non-dropping-particle":"","parse-names":false,"suffix":""},{"dropping-particle":"","family":"Munshi","given":"Ruchi","non-dropping-particle":"","parse-names":false,"suffix":""},{"dropping-particle":"","family":"Novod","given":"Sam","non-dropping-particle":"","parse-names":false,"suffix":""},{"dropping-particle":"","family":"Petrillo","given":"Nikelle","non-dropping-particle":"","parse-names":false,"suffix":""},{"dropping-particle":"","family":"Roazen","given":"David","non-dropping-particle":"","parse-names":false,"suffix":""},{"dropping-particle":"","family":"Ruano-Rubio","given":"Valentin","non-dropping-particle":"","parse-names":false,"suffix":""},{"dropping-particle":"","family":"Saltzman","given":"Andrea","non-dropping-particle":"","parse-names":false,"suffix":""},{"dropping-particle":"","family":"Schleicher","given":"Molly","non-dropping-particle":"","parse-names":false,"suffix":""},{"dropping-particle":"","family":"Soto","given":"Jose","non-dropping-particle":"","parse-names":false,"suffix":""},{"dropping-particle":"","family":"Tibbetts","given":"Kathleen","non-dropping-particle":"","parse-names":false,"suffix":""},{"dropping-particle":"","family":"Tolonen","given":"Charlotte","non-dropping-particle":"","parse-names":false,"suffix":""},{"dropping-particle":"","family":"Wade","given":"Gordon","non-dropping-particle":"","parse-names":false,"suffix":""},{"dropping-particle":"","family":"Talkowski","given":"Michael E","non-dropping-particle":"","parse-names":false,"suffix":""},{"dropping-particle":"","family":"Consortium","given":"The Genome Aggregation Database","non-dropping-particle":"","parse-names":false,"suffix":""},{"dropping-particle":"","family":"Neale","given":"Benjamin M","non-dropping-particle":"","parse-names":false,"suffix":""},{"dropping-particle":"","family":"Daly","given":"Mark J","non-dropping-particle":"","parse-names":false,"suffix":""},{"dropping-particle":"","family":"MacArthur","given":"Daniel G","non-dropping-particle":"","parse-names":false,"suffix":""}],"container-title":"bioRxiv","id":"ITEM-1","issued":{"date-parts":[["2019"]]},"page":"531210","title":"Variation across 141,456 human exomes and genomes reveals the spectrum of loss-of-function intolerance across human protein-coding genes","type":"article-journal"},"uris":["http://www.mendeley.com/documents/?uuid=f4db1e6b-ca40-43e5-8ddd-24e7511b2057"]}],"mendeley":{"formattedCitation":"(Karczewski &lt;i&gt;et al.&lt;/i&gt;, 2019)","plainTextFormattedCitation":"(Karczewski et al., 2019)","previouslyFormattedCitation":"(Karczewski &lt;i&gt;et al.&lt;/i&gt;, 2019)"},"properties":{"noteIndex":0},"schema":"https://github.com/citation-style-language/schema/raw/master/csl-citation.json"}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(Karczewski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2019)</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94% of the UK Biobank database (500,000 individuals) </w:t>
      </w:r>
      <w:r w:rsidR="003E4435" w:rsidRPr="00A35149">
        <w:rPr>
          <w:rFonts w:asciiTheme="majorBidi" w:hAnsiTheme="majorBidi" w:cstheme="majorBidi"/>
          <w:color w:val="4472C4" w:themeColor="accent1"/>
        </w:rPr>
        <w:fldChar w:fldCharType="begin" w:fldLock="1"/>
      </w:r>
      <w:r w:rsidR="003E4435" w:rsidRPr="00A35149">
        <w:rPr>
          <w:rFonts w:asciiTheme="majorBidi" w:hAnsiTheme="majorBidi" w:cstheme="majorBidi"/>
          <w:color w:val="4472C4" w:themeColor="accent1"/>
        </w:rPr>
        <w:instrText>ADDIN CSL_CITATION {"citationItems":[{"id":"ITEM-1","itemData":{"DOI":"10.1371/journal.pmed.1001779","ISSN":"15491676","PMID":"25826379","author":[{"dropping-particle":"","family":"Sudlow","given":"Cathie","non-dropping-particle":"","parse-names":false,"suffix":""},{"dropping-particle":"","family":"Gallacher","given":"John","non-dropping-particle":"","parse-names":false,"suffix":""},{"dropping-particle":"","family":"Allen","given":"Naomi","non-dropping-particle":"","parse-names":false,"suffix":""},{"dropping-particle":"","family":"Beral","given":"Valerie","non-dropping-particle":"","parse-names":false,"suffix":""},{"dropping-particle":"","family":"Burton","given":"Paul","non-dropping-particle":"","parse-names":false,"suffix":""},{"dropping-particle":"","family":"Danesh","given":"John","non-dropping-particle":"","parse-names":false,"suffix":""},{"dropping-particle":"","family":"Downey","given":"Paul","non-dropping-particle":"","parse-names":false,"suffix":""},{"dropping-particle":"","family":"Elliott","given":"Paul","non-dropping-particle":"","parse-names":false,"suffix":""},{"dropping-particle":"","family":"Green","given":"Jane","non-dropping-particle":"","parse-names":false,"suffix":""},{"dropping-particle":"","family":"Landray","given":"Martin","non-dropping-particle":"","parse-names":false,"suffix":""},{"dropping-particle":"","family":"Liu","given":"Bette","non-dropping-particle":"","parse-names":false,"suffix":""},{"dropping-particle":"","family":"Matthews","given":"Paul","non-dropping-particle":"","parse-names":false,"suffix":""},{"dropping-particle":"","family":"Ong","given":"Giok","non-dropping-particle":"","parse-names":false,"suffix":""},{"dropping-particle":"","family":"Pell","given":"Jill","non-dropping-particle":"","parse-names":false,"suffix":""},{"dropping-particle":"","family":"Silman","given":"Alan","non-dropping-particle":"","parse-names":false,"suffix":""},{"dropping-particle":"","family":"Young","given":"Alan","non-dropping-particle":"","parse-names":false,"suffix":""},{"dropping-particle":"","family":"Sprosen","given":"Tim","non-dropping-particle":"","parse-names":false,"suffix":""},{"dropping-particle":"","family":"Peakman","given":"Tim","non-dropping-particle":"","parse-names":false,"suffix":""},{"dropping-particle":"","family":"Collins","given":"Rory","non-dropping-particle":"","parse-names":false,"suffix":""}],"container-title":"PLoS Medicine","id":"ITEM-1","issue":"3","issued":{"date-parts":[["2015"]]},"title":"UK Biobank: An Open Access Resource for Identifying the Causes of a Wide Range of Complex Diseases of Middle and Old Age","type":"article-journal","volume":"12"},"uris":["http://www.mendeley.com/documents/?uuid=70b19715-6a69-4213-8742-0cbd3af718aa"]}],"mendeley":{"formattedCitation":"(Sudlow &lt;i&gt;et al.&lt;/i&gt;, 2015)","plainTextFormattedCitation":"(Sudlow et al., 2015)"},"properties":{"noteIndex":0},"schema":"https://github.com/citation-style-language/schema/raw/master/csl-citation.json"}</w:instrText>
      </w:r>
      <w:r w:rsidR="003E4435" w:rsidRPr="00A35149">
        <w:rPr>
          <w:rFonts w:asciiTheme="majorBidi" w:hAnsiTheme="majorBidi" w:cstheme="majorBidi"/>
          <w:color w:val="4472C4" w:themeColor="accent1"/>
        </w:rPr>
        <w:fldChar w:fldCharType="separate"/>
      </w:r>
      <w:r w:rsidR="003E4435" w:rsidRPr="00A35149">
        <w:rPr>
          <w:rFonts w:asciiTheme="majorBidi" w:hAnsiTheme="majorBidi" w:cstheme="majorBidi"/>
          <w:noProof/>
          <w:color w:val="4472C4" w:themeColor="accent1"/>
        </w:rPr>
        <w:t xml:space="preserve">(Sudlow </w:t>
      </w:r>
      <w:r w:rsidR="003E4435" w:rsidRPr="00A35149">
        <w:rPr>
          <w:rFonts w:asciiTheme="majorBidi" w:hAnsiTheme="majorBidi" w:cstheme="majorBidi"/>
          <w:i/>
          <w:noProof/>
          <w:color w:val="4472C4" w:themeColor="accent1"/>
        </w:rPr>
        <w:t>et al.</w:t>
      </w:r>
      <w:r w:rsidR="003E4435" w:rsidRPr="00A35149">
        <w:rPr>
          <w:rFonts w:asciiTheme="majorBidi" w:hAnsiTheme="majorBidi" w:cstheme="majorBidi"/>
          <w:noProof/>
          <w:color w:val="4472C4" w:themeColor="accent1"/>
        </w:rPr>
        <w:t>, 2015)</w:t>
      </w:r>
      <w:r w:rsidR="003E4435" w:rsidRPr="00A35149">
        <w:rPr>
          <w:rFonts w:asciiTheme="majorBidi" w:hAnsiTheme="majorBidi" w:cstheme="majorBidi"/>
          <w:color w:val="4472C4" w:themeColor="accent1"/>
        </w:rPr>
        <w:fldChar w:fldCharType="end"/>
      </w:r>
      <w:r w:rsidR="003E4435" w:rsidRPr="00A35149">
        <w:rPr>
          <w:rFonts w:asciiTheme="majorBidi" w:hAnsiTheme="majorBidi" w:cstheme="majorBidi"/>
          <w:color w:val="4472C4" w:themeColor="accent1"/>
        </w:rPr>
        <w:t xml:space="preserve"> </w:t>
      </w:r>
      <w:r w:rsidRPr="00A35149">
        <w:rPr>
          <w:rFonts w:asciiTheme="majorBidi" w:hAnsiTheme="majorBidi" w:cstheme="majorBidi"/>
        </w:rPr>
        <w:t xml:space="preserve">and an estimated 97.6% of the </w:t>
      </w:r>
      <w:proofErr w:type="spellStart"/>
      <w:r w:rsidRPr="00A35149">
        <w:rPr>
          <w:rFonts w:asciiTheme="majorBidi" w:hAnsiTheme="majorBidi" w:cstheme="majorBidi"/>
        </w:rPr>
        <w:t>deCODE</w:t>
      </w:r>
      <w:proofErr w:type="spellEnd"/>
      <w:r w:rsidRPr="00A35149">
        <w:rPr>
          <w:rFonts w:asciiTheme="majorBidi" w:hAnsiTheme="majorBidi" w:cstheme="majorBidi"/>
        </w:rPr>
        <w:t xml:space="preserve"> database are Europeans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{"citationItems":[{"id":"ITEM-1","itemData":{"author":[{"dropping-particle":"","family":"Jurczak","given":"Kasia","non-dropping-particle":"","parse-names":false,"suffix":""}],"container-title":"WorldAtlas","id":"ITEM-1","issued":{"date-parts":[["2017"]]},"title":"Ethnic groups and nationalities in Iceland","type":"webpage"},"uris":["http://www.mendeley.com/documents/?uuid=97438861-e418-4e22-bde0-61a11d35750d"]}],"mendeley":{"formattedCitation":"(Jurczak, 2017)","plainTextFormattedCitation":"(Jurczak, 2017)","previouslyFormattedCitation":"(Jurczak, 2017)"},"properties":{"noteIndex":0},"schema":"https://github.com/citation-style-language/schema/raw/master/csl-citation.json"}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(Jurczak, 2017)</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The UK Biobank was designed to be representative of the general population of the United Kingdom, however, that makeup is only 85% </w:t>
      </w:r>
      <w:r w:rsidR="000B7800" w:rsidRPr="00A35149">
        <w:rPr>
          <w:rFonts w:asciiTheme="majorBidi" w:hAnsiTheme="majorBidi" w:cstheme="majorBidi"/>
        </w:rPr>
        <w:t>“</w:t>
      </w:r>
      <w:r w:rsidRPr="00A35149">
        <w:rPr>
          <w:rFonts w:asciiTheme="majorBidi" w:hAnsiTheme="majorBidi" w:cstheme="majorBidi"/>
        </w:rPr>
        <w:t>White</w:t>
      </w:r>
      <w:r w:rsidR="000B7800" w:rsidRPr="00A35149">
        <w:rPr>
          <w:rFonts w:asciiTheme="majorBidi" w:hAnsiTheme="majorBidi" w:cstheme="majorBidi"/>
        </w:rPr>
        <w:t>”</w:t>
      </w:r>
      <w:r w:rsidR="00D63A31" w:rsidRPr="00A35149">
        <w:rPr>
          <w:rFonts w:asciiTheme="majorBidi" w:hAnsiTheme="majorBidi" w:cstheme="majorBidi"/>
        </w:rPr>
        <w:t xml:space="preserve"> </w:t>
      </w:r>
      <w:r w:rsidRPr="00A35149">
        <w:rPr>
          <w:rFonts w:asciiTheme="majorBidi" w:hAnsiTheme="majorBidi" w:cstheme="majorBidi"/>
        </w:rPr>
        <w:t xml:space="preserve">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{"citationItems":[{"id":"ITEM-1","itemData":{"author":[{"dropping-particle":"","family":"Tutton","given":"Richard","non-dropping-particle":"","parse-names":false,"suffix":""}],"id":"ITEM-1","issued":{"date-parts":[["2009"]]},"number-of-pages":"75-95","title":"Race/Ethnicity: Multidisciplinary Global Contexts","type":"book"},"uris":["http://www.mendeley.com/documents/?uuid=eceedc17-30ef-4939-b01c-a740165ecbd1"]}],"mendeley":{"formattedCitation":"(Tutton, 2009)","plainTextFormattedCitation":"(Tutton, 2009)","previouslyFormattedCitation":"(Tutton, 2009)"},"properties":{"noteIndex":0},"schema":"https://github.com/citation-style-language/schema/raw/master/csl-citation.json"}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(Tutton, 2009)</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Such misrepresentation of the </w:t>
      </w:r>
      <w:r w:rsidR="00B0464C" w:rsidRPr="00A35149">
        <w:rPr>
          <w:rFonts w:asciiTheme="majorBidi" w:hAnsiTheme="majorBidi" w:cstheme="majorBidi"/>
        </w:rPr>
        <w:t xml:space="preserve">global </w:t>
      </w:r>
      <w:r w:rsidRPr="00A35149">
        <w:rPr>
          <w:rFonts w:asciiTheme="majorBidi" w:hAnsiTheme="majorBidi" w:cstheme="majorBidi"/>
        </w:rPr>
        <w:t xml:space="preserve">population structure has a detrimental impact on genomic medicine studies </w:t>
      </w:r>
      <w:r w:rsidR="00B0464C" w:rsidRPr="00A35149">
        <w:rPr>
          <w:rFonts w:asciiTheme="majorBidi" w:hAnsiTheme="majorBidi" w:cstheme="majorBidi"/>
        </w:rPr>
        <w:t xml:space="preserve">in England and international studies that rely on their results </w:t>
      </w:r>
      <w:r w:rsidRPr="00A35149">
        <w:rPr>
          <w:rFonts w:asciiTheme="majorBidi" w:hAnsiTheme="majorBidi" w:cstheme="majorBidi"/>
        </w:rPr>
        <w:t xml:space="preserve">for several reasons: firstly, they promote a simplified view of “Europeans” as “homogeneous” </w:t>
      </w:r>
      <w:r w:rsidRPr="00A35149">
        <w:rPr>
          <w:rFonts w:asciiTheme="majorBidi" w:hAnsiTheme="majorBidi" w:cstheme="majorBidi"/>
          <w:color w:val="4472C4" w:themeColor="accent1"/>
        </w:rPr>
        <w:fldChar w:fldCharType="begin" w:fldLock="1"/>
      </w:r>
      <w:r w:rsidR="00ED2B44" w:rsidRPr="00A35149">
        <w:rPr>
          <w:rFonts w:asciiTheme="majorBidi" w:hAnsiTheme="majorBidi" w:cstheme="majorBidi"/>
          <w:color w:val="4472C4" w:themeColor="accent1"/>
        </w:rPr>
        <w:instrText>ADDIN CSL_CITATION {"citationItems":[{"id":"ITEM-1","itemData":{"DOI":"10.1038/ncomms4513","ISSN":"20411723","abstract":"The search for a method that utilizes biological information to predict humans' place of origin has occupied scientists for millennia. Over the past four decades, scientists have employed genetic data in an effort to achieve this goal but with limited success. While biogeographical algorithms using next-generation sequencing data have achieved an accuracy of 700km in Europe, they were inaccurate elsewhere. Here we describe the Geographic Population Structure (GPS) algorithm and demonstrate its accuracy with three data sets using 40,000-130,000 SNPs. GPS placed 83% of worldwide individuals in their country of origin. Applied to over 200 Sardinians villagers, GPS placed a quarter of them in their villages and most of the rest within 50km of their villages. GPS's accuracy and power to infer the biogeography of worldwide individuals down to their country or, in some cases, village, of origin, underscores the promise of admixture-based methods for biogeography and has ramifications for genetic ancestry testing. © 2014 Macmillan Publishers Limited. All rights reserved.","author":[{"dropping-particle":"","family":"Elhaik","given":"Eran","non-dropping-particle":"","parse-names":false,"suffix":""},{"dropping-particle":"","family":"Tatarinova","given":"Tatiana","non-dropping-particle":"","parse-names":false,"suffix":""},{"dropping-particle":"","family":"Chebotarev","given":"Dmitri","non-dropping-particle":"","parse-names":false,"suffix":""},{"dropping-particle":"","family":"Piras","given":"Ignazio S.","non-dropping-particle":"","parse-names":false,"suffix":""},{"dropping-particle":"","family":"Calò","given":"Carla Maria","non-dropping-particle":"","parse-names":false,"suffix":""},{"dropping-particle":"","family":"Montis","given":"Antonella","non-dropping-particle":"De","parse-names":false,"suffix":""},{"dropping-particle":"","family":"Atzori","given":"Manuela","non-dropping-particle":"","parse-names":false,"suffix":""},{"dropping-particle":"","family":"Marini","given":"Monica","non-dropping-particle":"","parse-names":false,"suffix":""},{"dropping-particle":"","family":"Tofanelli","given":"Sergio","non-dropping-particle":"","parse-names":false,"suffix":""},{"dropping-particle":"","family":"Francalacci","given":"Paolo","non-dropping-particle":"","parse-names":false,"suffix":""},{"dropping-particle":"","family":"Pagani","given":"Luca","non-dropping-particle":"","parse-names":false,"suffix":""},{"dropping-particle":"","family":"Tyler-Smith","given":"Chris","non-dropping-particle":"","parse-names":false,"suffix":""},{"dropping-particle":"","family":"Xue","given":"Yali","non-dropping-particle":"","parse-names":false,"suffix":""},{"dropping-particle":"","family":"Cucca","given":"Francesco","non-dropping-particle":"","parse-names":false,"suffix":""},{"dropping-particle":"","family":"Schurr","given":"Theodore G.","non-dropping-particle":"","parse-names":false,"suffix":""},{"dropping-particle":"","family":"Gaieski","given":"Jill B.","non-dropping-particle":"","parse-names":false,"suffix":""},{"dropping-particle":"","family":"Melendez","given":"Carlalynne","non-dropping-particle":"","parse-names":false,"suffix":""},{"dropping-particle":"","family":"Vilar","given":"Miguel G.","non-dropping-particle":"","parse-names":false,"suffix":""},{"dropping-particle":"","family":"Owings","given":"Amanda C.","non-dropping-particle":"","parse-names":false,"suffix":""},{"dropping-particle":"","family":"Gómez","given":"Rocío","non-dropping-particle":"","parse-names":false,"suffix":""},{"dropping-particle":"","family":"Fujita","given":"Ricardo","non-dropping-particle":"","parse-names":false,"suffix":""},{"dropping-particle":"","family":"Santos","given":"Fabrício R.","non-dropping-particle":"","parse-names":false,"suffix":""},{"dropping-particle":"","family":"Comas","given":"David","non-dropping-particle":"","parse-names":false,"suffix":""},{"dropping-particle":"","family":"Balanovsky","given":"Oleg","non-dropping-particle":"","parse-names":false,"suffix":""},{"dropping-particle":"","family":"Balanovska","given":"Elena","non-dropping-particle":"","parse-names":false,"suffix":""},{"dropping-particle":"","family":"Zalloua","given":"Pierre","non-dropping-particle":"","parse-names":false,"suffix":""},{"dropping-particle":"","family":"Soodyall","given":"Himla","non-dropping-particle":"","parse-names":false,"suffix":""},{"dropping-particle":"","family":"Pitchappan","given":"Ramasamy","non-dropping-particle":"","parse-names":false,"suffix":""},{"dropping-particle":"","family":"Prasad","given":"Arun Kumar Ganesh","non-dropping-particle":"","parse-names":false,"suffix":""},{"dropping-particle":"","family":"Hammer","given":"Michael","non-dropping-particle":"","parse-names":false,"suffix":""},{"dropping-particle":"","family":"Matisoo-Smith","given":"Lisa","non-dropping-particle":"","parse-names":false,"suffix":""},{"dropping-particle":"","family":"Wells","given":"R. Spencer","non-dropping-particle":"","parse-names":false,"suffix":""},{"dropping-particle":"","family":"Acosta","given":"Oscar","non-dropping-particle":"","parse-names":false,"suffix":""},{"dropping-particle":"","family":"Adhikarla","given":"Syama","non-dropping-particle":"","parse-names":false,"suffix":""},{"dropping-particle":"","family":"Adler","given":"Christina J.","non-dropping-particle":"","parse-names":false,"suffix":""},{"dropping-particle":"","family":"Bertranpetit","given":"Jaume","non-dropping-particle":"","parse-names":false,"suffix":""},{"dropping-particle":"","family":"Clarke","given":"Andrew C.","non-dropping-particle":"","parse-names":false,"suffix":""},{"dropping-particle":"","family":"Cooper","given":"Alan","non-dropping-particle":"","parse-names":false,"suffix":""},{"dropping-particle":"","family":"Sarkissian","given":"Clio S.I.","non-dropping-particle":"Der","parse-names":false,"suffix":""},{"dropping-particle":"","family":"Haak","given":"Wolfgang","non-dropping-particle":"","parse-names":false,"suffix":""},{"dropping-particle":"","family":"Haber","given":"Marc","non-dropping-particle":"","parse-names":false,"suffix":""},{"dropping-particle":"","family":"Jin","given":"Li","non-dropping-particle":"","parse-names":false,"suffix":""},{"dropping-particle":"","family":"Kaplan","given":"Matthew E.","non-dropping-particle":"","parse-names":false,"suffix":""},{"dropping-particle":"","family":"Li","given":"Hui","non-dropping-particle":"","parse-names":false,"suffix":""},{"dropping-particle":"","family":"Li","given":"Shilin","non-dropping-particle":"","parse-names":false,"suffix":""},{"dropping-particle":"","family":"Martínez-Cruz","given":"Begoña","non-dropping-particle":"","parse-names":false,"suffix":""},{"dropping-particle":"","family":"Merchant","given":"Nirav C.","non-dropping-particle":"","parse-names":false,"suffix":""},{"dropping-particle":"","family":"Mitchell","given":"John R.","non-dropping-particle":"","parse-names":false,"suffix":""},{"dropping-particle":"","family":"Parida","given":"Laxmi","non-dropping-particle":"","parse-names":false,"suffix":""},{"dropping-particle":"","family":"Platt","given":"Daniel E.","non-dropping-particle":"","parse-names":false,"suffix":""},{"dropping-particle":"","family":"Quintana-Murci","given":"Lluis","non-dropping-particle":"","parse-names":false,"suffix":""},{"dropping-particle":"","family":"Renfrew","given":"Colin","non-dropping-particle":"","parse-names":false,"suffix":""},{"dropping-particle":"","family":"Lacerda","given":"Daniela R.","non-dropping-particle":"","parse-names":false,"suffix":""},{"dropping-particle":"","family":"Royyuru","given":"Ajay K.","non-dropping-particle":"","parse-names":false,"suffix":""},{"dropping-particle":"","family":"Sandoval","given":"Jose Raul","non-dropping-particle":"","parse-names":false,"suffix":""},{"dropping-particle":"","family":"Santhakumari","given":"Arun Varatharajan","non-dropping-particle":"","parse-names":false,"suffix":""},{"dropping-particle":"","family":"Hernanz","given":"David F.Soria","non-dropping-particle":"","parse-names":false,"suffix":""},{"dropping-particle":"","family":"Swamikrishnan","given":"Pandikumar","non-dropping-particle":"","parse-names":false,"suffix":""},{"dropping-particle":"","family":"Ziegle","given":"Janet S.","non-dropping-particle":"","parse-names":false,"suffix":""}],"container-title":"Nature Communications","id":"ITEM-1","issued":{"date-parts":[["2014"]]},"title":"Geographic population structure analysis of worldwide human populations infers their biogeographical origins","type":"article-journal","volume":"5"},"uris":["http://www.mendeley.com/documents/?uuid=5563293a-ec5f-4e1c-b942-97b5ab2c0510"]}],"mendeley":{"formattedCitation":"(Elhaik &lt;i&gt;et al.&lt;/i&gt;, 2014)","plainTextFormattedCitation":"(Elhaik et al., 2014)","previouslyFormattedCitation":"(Elhaik &lt;i&gt;et al.&lt;/i&gt;, 2014)"},"properties":{"noteIndex":0},"schema":"https://github.com/citation-style-language/schema/raw/master/csl-citation.json"}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(Elhaik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2014)</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secondly, ignorance of the global population structure also prevents properly correcting the studies for </w:t>
      </w:r>
      <w:r w:rsidRPr="00A35149">
        <w:rPr>
          <w:rFonts w:asciiTheme="majorBidi" w:hAnsiTheme="majorBidi" w:cstheme="majorBidi"/>
          <w:i/>
          <w:iCs/>
        </w:rPr>
        <w:t>stratification bias</w:t>
      </w:r>
      <w:r w:rsidRPr="00A35149">
        <w:rPr>
          <w:rFonts w:asciiTheme="majorBidi" w:hAnsiTheme="majorBidi" w:cstheme="majorBidi"/>
        </w:rPr>
        <w:t xml:space="preserve">; and thirdly, </w:t>
      </w:r>
      <w:r w:rsidRPr="00A35149">
        <w:rPr>
          <w:rFonts w:asciiTheme="majorBidi" w:hAnsiTheme="majorBidi" w:cstheme="majorBidi"/>
          <w:highlight w:val="white"/>
        </w:rPr>
        <w:t>in many trials the number of participants enrolled in each country remains small, which increases the risk for false positives due to chance or undetected population structure, even if a correction is attempted</w:t>
      </w:r>
      <w:r w:rsidR="0067225B" w:rsidRPr="00A35149">
        <w:rPr>
          <w:rFonts w:asciiTheme="majorBidi" w:hAnsiTheme="majorBidi" w:cstheme="majorBidi"/>
          <w:color w:val="4472C4" w:themeColor="accent1"/>
        </w:rPr>
        <w:t xml:space="preserve"> </w:t>
      </w:r>
      <w:r w:rsidR="0067225B" w:rsidRPr="00A35149">
        <w:rPr>
          <w:rFonts w:asciiTheme="majorBidi" w:hAnsiTheme="majorBidi" w:cstheme="majorBidi"/>
          <w:color w:val="4472C4" w:themeColor="accent1"/>
        </w:rPr>
        <w:fldChar w:fldCharType="begin" w:fldLock="1"/>
      </w:r>
      <w:r w:rsidR="0067225B" w:rsidRPr="00A35149">
        <w:rPr>
          <w:rFonts w:asciiTheme="majorBidi" w:hAnsiTheme="majorBidi" w:cstheme="majorBidi"/>
          <w:color w:val="4472C4" w:themeColor="accent1"/>
        </w:rPr>
        <w:instrText>ADDIN CSL_CITATION {"citationItems":[{"id":"ITEM-1","itemData":{"DOI":"10.1007/s00439-019-02014-8","ISSN":"14321203","abstract":"Replicable genetic association signals have consistently been found through genome-wide association studies in recent years. The recent dramatic expansion of study sizes improves power of estimation of effect sizes, genomic prediction, causal inference, and polygenic selection, but it simultaneously increases susceptibility of these methods to bias due to subtle population structure. Standard methods using genetic principal components to correct for structure might not always be appropriate and we use a simulation study to illustrate when correction might be ineffective for avoiding biases. New methods such as trans-ethnic modeling and chromosome painting allow for a richer understanding of the relationship between traits and population structure. We illustrate the arguments using real examples (stroke and educational attainment) and provide a more nuanced understanding of population structure, which is set to be revisited as a critical aspect of future analyses in genetic epidemiology. We also make simple recommendations for how problems can be avoided in the future. Our results have particular importance for the implementation of GWAS meta-analysis, for prediction of traits, and for causal inference.","author":[{"dropping-particle":"","family":"Lawson","given":"Daniel John","non-dropping-particle":"","parse-names":false,"suffix":""},{"dropping-particle":"","family":"Davies","given":"Neil Martin","non-dropping-particle":"","parse-names":false,"suffix":""},{"dropping-particle":"","family":"Haworth","given":"Simon","non-dropping-particle":"","parse-names":false,"suffix":""},{"dropping-particle":"","family":"Ashraf","given":"Bilal","non-dropping-particle":"","parse-names":false,"suffix":""},{"dropping-particle":"","family":"Howe","given":"Laurence","non-dropping-particle":"","parse-names":false,"suffix":""},{"dropping-particle":"","family":"Crawford","given":"Andrew","non-dropping-particle":"","parse-names":false,"suffix":""},{"dropping-particle":"","family":"Hemani","given":"Gibran","non-dropping-particle":"","parse-names":false,"suffix":""},{"dropping-particle":"","family":"Davey Smith","given":"George","non-dropping-particle":"","parse-names":false,"suffix":""},{"dropping-particle":"","family":"Timpson","given":"Nicholas John","non-dropping-particle":"","parse-names":false,"suffix":""}],"container-title":"Human Genetics","id":"ITEM-1","issue":"1","issued":{"date-parts":[["2020"]]},"page":"23-41","title":"Is population structure in the genetic biobank era irrelevant, a challenge, or an opportunity?","type":"article-journal","volume":"139"},"uris":["http://www.mendeley.com/documents/?uuid=bb27f0d0-21f5-4666-a96a-3bc82d8de46b"]}],"mendeley":{"formattedCitation":"(Lawson &lt;i&gt;et al.&lt;/i&gt;, 2020)","plainTextFormattedCitation":"(Lawson et al., 2020)","previouslyFormattedCitation":"(Lawson &lt;i&gt;et al.&lt;/i&gt;, 2020)"},"properties":{"noteIndex":0},"schema":"https://github.com/citation-style-language/schema/raw/master/csl-citation.json"}</w:instrText>
      </w:r>
      <w:r w:rsidR="0067225B" w:rsidRPr="00A35149">
        <w:rPr>
          <w:rFonts w:asciiTheme="majorBidi" w:hAnsiTheme="majorBidi" w:cstheme="majorBidi"/>
          <w:color w:val="4472C4" w:themeColor="accent1"/>
        </w:rPr>
        <w:fldChar w:fldCharType="separate"/>
      </w:r>
      <w:r w:rsidR="0067225B" w:rsidRPr="00A35149">
        <w:rPr>
          <w:rFonts w:asciiTheme="majorBidi" w:hAnsiTheme="majorBidi" w:cstheme="majorBidi"/>
          <w:noProof/>
          <w:color w:val="4472C4" w:themeColor="accent1"/>
        </w:rPr>
        <w:t xml:space="preserve">(Lawson </w:t>
      </w:r>
      <w:r w:rsidR="0067225B" w:rsidRPr="00A35149">
        <w:rPr>
          <w:rFonts w:asciiTheme="majorBidi" w:hAnsiTheme="majorBidi" w:cstheme="majorBidi"/>
          <w:i/>
          <w:noProof/>
          <w:color w:val="4472C4" w:themeColor="accent1"/>
        </w:rPr>
        <w:t>et al.</w:t>
      </w:r>
      <w:r w:rsidR="0067225B" w:rsidRPr="00A35149">
        <w:rPr>
          <w:rFonts w:asciiTheme="majorBidi" w:hAnsiTheme="majorBidi" w:cstheme="majorBidi"/>
          <w:noProof/>
          <w:color w:val="4472C4" w:themeColor="accent1"/>
        </w:rPr>
        <w:t>, 2020)</w:t>
      </w:r>
      <w:r w:rsidR="0067225B" w:rsidRPr="00A35149">
        <w:rPr>
          <w:rFonts w:asciiTheme="majorBidi" w:hAnsiTheme="majorBidi" w:cstheme="majorBidi"/>
          <w:color w:val="4472C4" w:themeColor="accent1"/>
        </w:rPr>
        <w:fldChar w:fldCharType="end"/>
      </w:r>
      <w:r w:rsidRPr="00A35149">
        <w:rPr>
          <w:rFonts w:asciiTheme="majorBidi" w:hAnsiTheme="majorBidi" w:cstheme="majorBidi"/>
        </w:rPr>
        <w:t xml:space="preserve">. </w:t>
      </w:r>
      <w:r w:rsidR="00B0464C" w:rsidRPr="00A35149">
        <w:rPr>
          <w:rFonts w:asciiTheme="majorBidi" w:hAnsiTheme="majorBidi" w:cstheme="majorBidi"/>
        </w:rPr>
        <w:t>This, in turn, discourages further studies of under-represented populations.</w:t>
      </w:r>
      <w:r w:rsidR="00710F00" w:rsidRPr="00A35149">
        <w:rPr>
          <w:rFonts w:asciiTheme="majorBidi" w:hAnsiTheme="majorBidi" w:cstheme="majorBidi"/>
        </w:rPr>
        <w:t xml:space="preserve"> These limitations were underscored during the COVID-19 pandemic as </w:t>
      </w:r>
      <w:r w:rsidR="006C6A53" w:rsidRPr="00A35149">
        <w:rPr>
          <w:rFonts w:asciiTheme="majorBidi" w:hAnsiTheme="majorBidi" w:cstheme="majorBidi"/>
        </w:rPr>
        <w:t xml:space="preserve">the </w:t>
      </w:r>
      <w:r w:rsidR="00710F00" w:rsidRPr="00A35149">
        <w:rPr>
          <w:rFonts w:asciiTheme="majorBidi" w:hAnsiTheme="majorBidi" w:cstheme="majorBidi"/>
        </w:rPr>
        <w:t xml:space="preserve">UK biobank </w:t>
      </w:r>
      <w:r w:rsidR="006C6A53" w:rsidRPr="00A35149">
        <w:rPr>
          <w:rFonts w:asciiTheme="majorBidi" w:hAnsiTheme="majorBidi" w:cstheme="majorBidi"/>
        </w:rPr>
        <w:t xml:space="preserve">data </w:t>
      </w:r>
      <w:r w:rsidR="00710F00" w:rsidRPr="00A35149">
        <w:rPr>
          <w:rFonts w:asciiTheme="majorBidi" w:hAnsiTheme="majorBidi" w:cstheme="majorBidi"/>
        </w:rPr>
        <w:t xml:space="preserve">were shared internationally </w:t>
      </w:r>
      <w:r w:rsidR="0067225B" w:rsidRPr="00A35149">
        <w:rPr>
          <w:rFonts w:asciiTheme="majorBidi" w:hAnsiTheme="majorBidi" w:cstheme="majorBidi"/>
          <w:color w:val="4472C4" w:themeColor="accent1"/>
        </w:rPr>
        <w:fldChar w:fldCharType="begin" w:fldLock="1"/>
      </w:r>
      <w:r w:rsidR="0067225B" w:rsidRPr="00A35149">
        <w:rPr>
          <w:rFonts w:asciiTheme="majorBidi" w:hAnsiTheme="majorBidi" w:cstheme="majorBidi"/>
          <w:color w:val="4472C4" w:themeColor="accent1"/>
        </w:rPr>
        <w:instrText>ADDIN CSL_CITATION {"citationItems":[{"id":"ITEM-1","itemData":{"DOI":"10.1136/bmj.m1378","abstract":"The Department of Health and Social Care for England has relaxed the rules on sharing patients’ confidential data and is requiring healthcare bodies to provide patient information to each other to help fight covid-19. The health and social care secretary, Matt Hancock, issued a notice under the Health Service Control of Patient Information Regulations to general practices, organisations that provide health services, local authorities, and arm’s length bodies of the health department, such as its digital transformation arm, NHSX.1 Separate notices have also gone out to NHS Digital and …","author":[{"dropping-particle":"","family":"Dyer","given":"Clare","non-dropping-particle":"","parse-names":false,"suffix":""}],"container-title":"Bmj","id":"ITEM-1","issued":{"date-parts":[["2020"]]},"page":"m1378","title":"Covid-19: Rules on sharing confidential patient information are relaxed in England","type":"article-journal"},"uris":["http://www.mendeley.com/documents/?uuid=484c8cd3-93df-462b-87a1-c535f117f0e0"]}],"mendeley":{"formattedCitation":"(Dyer, 2020)","plainTextFormattedCitation":"(Dyer, 2020)","previouslyFormattedCitation":"(Dyer, 2020)"},"properties":{"noteIndex":0},"schema":"https://github.com/citation-style-language/schema/raw/master/csl-citation.json"}</w:instrText>
      </w:r>
      <w:r w:rsidR="0067225B" w:rsidRPr="00A35149">
        <w:rPr>
          <w:rFonts w:asciiTheme="majorBidi" w:hAnsiTheme="majorBidi" w:cstheme="majorBidi"/>
          <w:color w:val="4472C4" w:themeColor="accent1"/>
        </w:rPr>
        <w:fldChar w:fldCharType="separate"/>
      </w:r>
      <w:r w:rsidR="0067225B" w:rsidRPr="00A35149">
        <w:rPr>
          <w:rFonts w:asciiTheme="majorBidi" w:hAnsiTheme="majorBidi" w:cstheme="majorBidi"/>
          <w:noProof/>
          <w:color w:val="4472C4" w:themeColor="accent1"/>
        </w:rPr>
        <w:t>(Dyer, 2020)</w:t>
      </w:r>
      <w:r w:rsidR="0067225B" w:rsidRPr="00A35149">
        <w:rPr>
          <w:rFonts w:asciiTheme="majorBidi" w:hAnsiTheme="majorBidi" w:cstheme="majorBidi"/>
          <w:color w:val="4472C4" w:themeColor="accent1"/>
        </w:rPr>
        <w:fldChar w:fldCharType="end"/>
      </w:r>
      <w:r w:rsidR="0067225B" w:rsidRPr="00A35149">
        <w:rPr>
          <w:rFonts w:asciiTheme="majorBidi" w:hAnsiTheme="majorBidi" w:cstheme="majorBidi"/>
        </w:rPr>
        <w:t xml:space="preserve"> </w:t>
      </w:r>
      <w:r w:rsidR="00710F00" w:rsidRPr="00A35149">
        <w:rPr>
          <w:rFonts w:asciiTheme="majorBidi" w:hAnsiTheme="majorBidi" w:cstheme="majorBidi"/>
        </w:rPr>
        <w:t>to improve the respon</w:t>
      </w:r>
      <w:r w:rsidR="006C6A53" w:rsidRPr="00A35149">
        <w:rPr>
          <w:rFonts w:asciiTheme="majorBidi" w:hAnsiTheme="majorBidi" w:cstheme="majorBidi"/>
        </w:rPr>
        <w:t>se</w:t>
      </w:r>
      <w:r w:rsidR="00710F00" w:rsidRPr="00A35149">
        <w:rPr>
          <w:rFonts w:asciiTheme="majorBidi" w:hAnsiTheme="majorBidi" w:cstheme="majorBidi"/>
        </w:rPr>
        <w:t xml:space="preserve"> to the virus</w:t>
      </w:r>
      <w:r w:rsidR="006C6A53" w:rsidRPr="00A35149">
        <w:rPr>
          <w:rFonts w:asciiTheme="majorBidi" w:hAnsiTheme="majorBidi" w:cstheme="majorBidi"/>
        </w:rPr>
        <w:t xml:space="preserve"> and protect the public represented in the biobank </w:t>
      </w:r>
      <w:r w:rsidR="006C6A53" w:rsidRPr="00A35149">
        <w:rPr>
          <w:rFonts w:asciiTheme="majorBidi" w:hAnsiTheme="majorBidi" w:cstheme="majorBidi"/>
          <w:color w:val="4472C4" w:themeColor="accent1"/>
        </w:rPr>
        <w:t>(Figure 2)</w:t>
      </w:r>
      <w:r w:rsidR="00710F00" w:rsidRPr="00A35149">
        <w:rPr>
          <w:rFonts w:asciiTheme="majorBidi" w:hAnsiTheme="majorBidi" w:cstheme="majorBidi"/>
        </w:rPr>
        <w:t xml:space="preserve">. </w:t>
      </w:r>
    </w:p>
    <w:p w14:paraId="20EDDF92" w14:textId="76AFBF57" w:rsidR="00F74C82" w:rsidRPr="00A35149" w:rsidRDefault="00F74C82" w:rsidP="00F74C82">
      <w:pPr>
        <w:widowControl w:val="0"/>
        <w:rPr>
          <w:rFonts w:asciiTheme="majorBidi" w:hAnsiTheme="majorBidi" w:cstheme="majorBidi"/>
        </w:rPr>
      </w:pPr>
    </w:p>
    <w:p w14:paraId="51BDC8FA" w14:textId="0AFB11BD" w:rsidR="008A3B7D" w:rsidRPr="00F74C82" w:rsidRDefault="00F74C82" w:rsidP="008A3B7D">
      <w:pPr>
        <w:widowControl w:val="0"/>
        <w:rPr>
          <w:rFonts w:asciiTheme="majorBidi" w:hAnsiTheme="majorBidi" w:cstheme="majorBidi"/>
          <w:lang w:val="sv-SE"/>
        </w:rPr>
      </w:pPr>
      <w:r>
        <w:rPr>
          <w:rFonts w:asciiTheme="majorBidi" w:hAnsiTheme="majorBidi" w:cstheme="majorBidi"/>
          <w:noProof/>
          <w:lang w:val="sv-SE"/>
        </w:rPr>
        <w:drawing>
          <wp:inline distT="0" distB="0" distL="0" distR="0" wp14:anchorId="216D418E" wp14:editId="6D5C5A24">
            <wp:extent cx="5755640" cy="46678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5640" cy="4667885"/>
                    </a:xfrm>
                    <a:prstGeom prst="rect">
                      <a:avLst/>
                    </a:prstGeom>
                    <a:noFill/>
                    <a:ln>
                      <a:noFill/>
                    </a:ln>
                  </pic:spPr>
                </pic:pic>
              </a:graphicData>
            </a:graphic>
          </wp:inline>
        </w:drawing>
      </w:r>
    </w:p>
    <w:p w14:paraId="26A01EED" w14:textId="1F8E4E8E" w:rsidR="008A3B7D" w:rsidRPr="00A35149" w:rsidRDefault="008A3B7D" w:rsidP="008A3B7D">
      <w:pPr>
        <w:widowControl w:val="0"/>
        <w:rPr>
          <w:rFonts w:asciiTheme="majorBidi" w:hAnsiTheme="majorBidi" w:cstheme="majorBidi"/>
          <w:sz w:val="22"/>
          <w:szCs w:val="22"/>
        </w:rPr>
      </w:pPr>
      <w:r w:rsidRPr="00A35149">
        <w:rPr>
          <w:rFonts w:asciiTheme="majorBidi" w:hAnsiTheme="majorBidi" w:cstheme="majorBidi"/>
          <w:b/>
          <w:bCs/>
          <w:i/>
          <w:iCs/>
          <w:color w:val="4472C4" w:themeColor="accent1"/>
          <w:sz w:val="22"/>
          <w:szCs w:val="22"/>
        </w:rPr>
        <w:t xml:space="preserve">Figure 2: </w:t>
      </w:r>
      <w:r w:rsidRPr="00A35149">
        <w:rPr>
          <w:rFonts w:asciiTheme="majorBidi" w:hAnsiTheme="majorBidi" w:cstheme="majorBidi"/>
          <w:i/>
          <w:iCs/>
          <w:sz w:val="22"/>
          <w:szCs w:val="22"/>
        </w:rPr>
        <w:t xml:space="preserve">The (a) percentage and (b) number of samples in the 1000 Genomes Project, the </w:t>
      </w:r>
      <w:proofErr w:type="spellStart"/>
      <w:r w:rsidRPr="00A35149">
        <w:rPr>
          <w:rFonts w:asciiTheme="majorBidi" w:hAnsiTheme="majorBidi" w:cstheme="majorBidi"/>
          <w:i/>
          <w:iCs/>
          <w:sz w:val="22"/>
          <w:szCs w:val="22"/>
        </w:rPr>
        <w:t>ExAC</w:t>
      </w:r>
      <w:proofErr w:type="spellEnd"/>
      <w:r w:rsidRPr="00A35149">
        <w:rPr>
          <w:rFonts w:asciiTheme="majorBidi" w:hAnsiTheme="majorBidi" w:cstheme="majorBidi"/>
          <w:i/>
          <w:iCs/>
          <w:sz w:val="22"/>
          <w:szCs w:val="22"/>
        </w:rPr>
        <w:t xml:space="preserve"> browser, the UK Biobank and the </w:t>
      </w:r>
      <w:proofErr w:type="spellStart"/>
      <w:r w:rsidRPr="00A35149">
        <w:rPr>
          <w:rFonts w:asciiTheme="majorBidi" w:hAnsiTheme="majorBidi" w:cstheme="majorBidi"/>
          <w:i/>
          <w:iCs/>
          <w:sz w:val="22"/>
          <w:szCs w:val="22"/>
        </w:rPr>
        <w:t>gnomAD</w:t>
      </w:r>
      <w:proofErr w:type="spellEnd"/>
      <w:r w:rsidRPr="00A35149">
        <w:rPr>
          <w:rFonts w:asciiTheme="majorBidi" w:hAnsiTheme="majorBidi" w:cstheme="majorBidi"/>
          <w:i/>
          <w:iCs/>
          <w:sz w:val="22"/>
          <w:szCs w:val="22"/>
        </w:rPr>
        <w:t xml:space="preserve"> browser categorised into five ancestry groups: European, South Asian, African, East Asian and Latin (https://www.nature.com/articles/nature15393; http://exac.broadinstitute.org/faq; https://gnomad.broadinstitute.org/faq). The </w:t>
      </w:r>
      <w:proofErr w:type="spellStart"/>
      <w:r w:rsidRPr="00A35149">
        <w:rPr>
          <w:rFonts w:asciiTheme="majorBidi" w:hAnsiTheme="majorBidi" w:cstheme="majorBidi"/>
          <w:i/>
          <w:iCs/>
          <w:sz w:val="22"/>
          <w:szCs w:val="22"/>
        </w:rPr>
        <w:t>deCODE</w:t>
      </w:r>
      <w:proofErr w:type="spellEnd"/>
      <w:r w:rsidRPr="00A35149">
        <w:rPr>
          <w:rFonts w:asciiTheme="majorBidi" w:hAnsiTheme="majorBidi" w:cstheme="majorBidi"/>
          <w:i/>
          <w:iCs/>
          <w:sz w:val="22"/>
          <w:szCs w:val="22"/>
        </w:rPr>
        <w:t xml:space="preserve"> database has been circled in (a) and excluded in (b) because when </w:t>
      </w:r>
      <w:r w:rsidR="00F74C82">
        <w:rPr>
          <w:rFonts w:asciiTheme="majorBidi" w:hAnsiTheme="majorBidi" w:cstheme="majorBidi"/>
          <w:i/>
          <w:iCs/>
          <w:sz w:val="22"/>
          <w:szCs w:val="22"/>
        </w:rPr>
        <w:t>contacted</w:t>
      </w:r>
      <w:r w:rsidRPr="00A35149">
        <w:rPr>
          <w:rFonts w:asciiTheme="majorBidi" w:hAnsiTheme="majorBidi" w:cstheme="majorBidi"/>
          <w:i/>
          <w:iCs/>
          <w:sz w:val="22"/>
          <w:szCs w:val="22"/>
        </w:rPr>
        <w:t xml:space="preserve"> </w:t>
      </w:r>
      <w:proofErr w:type="spellStart"/>
      <w:r w:rsidRPr="00A35149">
        <w:rPr>
          <w:rFonts w:asciiTheme="majorBidi" w:hAnsiTheme="majorBidi" w:cstheme="majorBidi"/>
          <w:i/>
          <w:iCs/>
          <w:sz w:val="22"/>
          <w:szCs w:val="22"/>
        </w:rPr>
        <w:t>deCODE</w:t>
      </w:r>
      <w:proofErr w:type="spellEnd"/>
      <w:r w:rsidRPr="00A35149">
        <w:rPr>
          <w:rFonts w:asciiTheme="majorBidi" w:hAnsiTheme="majorBidi" w:cstheme="majorBidi"/>
          <w:i/>
          <w:iCs/>
          <w:sz w:val="22"/>
          <w:szCs w:val="22"/>
        </w:rPr>
        <w:t xml:space="preserve"> genetics were unable to disclose any information regarding the ethnicity or number of samples; however, </w:t>
      </w:r>
      <w:r w:rsidR="00F74C82">
        <w:rPr>
          <w:rFonts w:asciiTheme="majorBidi" w:hAnsiTheme="majorBidi" w:cstheme="majorBidi"/>
          <w:i/>
          <w:iCs/>
          <w:sz w:val="22"/>
          <w:szCs w:val="22"/>
        </w:rPr>
        <w:t>it</w:t>
      </w:r>
      <w:r w:rsidRPr="00A35149">
        <w:rPr>
          <w:rFonts w:asciiTheme="majorBidi" w:hAnsiTheme="majorBidi" w:cstheme="majorBidi"/>
          <w:i/>
          <w:iCs/>
          <w:sz w:val="22"/>
          <w:szCs w:val="22"/>
        </w:rPr>
        <w:t xml:space="preserve"> can </w:t>
      </w:r>
      <w:proofErr w:type="spellStart"/>
      <w:r w:rsidRPr="00A35149">
        <w:rPr>
          <w:rFonts w:asciiTheme="majorBidi" w:hAnsiTheme="majorBidi" w:cstheme="majorBidi"/>
          <w:i/>
          <w:iCs/>
          <w:sz w:val="22"/>
          <w:szCs w:val="22"/>
        </w:rPr>
        <w:t>assume</w:t>
      </w:r>
      <w:r w:rsidR="00F74C82">
        <w:rPr>
          <w:rFonts w:asciiTheme="majorBidi" w:hAnsiTheme="majorBidi" w:cstheme="majorBidi"/>
          <w:i/>
          <w:iCs/>
          <w:sz w:val="22"/>
          <w:szCs w:val="22"/>
        </w:rPr>
        <w:t>ed</w:t>
      </w:r>
      <w:proofErr w:type="spellEnd"/>
      <w:r w:rsidRPr="00A35149">
        <w:rPr>
          <w:rFonts w:asciiTheme="majorBidi" w:hAnsiTheme="majorBidi" w:cstheme="majorBidi"/>
          <w:i/>
          <w:iCs/>
          <w:sz w:val="22"/>
          <w:szCs w:val="22"/>
        </w:rPr>
        <w:t xml:space="preserve"> that the database is roughly 97.6% European</w:t>
      </w:r>
      <w:r w:rsidR="00F74C82">
        <w:rPr>
          <w:rFonts w:asciiTheme="majorBidi" w:hAnsiTheme="majorBidi" w:cstheme="majorBidi"/>
          <w:i/>
          <w:iCs/>
          <w:sz w:val="22"/>
          <w:szCs w:val="22"/>
        </w:rPr>
        <w:t xml:space="preserve"> based on the finding of the </w:t>
      </w:r>
      <w:r w:rsidRPr="00A35149">
        <w:rPr>
          <w:rFonts w:asciiTheme="majorBidi" w:hAnsiTheme="majorBidi" w:cstheme="majorBidi"/>
          <w:i/>
          <w:iCs/>
          <w:sz w:val="22"/>
          <w:szCs w:val="22"/>
        </w:rPr>
        <w:t xml:space="preserve">recent consensus </w:t>
      </w:r>
      <w:r w:rsidR="00F74C82">
        <w:rPr>
          <w:rFonts w:asciiTheme="majorBidi" w:hAnsiTheme="majorBidi" w:cstheme="majorBidi"/>
          <w:i/>
          <w:iCs/>
          <w:sz w:val="22"/>
          <w:szCs w:val="22"/>
        </w:rPr>
        <w:t xml:space="preserve">where </w:t>
      </w:r>
      <w:r w:rsidR="00F74C82" w:rsidRPr="00A35149">
        <w:rPr>
          <w:rFonts w:asciiTheme="majorBidi" w:hAnsiTheme="majorBidi" w:cstheme="majorBidi"/>
          <w:i/>
          <w:iCs/>
          <w:sz w:val="22"/>
          <w:szCs w:val="22"/>
        </w:rPr>
        <w:t>97.6%</w:t>
      </w:r>
      <w:r w:rsidR="00F74C82">
        <w:rPr>
          <w:rFonts w:asciiTheme="majorBidi" w:hAnsiTheme="majorBidi" w:cstheme="majorBidi"/>
          <w:i/>
          <w:iCs/>
          <w:sz w:val="22"/>
          <w:szCs w:val="22"/>
        </w:rPr>
        <w:t xml:space="preserve"> of </w:t>
      </w:r>
      <w:r w:rsidRPr="00A35149">
        <w:rPr>
          <w:rFonts w:asciiTheme="majorBidi" w:hAnsiTheme="majorBidi" w:cstheme="majorBidi"/>
          <w:i/>
          <w:iCs/>
          <w:sz w:val="22"/>
          <w:szCs w:val="22"/>
        </w:rPr>
        <w:t xml:space="preserve">the Icelandic population </w:t>
      </w:r>
      <w:r w:rsidR="00F74C82">
        <w:rPr>
          <w:rFonts w:asciiTheme="majorBidi" w:hAnsiTheme="majorBidi" w:cstheme="majorBidi"/>
          <w:i/>
          <w:iCs/>
          <w:sz w:val="22"/>
          <w:szCs w:val="22"/>
        </w:rPr>
        <w:t xml:space="preserve">was defined as </w:t>
      </w:r>
      <w:r w:rsidRPr="00A35149">
        <w:rPr>
          <w:rFonts w:asciiTheme="majorBidi" w:hAnsiTheme="majorBidi" w:cstheme="majorBidi"/>
          <w:i/>
          <w:iCs/>
          <w:sz w:val="22"/>
          <w:szCs w:val="22"/>
        </w:rPr>
        <w:t>European</w:t>
      </w:r>
      <w:r w:rsidR="00F74C82">
        <w:rPr>
          <w:rFonts w:asciiTheme="majorBidi" w:hAnsiTheme="majorBidi" w:cstheme="majorBidi"/>
          <w:i/>
          <w:iCs/>
          <w:sz w:val="22"/>
          <w:szCs w:val="22"/>
        </w:rPr>
        <w:t xml:space="preserve"> (</w:t>
      </w:r>
      <w:r w:rsidRPr="00A35149">
        <w:rPr>
          <w:rFonts w:asciiTheme="majorBidi" w:hAnsiTheme="majorBidi" w:cstheme="majorBidi"/>
          <w:i/>
          <w:iCs/>
          <w:sz w:val="22"/>
          <w:szCs w:val="22"/>
        </w:rPr>
        <w:t>93% Icelandic and 3.1% Polish</w:t>
      </w:r>
      <w:r w:rsidR="00F74C82">
        <w:rPr>
          <w:rFonts w:asciiTheme="majorBidi" w:hAnsiTheme="majorBidi" w:cstheme="majorBidi"/>
          <w:i/>
          <w:iCs/>
          <w:sz w:val="22"/>
          <w:szCs w:val="22"/>
        </w:rPr>
        <w:t>)</w:t>
      </w:r>
      <w:r w:rsidRPr="00A35149">
        <w:rPr>
          <w:rFonts w:asciiTheme="majorBidi" w:hAnsiTheme="majorBidi" w:cstheme="majorBidi"/>
          <w:i/>
          <w:iCs/>
          <w:sz w:val="22"/>
          <w:szCs w:val="22"/>
        </w:rPr>
        <w:t xml:space="preserve"> (</w:t>
      </w:r>
      <w:proofErr w:type="spellStart"/>
      <w:r w:rsidRPr="00A35149">
        <w:rPr>
          <w:rFonts w:asciiTheme="majorBidi" w:hAnsiTheme="majorBidi" w:cstheme="majorBidi"/>
          <w:sz w:val="22"/>
          <w:szCs w:val="22"/>
          <w:lang w:val="fr-FR"/>
        </w:rPr>
        <w:t>Jurczak</w:t>
      </w:r>
      <w:proofErr w:type="spellEnd"/>
      <w:r w:rsidRPr="00A35149">
        <w:rPr>
          <w:rFonts w:asciiTheme="majorBidi" w:hAnsiTheme="majorBidi" w:cstheme="majorBidi"/>
          <w:sz w:val="22"/>
          <w:szCs w:val="22"/>
          <w:lang w:val="fr-FR"/>
        </w:rPr>
        <w:t>, 2017).</w:t>
      </w:r>
    </w:p>
    <w:p w14:paraId="1C3F78B7" w14:textId="5625F8B9" w:rsidR="00272EC8" w:rsidRPr="00A35149" w:rsidRDefault="00272EC8" w:rsidP="009660A3">
      <w:pPr>
        <w:widowControl w:val="0"/>
        <w:ind w:firstLine="720"/>
        <w:rPr>
          <w:rFonts w:asciiTheme="majorBidi" w:hAnsiTheme="majorBidi" w:cstheme="majorBidi"/>
        </w:rPr>
      </w:pPr>
      <w:r w:rsidRPr="00A35149">
        <w:rPr>
          <w:rFonts w:asciiTheme="majorBidi" w:hAnsiTheme="majorBidi" w:cstheme="majorBidi"/>
          <w:i/>
        </w:rPr>
        <w:lastRenderedPageBreak/>
        <w:t>Population stratification</w:t>
      </w:r>
      <w:r w:rsidRPr="00A35149">
        <w:rPr>
          <w:rFonts w:asciiTheme="majorBidi" w:hAnsiTheme="majorBidi" w:cstheme="majorBidi"/>
        </w:rPr>
        <w:t xml:space="preserve"> may bias GWAS through two routes: the choice of cohort, and association analysis. Currently, individuals are matched and grouped mainly using self-reported “race,” rather than genomic ancestry. This criterion is believed to account for the participants genetic background and supposedly allow controlling for population genetic structure</w:t>
      </w:r>
      <w:r w:rsidR="00B0464C" w:rsidRPr="00A35149">
        <w:rPr>
          <w:rFonts w:asciiTheme="majorBidi" w:hAnsiTheme="majorBidi" w:cstheme="majorBidi"/>
        </w:rPr>
        <w:t xml:space="preserve"> (e.g.</w:t>
      </w:r>
      <w:r w:rsidR="00ED2B44" w:rsidRPr="00A35149">
        <w:rPr>
          <w:rFonts w:asciiTheme="majorBidi" w:hAnsiTheme="majorBidi" w:cstheme="majorBidi"/>
        </w:rPr>
        <w:t xml:space="preserve"> </w:t>
      </w:r>
      <w:r w:rsidR="00ED2B44" w:rsidRPr="00A35149">
        <w:rPr>
          <w:rFonts w:asciiTheme="majorBidi" w:hAnsiTheme="majorBidi" w:cstheme="majorBidi"/>
        </w:rPr>
        <w:fldChar w:fldCharType="begin" w:fldLock="1"/>
      </w:r>
      <w:r w:rsidR="00ED2B44" w:rsidRPr="00A35149">
        <w:rPr>
          <w:rFonts w:asciiTheme="majorBidi" w:hAnsiTheme="majorBidi" w:cstheme="majorBidi"/>
        </w:rPr>
        <w:instrText>ADDIN CSL_CITATION {"citationItems":[{"id":"ITEM-1","itemData":{"DOI":"10.1038/s41408-020-0294-5","ISSN":"20445385","author":[{"dropping-particle":"","family":"Baughn","given":"Linda B.","non-dropping-particle":"","parse-names":false,"suffix":""},{"dropping-particle":"","family":"Li","given":"Zhuo","non-dropping-particle":"","parse-names":false,"suffix":""},{"dropping-particle":"","family":"Pearce","given":"Kathryn","non-dropping-particle":"","parse-names":false,"suffix":""},{"dropping-particle":"","family":"Vachon","given":"Celine M.","non-dropping-particle":"","parse-names":false,"suffix":""},{"dropping-particle":"","family":"Polley","given":"Mei Yin","non-dropping-particle":"","parse-names":false,"suffix":""},{"dropping-particle":"","family":"Keats","given":"Jonathan","non-dropping-particle":"","parse-names":false,"suffix":""},{"dropping-particle":"","family":"Elhaik","given":"Eran","non-dropping-particle":"","parse-names":false,"suffix":""},{"dropping-particle":"","family":"Baird","given":"Michael","non-dropping-particle":"","parse-names":false,"suffix":""},{"dropping-particle":"","family":"Therneau","given":"Terry","non-dropping-particle":"","parse-names":false,"suffix":""},{"dropping-particle":"","family":"Cerhan","given":"James R.","non-dropping-particle":"","parse-names":false,"suffix":""},{"dropping-particle":"","family":"Bergsagel","given":"P. Leif","non-dropping-particle":"","parse-names":false,"suffix":""},{"dropping-particle":"","family":"Dispenzieri","given":"Angela","non-dropping-particle":"","parse-names":false,"suffix":""},{"dropping-particle":"","family":"Rajkumar","given":"S. Vincent","non-dropping-particle":"","parse-names":false,"suffix":""},{"dropping-particle":"","family":"Asmann","given":"Yan W.","non-dropping-particle":"","parse-names":false,"suffix":""},{"dropping-particle":"","family":"Kumar","given":"Shaji","non-dropping-particle":"","parse-names":false,"suffix":""}],"container-title":"Blood Cancer Journal","id":"ITEM-1","issue":"3","issued":{"date-parts":[["2020"]]},"title":"The CCND1 c.870G risk allele is enriched in individuals of African ancestry with plasma cell dyscrasias","type":"article-journal","volume":"10"},"uris":["http://www.mendeley.com/documents/?uuid=52450f0b-4f1e-4c33-8a93-cab2a5f4fad0"]},{"id":"ITEM-2","itemData":{"DOI":"10.1038/s41408-018-0132-1","ISSN":"20445385","abstract":"Multiple myeloma (MM) is two- to three-fold more common in African Americans (AAs) compared to European Americans (EAs). This striking disparity, one of the highest of any cancer, may be due to underlying genetic predisposition between these groups. There are multiple unique cytogenetic subtypes of MM, and it is likely that the disparity is associated with only certain subtypes. Previous efforts to understand this disparity have relied on self-reported race rather than genetic ancestry, which may result in bias. To mitigate these difficulties, we studied 881 patients with monoclonal gammopathies who had undergone uniform testing to identify primary cytogenetic abnormalities. DNA from bone marrow samples was genotyped on the Precision Medicine Research Array and biogeographical ancestry was quantitatively assessed using the Geographic Population Structure Origins tool. The probability of having one of three specific subtypes, namely t(11;14), t(14;16), or t(14;20) was significantly higher in the 120 individuals with highest African ancestry (≥80%) compared with the 235 individuals with lowest African ancestry (&lt;0.1%) (51% vs. 33%, respectively, p value = 0.008). Using quantitatively measured African ancestry, we demonstrate a major proportion of the racial disparity in MM is driven by disparity in the occurrence of the t(11;14), t(14;16), and t(14;20) types of MM.","author":[{"dropping-particle":"","family":"Baughn","given":"Linda B.","non-dropping-particle":"","parse-names":false,"suffix":""},{"dropping-particle":"","family":"Pearce","given":"Kathryn","non-dropping-particle":"","parse-names":false,"suffix":""},{"dropping-particle":"","family":"Larson","given":"Dirk","non-dropping-particle":"","parse-names":false,"suffix":""},{"dropping-particle":"","family":"Polley","given":"Mei Yin","non-dropping-particle":"","parse-names":false,"suffix":""},{"dropping-particle":"","family":"Elhaik","given":"Eran","non-dropping-particle":"","parse-names":false,"suffix":""},{"dropping-particle":"","family":"Baird","given":"Michael","non-dropping-particle":"","parse-names":false,"suffix":""},{"dropping-particle":"","family":"Colby","given":"Colin","non-dropping-particle":"","parse-names":false,"suffix":""},{"dropping-particle":"","family":"Benson","given":"Joanne","non-dropping-particle":"","parse-names":false,"suffix":""},{"dropping-particle":"","family":"Li","given":"Zhuo","non-dropping-particle":"","parse-names":false,"suffix":""},{"dropping-particle":"","family":"Asmann","given":"Yan","non-dropping-particle":"","parse-names":false,"suffix":""},{"dropping-particle":"","family":"Therneau","given":"Terry","non-dropping-particle":"","parse-names":false,"suffix":""},{"dropping-particle":"","family":"Cerhan","given":"James R.","non-dropping-particle":"","parse-names":false,"suffix":""},{"dropping-particle":"","family":"Vachon","given":"Celine M.","non-dropping-particle":"","parse-names":false,"suffix":""},{"dropping-particle":"","family":"Stewart","given":"A. Keith","non-dropping-particle":"","parse-names":false,"suffix":""},{"dropping-particle":"","family":"Bergsagel","given":"P. Leif","non-dropping-particle":"","parse-names":false,"suffix":""},{"dropping-particle":"","family":"Dispenzieri","given":"Angela","non-dropping-particle":"","parse-names":false,"suffix":""},{"dropping-particle":"","family":"Kumar","given":"Shaji","non-dropping-particle":"","parse-names":false,"suffix":""},{"dropping-particle":"","family":"Rajkumar","given":"S. Vincent","non-dropping-particle":"","parse-names":false,"suffix":""}],"container-title":"Blood Cancer Journal","id":"ITEM-2","issue":"10","issued":{"date-parts":[["2018"]]},"title":"Differences in genomic abnormalities among African individuals with monoclonal gammopathies using calculated ancestry","type":"article-journal","volume":"8"},"uris":["http://www.mendeley.com/documents/?uuid=74670385-41d9-4960-a16d-684fde810188"]}],"mendeley":{"formattedCitation":"(Baughn &lt;i&gt;et al.&lt;/i&gt;, 2018, 2020)","manualFormatting":"Baughn et al., 2018, 2020)","plainTextFormattedCitation":"(Baughn et al., 2018, 2020)","previouslyFormattedCitation":"(Baughn &lt;i&gt;et al.&lt;/i&gt;, 2018, 2020)"},"properties":{"noteIndex":0},"schema":"https://github.com/citation-style-language/schema/raw/master/csl-citation.json"}</w:instrText>
      </w:r>
      <w:r w:rsidR="00ED2B44" w:rsidRPr="00A35149">
        <w:rPr>
          <w:rFonts w:asciiTheme="majorBidi" w:hAnsiTheme="majorBidi" w:cstheme="majorBidi"/>
        </w:rPr>
        <w:fldChar w:fldCharType="separate"/>
      </w:r>
      <w:r w:rsidR="00ED2B44" w:rsidRPr="00A35149">
        <w:rPr>
          <w:rFonts w:asciiTheme="majorBidi" w:hAnsiTheme="majorBidi" w:cstheme="majorBidi"/>
          <w:noProof/>
          <w:color w:val="4472C4" w:themeColor="accent1"/>
        </w:rPr>
        <w:t xml:space="preserve">Baughn </w:t>
      </w:r>
      <w:r w:rsidR="00ED2B44" w:rsidRPr="00A35149">
        <w:rPr>
          <w:rFonts w:asciiTheme="majorBidi" w:hAnsiTheme="majorBidi" w:cstheme="majorBidi"/>
          <w:i/>
          <w:noProof/>
          <w:color w:val="4472C4" w:themeColor="accent1"/>
        </w:rPr>
        <w:t>et al.</w:t>
      </w:r>
      <w:r w:rsidR="00ED2B44" w:rsidRPr="00A35149">
        <w:rPr>
          <w:rFonts w:asciiTheme="majorBidi" w:hAnsiTheme="majorBidi" w:cstheme="majorBidi"/>
          <w:noProof/>
          <w:color w:val="4472C4" w:themeColor="accent1"/>
        </w:rPr>
        <w:t>, 2018, 2020</w:t>
      </w:r>
      <w:r w:rsidR="00ED2B44" w:rsidRPr="00A35149">
        <w:rPr>
          <w:rFonts w:asciiTheme="majorBidi" w:hAnsiTheme="majorBidi" w:cstheme="majorBidi"/>
          <w:noProof/>
        </w:rPr>
        <w:t>)</w:t>
      </w:r>
      <w:r w:rsidR="00ED2B44" w:rsidRPr="00A35149">
        <w:rPr>
          <w:rFonts w:asciiTheme="majorBidi" w:hAnsiTheme="majorBidi" w:cstheme="majorBidi"/>
        </w:rPr>
        <w:fldChar w:fldCharType="end"/>
      </w:r>
      <w:r w:rsidR="0025600A" w:rsidRPr="00A35149">
        <w:rPr>
          <w:rFonts w:asciiTheme="majorBidi" w:hAnsiTheme="majorBidi" w:cstheme="majorBidi"/>
        </w:rPr>
        <w:t>.</w:t>
      </w:r>
      <w:r w:rsidR="00B0464C" w:rsidRPr="00A35149">
        <w:rPr>
          <w:rFonts w:asciiTheme="majorBidi" w:hAnsiTheme="majorBidi" w:cstheme="majorBidi"/>
        </w:rPr>
        <w:t xml:space="preserve"> </w:t>
      </w:r>
      <w:r w:rsidR="0025600A" w:rsidRPr="00A35149">
        <w:rPr>
          <w:rFonts w:asciiTheme="majorBidi" w:hAnsiTheme="majorBidi" w:cstheme="majorBidi"/>
        </w:rPr>
        <w:t xml:space="preserve">A numerical example of </w:t>
      </w:r>
      <w:r w:rsidR="00711110" w:rsidRPr="00A35149">
        <w:rPr>
          <w:rFonts w:asciiTheme="majorBidi" w:hAnsiTheme="majorBidi" w:cstheme="majorBidi"/>
        </w:rPr>
        <w:t xml:space="preserve">how a </w:t>
      </w:r>
      <w:r w:rsidR="0025600A" w:rsidRPr="00A35149">
        <w:rPr>
          <w:rFonts w:asciiTheme="majorBidi" w:hAnsiTheme="majorBidi" w:cstheme="majorBidi"/>
        </w:rPr>
        <w:t xml:space="preserve">false positive association </w:t>
      </w:r>
      <w:r w:rsidR="00711110" w:rsidRPr="00A35149">
        <w:rPr>
          <w:rFonts w:asciiTheme="majorBidi" w:hAnsiTheme="majorBidi" w:cstheme="majorBidi"/>
        </w:rPr>
        <w:t xml:space="preserve">can be created </w:t>
      </w:r>
      <w:r w:rsidR="0025600A" w:rsidRPr="00A35149">
        <w:rPr>
          <w:rFonts w:asciiTheme="majorBidi" w:hAnsiTheme="majorBidi" w:cstheme="majorBidi"/>
        </w:rPr>
        <w:t>due to population stratification</w:t>
      </w:r>
      <w:r w:rsidR="00711110" w:rsidRPr="00A35149">
        <w:rPr>
          <w:rFonts w:asciiTheme="majorBidi" w:hAnsiTheme="majorBidi" w:cstheme="majorBidi"/>
        </w:rPr>
        <w:t xml:space="preserve"> </w:t>
      </w:r>
      <w:r w:rsidR="0025600A" w:rsidRPr="00A35149">
        <w:rPr>
          <w:rFonts w:asciiTheme="majorBidi" w:hAnsiTheme="majorBidi" w:cstheme="majorBidi"/>
        </w:rPr>
        <w:t xml:space="preserve">is shown in </w:t>
      </w:r>
      <w:r w:rsidR="00711110" w:rsidRPr="00A35149">
        <w:rPr>
          <w:rFonts w:asciiTheme="majorBidi" w:hAnsiTheme="majorBidi" w:cstheme="majorBidi"/>
        </w:rPr>
        <w:t xml:space="preserve">Table 1 </w:t>
      </w:r>
      <w:r w:rsidR="0067225B" w:rsidRPr="00A35149">
        <w:rPr>
          <w:rFonts w:asciiTheme="majorBidi" w:hAnsiTheme="majorBidi" w:cstheme="majorBidi"/>
          <w:color w:val="4472C4" w:themeColor="accent1"/>
        </w:rPr>
        <w:t>(</w:t>
      </w:r>
      <w:r w:rsidR="0067225B" w:rsidRPr="00A35149">
        <w:rPr>
          <w:rFonts w:asciiTheme="majorBidi" w:hAnsiTheme="majorBidi" w:cstheme="majorBidi"/>
          <w:color w:val="4472C4" w:themeColor="accent1"/>
        </w:rPr>
        <w:fldChar w:fldCharType="begin" w:fldLock="1"/>
      </w:r>
      <w:r w:rsidR="0067225B" w:rsidRPr="00A35149">
        <w:rPr>
          <w:rFonts w:asciiTheme="majorBidi" w:hAnsiTheme="majorBidi" w:cstheme="majorBidi"/>
          <w:color w:val="4472C4" w:themeColor="accent1"/>
        </w:rPr>
        <w:instrText>ADDIN CSL_CITATION {"citationItems":[{"id":"ITEM-1","itemData":{"DOI":"10.1002/cphg.48","ISSN":"19348258","abstract":"Population stratification (PS) is a primary consideration in studies of genetic determinants of human traits. Failure to control for PS may lead to confounding, causing a study to fail for lack of significant results, or resources to be wasted following false-positive signals. Here, historical and current approaches for addressing PS when performing genetic association studies in human populations are reviewed. Methods for detecting the presence of PS, including global and local ancestry methods, are described. Also described are approaches for accounting for PS when calculating association statistics, such that measures of association are not confounded. Many traits are being examined for the first time in minority populations, which may inherently feature PS. © 2017 by John Wiley &amp; Sons, Inc.","author":[{"dropping-particle":"","family":"Hellwege","given":"Jacklyn N.","non-dropping-particle":"","parse-names":false,"suffix":""},{"dropping-particle":"","family":"Keaton","given":"Jacob M.","non-dropping-particle":"","parse-names":false,"suffix":""},{"dropping-particle":"","family":"Giri","given":"Ayush","non-dropping-particle":"","parse-names":false,"suffix":""},{"dropping-particle":"","family":"Gao","given":"Xiaoyi","non-dropping-particle":"","parse-names":false,"suffix":""},{"dropping-particle":"","family":"Velez Edwards","given":"Digna R.","non-dropping-particle":"","parse-names":false,"suffix":""},{"dropping-particle":"","family":"Edwards","given":"Todd L.","non-dropping-particle":"","parse-names":false,"suffix":""}],"container-title":"Current protocols in human genetics","id":"ITEM-1","issued":{"date-parts":[["2017"]]},"page":"1.22.1-1.22.23","title":"Population Stratification in Genetic Association Studies","type":"article-journal","volume":"95"},"uris":["http://www.mendeley.com/documents/?uuid=76aaa439-c1c5-42f0-8f3a-593a4d7f6102"]}],"mendeley":{"formattedCitation":"(Hellwege &lt;i&gt;et al.&lt;/i&gt;, 2017)","manualFormatting":"Hellwege et al., 2017)","plainTextFormattedCitation":"(Hellwege et al., 2017)","previouslyFormattedCitation":"(Hellwege &lt;i&gt;et al.&lt;/i&gt;, 2017)"},"properties":{"noteIndex":0},"schema":"https://github.com/citation-style-language/schema/raw/master/csl-citation.json"}</w:instrText>
      </w:r>
      <w:r w:rsidR="0067225B" w:rsidRPr="00A35149">
        <w:rPr>
          <w:rFonts w:asciiTheme="majorBidi" w:hAnsiTheme="majorBidi" w:cstheme="majorBidi"/>
          <w:color w:val="4472C4" w:themeColor="accent1"/>
        </w:rPr>
        <w:fldChar w:fldCharType="separate"/>
      </w:r>
      <w:r w:rsidR="0067225B" w:rsidRPr="00A35149">
        <w:rPr>
          <w:rFonts w:asciiTheme="majorBidi" w:hAnsiTheme="majorBidi" w:cstheme="majorBidi"/>
          <w:noProof/>
          <w:color w:val="4472C4" w:themeColor="accent1"/>
        </w:rPr>
        <w:t xml:space="preserve">Hellwege </w:t>
      </w:r>
      <w:r w:rsidR="0067225B" w:rsidRPr="00A35149">
        <w:rPr>
          <w:rFonts w:asciiTheme="majorBidi" w:hAnsiTheme="majorBidi" w:cstheme="majorBidi"/>
          <w:i/>
          <w:noProof/>
          <w:color w:val="4472C4" w:themeColor="accent1"/>
        </w:rPr>
        <w:t>et al.</w:t>
      </w:r>
      <w:r w:rsidR="0067225B" w:rsidRPr="00A35149">
        <w:rPr>
          <w:rFonts w:asciiTheme="majorBidi" w:hAnsiTheme="majorBidi" w:cstheme="majorBidi"/>
          <w:noProof/>
          <w:color w:val="4472C4" w:themeColor="accent1"/>
        </w:rPr>
        <w:t>, 2017)</w:t>
      </w:r>
      <w:r w:rsidR="0067225B" w:rsidRPr="00A35149">
        <w:rPr>
          <w:rFonts w:asciiTheme="majorBidi" w:hAnsiTheme="majorBidi" w:cstheme="majorBidi"/>
          <w:color w:val="4472C4" w:themeColor="accent1"/>
        </w:rPr>
        <w:fldChar w:fldCharType="end"/>
      </w:r>
      <w:r w:rsidR="0067225B" w:rsidRPr="00A35149">
        <w:rPr>
          <w:rFonts w:asciiTheme="majorBidi" w:hAnsiTheme="majorBidi" w:cstheme="majorBidi"/>
        </w:rPr>
        <w:t>.</w:t>
      </w:r>
      <w:r w:rsidR="0025600A" w:rsidRPr="00A35149">
        <w:rPr>
          <w:rFonts w:asciiTheme="majorBidi" w:hAnsiTheme="majorBidi" w:cstheme="majorBidi"/>
        </w:rPr>
        <w:t xml:space="preserve"> </w:t>
      </w:r>
      <w:r w:rsidRPr="00A35149">
        <w:rPr>
          <w:rFonts w:asciiTheme="majorBidi" w:hAnsiTheme="majorBidi" w:cstheme="majorBidi"/>
        </w:rPr>
        <w:t xml:space="preserve">However, grouping based on demographics alone does not account for differences in genetic ancestry between individuals, which leads to biased interpretation of the results, false negative or positive results </w:t>
      </w:r>
      <w:r w:rsidR="00972A65" w:rsidRPr="00A35149">
        <w:rPr>
          <w:rFonts w:asciiTheme="majorBidi" w:hAnsiTheme="majorBidi" w:cstheme="majorBidi"/>
          <w:color w:val="4472C4" w:themeColor="accent1"/>
        </w:rPr>
        <w:fldChar w:fldCharType="begin" w:fldLock="1"/>
      </w:r>
      <w:r w:rsidR="00494156" w:rsidRPr="00A35149">
        <w:rPr>
          <w:rFonts w:asciiTheme="majorBidi" w:hAnsiTheme="majorBidi" w:cstheme="majorBidi"/>
          <w:color w:val="4472C4" w:themeColor="accent1"/>
        </w:rPr>
        <w:instrText>ADDIN CSL_CITATION {"citationItems":[{"id":"ITEM-1","itemData":{"DOI":"10.1038/ng1607","ISSN":"10614036","abstract":"Population stratification occurs in case-control association studies when allele frequencies differ between cases and controls because of ancestry. Stratification may lead to false positive associations, although this issue remains controversial. Empirical studies have found little evidence of stratification in European-derived populations, but potentially significant levels of stratification could not be ruled out. We studied a European American panel discordant for height, a heritable trait that varies widely across Europe. Genotyping 178 SNPs and applying standard analytical methods yielded no evidence of stratification. But a SNP in the gene LCT that varies widely in frequency across Europe was strongly associated with height (P &lt; 10(-6)). This apparent association was largely or completely due to stratification; rematching individuals on the basis of European ancestry greatly reduced the apparent association, and no association was observed in Polish or Scandinavian individuals. The failure of standard methods to detect this stratification indicates that new methods may be required.","author":[{"dropping-particle":"","family":"Campbell","given":"Catarina D.","non-dropping-particle":"","parse-names":false,"suffix":""},{"dropping-particle":"","family":"Ogburn","given":"Elizabeth L.","non-dropping-particle":"","parse-names":false,"suffix":""},{"dropping-particle":"","family":"Lunetta","given":"Kathryn L.","non-dropping-particle":"","parse-names":false,"suffix":""},{"dropping-particle":"","family":"Lyon","given":"Helen N.","non-dropping-particle":"","parse-names":false,"suffix":""},{"dropping-particle":"","family":"Freedman","given":"Matthew L.","non-dropping-particle":"","parse-names":false,"suffix":""},{"dropping-particle":"","family":"Groop","given":"Leif C.","non-dropping-particle":"","parse-names":false,"suffix":""},{"dropping-particle":"","family":"Altshuler","given":"David","non-dropping-particle":"","parse-names":false,"suffix":""},{"dropping-particle":"","family":"Ardlie","given":"Kristin G.","non-dropping-particle":"","parse-names":false,"suffix":""},{"dropping-particle":"","family":"Hirschhorn","given":"Joel N.","non-dropping-particle":"","parse-names":false,"suffix":""}],"container-title":"Nature Genetics","id":"ITEM-1","issue":"8","issued":{"date-parts":[["2005"]]},"page":"868-872","title":"Demonstrating stratification in a European American population","type":"article-journal","volume":"37"},"uris":["http://www.mendeley.com/documents/?uuid=02a26c10-3f4f-4b8e-b7c8-5d47b6d31c99"]},{"id":"ITEM-2","itemData":{"DOI":"10.1158/1055-9965.EPI-05-0304","ISSN":"10559965","abstract":"Confounding by ethnicity (i.e. population stratification) can result in bias and incorrect inferences in genotype-disease association studies, but the effect of population stratification in gene-gene or gene-environment interaction studies has not been addressed. We used logistic regression models to fit multiplicative interactions between two dichotomous variables that represented genetic and/or environmental factors for a binary disease outcome in a hypothetical cohort of multiple ethnicities. Biases in main effects and interactions due to population stratification were evaluated by comparing regression coefficients in mis-specified models that ignored ethnicities with their counterparts in models that accounted for ethnicities. We showed that biases in main effects and interactions were constrained by the differences in disease risks across the ethnicities. Therefore, large biases due to population stratification are not possible when baseline disease risk differences among ethnicities are small or moderate. Numerical examples of biases in genotype-genotype and/or genotype-environment interactions suggested that biases due to population stratification for main effects were generally small but could become large for studies of interactions, particularly when strong linkage disequilibrium between genes or large correlations between genetic and environmental factors existed. However, when linkage disequilibrium among genes or correlations among genes and environments were small, biases to main effects or interaction odds ratios were small to nonexistent.","author":[{"dropping-particle":"","family":"Wang","given":"Yiting","non-dropping-particle":"","parse-names":false,"suffix":""},{"dropping-particle":"","family":"Localio","given":"Russell","non-dropping-particle":"","parse-names":false,"suffix":""},{"dropping-particle":"","family":"Rebbeck","given":"Timothy R.","non-dropping-particle":"","parse-names":false,"suffix":""}],"container-title":"Cancer Epidemiology Biomarkers and Prevention","id":"ITEM-2","issue":"1","issued":{"date-parts":[["2006"]]},"page":"124-132","title":"Evaluating bias due to population stratification in epidemiologic studies of gene-gene or gene-environment interactions","type":"article-journal","volume":"15"},"uris":["http://www.mendeley.com/documents/?uuid=55622d1e-fc86-4cfe-b6a2-d5e79846a144"]},{"id":"ITEM-3","itemData":{"DOI":"10.1534/genetics.110.118661","ISSN":"00166731","abstract":"The idea that molecular data should contain information on the recent evolutionary history of populations is rather old. However, much of the work carried out today owes to the work of the statisticians and theoreticians who demonstrated that it was possible to detect departures from equilibrium conditions (e.g., panmictic population/mutation-drift equilibrium) and interpret them in terms of deviations from neutrality or stationarity. During the last 20 years the detection of population size changes has usually been carried out under the assumption that samples were obtained from populations that can be approximated by a Wright-Fisher model (i.e., assuming panmixia, demographic stationarity, etc.). However, natural populations are usually part of spatial networks and are interconnected through gene flow. Here we simulated genetic data at mutation and migration-drift equilibrium under an n-island and a stepping-stone model. The simulated populations were thus stationary and not subject to any population size change. We varied the level of gene flow between populations and the scaled mutation rate. We also used several sampling schemes. We then analyzed the simulated samples using the Bayesian method implemented in MSVAR, the Markov Chain Monte Carlo simulation program, to detect and quantify putative population size changes using microsatellite data. Our results show that all three factors (genetic differentiation/gene flow, genetic diversity, and the sampling scheme) play a role in generating false bottleneck signals. We also suggest an ad hoc method to counter this effect. The confounding effect of population structure and of the sampling scheme has practical implications for many conservation studies. Indeed, if population structure is creating \"spurious\" bottleneck signals, the interpretation of bottleneck signals from genetic data might be less straightforward than it would seem, and several studies may have overestimated or incorrectly detected bottlenecks in endangered species.","author":[{"dropping-particle":"","family":"Chikhi","given":"Lounès","non-dropping-particle":"","parse-names":false,"suffix":""},{"dropping-particle":"","family":"Sousa","given":"Vitor C.","non-dropping-particle":"","parse-names":false,"suffix":""},{"dropping-particle":"","family":"Luisi","given":"Pierre","non-dropping-particle":"","parse-names":false,"suffix":""},{"dropping-particle":"","family":"Goossens","given":"Benoit","non-dropping-particle":"","parse-names":false,"suffix":""},{"dropping-particle":"","family":"Beaumont","given":"Mark A.","non-dropping-particle":"","parse-names":false,"suffix":""}],"container-title":"Genetics","id":"ITEM-3","issue":"3","issued":{"date-parts":[["2010"]]},"page":"983-995","title":"The confounding effects of population structure, genetic diversity and the sampling scheme on the detection and quantification of population size changes","type":"article-journal","volume":"186"},"uris":["http://www.mendeley.com/documents/?uuid=a1b4b41c-6b83-44bd-abbe-c42a84092bf3"]},{"id":"ITEM-4","itemData":{"DOI":"10.1056/nejmra1510065","ISSN":"0028-4793","abstract":"Conslusions: Although most variations in results among countries are probably due to chance, variations can occasionally reflect important differences among countries in either the true benefits of an intervention or its true harms. When a randomized, clinical trial shows marked variations in results among countries, one should seek supporting evidence to understand whether the observed results are likely to be real, an artifact of the design analysis or implementation of the trial, or simply due to chance.","author":[{"dropping-particle":"","family":"Yusuf","given":"Salim","non-dropping-particle":"","parse-names":false,"suffix":""},{"dropping-particle":"","family":"Wittes","given":"Janet","non-dropping-particle":"","parse-names":false,"suffix":""}],"container-title":"New England Journal of Medicine","id":"ITEM-4","issue":"23","issued":{"date-parts":[["2016"]]},"page":"2263-2271","title":"Interpreting Geographic Variations in Results of Randomized, Controlled Trials","type":"article-journal","volume":"375"},"uris":["http://www.mendeley.com/documents/?uuid=8a80d4d0-2c54-497c-9d5a-916e3e9aaa41"]},{"id":"ITEM-5","itemData":{"DOI":"10.1093/bioinformatics/bty946","ISSN":"1367-4803","abstract":"In clinical trials, individuals are matched using demographic criteria, paired, and then randomly assigned to treatment and control groups to determine a drug's efficacy. A chief cause for the irreproducibility of results across pilot to Phase III trials is population stratification bias caused by the uneven distribution of ancestries in the treatment and control groups.","author":[{"dropping-particle":"","family":"Elhaik","given":"Eran","non-dropping-particle":"","parse-names":false,"suffix":""},{"dropping-particle":"","family":"Ryan","given":"Desmond M","non-dropping-particle":"","parse-names":false,"suffix":""}],"container-title":"Bioinformatics","id":"ITEM-5","issue":"13","issued":{"date-parts":[["2019"]]},"page":"2243-2250","title":"Pair Matcher (PaM): fast model-based optimization of treatment/case-control matches","type":"article-journal","volume":"35"},"uris":["http://www.mendeley.com/documents/?uuid=e800fe6d-36c6-4211-9f97-8d81fb3a4bc9"]}],"mendeley":{"formattedCitation":"(Campbell &lt;i&gt;et al.&lt;/i&gt;, 2005; Wang, Localio and Rebbeck, 2006; Chikhi &lt;i&gt;et al.&lt;/i&gt;, 2010; Yusuf and Wittes, 2016; Elhaik and Ryan, 2019)","plainTextFormattedCitation":"(Campbell et al., 2005; Wang, Localio and Rebbeck, 2006; Chikhi et al., 2010; Yusuf and Wittes, 2016; Elhaik and Ryan, 2019)","previouslyFormattedCitation":"(Campbell &lt;i&gt;et al.&lt;/i&gt;, 2005; Wang, Localio and Rebbeck, 2006; Chikhi &lt;i&gt;et al.&lt;/i&gt;, 2010; Yusuf and Wittes, 2016; Elhaik and Ryan, 2019)"},"properties":{"noteIndex":0},"schema":"https://github.com/citation-style-language/schema/raw/master/csl-citation.json"}</w:instrText>
      </w:r>
      <w:r w:rsidR="00972A65" w:rsidRPr="00A35149">
        <w:rPr>
          <w:rFonts w:asciiTheme="majorBidi" w:hAnsiTheme="majorBidi" w:cstheme="majorBidi"/>
          <w:color w:val="4472C4" w:themeColor="accent1"/>
        </w:rPr>
        <w:fldChar w:fldCharType="separate"/>
      </w:r>
      <w:r w:rsidR="00972A65" w:rsidRPr="00A35149">
        <w:rPr>
          <w:rFonts w:asciiTheme="majorBidi" w:hAnsiTheme="majorBidi" w:cstheme="majorBidi"/>
          <w:noProof/>
          <w:color w:val="4472C4" w:themeColor="accent1"/>
        </w:rPr>
        <w:t xml:space="preserve">(Campbell </w:t>
      </w:r>
      <w:r w:rsidR="00972A65" w:rsidRPr="00A35149">
        <w:rPr>
          <w:rFonts w:asciiTheme="majorBidi" w:hAnsiTheme="majorBidi" w:cstheme="majorBidi"/>
          <w:i/>
          <w:noProof/>
          <w:color w:val="4472C4" w:themeColor="accent1"/>
        </w:rPr>
        <w:t>et al.</w:t>
      </w:r>
      <w:r w:rsidR="00972A65" w:rsidRPr="00A35149">
        <w:rPr>
          <w:rFonts w:asciiTheme="majorBidi" w:hAnsiTheme="majorBidi" w:cstheme="majorBidi"/>
          <w:noProof/>
          <w:color w:val="4472C4" w:themeColor="accent1"/>
        </w:rPr>
        <w:t xml:space="preserve">, 2005; Wang, Localio and Rebbeck, 2006; Chikhi </w:t>
      </w:r>
      <w:r w:rsidR="00972A65" w:rsidRPr="00A35149">
        <w:rPr>
          <w:rFonts w:asciiTheme="majorBidi" w:hAnsiTheme="majorBidi" w:cstheme="majorBidi"/>
          <w:i/>
          <w:noProof/>
          <w:color w:val="4472C4" w:themeColor="accent1"/>
        </w:rPr>
        <w:t>et al.</w:t>
      </w:r>
      <w:r w:rsidR="00972A65" w:rsidRPr="00A35149">
        <w:rPr>
          <w:rFonts w:asciiTheme="majorBidi" w:hAnsiTheme="majorBidi" w:cstheme="majorBidi"/>
          <w:noProof/>
          <w:color w:val="4472C4" w:themeColor="accent1"/>
        </w:rPr>
        <w:t>, 2010; Yusuf and Wittes, 2016; Elhaik and Ryan, 2019)</w:t>
      </w:r>
      <w:r w:rsidR="00972A65" w:rsidRPr="00A35149">
        <w:rPr>
          <w:rFonts w:asciiTheme="majorBidi" w:hAnsiTheme="majorBidi" w:cstheme="majorBidi"/>
          <w:color w:val="4472C4" w:themeColor="accent1"/>
        </w:rPr>
        <w:fldChar w:fldCharType="end"/>
      </w:r>
      <w:r w:rsidR="00972A65" w:rsidRPr="00A35149">
        <w:rPr>
          <w:rFonts w:asciiTheme="majorBidi" w:hAnsiTheme="majorBidi" w:cstheme="majorBidi"/>
        </w:rPr>
        <w:t>.</w:t>
      </w:r>
    </w:p>
    <w:p w14:paraId="7D50C294" w14:textId="77777777" w:rsidR="00272EC8" w:rsidRPr="00A35149" w:rsidRDefault="00272EC8" w:rsidP="00272EC8">
      <w:pPr>
        <w:widowControl w:val="0"/>
        <w:rPr>
          <w:rFonts w:asciiTheme="majorBidi" w:hAnsiTheme="majorBidi" w:cstheme="majorBidi"/>
        </w:rPr>
      </w:pPr>
    </w:p>
    <w:p w14:paraId="0FBAE1C6" w14:textId="104FD712" w:rsidR="00A01C8C" w:rsidRPr="00A35149" w:rsidRDefault="00C104C3" w:rsidP="004F6022">
      <w:pPr>
        <w:pStyle w:val="Heading2"/>
        <w:rPr>
          <w:rFonts w:asciiTheme="majorBidi" w:hAnsiTheme="majorBidi"/>
          <w:color w:val="4472C4" w:themeColor="accent1"/>
        </w:rPr>
      </w:pPr>
      <w:r w:rsidRPr="00A35149">
        <w:rPr>
          <w:rFonts w:asciiTheme="majorBidi" w:hAnsiTheme="majorBidi"/>
          <w:color w:val="4472C4" w:themeColor="accent1"/>
        </w:rPr>
        <w:t>Genomic medicine and diversity</w:t>
      </w:r>
    </w:p>
    <w:p w14:paraId="6E12115D" w14:textId="32FD369F" w:rsidR="0046155A" w:rsidRPr="00A35149" w:rsidRDefault="0046155A" w:rsidP="0046155A">
      <w:pPr>
        <w:pStyle w:val="NoSpacing"/>
        <w:rPr>
          <w:rFonts w:asciiTheme="majorBidi" w:hAnsiTheme="majorBidi" w:cstheme="majorBidi"/>
        </w:rPr>
      </w:pPr>
    </w:p>
    <w:p w14:paraId="2B1D3847" w14:textId="27DC02AB" w:rsidR="00766C01" w:rsidRPr="00A35149" w:rsidRDefault="00766C01" w:rsidP="009660A3">
      <w:pPr>
        <w:pStyle w:val="NoSpacing"/>
        <w:ind w:firstLine="720"/>
        <w:rPr>
          <w:rFonts w:asciiTheme="majorBidi" w:hAnsiTheme="majorBidi" w:cstheme="majorBidi"/>
        </w:rPr>
      </w:pPr>
      <w:r w:rsidRPr="00A35149">
        <w:rPr>
          <w:rFonts w:asciiTheme="majorBidi" w:hAnsiTheme="majorBidi" w:cstheme="majorBidi"/>
          <w:i/>
          <w:iCs/>
        </w:rPr>
        <w:t>Personalised medicine</w:t>
      </w:r>
      <w:r w:rsidRPr="00A35149">
        <w:rPr>
          <w:rFonts w:asciiTheme="majorBidi" w:hAnsiTheme="majorBidi" w:cstheme="majorBidi"/>
        </w:rPr>
        <w:t xml:space="preserve"> is thought of as the utilisation of epidemiological knowledge to a granular classification of patients into </w:t>
      </w:r>
      <w:r w:rsidR="0085134D" w:rsidRPr="00A35149">
        <w:rPr>
          <w:rFonts w:asciiTheme="majorBidi" w:hAnsiTheme="majorBidi" w:cstheme="majorBidi"/>
        </w:rPr>
        <w:t xml:space="preserve">cohorts </w:t>
      </w:r>
      <w:r w:rsidRPr="00A35149">
        <w:rPr>
          <w:rFonts w:asciiTheme="majorBidi" w:hAnsiTheme="majorBidi" w:cstheme="majorBidi"/>
        </w:rPr>
        <w:t>that differ in their disease susceptibility, disease prognosis, or response to treatment and considered the epitome of the 21</w:t>
      </w:r>
      <w:r w:rsidRPr="00A35149">
        <w:rPr>
          <w:rFonts w:asciiTheme="majorBidi" w:hAnsiTheme="majorBidi" w:cstheme="majorBidi"/>
          <w:vertAlign w:val="superscript"/>
        </w:rPr>
        <w:t>st</w:t>
      </w:r>
      <w:r w:rsidRPr="00A35149">
        <w:rPr>
          <w:rFonts w:asciiTheme="majorBidi" w:hAnsiTheme="majorBidi" w:cstheme="majorBidi"/>
        </w:rPr>
        <w:t xml:space="preserve"> century medicine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{"citationItems":[{"id":"ITEM-1","itemData":{"DOI":"10.1038/nrd1499","ISSN":"14741776","abstract":"Pharmacogenomics and pharmacogenetics provide methodologies that can lead to DNA-based tests to improve drug selection, identify optimal dosing, maximize drug efficacy or minimize the risk of toxicity. Rapid advances in basic research have identified many opportunities for the development of 'personalized' treatments for individuals and/or subsets of patients defined by genetic and/or genomic tests. However, the integration of these tests into routine clinical practice remains a major multidisciplinary challenge, and even for well-established biomarkers there has been little progress. Here, we consider this challenge from a regulatory perspective, highlighting recent initiatives from the FDA that aim to facilitate the integration of pharmacogenetics and pharmacogenomics into drug development and clinical practice","author":[{"dropping-particle":"","family":"Lesko","given":"Lawrence J.","non-dropping-particle":"","parse-names":false,"suffix":""},{"dropping-particle":"","family":"Woodcock","given":"Janet","non-dropping-particle":"","parse-names":false,"suffix":""}],"container-title":"Nature Reviews Drug Discovery","id":"ITEM-1","issue":"9","issued":{"date-parts":[["2004"]]},"page":"763-769","title":"Translation of pharmacogenomics and pharmacogenetics: A regulatory perspective","type":"article-journal","volume":"3"},"uris":["http://www.mendeley.com/documents/?uuid=60e5f052-34ae-4c64-a334-b78cc85a703c"]}],"mendeley":{"formattedCitation":"(Lesko and Woodcock, 2004)","plainTextFormattedCitation":"(Lesko and Woodcock, 2004)","previouslyFormattedCitation":"(Lesko and Woodcock, 2004)"},"properties":{"noteIndex":0},"schema":"https://github.com/citation-style-language/schema/raw/master/csl-citation.json"}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(Lesko and Woodcock, 2004)</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To facilitate the accurate identification and classification of individuals </w:t>
      </w:r>
      <w:r w:rsidR="0085134D" w:rsidRPr="00A35149">
        <w:rPr>
          <w:rFonts w:asciiTheme="majorBidi" w:hAnsiTheme="majorBidi" w:cstheme="majorBidi"/>
        </w:rPr>
        <w:t xml:space="preserve">into </w:t>
      </w:r>
      <w:r w:rsidR="006C6A53" w:rsidRPr="00A35149">
        <w:rPr>
          <w:rFonts w:asciiTheme="majorBidi" w:hAnsiTheme="majorBidi" w:cstheme="majorBidi"/>
        </w:rPr>
        <w:t>cohorts</w:t>
      </w:r>
      <w:r w:rsidR="0085134D" w:rsidRPr="00A35149">
        <w:rPr>
          <w:rFonts w:asciiTheme="majorBidi" w:hAnsiTheme="majorBidi" w:cstheme="majorBidi"/>
        </w:rPr>
        <w:t xml:space="preserve"> </w:t>
      </w:r>
      <w:r w:rsidRPr="00A35149">
        <w:rPr>
          <w:rFonts w:asciiTheme="majorBidi" w:hAnsiTheme="majorBidi" w:cstheme="majorBidi"/>
        </w:rPr>
        <w:t>it is necessary to consider their genomes, which le</w:t>
      </w:r>
      <w:r w:rsidR="0084233F" w:rsidRPr="00A35149">
        <w:rPr>
          <w:rFonts w:asciiTheme="majorBidi" w:hAnsiTheme="majorBidi" w:cstheme="majorBidi"/>
        </w:rPr>
        <w:t>n</w:t>
      </w:r>
      <w:r w:rsidRPr="00A35149">
        <w:rPr>
          <w:rFonts w:asciiTheme="majorBidi" w:hAnsiTheme="majorBidi" w:cstheme="majorBidi"/>
        </w:rPr>
        <w:t>d</w:t>
      </w:r>
      <w:r w:rsidR="0084233F" w:rsidRPr="00A35149">
        <w:rPr>
          <w:rFonts w:asciiTheme="majorBidi" w:hAnsiTheme="majorBidi" w:cstheme="majorBidi"/>
        </w:rPr>
        <w:t>s</w:t>
      </w:r>
      <w:r w:rsidRPr="00A35149">
        <w:rPr>
          <w:rFonts w:asciiTheme="majorBidi" w:hAnsiTheme="majorBidi" w:cstheme="majorBidi"/>
        </w:rPr>
        <w:t xml:space="preserve"> credence to the development or </w:t>
      </w:r>
      <w:r w:rsidRPr="00A35149">
        <w:rPr>
          <w:rFonts w:asciiTheme="majorBidi" w:hAnsiTheme="majorBidi" w:cstheme="majorBidi"/>
          <w:i/>
          <w:iCs/>
        </w:rPr>
        <w:t>genomic medicine</w:t>
      </w:r>
      <w:r w:rsidRPr="00A35149">
        <w:rPr>
          <w:rFonts w:asciiTheme="majorBidi" w:hAnsiTheme="majorBidi" w:cstheme="majorBidi"/>
        </w:rPr>
        <w:t xml:space="preserve"> and its aspired </w:t>
      </w:r>
      <w:r w:rsidR="00F6113D" w:rsidRPr="00A35149">
        <w:rPr>
          <w:rFonts w:asciiTheme="majorBidi" w:hAnsiTheme="majorBidi" w:cstheme="majorBidi"/>
        </w:rPr>
        <w:t xml:space="preserve">derivation </w:t>
      </w:r>
      <w:r w:rsidRPr="00A35149">
        <w:rPr>
          <w:rFonts w:asciiTheme="majorBidi" w:hAnsiTheme="majorBidi" w:cstheme="majorBidi"/>
          <w:i/>
          <w:iCs/>
        </w:rPr>
        <w:t>personalised genomic medicine.</w:t>
      </w:r>
    </w:p>
    <w:p w14:paraId="37254036" w14:textId="77777777" w:rsidR="00766C01" w:rsidRPr="00A35149" w:rsidRDefault="00766C01" w:rsidP="0046155A">
      <w:pPr>
        <w:pStyle w:val="NoSpacing"/>
        <w:rPr>
          <w:rFonts w:asciiTheme="majorBidi" w:hAnsiTheme="majorBidi" w:cstheme="majorBidi"/>
        </w:rPr>
      </w:pPr>
    </w:p>
    <w:p w14:paraId="1319315B" w14:textId="78D3FBBA" w:rsidR="00CF7034" w:rsidRPr="00A35149" w:rsidRDefault="0046155A" w:rsidP="00766C01">
      <w:pPr>
        <w:pStyle w:val="NoSpacing"/>
        <w:ind w:firstLine="720"/>
        <w:rPr>
          <w:rFonts w:asciiTheme="majorBidi" w:hAnsiTheme="majorBidi" w:cstheme="majorBidi"/>
        </w:rPr>
      </w:pPr>
      <w:r w:rsidRPr="00A35149">
        <w:rPr>
          <w:rFonts w:asciiTheme="majorBidi" w:hAnsiTheme="majorBidi" w:cstheme="majorBidi"/>
          <w:i/>
          <w:iCs/>
        </w:rPr>
        <w:t xml:space="preserve">Genomic </w:t>
      </w:r>
      <w:r w:rsidR="00880E95" w:rsidRPr="00A35149">
        <w:rPr>
          <w:rFonts w:asciiTheme="majorBidi" w:hAnsiTheme="majorBidi" w:cstheme="majorBidi"/>
          <w:i/>
          <w:iCs/>
        </w:rPr>
        <w:t>m</w:t>
      </w:r>
      <w:r w:rsidRPr="00A35149">
        <w:rPr>
          <w:rFonts w:asciiTheme="majorBidi" w:hAnsiTheme="majorBidi" w:cstheme="majorBidi"/>
          <w:i/>
          <w:iCs/>
        </w:rPr>
        <w:t>edicine</w:t>
      </w:r>
      <w:r w:rsidRPr="00A35149">
        <w:rPr>
          <w:rFonts w:asciiTheme="majorBidi" w:hAnsiTheme="majorBidi" w:cstheme="majorBidi"/>
        </w:rPr>
        <w:t xml:space="preserve"> </w:t>
      </w:r>
      <w:r w:rsidR="00617398" w:rsidRPr="00A35149">
        <w:rPr>
          <w:rFonts w:asciiTheme="majorBidi" w:hAnsiTheme="majorBidi" w:cstheme="majorBidi"/>
        </w:rPr>
        <w:t xml:space="preserve">seeks </w:t>
      </w:r>
      <w:r w:rsidRPr="00A35149">
        <w:rPr>
          <w:rFonts w:asciiTheme="majorBidi" w:hAnsiTheme="majorBidi" w:cstheme="majorBidi"/>
        </w:rPr>
        <w:t xml:space="preserve">to </w:t>
      </w:r>
      <w:r w:rsidR="00617398" w:rsidRPr="00A35149">
        <w:rPr>
          <w:rFonts w:asciiTheme="majorBidi" w:hAnsiTheme="majorBidi" w:cstheme="majorBidi"/>
        </w:rPr>
        <w:t>deploy</w:t>
      </w:r>
      <w:r w:rsidRPr="00A35149">
        <w:rPr>
          <w:rFonts w:asciiTheme="majorBidi" w:hAnsiTheme="majorBidi" w:cstheme="majorBidi"/>
        </w:rPr>
        <w:t xml:space="preserve"> the insights that the genetic revolution has brought about</w:t>
      </w:r>
      <w:r w:rsidR="00617398" w:rsidRPr="00A35149">
        <w:rPr>
          <w:rFonts w:asciiTheme="majorBidi" w:hAnsiTheme="majorBidi" w:cstheme="majorBidi"/>
        </w:rPr>
        <w:t xml:space="preserve"> in medical practice </w:t>
      </w:r>
      <w:r w:rsidR="00ED2B44" w:rsidRPr="00A35149">
        <w:rPr>
          <w:rFonts w:asciiTheme="majorBidi" w:hAnsiTheme="majorBidi" w:cstheme="majorBidi"/>
          <w:color w:val="4472C4" w:themeColor="accent1"/>
        </w:rPr>
        <w:fldChar w:fldCharType="begin" w:fldLock="1"/>
      </w:r>
      <w:r w:rsidR="00ED2B44" w:rsidRPr="00A35149">
        <w:rPr>
          <w:rFonts w:asciiTheme="majorBidi" w:hAnsiTheme="majorBidi" w:cstheme="majorBidi"/>
          <w:color w:val="4472C4" w:themeColor="accent1"/>
        </w:rPr>
        <w:instrText>ADDIN CSL_CITATION {"citationItems":[{"id":"ITEM-1","itemData":{"DOI":"10.1056/NEJMra0907175","ISSN":"15334406","abstract":"Cathy, a 40-year-old mother of three, arrives in your office for her annual physical. She has purchased a commercial genomewide scan (see the Glossary), which she believes measures the clinically meaningful risk that common diseases will develop, and has completed her family history online using My Family Health Portrait (www.familyhistory.hhs.gov), a tool developed for this purpose by the U.S. Surgeon General. Her genomewide scan suggests a slightly elevated risk of breast cancer, but you correctly recognize that this information is of unproven value in routine clinical care. On importing Cathy's family-history file, your office's electronic health record system alerts you to the fact that Cathy is of Ashkenazi Jewish heritage and has several relatives with breast cancer, putting her at heightened risk for the hereditary breast and ovarian cancer syndrome. The system prompts you to discuss Cathy's risk of breast and ovarian cancer during the visit. Considering both her family history and ancestry, you refer Cathy to a health care professional with advanced genetics training for consultation. In the coming months Cathy elects to have her DNA tested for mutations in BRCA1 and BRCA2, the genes associated with hereditary breast and ovarian cancer syndrome, and to undergo a mammographic examination. Although the results of her genetic tests are negative, her mammogram reveals a suspicious abnormality. A biopsy is performed, and breast cancer is detected. Surgery is successful. Pathological examination of tissue from the excised tumor reveals that it is positive for estrogen-receptor protein and negative for human epidermal growth factor receptor type 2 (HER2); the lymph glands are free of cancer cells. Genetic-expression profiling of the tumor indicates a relatively high risk of recurrent cancer, and Cathy elects to receive adjuvant chemotherapy followed by treatment with tamoxifen. Five years later, the cancer has not recurred. Copyright © 2010 Massachusetts Medical Society.","author":[{"dropping-particle":"","family":"Feero","given":"W. Gregory","non-dropping-particle":"","parse-names":false,"suffix":""},{"dropping-particle":"","family":"Guttmacher","given":"Alan E.","non-dropping-particle":"","parse-names":false,"suffix":""},{"dropping-particle":"","family":"Collins","given":"Francis S.","non-dropping-particle":"","parse-names":false,"suffix":""}],"container-title":"New England Journal of Medicine","id":"ITEM-1","issued":{"date-parts":[["2010"]]},"title":"Genomic medicine - An updated primer","type":"article"},"uris":["http://www.mendeley.com/documents/?uuid=5f866c45-c75b-4989-878b-fa1ee57ef7f8"]}],"mendeley":{"formattedCitation":"(Feero, Guttmacher and Collins, 2010)","plainTextFormattedCitation":"(Feero, Guttmacher and Collins, 2010)","previouslyFormattedCitation":"(Feero, Guttmacher and Collins, 2010)"},"properties":{"noteIndex":0},"schema":"https://github.com/citation-style-language/schema/raw/master/csl-citation.json"}</w:instrText>
      </w:r>
      <w:r w:rsidR="00ED2B44" w:rsidRPr="00A35149">
        <w:rPr>
          <w:rFonts w:asciiTheme="majorBidi" w:hAnsiTheme="majorBidi" w:cstheme="majorBidi"/>
          <w:color w:val="4472C4" w:themeColor="accent1"/>
        </w:rPr>
        <w:fldChar w:fldCharType="separate"/>
      </w:r>
      <w:r w:rsidR="00ED2B44" w:rsidRPr="00A35149">
        <w:rPr>
          <w:rFonts w:asciiTheme="majorBidi" w:hAnsiTheme="majorBidi" w:cstheme="majorBidi"/>
          <w:noProof/>
          <w:color w:val="4472C4" w:themeColor="accent1"/>
        </w:rPr>
        <w:t>(Feero, Guttmacher and Collins, 2010)</w:t>
      </w:r>
      <w:r w:rsidR="00ED2B44" w:rsidRPr="00A35149">
        <w:rPr>
          <w:rFonts w:asciiTheme="majorBidi" w:hAnsiTheme="majorBidi" w:cstheme="majorBidi"/>
          <w:color w:val="4472C4" w:themeColor="accent1"/>
        </w:rPr>
        <w:fldChar w:fldCharType="end"/>
      </w:r>
      <w:r w:rsidR="00ED2B44" w:rsidRPr="00A35149">
        <w:rPr>
          <w:rFonts w:asciiTheme="majorBidi" w:hAnsiTheme="majorBidi" w:cstheme="majorBidi"/>
        </w:rPr>
        <w:t xml:space="preserve">. </w:t>
      </w:r>
      <w:r w:rsidR="006D7168" w:rsidRPr="00A35149">
        <w:rPr>
          <w:rFonts w:asciiTheme="majorBidi" w:hAnsiTheme="majorBidi" w:cstheme="majorBidi"/>
        </w:rPr>
        <w:t xml:space="preserve">The ability to predict individual risk of disease development, guide intervention, and direct the treatment is the core of genomic medicine </w:t>
      </w:r>
      <w:r w:rsidR="006D7168" w:rsidRPr="00A35149">
        <w:rPr>
          <w:rFonts w:asciiTheme="majorBidi" w:hAnsiTheme="majorBidi" w:cstheme="majorBidi"/>
          <w:color w:val="4472C4" w:themeColor="accent1"/>
        </w:rPr>
        <w:fldChar w:fldCharType="begin" w:fldLock="1"/>
      </w:r>
      <w:r w:rsidR="006D7168" w:rsidRPr="00A35149">
        <w:rPr>
          <w:rFonts w:asciiTheme="majorBidi" w:hAnsiTheme="majorBidi" w:cstheme="majorBidi"/>
          <w:color w:val="4472C4" w:themeColor="accent1"/>
        </w:rPr>
        <w:instrText>ADDIN CSL_CITATION {"citationItems":[{"id":"ITEM-1","itemData":{"DOI":"10.1056/NEJMra012240","ISSN":"00284793","PMID":"12421895","abstract":"H UMANS have known for millennia that he- redity affects health. 1 However, Mendel’s seminal contribution to the elucidation of the mechanisms by which heredity affects phenotype oc- curred less than 150 years ago, and Garrod began ap- plying this knowledge to human health only at the start of the past century. For most of the 20th cen- tury, many medical practitioners viewed genetics as an esoteric academic specialty; that view is now dan- gerously outdated.","author":[{"dropping-particle":"","family":"Guttmacher","given":"Alan E.","non-dropping-particle":"","parse-names":false,"suffix":""},{"dropping-particle":"","family":"Collins","given":"Francis S.","non-dropping-particle":"","parse-names":false,"suffix":""}],"container-title":"New England Journal of Medicine","id":"ITEM-1","issue":"19","issued":{"date-parts":[["2002"]]},"page":"1512-1520","title":"Genomic medicine - A primer","type":"article-journal","volume":"347"},"uris":["http://www.mendeley.com/documents/?uuid=f705312c-a286-40c3-9aa0-c2f2b9b4dc62"]}],"mendeley":{"formattedCitation":"(Guttmacher and Collins, 2002)","plainTextFormattedCitation":"(Guttmacher and Collins, 2002)","previouslyFormattedCitation":"(Guttmacher and Collins, 2002)"},"properties":{"noteIndex":0},"schema":"https://github.com/citation-style-language/schema/raw/master/csl-citation.json"}</w:instrText>
      </w:r>
      <w:r w:rsidR="006D7168" w:rsidRPr="00A35149">
        <w:rPr>
          <w:rFonts w:asciiTheme="majorBidi" w:hAnsiTheme="majorBidi" w:cstheme="majorBidi"/>
          <w:color w:val="4472C4" w:themeColor="accent1"/>
        </w:rPr>
        <w:fldChar w:fldCharType="separate"/>
      </w:r>
      <w:r w:rsidR="006D7168" w:rsidRPr="00A35149">
        <w:rPr>
          <w:rFonts w:asciiTheme="majorBidi" w:hAnsiTheme="majorBidi" w:cstheme="majorBidi"/>
          <w:noProof/>
          <w:color w:val="4472C4" w:themeColor="accent1"/>
        </w:rPr>
        <w:t>(Guttmacher and Collins, 2002)</w:t>
      </w:r>
      <w:r w:rsidR="006D7168" w:rsidRPr="00A35149">
        <w:rPr>
          <w:rFonts w:asciiTheme="majorBidi" w:hAnsiTheme="majorBidi" w:cstheme="majorBidi"/>
          <w:color w:val="4472C4" w:themeColor="accent1"/>
        </w:rPr>
        <w:fldChar w:fldCharType="end"/>
      </w:r>
      <w:r w:rsidR="006D7168" w:rsidRPr="00A35149">
        <w:rPr>
          <w:rFonts w:asciiTheme="majorBidi" w:hAnsiTheme="majorBidi" w:cstheme="majorBidi"/>
        </w:rPr>
        <w:t xml:space="preserve">. </w:t>
      </w:r>
      <w:r w:rsidRPr="00A35149">
        <w:rPr>
          <w:rFonts w:asciiTheme="majorBidi" w:hAnsiTheme="majorBidi" w:cstheme="majorBidi"/>
        </w:rPr>
        <w:t xml:space="preserve">Most applications outside of simple Mendelian diseases start </w:t>
      </w:r>
      <w:r w:rsidR="00880E95" w:rsidRPr="00A35149">
        <w:rPr>
          <w:rFonts w:asciiTheme="majorBidi" w:hAnsiTheme="majorBidi" w:cstheme="majorBidi"/>
        </w:rPr>
        <w:t>by</w:t>
      </w:r>
      <w:r w:rsidRPr="00A35149">
        <w:rPr>
          <w:rFonts w:asciiTheme="majorBidi" w:hAnsiTheme="majorBidi" w:cstheme="majorBidi"/>
        </w:rPr>
        <w:t xml:space="preserve"> </w:t>
      </w:r>
      <w:r w:rsidR="00617398" w:rsidRPr="00A35149">
        <w:rPr>
          <w:rFonts w:asciiTheme="majorBidi" w:hAnsiTheme="majorBidi" w:cstheme="majorBidi"/>
        </w:rPr>
        <w:t xml:space="preserve">considering known </w:t>
      </w:r>
      <w:r w:rsidRPr="00A35149">
        <w:rPr>
          <w:rFonts w:asciiTheme="majorBidi" w:hAnsiTheme="majorBidi" w:cstheme="majorBidi"/>
        </w:rPr>
        <w:t xml:space="preserve">associations and </w:t>
      </w:r>
      <w:r w:rsidR="00617398" w:rsidRPr="00A35149">
        <w:rPr>
          <w:rFonts w:asciiTheme="majorBidi" w:hAnsiTheme="majorBidi" w:cstheme="majorBidi"/>
        </w:rPr>
        <w:t xml:space="preserve">testing for </w:t>
      </w:r>
      <w:r w:rsidRPr="00A35149">
        <w:rPr>
          <w:rFonts w:asciiTheme="majorBidi" w:hAnsiTheme="majorBidi" w:cstheme="majorBidi"/>
        </w:rPr>
        <w:t>them</w:t>
      </w:r>
      <w:r w:rsidR="00880E95" w:rsidRPr="00A35149">
        <w:rPr>
          <w:rFonts w:asciiTheme="majorBidi" w:hAnsiTheme="majorBidi" w:cstheme="majorBidi"/>
        </w:rPr>
        <w:t xml:space="preserve"> in the sequence of the patient</w:t>
      </w:r>
      <w:r w:rsidRPr="00A35149">
        <w:rPr>
          <w:rFonts w:asciiTheme="majorBidi" w:hAnsiTheme="majorBidi" w:cstheme="majorBidi"/>
        </w:rPr>
        <w:t>.</w:t>
      </w:r>
      <w:r w:rsidR="00617398" w:rsidRPr="00A35149">
        <w:rPr>
          <w:rFonts w:asciiTheme="majorBidi" w:hAnsiTheme="majorBidi" w:cstheme="majorBidi"/>
        </w:rPr>
        <w:t xml:space="preserve"> </w:t>
      </w:r>
      <w:r w:rsidR="00CF7034" w:rsidRPr="00A35149">
        <w:rPr>
          <w:rFonts w:asciiTheme="majorBidi" w:hAnsiTheme="majorBidi" w:cstheme="majorBidi"/>
        </w:rPr>
        <w:t xml:space="preserve">Harnessing the knowledge gained from a small fraction of patients into </w:t>
      </w:r>
      <w:r w:rsidR="006D7168" w:rsidRPr="00A35149">
        <w:rPr>
          <w:rFonts w:asciiTheme="majorBidi" w:hAnsiTheme="majorBidi" w:cstheme="majorBidi"/>
        </w:rPr>
        <w:t xml:space="preserve">the </w:t>
      </w:r>
      <w:r w:rsidR="00CF7034" w:rsidRPr="00A35149">
        <w:rPr>
          <w:rFonts w:asciiTheme="majorBidi" w:hAnsiTheme="majorBidi" w:cstheme="majorBidi"/>
        </w:rPr>
        <w:t xml:space="preserve">routine care </w:t>
      </w:r>
      <w:r w:rsidR="006D7168" w:rsidRPr="00A35149">
        <w:rPr>
          <w:rFonts w:asciiTheme="majorBidi" w:hAnsiTheme="majorBidi" w:cstheme="majorBidi"/>
        </w:rPr>
        <w:t xml:space="preserve">of new patients </w:t>
      </w:r>
      <w:r w:rsidR="00CF7034" w:rsidRPr="00A35149">
        <w:rPr>
          <w:rFonts w:asciiTheme="majorBidi" w:hAnsiTheme="majorBidi" w:cstheme="majorBidi"/>
        </w:rPr>
        <w:t xml:space="preserve">has the potential to expand diagnoses outside of rare diseases, determine optimal drug therapy and effectiveness through targeted treatment, and allow for a more accurate prediction of an individual's susceptibility to disease – the pillars of the genomic medicine vision </w:t>
      </w:r>
      <w:r w:rsidR="00CF7034" w:rsidRPr="00A35149">
        <w:rPr>
          <w:rFonts w:asciiTheme="majorBidi" w:hAnsiTheme="majorBidi" w:cstheme="majorBidi"/>
          <w:color w:val="4472C4" w:themeColor="accent1"/>
        </w:rPr>
        <w:fldChar w:fldCharType="begin" w:fldLock="1"/>
      </w:r>
      <w:r w:rsidR="00CF7034" w:rsidRPr="00A35149">
        <w:rPr>
          <w:rFonts w:asciiTheme="majorBidi" w:hAnsiTheme="majorBidi" w:cstheme="majorBidi"/>
          <w:color w:val="4472C4" w:themeColor="accent1"/>
        </w:rPr>
        <w:instrText>ADDIN CSL_CITATION {"citationItems":[{"id":"ITEM-1","itemData":{"DOI":"10.1038/s41431-019-0507-1","ISSN":"14765438","abstract":"Clinical genome and exome sequencing is currently used in only a small fraction of patients, yet large scale genomic initiatives are becoming more embedded in clinical services. This paper examines the ethical principles that should guide regulatory processes regarding consent and data sharing in this context. We argue that a genomic dataset administered by the health system carries substantial societal benefits, and that the collective nature of this initiative means that at least those patients who benefit from genome sequencing have an ethical obligation to share their health information. This obligation is grounded in considerations of fairness. Furthermore, we argue that the use of genomic data for the advancement of medical knowledge should be permitted without explicit consent and that international and other bodies should be granted access to these data, provided certain conditions are satisfied.","author":[{"dropping-particle":"","family":"Johnson","given":"Stephanie B.","non-dropping-particle":"","parse-names":false,"suffix":""},{"dropping-particle":"","family":"Slade","given":"Ingrid","non-dropping-particle":"","parse-names":false,"suffix":""},{"dropping-particle":"","family":"Giubilini","given":"Alberto","non-dropping-particle":"","parse-names":false,"suffix":""},{"dropping-particle":"","family":"Graham","given":"Mackenzie","non-dropping-particle":"","parse-names":false,"suffix":""}],"container-title":"European Journal of Human Genetics","id":"ITEM-1","issued":{"date-parts":[["2019"]]},"title":"Rethinking the ethical principles of genomic medicine services","type":"article-journal"},"uris":["http://www.mendeley.com/documents/?uuid=1225bc56-1f21-4f97-b897-099f363fd2f5"]}],"mendeley":{"formattedCitation":"(Johnson &lt;i&gt;et al.&lt;/i&gt;, 2019)","plainTextFormattedCitation":"(Johnson et al., 2019)","previouslyFormattedCitation":"(Johnson &lt;i&gt;et al.&lt;/i&gt;, 2019)"},"properties":{"noteIndex":0},"schema":"https://github.com/citation-style-language/schema/raw/master/csl-citation.json"}</w:instrText>
      </w:r>
      <w:r w:rsidR="00CF7034" w:rsidRPr="00A35149">
        <w:rPr>
          <w:rFonts w:asciiTheme="majorBidi" w:hAnsiTheme="majorBidi" w:cstheme="majorBidi"/>
          <w:color w:val="4472C4" w:themeColor="accent1"/>
        </w:rPr>
        <w:fldChar w:fldCharType="separate"/>
      </w:r>
      <w:r w:rsidR="00CF7034" w:rsidRPr="00A35149">
        <w:rPr>
          <w:rFonts w:asciiTheme="majorBidi" w:hAnsiTheme="majorBidi" w:cstheme="majorBidi"/>
          <w:noProof/>
          <w:color w:val="4472C4" w:themeColor="accent1"/>
        </w:rPr>
        <w:t xml:space="preserve">(Johnson </w:t>
      </w:r>
      <w:r w:rsidR="00CF7034" w:rsidRPr="00A35149">
        <w:rPr>
          <w:rFonts w:asciiTheme="majorBidi" w:hAnsiTheme="majorBidi" w:cstheme="majorBidi"/>
          <w:i/>
          <w:noProof/>
          <w:color w:val="4472C4" w:themeColor="accent1"/>
        </w:rPr>
        <w:t>et al.</w:t>
      </w:r>
      <w:r w:rsidR="00CF7034" w:rsidRPr="00A35149">
        <w:rPr>
          <w:rFonts w:asciiTheme="majorBidi" w:hAnsiTheme="majorBidi" w:cstheme="majorBidi"/>
          <w:noProof/>
          <w:color w:val="4472C4" w:themeColor="accent1"/>
        </w:rPr>
        <w:t>, 2019)</w:t>
      </w:r>
      <w:r w:rsidR="00CF7034" w:rsidRPr="00A35149">
        <w:rPr>
          <w:rFonts w:asciiTheme="majorBidi" w:hAnsiTheme="majorBidi" w:cstheme="majorBidi"/>
          <w:color w:val="4472C4" w:themeColor="accent1"/>
        </w:rPr>
        <w:fldChar w:fldCharType="end"/>
      </w:r>
      <w:r w:rsidR="00CF7034" w:rsidRPr="00A35149">
        <w:rPr>
          <w:rFonts w:asciiTheme="majorBidi" w:hAnsiTheme="majorBidi" w:cstheme="majorBidi"/>
        </w:rPr>
        <w:t xml:space="preserve">. </w:t>
      </w:r>
    </w:p>
    <w:p w14:paraId="331BD729" w14:textId="5F2C4952" w:rsidR="008A3B7D" w:rsidRPr="00A35149" w:rsidRDefault="008A3B7D" w:rsidP="008A3B7D">
      <w:pPr>
        <w:pStyle w:val="NoSpacing"/>
        <w:rPr>
          <w:rFonts w:asciiTheme="majorBidi" w:hAnsiTheme="majorBidi" w:cstheme="majorBidi"/>
        </w:rPr>
      </w:pPr>
    </w:p>
    <w:p w14:paraId="4D8DA72B" w14:textId="77777777" w:rsidR="002E00CA" w:rsidRPr="00A35149" w:rsidRDefault="002E00CA" w:rsidP="002E00CA">
      <w:pPr>
        <w:widowControl w:val="0"/>
        <w:ind w:firstLine="720"/>
        <w:rPr>
          <w:rFonts w:asciiTheme="majorBidi" w:hAnsiTheme="majorBidi" w:cstheme="majorBidi"/>
        </w:rPr>
      </w:pPr>
      <w:r w:rsidRPr="00A35149">
        <w:rPr>
          <w:rFonts w:asciiTheme="majorBidi" w:hAnsiTheme="majorBidi" w:cstheme="majorBidi"/>
          <w:i/>
          <w:iCs/>
        </w:rPr>
        <w:t>Personalised genomic medicine</w:t>
      </w:r>
      <w:r w:rsidRPr="00A35149">
        <w:rPr>
          <w:rFonts w:asciiTheme="majorBidi" w:hAnsiTheme="majorBidi" w:cstheme="majorBidi"/>
        </w:rPr>
        <w:t xml:space="preserve"> aims to tailor a treatment to an individuals’ genetic needs and is expected to revolutionise disease treatment by using targeted therapy and treatment tailored to the individual to achieve the most effective outcome </w:t>
      </w:r>
      <w:r w:rsidRPr="00A35149">
        <w:rPr>
          <w:rFonts w:asciiTheme="majorBidi" w:hAnsiTheme="majorBidi" w:cstheme="majorBidi"/>
          <w:color w:val="4472C4" w:themeColor="accent1"/>
        </w:rPr>
        <w:t xml:space="preserve">(Figure 3)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{"citationItems":[{"id":"ITEM-1","itemData":{"abstract":"The NHS has a long and internationally renowned track record of innovation and creativity: in vitro fertilisation; the development of MRI and CT scanning; the portable defibrillator; the disposable syringe; the world’s first antibiotic; and mapping the structure of DNA. These are just a few of the breakthroughs that have been made by British clinicians and scientists for the benefit of patients. These advances have also benefitted the UK economy, with new ideas and technology in this sector kick-starting businesses, creating jobs and supporting exports across the world. The NHS continues to operate at the limit of science. Through the 100,000 Genomes Project, a ground breaking and world leading initiative, the NHS is building partnerships with academia and industry to decode the human genome, in people with rare diseases and cancer. Clinical teams in the 13 NHS Genomic Medicine Centres are enabling the NHS to become the first health service to collect and use whole genome sequencing alongside route collection of clinical and diagnostic data on a large scale.","author":[{"dropping-particle":"","family":"NHS","given":"","non-dropping-particle":"","parse-names":false,"suffix":""}],"container-title":"NHS England","id":"ITEM-1","issued":{"date-parts":[["2016"]]},"title":"Improving Outcomes Through Personalised Medicine.","type":"report"},"uris":["http://www.mendeley.com/documents/?uuid=0ea15583-0fb3-4449-a354-a69984fc542b"]}],"mendeley":{"formattedCitation":"(NHS, 2016)","plainTextFormattedCitation":"(NHS, 2016)","previouslyFormattedCitation":"(NHS, 2016)"},"properties":{"noteIndex":0},"schema":"https://github.com/citation-style-language/schema/raw/master/csl-citation.json"}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(NHS, 2016)</w:t>
      </w:r>
      <w:r w:rsidRPr="00A35149">
        <w:rPr>
          <w:rFonts w:asciiTheme="majorBidi" w:hAnsiTheme="majorBidi" w:cstheme="majorBidi"/>
          <w:color w:val="4472C4" w:themeColor="accent1"/>
        </w:rPr>
        <w:fldChar w:fldCharType="end"/>
      </w:r>
      <w:r w:rsidRPr="00A35149">
        <w:rPr>
          <w:rFonts w:asciiTheme="majorBidi" w:hAnsiTheme="majorBidi" w:cstheme="majorBidi"/>
        </w:rPr>
        <w:t>. This form of genomic medicine</w:t>
      </w:r>
      <w:r w:rsidRPr="00A35149">
        <w:rPr>
          <w:rFonts w:asciiTheme="majorBidi" w:hAnsiTheme="majorBidi" w:cstheme="majorBidi"/>
          <w:b/>
          <w:bCs/>
          <w:i/>
          <w:iCs/>
        </w:rPr>
        <w:t xml:space="preserve"> </w:t>
      </w:r>
      <w:r w:rsidRPr="00A35149">
        <w:rPr>
          <w:rFonts w:asciiTheme="majorBidi" w:hAnsiTheme="majorBidi" w:cstheme="majorBidi"/>
        </w:rPr>
        <w:t xml:space="preserve">was made feasible due to advances in computational biotechnology and its implementation into the health care system </w:t>
      </w:r>
      <w:r w:rsidRPr="00A35149">
        <w:rPr>
          <w:rFonts w:asciiTheme="majorBidi" w:hAnsiTheme="majorBidi" w:cstheme="majorBidi"/>
          <w:color w:val="4472C4" w:themeColor="accent1"/>
        </w:rPr>
        <w:t>(Figure 4)</w:t>
      </w:r>
      <w:r w:rsidRPr="00A35149">
        <w:rPr>
          <w:rFonts w:asciiTheme="majorBidi" w:hAnsiTheme="majorBidi" w:cstheme="majorBidi"/>
        </w:rPr>
        <w:t xml:space="preserve">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{"citationItems":[{"id":"ITEM-1","itemData":{"DOI":"10.1373/clinchem.2012.184622","ISSN":"00099147","abstract":"BACKGROUND: The practice of personalized medicine has made large strides since the introduction of high-throughput technologies and the vast improvements in computational biotechnology. The personalized-medicine approach to cancer management holds promise for earlier disease detection, accurate prediction of prognosis, and better treatment options; however, the early experience with personalized medicine has revealed important concerns that need to be addressed before research findings can be translated to the bedside.\\n\\nCONTENT: We discuss several emerging \"practical\" or \"focused\" applications of personalized medicine. Molecular testing can have an important positive impact on health and disease management in a number of ways, and the list of specific applications is evolving. This list includes improvements in risk assessment, disease prevention, identification of new disease-related mutations, accurate disease classification based on molecular signatures, selection of patients for enrollment in clinical trials, and development of new targeted therapies, especially for metastatic tumors that are refractory to treatment. Several challenges remain to be addressed before genomics information can be applied successfully in the routine clinical management of cancers. Further improvements and investigations are needed in data interpretation, extraction of actionable items, cost-effectiveness, how to account for patient heterogeneity and ethnic variation, and how to handle the risk of \"incidental findings\" in genetic testing.\\n\\nSUMMARY: It is now clear that personalized medicine will not immediately provide a permanent solution for patient management and that further refinement in the applications of personalized medicine will be needed to address and focus on specific issues.","author":[{"dropping-particle":"","family":"Pasic","given":"Maria D.","non-dropping-particle":"","parse-names":false,"suffix":""},{"dropping-particle":"","family":"Samaan","given":"Sara","non-dropping-particle":"","parse-names":false,"suffix":""},{"dropping-particle":"","family":"Yousef","given":"George M.","non-dropping-particle":"","parse-names":false,"suffix":""}],"container-title":"Clinical Chemistry","id":"ITEM-1","issue":"1","issued":{"date-parts":[["2013"]]},"page":"158-167","title":"Genomic medicine: New frontiers and new challenges","type":"article-journal","volume":"59"},"uris":["http://www.mendeley.com/documents/?uuid=992db5b4-cee8-4fb3-8676-ee9f40f445f9"]}],"mendeley":{"formattedCitation":"(Pasic, Samaan and Yousef, 2013)","manualFormatting":"(Pasic et al., 2013)","plainTextFormattedCitation":"(Pasic, Samaan and Yousef, 2013)","previouslyFormattedCitation":"(Pasic, Samaan and Yousef, 2013)"},"properties":{"noteIndex":0},"schema":"https://github.com/citation-style-language/schema/raw/master/csl-citation.json"}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(Pasic </w:t>
      </w:r>
      <w:r w:rsidRPr="00A35149">
        <w:rPr>
          <w:rFonts w:asciiTheme="majorBidi" w:hAnsiTheme="majorBidi" w:cstheme="majorBidi"/>
          <w:i/>
          <w:iCs/>
          <w:noProof/>
          <w:color w:val="4472C4" w:themeColor="accent1"/>
        </w:rPr>
        <w:t>et al.</w:t>
      </w:r>
      <w:r w:rsidRPr="00A35149">
        <w:rPr>
          <w:rFonts w:asciiTheme="majorBidi" w:hAnsiTheme="majorBidi" w:cstheme="majorBidi"/>
          <w:noProof/>
          <w:color w:val="4472C4" w:themeColor="accent1"/>
        </w:rPr>
        <w:t>, 2013)</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alongside biological advancements that include the mapping of human genetic variation across the world, through parallel global efforts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{"citationItems":[{"id":"ITEM-1","itemData":{"DOI":"10.1016/j.ajhg.2019.05.006","ISSN":"15376605","abstract":"The Genes for Good study uses social media to engage a large, diverse participant pool in genetics research and education. Health history and daily tracking surveys are administered through a Facebook application, and participants who complete a minimum number of surveys are mailed a saliva sample kit (“spit kit”) to collect DNA for genotyping. As of March 2019, we engaged &gt;80,000 individuals, sent spit kits to &gt;32,000 individuals who met minimum participation requirements, and collected &gt;27,000 spit kits. Participants come from all 50 states and include a diversity of ancestral backgrounds. Rates of important chronic health indicators are consistent with those estimated for the general U.S. population using more traditional study designs. However, our sample is younger and contains a greater percentage of females than the general population. As one means of verifying data quality, we have replicated genome-wide association studies (GWASs) for exemplar traits, such as asthma, diabetes, body mass index (BMI), and pigmentation. The flexible framework of the web application makes it relatively simple to add new questionnaires and for other researchers to collaborate. We anticipate that the study sample will continue to grow and that future analyses may further capitalize on the strengths of the longitudinal data in combination with genetic information.","author":[{"dropping-particle":"","family":"Brieger","given":"Katharine","non-dropping-particle":"","parse-names":false,"suffix":""},{"dropping-particle":"","family":"Zajac","given":"Gregory J.M.","non-dropping-particle":"","parse-names":false,"suffix":""},{"dropping-particle":"","family":"Pandit","given":"Anita","non-dropping-particle":"","parse-names":false,"suffix":""},{"dropping-particle":"","family":"Foerster","given":"Johanna R.","non-dropping-particle":"","parse-names":false,"suffix":""},{"dropping-particle":"","family":"Li","given":"Kevin W.","non-dropping-particle":"","parse-names":false,"suffix":""},{"dropping-particle":"","family":"Annis","given":"Aubrey C.","non-dropping-particle":"","parse-names":false,"suffix":""},{"dropping-particle":"","family":"Schmidt","given":"Ellen M.","non-dropping-particle":"","parse-names":false,"suffix":""},{"dropping-particle":"","family":"Clark","given":"Chris P.","non-dropping-particle":"","parse-names":false,"suffix":""},{"dropping-particle":"","family":"McMorrow","given":"Karly","non-dropping-particle":"","parse-names":false,"suffix":""},{"dropping-particle":"","family":"Zhou","given":"Wei","non-dropping-particle":"","parse-names":false,"suffix":""},{"dropping-particle":"","family":"Yang","given":"Jingjing","non-dropping-particle":"","parse-names":false,"suffix":""},{"dropping-particle":"","family":"Kwong","given":"Alan M.","non-dropping-particle":"","parse-names":false,"suffix":""},{"dropping-particle":"","family":"Boughton","given":"Andrew P.","non-dropping-particle":"","parse-names":false,"suffix":""},{"dropping-particle":"","family":"Wu","given":"Jinxi","non-dropping-particle":"","parse-names":false,"suffix":""},{"dropping-particle":"","family":"Scheller","given":"Chris","non-dropping-particle":"","parse-names":false,"suffix":""},{"dropping-particle":"","family":"Parikh","given":"Tanvi","non-dropping-particle":"","parse-names":false,"suffix":""},{"dropping-particle":"","family":"la Vega","given":"Alejandro","non-dropping-particle":"de","parse-names":false,"suffix":""},{"dropping-particle":"","family":"Brazel","given":"David M.","non-dropping-particle":"","parse-names":false,"suffix":""},{"dropping-particle":"","family":"Frieser","given":"Maia","non-dropping-particle":"","parse-names":false,"suffix":""},{"dropping-particle":"","family":"Rea-Sandin","given":"Gianna","non-dropping-particle":"","parse-names":false,"suffix":""},{"dropping-particle":"","family":"Fritsche","given":"Lars G.","non-dropping-particle":"","parse-names":false,"suffix":""},{"dropping-particle":"","family":"Vrieze","given":"Scott I.","non-dropping-particle":"","parse-names":false,"suffix":""},{"dropping-particle":"","family":"Abecasis","given":"Gonçalo R.","non-dropping-particle":"","parse-names":false,"suffix":""}],"container-title":"American Journal of Human Genetics","id":"ITEM-1","issue":"1","issued":{"date-parts":[["2019"]]},"page":"65-77","title":"Genes for Good: Engaging the Public in Genetics Research via Social Media","type":"article-journal","volume":"105"},"uris":["http://www.mendeley.com/documents/?uuid=5ca2f82c-6c83-4a2e-a2ad-44cd84452f56"]}],"mendeley":{"formattedCitation":"(Brieger &lt;i&gt;et al.&lt;/i&gt;, 2019)","plainTextFormattedCitation":"(Brieger et al., 2019)","previouslyFormattedCitation":"(Brieger &lt;i&gt;et al.&lt;/i&gt;, 2019)"},"properties":{"noteIndex":0},"schema":"https://github.com/citation-style-language/schema/raw/master/csl-citation.json"}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(Brieger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2019)</w:t>
      </w:r>
      <w:r w:rsidRPr="00A35149">
        <w:rPr>
          <w:rFonts w:asciiTheme="majorBidi" w:hAnsiTheme="majorBidi" w:cstheme="majorBidi"/>
          <w:color w:val="4472C4" w:themeColor="accent1"/>
        </w:rPr>
        <w:fldChar w:fldCharType="end"/>
      </w:r>
      <w:r w:rsidRPr="00A35149">
        <w:rPr>
          <w:rFonts w:asciiTheme="majorBidi" w:hAnsiTheme="majorBidi" w:cstheme="majorBidi"/>
          <w:color w:val="4472C4" w:themeColor="accent1"/>
        </w:rPr>
        <w:t xml:space="preserve">. </w:t>
      </w:r>
      <w:r w:rsidRPr="00A35149">
        <w:rPr>
          <w:rFonts w:asciiTheme="majorBidi" w:hAnsiTheme="majorBidi" w:cstheme="majorBidi"/>
        </w:rPr>
        <w:t>However, it remains a futuristic vision rather than an everyday reality, due to the multiple obstacles that genetic studies face in deciphering the complex genotype-phenotype relationships</w:t>
      </w:r>
      <w:r w:rsidRPr="00A35149">
        <w:rPr>
          <w:rFonts w:asciiTheme="majorBidi" w:hAnsiTheme="majorBidi" w:cstheme="majorBidi"/>
          <w:color w:val="4472C4"/>
        </w:rPr>
        <w:t xml:space="preserve">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{"citationItems":[{"id":"ITEM-1","itemData":{"DOI":"10.1038/gim.2012.157","ISSN":"10983600","abstract":"Although the potential for genomics to contribute to clinical care has long been anticipated, the pace of defining the risks and benefits of incorporating genomic findings into medical practice has been relatively slow. Several institutions have recently begun genomic medicine programs, encountering many of the same obstacles and developing the same solutions, often independently. Recognizing that successful early experiences can inform subsequent efforts, the National Human Genome Research Institute brought together a number of these groups to describe their ongoing projects and challenges, identify common infrastructure and research needs, and outline an implementation framework for investigating and introducing similar programs elsewhere. Chief among the challenges were limited evidence and consensus on which genomic variants were medically relevant; lack of reimbursement for genomically driven interventions; and burden to patients and clinicians of assaying, reporting, intervening, and following up genomic findings. Key infrastructure needs included an openly accessible knowledge base capturing sequence variants and their phenotypic associations and a framework for defining and cataloging clinically actionable variants. Multiple institutions are actively engaged in using genomic information in clinical care. Much of this work is being done in isolation and would benefit from more structured collaboration and sharing of best practices.Genet Med 2013:15(4):258-267.","author":[{"dropping-particle":"","family":"Manolio","given":"Teri A.","non-dropping-particle":"","parse-names":false,"suffix":""},{"dropping-particle":"","family":"Chisholm","given":"Rex L.","non-dropping-particle":"","parse-names":false,"suffix":""},{"dropping-particle":"","family":"Ozenberger","given":"Brad","non-dropping-particle":"","parse-names":false,"suffix":""},{"dropping-particle":"","family":"Roden","given":"Dan M.","non-dropping-particle":"","parse-names":false,"suffix":""},{"dropping-particle":"","family":"Williams","given":"Marc S.","non-dropping-particle":"","parse-names":false,"suffix":""},{"dropping-particle":"","family":"Wilson","given":"Richard","non-dropping-particle":"","parse-names":false,"suffix":""},{"dropping-particle":"","family":"Bick","given":"David","non-dropping-particle":"","parse-names":false,"suffix":""},{"dropping-particle":"","family":"Bottinger","given":"Erwin P.","non-dropping-particle":"","parse-names":false,"suffix":""},{"dropping-particle":"","family":"Brilliant","given":"Murray H.","non-dropping-particle":"","parse-names":false,"suffix":""},{"dropping-particle":"","family":"Eng","given":"Charis","non-dropping-particle":"","parse-names":false,"suffix":""},{"dropping-particle":"","family":"Frazer","given":"Kelly A.","non-dropping-particle":"","parse-names":false,"suffix":""},{"dropping-particle":"","family":"Korf","given":"Bruce","non-dropping-particle":"","parse-names":false,"suffix":""},{"dropping-particle":"","family":"Ledbetter","given":"David H.","non-dropping-particle":"","parse-names":false,"suffix":""},{"dropping-particle":"","family":"Lupski","given":"James R.","non-dropping-particle":"","parse-names":false,"suffix":""},{"dropping-particle":"","family":"Marsh","given":"Clay","non-dropping-particle":"","parse-names":false,"suffix":""},{"dropping-particle":"","family":"Mrazek","given":"David","non-dropping-particle":"","parse-names":false,"suffix":""},{"dropping-particle":"","family":"Murray","given":"Michael F.","non-dropping-particle":"","parse-names":false,"suffix":""},{"dropping-particle":"","family":"O'Donnell","given":"Peter H.","non-dropping-particle":"","parse-names":false,"suffix":""},{"dropping-particle":"","family":"Rader","given":"Daniel J.","non-dropping-particle":"","parse-names":false,"suffix":""},{"dropping-particle":"V.","family":"Relling","given":"Mary","non-dropping-particle":"","parse-names":false,"suffix":""},{"dropping-particle":"","family":"Shuldiner","given":"Alan R.","non-dropping-particle":"","parse-names":false,"suffix":""},{"dropping-particle":"","family":"Valle","given":"David","non-dropping-particle":"","parse-names":false,"suffix":""},{"dropping-particle":"","family":"Weinshilboum","given":"Richard","non-dropping-particle":"","parse-names":false,"suffix":""},{"dropping-particle":"","family":"Green","given":"Eric D.","non-dropping-particle":"","parse-names":false,"suffix":""},{"dropping-particle":"","family":"Ginsburg","given":"Geoffrey S.","non-dropping-particle":"","parse-names":false,"suffix":""}],"container-title":"Genetics in Medicine","id":"ITEM-1","issued":{"date-parts":[["2013"]]},"page":"258-267","title":"Implementing genomic medicine in the clinic: The future is here","type":"article-journal","volume":"15"},"uris":["http://www.mendeley.com/documents/?uuid=b94efe89-18da-450b-8fad-6339f0354e0e"]},{"id":"ITEM-2","itemData":{"DOI":"10.1186/s12920-015-0162-5","ISSN":"17558794","abstract":"© 2016 Weitzel et al. Background: Patients, clinicians, researchers and payers are seeking to understand the value of using genomic information (as reflected by genotyping, sequencing, family history or other data) to inform clinical decision-making. However, challenges exist to widespread clinical implementation of genomic medicine, a prerequisite for developing evidence of its real-world utility. Methods: To address these challenges, the National Institutes of Health-funded IGNITE (Implementing GeNomics In pracTicE; www.ignite-genomics.org) Network, comprised of six projects and a coordinating center, was established in 2013 to support the development, investigation and dissemination of genomic medicine practice models that seamlessly integrate genomic data into the electronic health record and that deploy tools for point of care decision making. IGNITE site projects are aligned in their purpose of testing these models, but individual projects vary in scope and design, including exploring genetic markers for disease risk prediction and prevention, developing tools for using family history data, incorporating pharmacogenomic data into clinical care, refining disease diagnosis using sequence-based mutation discovery, and creating novel educational approaches. Results: This paper describes the IGNITE Network and member projects, including network structure, collaborative initiatives, clinical decision support strategies, methods for return of genomic test results, and educational initiatives for patients and providers. Clinical and outcomes data from individual sites and network-wide projects are anticipated to begin being published over the next few years. Conclusions: The IGNITE Network is an innovative series of projects and pilot demonstrations aiming to enhance translation of validated actionable genomic information into clinical settings and develop and use measures of outcome in response to genome-based clinical interventions using a pragmatic framework to provide early data and proofs of concept on the utility of these interventions. Through these efforts and collaboration with other stakeholders, IGNITE is poised to have a significant impact on the acceleration of genomic information into medical practice.","author":[{"dropping-particle":"","family":"Weitzel","given":"Kristin Wiisanen","non-dropping-particle":"","parse-names":false,"suffix":""},{"dropping-particle":"","family":"Alexander","given":"Madeline","non-dropping-particle":"","parse-names":false,"suffix":""},{"dropping-particle":"","family":"Bernhardt","given":"Barbara A.","non-dropping-particle":"","parse-names":false,"suffix":""},{"dropping-particle":"","family":"Calman","given":"Neil","non-dropping-particle":"","parse-names":false,"suffix":""},{"dropping-particle":"","family":"Carey","given":"David J.","non-dropping-particle":"","parse-names":false,"suffix":""},{"dropping-particle":"","family":"Cavallari","given":"Larisa H.","non-dropping-particle":"","parse-names":false,"suffix":""},{"dropping-particle":"","family":"Field","given":"Julie R.","non-dropping-particle":"","parse-names":false,"suffix":""},{"dropping-particle":"","family":"Hauser","given":"Diane","non-dropping-particle":"","parse-names":false,"suffix":""},{"dropping-particle":"","family":"Junkins","given":"Heather A.","non-dropping-particle":"","parse-names":false,"suffix":""},{"dropping-particle":"","family":"Levin","given":"Phillip A.","non-dropping-particle":"","parse-names":false,"suffix":""},{"dropping-particle":"","family":"Levy","given":"Kenneth","non-dropping-particle":"","parse-names":false,"suffix":""},{"dropping-particle":"","family":"Madden","given":"Ebony B.","non-dropping-particle":"","parse-names":false,"suffix":""},{"dropping-particle":"","family":"Manolio","given":"Teri A.","non-dropping-particle":"","parse-names":false,"suffix":""},{"dropping-particle":"","family":"Odgis","given":"Jacqueline","non-dropping-particle":"","parse-names":false,"suffix":""},{"dropping-particle":"","family":"Orlando","given":"Lori A.","non-dropping-particle":"","parse-names":false,"suffix":""},{"dropping-particle":"","family":"Pyeritz","given":"Reed","non-dropping-particle":"","parse-names":false,"suffix":""},{"dropping-particle":"","family":"Wu","given":"R. Ryanne","non-dropping-particle":"","parse-names":false,"suffix":""},{"dropping-particle":"","family":"Shuldiner","given":"Alan R.","non-dropping-particle":"","parse-names":false,"suffix":""},{"dropping-particle":"","family":"Bottinger","given":"Erwin P.","non-dropping-particle":"","parse-names":false,"suffix":""},{"dropping-particle":"","family":"Denny","given":"Joshua C.","non-dropping-particle":"","parse-names":false,"suffix":""},{"dropping-particle":"","family":"Dexter","given":"Paul R.","non-dropping-particle":"","parse-names":false,"suffix":""},{"dropping-particle":"","family":"Flockhart","given":"David A.","non-dropping-particle":"","parse-names":false,"suffix":""},{"dropping-particle":"","family":"Horowitz","given":"Carol R.","non-dropping-particle":"","parse-names":false,"suffix":""},{"dropping-particle":"","family":"Johnson","given":"Julie A.","non-dropping-particle":"","parse-names":false,"suffix":""},{"dropping-particle":"","family":"Kimmel","given":"Stephen E.","non-dropping-particle":"","parse-names":false,"suffix":""},{"dropping-particle":"","family":"Levy","given":"Mia A.","non-dropping-particle":"","parse-names":false,"suffix":""},{"dropping-particle":"","family":"Pollin","given":"Toni I.","non-dropping-particle":"","parse-names":false,"suffix":""},{"dropping-particle":"","family":"Ginsburg","given":"Geoffrey S.","non-dropping-particle":"","parse-names":false,"suffix":""}],"container-title":"BMC Medical Genomics","id":"ITEM-2","issue":"1","issued":{"date-parts":[["2016"]]},"title":"The IGNITE network: A model for genomic medicine implementation and research","type":"article-journal","volume":"9"},"uris":["http://www.mendeley.com/documents/?uuid=8aa6637c-73b1-4262-aacd-bfcb6431b695"]}],"mendeley":{"formattedCitation":"(Manolio &lt;i&gt;et al.&lt;/i&gt;, 2013; Weitzel &lt;i&gt;et al.&lt;/i&gt;, 2016)","plainTextFormattedCitation":"(Manolio et al., 2013; Weitzel et al., 2016)","previouslyFormattedCitation":"(Manolio &lt;i&gt;et al.&lt;/i&gt;, 2013; Weitzel &lt;i&gt;et al.&lt;/i&gt;, 2016)"},"properties":{"noteIndex":0},"schema":"https://github.com/citation-style-language/schema/raw/master/csl-citation.json"}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(Manolio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xml:space="preserve">, 2013; Weitzel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2016)</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One of the notorious difficulties in the field is the variation among population subgroups, which is often due to their genomic background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{"citationItems":[{"id":"ITEM-1","itemData":{"DOI":"10.1056/nejmra1510065","ISSN":"0028-4793","abstract":"Conslusions: Although most variations in results among countries are probably due to chance, variations can occasionally reflect important differences among countries in either the true benefits of an intervention or its true harms. When a randomized, clinical trial shows marked variations in results among countries, one should seek supporting evidence to understand whether the observed results are likely to be real, an artifact of the design analysis or implementation of the trial, or simply due to chance.","author":[{"dropping-particle":"","family":"Yusuf","given":"Salim","non-dropping-particle":"","parse-names":false,"suffix":""},{"dropping-particle":"","family":"Wittes","given":"Janet","non-dropping-particle":"","parse-names":false,"suffix":""}],"container-title":"New England Journal of Medicine","id":"ITEM-1","issue":"23","issued":{"date-parts":[["2016"]]},"page":"2263-2271","title":"Interpreting Geographic Variations in Results of Randomized, Controlled Trials","type":"article-journal","volume":"375"},"uris":["http://www.mendeley.com/documents/?uuid=8a80d4d0-2c54-497c-9d5a-916e3e9aaa41"]}],"mendeley":{"formattedCitation":"(Yusuf and Wittes, 2016)","plainTextFormattedCitation":"(Yusuf and Wittes, 2016)","previouslyFormattedCitation":"(Yusuf and Wittes, 2016)"},"properties":{"noteIndex":0},"schema":"https://github.com/citation-style-language/schema/raw/master/csl-citation.json"}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(Yusuf and Wittes, 2016)</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Personalisation to the ancestral group-level is a more realistic short-term </w:t>
      </w:r>
      <w:proofErr w:type="gramStart"/>
      <w:r w:rsidRPr="00A35149">
        <w:rPr>
          <w:rFonts w:asciiTheme="majorBidi" w:hAnsiTheme="majorBidi" w:cstheme="majorBidi"/>
        </w:rPr>
        <w:t>goal, yet</w:t>
      </w:r>
      <w:proofErr w:type="gramEnd"/>
      <w:r w:rsidRPr="00A35149">
        <w:rPr>
          <w:rFonts w:asciiTheme="majorBidi" w:hAnsiTheme="majorBidi" w:cstheme="majorBidi"/>
        </w:rPr>
        <w:t xml:space="preserve"> being well-represented in genomic datasets is the exception rather than the rule. For example, an individual of Aramean ancestry living in the UK would be matched to only a handful of individuals in the UK Biobank. Similarly, individuals from Transcaucasia may be considered either “Europeans” or “Asians”, and poorly represented by either, as their populations resemble an older admixture between these continental groups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{"citationItems":[{"id":"ITEM-1","itemData":{"DOI":"10.1038/s41586-018-0094-2","ISSN":"14764687","abstract":"For thousands of years the Eurasian steppes have been a centre of human migrations and cultural change. Here we sequence the genomes of 137 ancient humans (about 1× average coverage), covering a period of 4,000 years, to understand the population history of the Eurasian steppes after the Bronze Age migrations. We find that the genetics of the Scythian groups that dominated the Eurasian steppes throughout the Iron Age were highly structured, with diverse origins comprising Late Bronze Age herders, European farmers and southern Siberian hunter-gatherers. Later, Scythians admixed with the eastern steppe nomads who formed the Xiongnu confederations, and moved westward in about the second or third century bc, forming the Hun traditions in the fourth-fifth century ad, and carrying with them plague that was basal to the Justinian plague. These nomads were further admixed with East Asian groups during several short-Term khanates in the Medieval period. These historical events transformed the Eurasian steppes from being inhabited by Indo-European speakers of largely West Eurasian ancestry to the mostly Turkic-speaking groups of the present day, who are primarily of East Asian ancestry.","author":[{"dropping-particle":"","family":"Barros Damgaard","given":"Peter","non-dropping-particle":"De","parse-names":false,"suffix":""},{"dropping-particle":"","family":"Marchi","given":"Nina","non-dropping-particle":"","parse-names":false,"suffix":""},{"dropping-particle":"","family":"Rasmussen","given":"Simon","non-dropping-particle":"","parse-names":false,"suffix":""},{"dropping-particle":"","family":"Peyrot","given":"Michaël","non-dropping-particle":"","parse-names":false,"suffix":""},{"dropping-particle":"","family":"Renaud","given":"Gabriel","non-dropping-particle":"","parse-names":false,"suffix":""},{"dropping-particle":"","family":"Korneliussen","given":"Thorfinn","non-dropping-particle":"","parse-names":false,"suffix":""},{"dropping-particle":"","family":"Moreno-Mayar","given":"J. Víctor","non-dropping-particle":"","parse-names":false,"suffix":""},{"dropping-particle":"","family":"Pedersen","given":"Mikkel Winther","non-dropping-particle":"","parse-names":false,"suffix":""},{"dropping-particle":"","family":"Goldberg","given":"Amy","non-dropping-particle":"","parse-names":false,"suffix":""},{"dropping-particle":"","family":"Usmanova","given":"Emma","non-dropping-particle":"","parse-names":false,"suffix":""},{"dropping-particle":"","family":"Baimukhanov","given":"Nurbol","non-dropping-particle":"","parse-names":false,"suffix":""},{"dropping-particle":"","family":"Loman","given":"Valeriy","non-dropping-particle":"","parse-names":false,"suffix":""},{"dropping-particle":"","family":"Hedeager","given":"Lotte","non-dropping-particle":"","parse-names":false,"suffix":""},{"dropping-particle":"","family":"Pedersen","given":"Anders Gorm","non-dropping-particle":"","parse-names":false,"suffix":""},{"dropping-particle":"","family":"Nielsen","given":"Kasper","non-dropping-particle":"","parse-names":false,"suffix":""},{"dropping-particle":"","family":"Afanasiev","given":"Gennady","non-dropping-particle":"","parse-names":false,"suffix":""},{"dropping-particle":"","family":"Akmatov","given":"Kunbolot","non-dropping-particle":"","parse-names":false,"suffix":""},{"dropping-particle":"","family":"Aldashev","given":"Almaz","non-dropping-particle":"","parse-names":false,"suffix":""},{"dropping-particle":"","family":"Alpaslan","given":"Ashyk","non-dropping-particle":"","parse-names":false,"suffix":""},{"dropping-particle":"","family":"Baimbetov","given":"Gabit","non-dropping-particle":"","parse-names":false,"suffix":""},{"dropping-particle":"","family":"Bazaliiskii","given":"Vladimir I.","non-dropping-particle":"","parse-names":false,"suffix":""},{"dropping-particle":"","family":"Beisenov","given":"Arman","non-dropping-particle":"","parse-names":false,"suffix":""},{"dropping-particle":"","family":"Boldbaatar","given":"Bazartseren","non-dropping-particle":"","parse-names":false,"suffix":""},{"dropping-particle":"","family":"Boldgiv","given":"Bazartseren","non-dropping-particle":"","parse-names":false,"suffix":""},{"dropping-particle":"","family":"Dorzhu","given":"Choduraa","non-dropping-particle":"","parse-names":false,"suffix":""},{"dropping-particle":"","family":"Ellingvag","given":"Sturla","non-dropping-particle":"","parse-names":false,"suffix":""},{"dropping-particle":"","family":"Erdenebaatar","given":"Diimaajav","non-dropping-particle":"","parse-names":false,"suffix":""},{"dropping-particle":"","family":"Dajani","given":"Rana","non-dropping-particle":"","parse-names":false,"suffix":""},{"dropping-particle":"","family":"Dmitriev","given":"Evgeniy","non-dropping-particle":"","parse-names":false,"suffix":""},{"dropping-particle":"","family":"Evdokimov","given":"Valeriy","non-dropping-particle":"","parse-names":false,"suffix":""},{"dropping-particle":"","family":"Frei","given":"Karin M.","non-dropping-particle":"","parse-names":false,"suffix":""},{"dropping-particle":"","family":"Gromov","given":"Andrey","non-dropping-particle":"","parse-names":false,"suffix":""},{"dropping-particle":"","family":"Goryachev","given":"Alexander","non-dropping-particle":"","parse-names":false,"suffix":""},{"dropping-particle":"","family":"Hakonarson","given":"Hakon","non-dropping-particle":"","parse-names":false,"suffix":""},{"dropping-particle":"","family":"Hegay","given":"Tatyana","non-dropping-particle":"","parse-names":false,"suffix":""},{"dropping-particle":"","family":"Khachatryan","given":"Zaruhi","non-dropping-particle":"","parse-names":false,"suffix":""},{"dropping-particle":"","family":"Khaskhanov","given":"Ruslan","non-dropping-particle":"","parse-names":false,"suffix":""},{"dropping-particle":"","family":"Kitov","given":"Egor","non-dropping-particle":"","parse-names":false,"suffix":""},{"dropping-particle":"","family":"Kolbina","given":"Alina","non-dropping-particle":"","parse-names":false,"suffix":""},{"dropping-particle":"","family":"Kubatbek","given":"Tabaldiev","non-dropping-particle":"","parse-names":false,"suffix":""},{"dropping-particle":"","family":"Kukushkin","given":"Alexey","non-dropping-particle":"","parse-names":false,"suffix":""},{"dropping-particle":"","family":"Kukushkin","given":"Igor","non-dropping-particle":"","parse-names":false,"suffix":""},{"dropping-particle":"","family":"Lau","given":"Nina","non-dropping-particle":"","parse-names":false,"suffix":""},{"dropping-particle":"","family":"Margaryan","given":"Ashot","non-dropping-particle":"","parse-names":false,"suffix":""},{"dropping-particle":"","family":"Merkyte","given":"Inga","non-dropping-particle":"","parse-names":false,"suffix":""},{"dropping-particle":"V.","family":"Mertz","given":"Ilya","non-dropping-particle":"","parse-names":false,"suffix":""},{"dropping-particle":"","family":"Mertz","given":"Viktor K.","non-dropping-particle":"","parse-names":false,"suffix":""},{"dropping-particle":"","family":"Mijiddorj","given":"Enkhbayar","non-dropping-particle":"","parse-names":false,"suffix":""},{"dropping-particle":"","family":"Moiyesev","given":"Vyacheslav","non-dropping-particle":"","parse-names":false,"suffix":""},{"dropping-particle":"","family":"Mukhtarova","given":"Gulmira","non-dropping-particle":"","parse-names":false,"suffix":""},{"dropping-particle":"","family":"Nurmukhanbetov","given":"Bekmukhanbet","non-dropping-particle":"","parse-names":false,"suffix":""},{"dropping-particle":"","family":"Orozbekova","given":"Z.","non-dropping-particle":"","parse-names":false,"suffix":""},{"dropping-particle":"","family":"Panyushkina","given":"Irina","non-dropping-particle":"","parse-names":false,"suffix":""},{"dropping-particle":"","family":"Pieta","given":"Karol","non-dropping-particle":"","parse-names":false,"suffix":""},{"dropping-particle":"","family":"Smrčka","given":"Václav","non-dropping-particle":"","parse-names":false,"suffix":""},{"dropping-particle":"","family":"Shevnina","given":"Irina","non-dropping-particle":"","parse-names":false,"suffix":""},{"dropping-particle":"","family":"Logvin","given":"Andrey","non-dropping-particle":"","parse-names":false,"suffix":""},{"dropping-particle":"","family":"Sjögren","given":"Karl Göran","non-dropping-particle":"","parse-names":false,"suffix":""},{"dropping-particle":"","family":"Štolcová","given":"Tereza","non-dropping-particle":"","parse-names":false,"suffix":""},{"dropping-particle":"","family":"Tashbaeva","given":"Kadicha","non-dropping-particle":"","parse-names":false,"suffix":""},{"dropping-particle":"","family":"Tkachev","given":"Alexander","non-dropping-particle":"","parse-names":false,"suffix":""},{"dropping-particle":"","family":"Tulegenov","given":"Turaly","non-dropping-particle":"","parse-names":false,"suffix":""},{"dropping-particle":"","family":"Voyakin","given":"Dmitriy","non-dropping-particle":"","parse-names":false,"suffix":""},{"dropping-particle":"","family":"Yepiskoposyan","given":"Levon","non-dropping-particle":"","parse-names":false,"suffix":""},{"dropping-particle":"","family":"Undrakhbold","given":"Sainbileg","non-dropping-particle":"","parse-names":false,"suffix":""},{"dropping-particle":"","family":"Varfolomeev","given":"Victor","non-dropping-particle":"","parse-names":false,"suffix":""},{"dropping-particle":"","family":"Weber","given":"Andrzej","non-dropping-particle":"","parse-names":false,"suffix":""},{"dropping-particle":"","family":"Kradin","given":"Nikolay","non-dropping-particle":"","parse-names":false,"suffix":""},{"dropping-particle":"","family":"Allentoft","given":"Morten E.","non-dropping-particle":"","parse-names":false,"suffix":""},{"dropping-particle":"","family":"Orlando","given":"Ludovic","non-dropping-particle":"","parse-names":false,"suffix":""},{"dropping-particle":"","family":"Nielsen","given":"Rasmus","non-dropping-particle":"","parse-names":false,"suffix":""},{"dropping-particle":"","family":"Sikora","given":"Martin","non-dropping-particle":"","parse-names":false,"suffix":""},{"dropping-particle":"","family":"Heyer","given":"Evelyne","non-dropping-particle":"","parse-names":false,"suffix":""},{"dropping-particle":"","family":"Kristiansen","given":"Kristian","non-dropping-particle":"","parse-names":false,"suffix":""},{"dropping-particle":"","family":"Willerslev","given":"Eske","non-dropping-particle":"","parse-names":false,"suffix":""}],"container-title":"Nature","id":"ITEM-1","issue":"7705","issued":{"date-parts":[["2018"]]},"page":"369-374","title":"137 ancient human genomes from across the Eurasian steppes","type":"article-journal","volume":"557"},"uris":["http://www.mendeley.com/documents/?uuid=e562186b-f434-4e4f-a9ba-40a887f0406b"]},{"id":"ITEM-2","itemData":{"DOI":"10.1038/ncomms4513","ISSN":"20411723","abstract":"The search for a method that utilizes biological information to predict humans' place of origin has occupied scientists for millennia. Over the past four decades, scientists have employed genetic data in an effort to achieve this goal but with limited success. While biogeographical algorithms using next-generation sequencing data have achieved an accuracy of 700km in Europe, they were inaccurate elsewhere. Here we describe the Geographic Population Structure (GPS) algorithm and demonstrate its accuracy with three data sets using 40,000-130,000 SNPs. GPS placed 83% of worldwide individuals in their country of origin. Applied to over 200 Sardinians villagers, GPS placed a quarter of them in their villages and most of the rest within 50km of their villages. GPS's accuracy and power to infer the biogeography of worldwide individuals down to their country or, in some cases, village, of origin, underscores the promise of admixture-based methods for biogeography and has ramifications for genetic ancestry testing. © 2014 Macmillan Publishers Limited. All rights reserved.","author":[{"dropping-particle":"","family":"Elhaik","given":"Eran","non-dropping-particle":"","parse-names":false,"suffix":""},{"dropping-particle":"","family":"Tatarinova","given":"Tatiana","non-dropping-particle":"","parse-names":false,"suffix":""},{"dropping-particle":"","family":"Chebotarev","given":"Dmitri","non-dropping-particle":"","parse-names":false,"suffix":""},{"dropping-particle":"","family":"Piras","given":"Ignazio S.","non-dropping-particle":"","parse-names":false,"suffix":""},{"dropping-particle":"","family":"Calò","given":"Carla Maria","non-dropping-particle":"","parse-names":false,"suffix":""},{"dropping-particle":"","family":"Montis","given":"Antonella","non-dropping-particle":"De","parse-names":false,"suffix":""},{"dropping-particle":"","family":"Atzori","given":"Manuela","non-dropping-particle":"","parse-names":false,"suffix":""},{"dropping-particle":"","family":"Marini","given":"Monica","non-dropping-particle":"","parse-names":false,"suffix":""},{"dropping-particle":"","family":"Tofanelli","given":"Sergio","non-dropping-particle":"","parse-names":false,"suffix":""},{"dropping-particle":"","family":"Francalacci","given":"Paolo","non-dropping-particle":"","parse-names":false,"suffix":""},{"dropping-particle":"","family":"Pagani","given":"Luca","non-dropping-particle":"","parse-names":false,"suffix":""},{"dropping-particle":"","family":"Tyler-Smith","given":"Chris","non-dropping-particle":"","parse-names":false,"suffix":""},{"dropping-particle":"","family":"Xue","given":"Yali","non-dropping-particle":"","parse-names":false,"suffix":""},{"dropping-particle":"","family":"Cucca","given":"Francesco","non-dropping-particle":"","parse-names":false,"suffix":""},{"dropping-particle":"","family":"Schurr","given":"Theodore G.","non-dropping-particle":"","parse-names":false,"suffix":""},{"dropping-particle":"","family":"Gaieski","given":"Jill B.","non-dropping-particle":"","parse-names":false,"suffix":""},{"dropping-particle":"","family":"Melendez","given":"Carlalynne","non-dropping-particle":"","parse-names":false,"suffix":""},{"dropping-particle":"","family":"Vilar","given":"Miguel G.","non-dropping-particle":"","parse-names":false,"suffix":""},{"dropping-particle":"","family":"Owings","given":"Amanda C.","non-dropping-particle":"","parse-names":false,"suffix":""},{"dropping-particle":"","family":"Gómez","given":"Rocío","non-dropping-particle":"","parse-names":false,"suffix":""},{"dropping-particle":"","family":"Fujita","given":"Ricardo","non-dropping-particle":"","parse-names":false,"suffix":""},{"dropping-particle":"","family":"Santos","given":"Fabrício R.","non-dropping-particle":"","parse-names":false,"suffix":""},{"dropping-particle":"","family":"Comas","given":"David","non-dropping-particle":"","parse-names":false,"suffix":""},{"dropping-particle":"","family":"Balanovsky","given":"Oleg","non-dropping-particle":"","parse-names":false,"suffix":""},{"dropping-particle":"","family":"Balanovska","given":"Elena","non-dropping-particle":"","parse-names":false,"suffix":""},{"dropping-particle":"","family":"Zalloua","given":"Pierre","non-dropping-particle":"","parse-names":false,"suffix":""},{"dropping-particle":"","family":"Soodyall","given":"Himla","non-dropping-particle":"","parse-names":false,"suffix":""},{"dropping-particle":"","family":"Pitchappan","given":"Ramasamy","non-dropping-particle":"","parse-names":false,"suffix":""},{"dropping-particle":"","family":"Prasad","given":"Arun Kumar Ganesh","non-dropping-particle":"","parse-names":false,"suffix":""},{"dropping-particle":"","family":"Hammer","given":"Michael","non-dropping-particle":"","parse-names":false,"suffix":""},{"dropping-particle":"","family":"Matisoo-Smith","given":"Lisa","non-dropping-particle":"","parse-names":false,"suffix":""},{"dropping-particle":"","family":"Wells","given":"R. Spencer","non-dropping-particle":"","parse-names":false,"suffix":""},{"dropping-particle":"","family":"Acosta","given":"Oscar","non-dropping-particle":"","parse-names":false,"suffix":""},{"dropping-particle":"","family":"Adhikarla","given":"Syama","non-dropping-particle":"","parse-names":false,"suffix":""},{"dropping-particle":"","family":"Adler","given":"Christina J.","non-dropping-particle":"","parse-names":false,"suffix":""},{"dropping-particle":"","family":"Bertranpetit","given":"Jaume","non-dropping-particle":"","parse-names":false,"suffix":""},{"dropping-particle":"","family":"Clarke","given":"Andrew C.","non-dropping-particle":"","parse-names":false,"suffix":""},{"dropping-particle":"","family":"Cooper","given":"Alan","non-dropping-particle":"","parse-names":false,"suffix":""},{"dropping-particle":"","family":"Sarkissian","given":"Clio S.I.","non-dropping-particle":"Der","parse-names":false,"suffix":""},{"dropping-particle":"","family":"Haak","given":"Wolfgang","non-dropping-particle":"","parse-names":false,"suffix":""},{"dropping-particle":"","family":"Haber","given":"Marc","non-dropping-particle":"","parse-names":false,"suffix":""},{"dropping-particle":"","family":"Jin","given":"Li","non-dropping-particle":"","parse-names":false,"suffix":""},{"dropping-particle":"","family":"Kaplan","given":"Matthew E.","non-dropping-particle":"","parse-names":false,"suffix":""},{"dropping-particle":"","family":"Li","given":"Hui","non-dropping-particle":"","parse-names":false,"suffix":""},{"dropping-particle":"","family":"Li","given":"Shilin","non-dropping-particle":"","parse-names":false,"suffix":""},{"dropping-particle":"","family":"Martínez-Cruz","given":"Begoña","non-dropping-particle":"","parse-names":false,"suffix":""},{"dropping-particle":"","family":"Merchant","given":"Nirav C.","non-dropping-particle":"","parse-names":false,"suffix":""},{"dropping-particle":"","family":"Mitchell","given":"John R.","non-dropping-particle":"","parse-names":false,"suffix":""},{"dropping-particle":"","family":"Parida","given":"Laxmi","non-dropping-particle":"","parse-names":false,"suffix":""},{"dropping-particle":"","family":"Platt","given":"Daniel E.","non-dropping-particle":"","parse-names":false,"suffix":""},{"dropping-particle":"","family":"Quintana-Murci","given":"Lluis","non-dropping-particle":"","parse-names":false,"suffix":""},{"dropping-particle":"","family":"Renfrew","given":"Colin","non-dropping-particle":"","parse-names":false,"suffix":""},{"dropping-particle":"","family":"Lacerda","given":"Daniela R.","non-dropping-particle":"","parse-names":false,"suffix":""},{"dropping-particle":"","family":"Royyuru","given":"Ajay K.","non-dropping-particle":"","parse-names":false,"suffix":""},{"dropping-particle":"","family":"Sandoval","given":"Jose Raul","non-dropping-particle":"","parse-names":false,"suffix":""},{"dropping-particle":"","family":"Santhakumari","given":"Arun Varatharajan","non-dropping-particle":"","parse-names":false,"suffix":""},{"dropping-particle":"","family":"Hernanz","given":"David F.Soria","non-dropping-particle":"","parse-names":false,"suffix":""},{"dropping-particle":"","family":"Swamikrishnan","given":"Pandikumar","non-dropping-particle":"","parse-names":false,"suffix":""},{"dropping-particle":"","family":"Ziegle","given":"Janet S.","non-dropping-particle":"","parse-names":false,"suffix":""}],"container-title":"Nature Communications","id":"ITEM-2","issued":{"date-parts":[["2014"]]},"title":"Geographic population structure analysis of worldwide human populations infers their biogeographical origins","type":"article-journal","volume":"5"},"uris":["http://www.mendeley.com/documents/?uuid=5563293a-ec5f-4e1c-b942-97b5ab2c0510"]}],"mendeley":{"formattedCitation":"(Elhaik &lt;i&gt;et al.&lt;/i&gt;, 2014; De Barros Damgaard &lt;i&gt;et al.&lt;/i&gt;, 2018)","plainTextFormattedCitation":"(Elhaik et al., 2014; De Barros Damgaard et al., 2018)","previouslyFormattedCitation":"(Elhaik &lt;i&gt;et al.&lt;/i&gt;, 2014; De Barros Damgaard &lt;i&gt;et al.&lt;/i&gt;, 2018)"},"properties":{"noteIndex":0},"schema":"https://github.com/citation-style-language/schema/raw/master/csl-citation.json"}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(Elhaik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xml:space="preserve">, 2014; De Barros Damgaard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2018)</w:t>
      </w:r>
      <w:r w:rsidRPr="00A35149">
        <w:rPr>
          <w:rFonts w:asciiTheme="majorBidi" w:hAnsiTheme="majorBidi" w:cstheme="majorBidi"/>
          <w:color w:val="4472C4" w:themeColor="accent1"/>
        </w:rPr>
        <w:fldChar w:fldCharType="end"/>
      </w:r>
      <w:r w:rsidRPr="00A35149">
        <w:rPr>
          <w:rFonts w:asciiTheme="majorBidi" w:hAnsiTheme="majorBidi" w:cstheme="majorBidi"/>
        </w:rPr>
        <w:t>. Personalised medicine and drug discovery are two areas that are particularly affected by a lack of diversity in biobanks.</w:t>
      </w:r>
    </w:p>
    <w:p w14:paraId="26887412" w14:textId="3ADAF1ED" w:rsidR="002E00CA" w:rsidRPr="00A35149" w:rsidRDefault="009A7745" w:rsidP="008A3B7D">
      <w:pPr>
        <w:pStyle w:val="NoSpacing"/>
        <w:rPr>
          <w:rFonts w:asciiTheme="majorBidi" w:hAnsiTheme="majorBidi" w:cstheme="majorBidi"/>
        </w:rPr>
      </w:pPr>
      <w:r>
        <w:rPr>
          <w:rFonts w:asciiTheme="majorBidi" w:hAnsiTheme="majorBidi" w:cstheme="majorBidi"/>
          <w:noProof/>
        </w:rPr>
        <w:lastRenderedPageBreak/>
        <w:drawing>
          <wp:inline distT="0" distB="0" distL="0" distR="0" wp14:anchorId="05965CE2" wp14:editId="785DA048">
            <wp:extent cx="5753100" cy="38722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100" cy="3872230"/>
                    </a:xfrm>
                    <a:prstGeom prst="rect">
                      <a:avLst/>
                    </a:prstGeom>
                    <a:noFill/>
                    <a:ln>
                      <a:noFill/>
                    </a:ln>
                  </pic:spPr>
                </pic:pic>
              </a:graphicData>
            </a:graphic>
          </wp:inline>
        </w:drawing>
      </w:r>
    </w:p>
    <w:p w14:paraId="493EB70F" w14:textId="77777777" w:rsidR="008A3B7D" w:rsidRPr="00A35149" w:rsidRDefault="008A3B7D" w:rsidP="008A3B7D">
      <w:pPr>
        <w:pStyle w:val="NoSpacing"/>
        <w:rPr>
          <w:rFonts w:asciiTheme="majorBidi" w:hAnsiTheme="majorBidi" w:cstheme="majorBidi"/>
          <w:sz w:val="22"/>
          <w:szCs w:val="22"/>
        </w:rPr>
      </w:pPr>
      <w:r w:rsidRPr="00A35149">
        <w:rPr>
          <w:rFonts w:asciiTheme="majorBidi" w:hAnsiTheme="majorBidi" w:cstheme="majorBidi"/>
          <w:b/>
          <w:bCs/>
          <w:i/>
          <w:iCs/>
          <w:color w:val="4472C4" w:themeColor="accent1"/>
          <w:sz w:val="22"/>
          <w:szCs w:val="22"/>
        </w:rPr>
        <w:t xml:space="preserve">Figure 3: </w:t>
      </w:r>
      <w:r w:rsidRPr="00A35149">
        <w:rPr>
          <w:rFonts w:asciiTheme="majorBidi" w:hAnsiTheme="majorBidi" w:cstheme="majorBidi"/>
          <w:i/>
          <w:iCs/>
          <w:sz w:val="22"/>
          <w:szCs w:val="22"/>
        </w:rPr>
        <w:t xml:space="preserve">Using the example of COVID-19: </w:t>
      </w:r>
      <w:r w:rsidRPr="00A35149">
        <w:rPr>
          <w:rFonts w:asciiTheme="majorBidi" w:hAnsiTheme="majorBidi" w:cstheme="majorBidi"/>
          <w:b/>
          <w:bCs/>
          <w:i/>
          <w:iCs/>
          <w:color w:val="4472C4" w:themeColor="accent1"/>
          <w:sz w:val="22"/>
          <w:szCs w:val="22"/>
        </w:rPr>
        <w:t xml:space="preserve">(a) </w:t>
      </w:r>
      <w:r w:rsidRPr="00A35149">
        <w:rPr>
          <w:rFonts w:asciiTheme="majorBidi" w:hAnsiTheme="majorBidi" w:cstheme="majorBidi"/>
          <w:i/>
          <w:iCs/>
          <w:sz w:val="22"/>
          <w:szCs w:val="22"/>
        </w:rPr>
        <w:t xml:space="preserve">The current method of treatment whereby all patients with the same disease receive the same treatment. </w:t>
      </w:r>
      <w:r w:rsidRPr="00A35149">
        <w:rPr>
          <w:rFonts w:asciiTheme="majorBidi" w:hAnsiTheme="majorBidi" w:cstheme="majorBidi"/>
          <w:b/>
          <w:bCs/>
          <w:i/>
          <w:iCs/>
          <w:color w:val="4472C4" w:themeColor="accent1"/>
          <w:sz w:val="22"/>
          <w:szCs w:val="22"/>
        </w:rPr>
        <w:t xml:space="preserve">(b) </w:t>
      </w:r>
      <w:r w:rsidRPr="00A35149">
        <w:rPr>
          <w:rFonts w:asciiTheme="majorBidi" w:hAnsiTheme="majorBidi" w:cstheme="majorBidi"/>
          <w:i/>
          <w:iCs/>
          <w:sz w:val="22"/>
          <w:szCs w:val="22"/>
        </w:rPr>
        <w:t>Personalised medicine, whereby treatment is tailored to an individual to increase effectiveness.</w:t>
      </w:r>
    </w:p>
    <w:p w14:paraId="5A06B6B8" w14:textId="77777777" w:rsidR="008A3B7D" w:rsidRPr="00A35149" w:rsidRDefault="008A3B7D" w:rsidP="008A3B7D">
      <w:pPr>
        <w:pStyle w:val="NoSpacing"/>
        <w:rPr>
          <w:rFonts w:asciiTheme="majorBidi" w:hAnsiTheme="majorBidi" w:cstheme="majorBidi"/>
        </w:rPr>
      </w:pPr>
    </w:p>
    <w:p w14:paraId="6235ADF0" w14:textId="77777777" w:rsidR="002E00CA" w:rsidRPr="00A35149" w:rsidRDefault="002E00CA" w:rsidP="002E00CA">
      <w:pPr>
        <w:widowControl w:val="0"/>
        <w:ind w:firstLine="720"/>
        <w:rPr>
          <w:rFonts w:asciiTheme="majorBidi" w:hAnsiTheme="majorBidi" w:cstheme="majorBidi"/>
        </w:rPr>
      </w:pPr>
      <w:r w:rsidRPr="00A35149">
        <w:rPr>
          <w:rFonts w:asciiTheme="majorBidi" w:hAnsiTheme="majorBidi" w:cstheme="majorBidi"/>
        </w:rPr>
        <w:t xml:space="preserve">Similar problems emerged in clinical trials, where individuals are matched using demographic criteria, paired and then randomly assigned to treatment and control groups to determine a drug’s efﬁcacy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{"citationItems":[{"id":"ITEM-1","itemData":{"DOI":"10.1093/bioinformatics/bty946","ISSN":"1367-4803","abstract":"In clinical trials, individuals are matched using demographic criteria, paired, and then randomly assigned to treatment and control groups to determine a drug's efficacy. A chief cause for the irreproducibility of results across pilot to Phase III trials is population stratification bias caused by the uneven distribution of ancestries in the treatment and control groups.","author":[{"dropping-particle":"","family":"Elhaik","given":"Eran","non-dropping-particle":"","parse-names":false,"suffix":""},{"dropping-particle":"","family":"Ryan","given":"Desmond M","non-dropping-particle":"","parse-names":false,"suffix":""}],"container-title":"Bioinformatics","id":"ITEM-1","issue":"13","issued":{"date-parts":[["2019"]]},"page":"2243-2250","title":"Pair Matcher (PaM): fast model-based optimization of treatment/case-control matches","type":"article-journal","volume":"35"},"uris":["http://www.mendeley.com/documents/?uuid=e800fe6d-36c6-4211-9f97-8d81fb3a4bc9"]}],"mendeley":{"formattedCitation":"(Elhaik and Ryan, 2019)","plainTextFormattedCitation":"(Elhaik and Ryan, 2019)","previouslyFormattedCitation":"(Elhaik and Ryan, 2019)"},"properties":{"noteIndex":0},"schema":"https://github.com/citation-style-language/schema/raw/master/csl-citation.json"}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(Elhaik and Ryan, 2019)</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It is well recognized that pharmaceutical research and development is in crisis due to the soaring costs of drugs, which is primarily due to the regulatory process governing Phase-III clinical trials where the successful results of the smaller previous trials may not be reproduced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{"citationItems":[{"id":"ITEM-1","itemData":{"abstract":"Though the United States urgently needs new treatments for common illnesses such as heart disease, stroke, and dia- betes, the nation’s system for drug approval discourages innovation and investment, especially for our most pressing public health challenges. In this paper, we find that the main culprit is the high cost of Phase III clinical trials, which are required for FDA approval of most drugs. We examined drug development in four major public health areas and discovered that for any given drug on the market, typically 90 percent or more of that drug’s development costs are incurred in Phase III trials. These costs have skyrocketed in recent years, exacerbating an already serious problem. The enormous cost and risk of Phase III trials create incentives for researchers and investors to avoid work on medica- tions for the chronic conditions and illnesses that pose the greatest threat to Americans, in terms of health spending and in terms of the number of people affected. This avoidance, in turn, harms overall U.S. health outcomes and drives up the cost of health care. In this paper, we examined drug development in three such areas: obesity, adult-onset diabetes, and cardiovascular disease. We also examined the less burdensome regulatory situation in drugs for rare diseases, as an opportunity for contrast. We find that the current Phase III trial system forces pharmaceutical and biotechnology companies to take enormous financial risks and burdens them with needless and unpredictable regulatory delays. The current system has, in particular, prevented start-up biotech companies, mostly based in the United States, from challenging the dominance of large, multinational pharmaceutical concerns. It also, perversely, encourages more innovation in drugs for very rare diseases than it does in drugs for common conditions that afflict hundreds of millions of Americans. As a result of our analysis, we recommend replacing the current “all or nothing” FDA approval system with one that reflects the realities of scientific research and the profiles of chronic long-term conditions. Such a reform would al- low drugs that have been found safe and promising (in Phase I and Phase II clinical trials) to win approval for limited marketing to patients. This would give patients early access to innovative new therapies, while the FDA would retain the ability to collect information confirming the drugs’ safety and effectiveness and to revoke a drug’s marketing au- thorization la…","author":[{"dropping-particle":"","family":"Roy","given":"Avik S a","non-dropping-particle":"","parse-names":false,"suffix":""}],"container-title":"Project FDA Report","id":"ITEM-1","issued":{"date-parts":[["2012"]]},"page":"1-11","title":"STIFLING NEW CURES: The True Cost of Lengthy Clinical Drug Trials","type":"article-journal"},"uris":["http://www.mendeley.com/documents/?uuid=d9f8909c-f978-4aa1-9cfe-2a7d6f7610c4"]}],"mendeley":{"formattedCitation":"(Roy, 2012)","plainTextFormattedCitation":"(Roy, 2012)","previouslyFormattedCitation":"(Roy, 2012)"},"properties":{"noteIndex":0},"schema":"https://github.com/citation-style-language/schema/raw/master/csl-citation.json"}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(Roy, 2012)</w:t>
      </w:r>
      <w:r w:rsidRPr="00A35149">
        <w:rPr>
          <w:rFonts w:asciiTheme="majorBidi" w:hAnsiTheme="majorBidi" w:cstheme="majorBidi"/>
          <w:color w:val="4472C4" w:themeColor="accent1"/>
        </w:rPr>
        <w:fldChar w:fldCharType="end"/>
      </w:r>
      <w:r w:rsidRPr="00A35149">
        <w:rPr>
          <w:rFonts w:asciiTheme="majorBidi" w:hAnsiTheme="majorBidi" w:cstheme="majorBidi"/>
        </w:rPr>
        <w:t>. A chief cause for this irreproducibility is population stratiﬁcation bias caused by the uneven distribution of ancestries and other covariates (such as variation in age distribution, BMI, etc between countries influencing COVID-19 mortality) in the treatment and control groups.</w:t>
      </w:r>
    </w:p>
    <w:p w14:paraId="3BFEA91B" w14:textId="0D7FD25E" w:rsidR="0046155A" w:rsidRPr="00A35149" w:rsidRDefault="0046155A" w:rsidP="001F7075">
      <w:pPr>
        <w:pStyle w:val="NoSpacing"/>
        <w:rPr>
          <w:rFonts w:asciiTheme="majorBidi" w:hAnsiTheme="majorBidi" w:cstheme="majorBidi"/>
        </w:rPr>
      </w:pPr>
    </w:p>
    <w:p w14:paraId="0D5F812E" w14:textId="77777777" w:rsidR="002E00CA" w:rsidRPr="00A35149" w:rsidRDefault="002E00CA" w:rsidP="002E00CA">
      <w:pPr>
        <w:rPr>
          <w:rFonts w:asciiTheme="majorBidi" w:hAnsiTheme="majorBidi" w:cstheme="majorBidi"/>
        </w:rPr>
      </w:pPr>
      <w:r w:rsidRPr="00A35149">
        <w:rPr>
          <w:rFonts w:asciiTheme="majorBidi" w:hAnsiTheme="majorBidi" w:cstheme="majorBidi"/>
        </w:rPr>
        <w:t xml:space="preserve">This should be unsurprising as these subjects are linked. Drugs are developed for Europeans, and consequently results in unfavourable healthcare outcomes for non-Europeans. Due to the poor understanding of associations in many populations and their under representation in clinical databases, poor drug choices are made and genetic screening of non-Europeans is more likely to produce ambiguous or false-positive diagnoses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{"citationItems":[{"id":"ITEM-1","itemData":{"DOI":"10.1186/s13059-016-1016-y","ISSN":"1474760X","abstract":"An important application of modern genomics is diagnosing genetic disorders. We use the largest publicly available exome sequence database to show that this key clinical service can currently be performed much more effectively in individuals of European genetic ancestry.","author":[{"dropping-particle":"","family":"Petrovski","given":"Slavé","non-dropping-particle":"","parse-names":false,"suffix":""},{"dropping-particle":"","family":"Goldstein","given":"David B.","non-dropping-particle":"","parse-names":false,"suffix":""}],"container-title":"Genome Biology","id":"ITEM-1","issue":"1","issued":{"date-parts":[["2016"]]},"page":"157","title":"Unequal representation of genetic variation across ancestry groups creates healthcare inequality in the application of precision medicine","type":"article-journal","volume":"17"},"uris":["http://www.mendeley.com/documents/?uuid=0ab6986b-0d58-4bda-8382-01595abf82b0"]},{"id":"ITEM-2","itemData":{"DOI":"10.1007/s10897-016-0051-x","ISSN":"15733599","abstract":"The three major hereditary cancer syndromes in Latinos (Hereditary Breast and Ovarian Cancer, Familial Adenomatous Polyposis and Lynch Syndrome) have been shown to exhibit geographic disparities by country of origin suggesting admixture-based disparities. A solid infrastructure of clinical genetics geared towards diagnosis and prevention could aid in reducing the mortality of these cancer syndromes in Latinos. Currently, clinical cancer genetic services in Latin America are scarce. Moreover, limited studies have investigated the mutational spectrum of these cancer syndromes in Latinos resulting in gaps in personalized medicine affecting diagnosis, treatment and prevention. The following commentary discusses available genotype and clinical information on hereditary cancer in Latinos and highlights the limited access for cancer genetic services in Latin America including barriers to genetic testing and alternatives for providing better access to genetic services. In this review, we discuss the status of clinical genetic cancer services for both US Latinos and those Latinos living in Latin America.","author":[{"dropping-particle":"","family":"Cruz-Correa","given":"Marcia","non-dropping-particle":"","parse-names":false,"suffix":""},{"dropping-particle":"","family":"Pérez-Mayoral","given":"Julyann","non-dropping-particle":"","parse-names":false,"suffix":""},{"dropping-particle":"","family":"Dutil","given":"Julie","non-dropping-particle":"","parse-names":false,"suffix":""},{"dropping-particle":"","family":"Echenique","given":"Miguel","non-dropping-particle":"","parse-names":false,"suffix":""},{"dropping-particle":"","family":"Mosquera","given":"Rafael","non-dropping-particle":"","parse-names":false,"suffix":""},{"dropping-particle":"","family":"Rivera-Román","given":"Keila","non-dropping-particle":"","parse-names":false,"suffix":""},{"dropping-particle":"","family":"Umpierre","given":"Sharee","non-dropping-particle":"","parse-names":false,"suffix":""},{"dropping-particle":"","family":"Rodriguez-Quilichini","given":"Segundo","non-dropping-particle":"","parse-names":false,"suffix":""},{"dropping-particle":"","family":"Gonzalez-Pons","given":"Maria","non-dropping-particle":"","parse-names":false,"suffix":""},{"dropping-particle":"","family":"Olivera","given":"Myrta I.","non-dropping-particle":"","parse-names":false,"suffix":""},{"dropping-particle":"","family":"Pardo","given":"Sherly","non-dropping-particle":"","parse-names":false,"suffix":""}],"container-title":"Journal of Genetic Counseling","id":"ITEM-2","issue":"3","issued":{"date-parts":[["2017"]]},"page":"379-386","title":"Clinical Cancer Genetics Disparities among Latinos","type":"article","volume":"26"},"uris":["http://www.mendeley.com/documents/?uuid=90c2dbf9-d42a-43e5-a05a-8e5cbe0114da"]}],"mendeley":{"formattedCitation":"(Petrovski and Goldstein, 2016; Cruz-Correa &lt;i&gt;et al.&lt;/i&gt;, 2017)","plainTextFormattedCitation":"(Petrovski and Goldstein, 2016; Cruz-Correa et al., 2017)","previouslyFormattedCitation":"(Petrovski and Goldstein, 2016; Cruz-Correa &lt;i&gt;et al.&lt;/i&gt;, 2017)"},"properties":{"noteIndex":0},"schema":"https://github.com/citation-style-language/schema/raw/master/csl-citation.json"}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(Petrovski and Goldstein, 2016; Cruz-Correa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2017)</w:t>
      </w:r>
      <w:r w:rsidRPr="00A35149">
        <w:rPr>
          <w:rFonts w:asciiTheme="majorBidi" w:hAnsiTheme="majorBidi" w:cstheme="majorBidi"/>
          <w:color w:val="4472C4" w:themeColor="accent1"/>
        </w:rPr>
        <w:fldChar w:fldCharType="end"/>
      </w:r>
      <w:r w:rsidRPr="00A35149">
        <w:rPr>
          <w:rFonts w:asciiTheme="majorBidi" w:hAnsiTheme="majorBidi" w:cstheme="majorBidi"/>
          <w:color w:val="4472C4" w:themeColor="accent1"/>
        </w:rPr>
        <w:t>.</w:t>
      </w:r>
    </w:p>
    <w:p w14:paraId="05DB9E79" w14:textId="4A0D044F" w:rsidR="002E00CA" w:rsidRDefault="002E00CA" w:rsidP="008A3B7D">
      <w:pPr>
        <w:widowControl w:val="0"/>
        <w:rPr>
          <w:rFonts w:asciiTheme="majorBidi" w:hAnsiTheme="majorBidi" w:cstheme="majorBidi"/>
        </w:rPr>
      </w:pPr>
    </w:p>
    <w:p w14:paraId="706B28CE" w14:textId="3741AD12" w:rsidR="002E00CA" w:rsidRPr="00A35149" w:rsidRDefault="002E00CA" w:rsidP="008A3B7D">
      <w:pPr>
        <w:widowControl w:val="0"/>
        <w:rPr>
          <w:rFonts w:asciiTheme="majorBidi" w:hAnsiTheme="majorBidi" w:cstheme="majorBidi"/>
        </w:rPr>
      </w:pPr>
      <w:r>
        <w:rPr>
          <w:rFonts w:asciiTheme="majorBidi" w:hAnsiTheme="majorBidi" w:cstheme="majorBidi"/>
          <w:noProof/>
        </w:rPr>
        <w:lastRenderedPageBreak/>
        <w:drawing>
          <wp:inline distT="0" distB="0" distL="0" distR="0" wp14:anchorId="31D70749" wp14:editId="5700080D">
            <wp:extent cx="5755640" cy="32391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5640" cy="3239135"/>
                    </a:xfrm>
                    <a:prstGeom prst="rect">
                      <a:avLst/>
                    </a:prstGeom>
                    <a:noFill/>
                    <a:ln>
                      <a:noFill/>
                    </a:ln>
                  </pic:spPr>
                </pic:pic>
              </a:graphicData>
            </a:graphic>
          </wp:inline>
        </w:drawing>
      </w:r>
    </w:p>
    <w:p w14:paraId="638E8769" w14:textId="593A35EB" w:rsidR="008A3B7D" w:rsidRPr="00A35149" w:rsidRDefault="008A3B7D" w:rsidP="008A3B7D">
      <w:pPr>
        <w:widowControl w:val="0"/>
        <w:rPr>
          <w:rFonts w:asciiTheme="majorBidi" w:hAnsiTheme="majorBidi" w:cstheme="majorBidi"/>
          <w:i/>
          <w:iCs/>
          <w:sz w:val="22"/>
          <w:szCs w:val="22"/>
        </w:rPr>
      </w:pPr>
      <w:r w:rsidRPr="00A35149">
        <w:rPr>
          <w:rFonts w:asciiTheme="majorBidi" w:hAnsiTheme="majorBidi" w:cstheme="majorBidi"/>
          <w:b/>
          <w:bCs/>
          <w:i/>
          <w:iCs/>
          <w:color w:val="4472C4" w:themeColor="accent1"/>
          <w:sz w:val="22"/>
          <w:szCs w:val="22"/>
        </w:rPr>
        <w:t>Figure 4:</w:t>
      </w:r>
      <w:r w:rsidRPr="00A35149">
        <w:rPr>
          <w:rFonts w:asciiTheme="majorBidi" w:hAnsiTheme="majorBidi" w:cstheme="majorBidi"/>
          <w:i/>
          <w:iCs/>
          <w:color w:val="4472C4" w:themeColor="accent1"/>
          <w:sz w:val="22"/>
          <w:szCs w:val="22"/>
        </w:rPr>
        <w:t xml:space="preserve"> </w:t>
      </w:r>
      <w:r w:rsidRPr="00A35149">
        <w:rPr>
          <w:rFonts w:asciiTheme="majorBidi" w:hAnsiTheme="majorBidi" w:cstheme="majorBidi"/>
          <w:i/>
          <w:iCs/>
          <w:sz w:val="22"/>
          <w:szCs w:val="22"/>
        </w:rPr>
        <w:t>the road to personalised medicine. How the use of omics can be used to create the premise of personalised medicine (orange), which can be implemented into the healthcare system through the adoption of a variety of different factors (blue).</w:t>
      </w:r>
    </w:p>
    <w:p w14:paraId="23640BBB" w14:textId="77777777" w:rsidR="00B81D88" w:rsidRPr="00A35149" w:rsidRDefault="00B81D88" w:rsidP="002E00CA">
      <w:pPr>
        <w:widowControl w:val="0"/>
        <w:rPr>
          <w:rFonts w:asciiTheme="majorBidi" w:hAnsiTheme="majorBidi" w:cstheme="majorBidi"/>
        </w:rPr>
      </w:pPr>
    </w:p>
    <w:p w14:paraId="2D3866D9" w14:textId="77777777" w:rsidR="00A96FA7" w:rsidRPr="00A35149" w:rsidRDefault="00A96FA7" w:rsidP="00A96FA7">
      <w:pPr>
        <w:pStyle w:val="Heading1"/>
        <w:rPr>
          <w:rFonts w:asciiTheme="majorBidi" w:hAnsiTheme="majorBidi"/>
          <w:color w:val="4472C4" w:themeColor="accent1"/>
        </w:rPr>
      </w:pPr>
      <w:r w:rsidRPr="00A35149">
        <w:rPr>
          <w:rFonts w:asciiTheme="majorBidi" w:hAnsiTheme="majorBidi"/>
          <w:color w:val="4472C4" w:themeColor="accent1"/>
        </w:rPr>
        <w:t>CURRENT BIOBANK STANDARDS REPRESENTING GENETIC VARIATION</w:t>
      </w:r>
    </w:p>
    <w:p w14:paraId="3CF92AD2" w14:textId="77777777" w:rsidR="00A96FA7" w:rsidRPr="00A35149" w:rsidRDefault="00A96FA7" w:rsidP="00A96FA7">
      <w:pPr>
        <w:rPr>
          <w:rFonts w:asciiTheme="majorBidi" w:hAnsiTheme="majorBidi" w:cstheme="majorBidi"/>
        </w:rPr>
      </w:pPr>
    </w:p>
    <w:p w14:paraId="3DEC7F26" w14:textId="42A9212F" w:rsidR="00A96FA7" w:rsidRPr="00A35149" w:rsidRDefault="00A96FA7" w:rsidP="00A96FA7">
      <w:pPr>
        <w:widowControl w:val="0"/>
        <w:rPr>
          <w:rFonts w:asciiTheme="majorBidi" w:hAnsiTheme="majorBidi" w:cstheme="majorBidi"/>
        </w:rPr>
      </w:pPr>
      <w:r w:rsidRPr="00A35149">
        <w:rPr>
          <w:rFonts w:asciiTheme="majorBidi" w:hAnsiTheme="majorBidi" w:cstheme="majorBidi"/>
        </w:rPr>
        <w:t xml:space="preserve"> </w:t>
      </w:r>
      <w:r w:rsidRPr="00A35149">
        <w:rPr>
          <w:rFonts w:asciiTheme="majorBidi" w:hAnsiTheme="majorBidi" w:cstheme="majorBidi"/>
        </w:rPr>
        <w:tab/>
        <w:t xml:space="preserve">Accounting for population differences requires a reliable </w:t>
      </w:r>
      <w:r w:rsidR="00DC5F1F" w:rsidRPr="00A35149">
        <w:rPr>
          <w:rFonts w:asciiTheme="majorBidi" w:hAnsiTheme="majorBidi" w:cstheme="majorBidi"/>
        </w:rPr>
        <w:t xml:space="preserve">and global </w:t>
      </w:r>
      <w:r w:rsidRPr="00A35149">
        <w:rPr>
          <w:rFonts w:asciiTheme="majorBidi" w:hAnsiTheme="majorBidi" w:cstheme="majorBidi"/>
        </w:rPr>
        <w:t xml:space="preserve">population structure model. Regrettably, despite the vast amount of genetic data currently available, no unified population structure model has been developed. Instead, population genetic studies typically describe variation in the data they study, sometimes with respect to related populations, defined in a rudimentary way, for example using the 14 (or even just the original four) HapMap populations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{"citationItems":[{"id":"ITEM-1","itemData":{"DOI":"10.1038/nature09298","ISSN":"14764687","PMID":"20811451","abstract":"Despite great progress in identifying genetic variants that influence human disease,most inherited risk remains unexplained. A more complete understanding requires genome-wide studies that fully examine less common alleles in populations with a wide range of ancestry. To inform the design and interpretation of such studies, we genotyped 1.6 million common single nucleotide polymorphisms (SNPs) in 1,184 reference individuals from 11 global populations, and sequenced ten 100-kilobase regions in 692 of these individuals. This integrated data set of common and rare alleles, called 'HapMap 3', includes both SNPs and copy number polymorphisms (CNPs). We characterized population-specific differences among low-frequency variants, measured the improvement in imputation accuracy afforded by the larger reference panel, especially in imputing SNPs with a minor allele frequency of#5%, and demonstrated the feasibility of imputing newly discovered CNPs and SNPs. This expanded public resource of genome variants in global populations supports deeper interrogation of genomic variation and its role in human disease, and serves as a step towards a high-resolution map of the landscape of human genetic variation. © 2010 Macmillan Publishers Limited. All rights reserved.","author":[{"dropping-particle":"","family":"Altshuler","given":"David M.","non-dropping-particle":"","parse-names":false,"suffix":""},{"dropping-particle":"","family":"Gibbs","given":"Richard A.","non-dropping-particle":"","parse-names":false,"suffix":""},{"dropping-particle":"","family":"Peltonen","given":"Leena","non-dropping-particle":"","parse-names":false,"suffix":""},{"dropping-particle":"","family":"Schaffner","given":"Stephen F.","non-dropping-particle":"","parse-names":false,"suffix":""},{"dropping-particle":"","family":"Yu","given":"Fuli","non-dropping-particle":"","parse-names":false,"suffix":""},{"dropping-particle":"","family":"Dermitzakis","given":"Emmanouil","non-dropping-particle":"","parse-names":false,"suffix":""},{"dropping-particle":"","family":"Bonnen","given":"Penelope E.","non-dropping-particle":"","parse-names":false,"suffix":""},{"dropping-particle":"","family":"Bakker","given":"Paul I.W.","non-dropping-particle":"De","parse-names":false,"suffix":""},{"dropping-particle":"","family":"Deloukas","given":"Panos","non-dropping-particle":"","parse-names":false,"suffix":""},{"dropping-particle":"","family":"Gabriel","given":"Stacey B.","non-dropping-particle":"","parse-names":false,"suffix":""},{"dropping-particle":"","family":"Gwilliam","given":"Rhian","non-dropping-particle":"","parse-names":false,"suffix":""},{"dropping-particle":"","family":"Hunt","given":"Sarah","non-dropping-particle":"","parse-names":false,"suffix":""},{"dropping-particle":"","family":"Inouye","given":"Michael","non-dropping-particle":"","parse-names":false,"suffix":""},{"dropping-particle":"","family":"Jia","given":"Xiaoming","non-dropping-particle":"","parse-names":false,"suffix":""},{"dropping-particle":"","family":"Aarno Palotie","given":"","non-dropping-particle":"","parse-names":false,"suffix":""},{"dropping-particle":"","family":"Parkin","given":"Melissa","non-dropping-particle":"","parse-names":false,"suffix":""},{"dropping-particle":"","family":"Whittaker","given":"Pamela","non-dropping-particle":"","parse-names":false,"suffix":""},{"dropping-particle":"","family":"Chang","given":"Kyle","non-dropping-particle":"","parse-names":false,"suffix":""},{"dropping-particle":"","family":"Hawes","given":"Alicia","non-dropping-particle":"","parse-names":false,"suffix":""},{"dropping-particle":"","family":"Lewis","given":"Lora R.","non-dropping-particle":"","parse-names":false,"suffix":""},{"dropping-particle":"","family":"Ren","given":"Yanru","non-dropping-particle":"","parse-names":false,"suffix":""},{"dropping-particle":"","family":"Wheeler","given":"David","non-dropping-particle":"","parse-names":false,"suffix":""},{"dropping-particle":"","family":"Muzny","given":"Donna Marie","non-dropping-particle":"","parse-names":false,"suffix":""},{"dropping-particle":"","family":"Barnes","given":"Chris","non-dropping-particle":"","parse-names":false,"suffix":""},{"dropping-particle":"","family":"Darvishi","given":"Katayoon","non-dropping-particle":"","parse-names":false,"suffix":""},{"dropping-particle":"","family":"Hurles","given":"Matthew","non-dropping-particle":"","parse-names":false,"suffix":""},{"dropping-particle":"","family":"Korn","given":"Joshua M.","non-dropping-particle":"","parse-names":false,"suffix":""},{"dropping-particle":"","family":"Kristiansson","given":"Kati","non-dropping-particle":"","parse-names":false,"suffix":""},{"dropping-particle":"","family":"Lee","given":"Charles","non-dropping-particle":"","parse-names":false,"suffix":""},{"dropping-particle":"","family":"McCarroll","given":"Steven A.","non-dropping-particle":"","parse-names":false,"suffix":""},{"dropping-particle":"","family":"Nemesh","given":"James","non-dropping-particle":"","parse-names":false,"suffix":""},{"dropping-particle":"","family":"Keinan","given":"Alon","non-dropping-particle":"","parse-names":false,"suffix":""},{"dropping-particle":"","family":"Montgomery","given":"Stephen B.","non-dropping-particle":"","parse-names":false,"suffix":""},{"dropping-particle":"","family":"Samuela Pollack","given":"","non-dropping-particle":"","parse-names":false,"suffix":""},{"dropping-particle":"","family":"Price","given":"Alkes L.","non-dropping-particle":"","parse-names":false,"suffix":""},{"dropping-particle":"","family":"Soranzo","given":"Nicole","non-dropping-particle":"","parse-names":false,"suffix":""},{"dropping-particle":"","family":"Gonzaga-Jauregui","given":"Claudia","non-dropping-particle":"","parse-names":false,"suffix":""},{"dropping-particle":"","family":"Anttila","given":"Verneri","non-dropping-particle":"","parse-names":false,"suffix":""},{"dropping-particle":"","family":"Brodeur","given":"Wendy","non-dropping-particle":"","parse-names":false,"suffix":""},{"dropping-particle":"","family":"Daly","given":"Mark J.","non-dropping-particle":"","parse-names":false,"suffix":""},{"dropping-particle":"","family":"Leslie","given":"Stephen","non-dropping-particle":"","parse-names":false,"suffix":""},{"dropping-particle":"","family":"McVean","given":"Gil","non-dropping-particle":"","parse-names":false,"suffix":""},{"dropping-particle":"","family":"Moutsianas","given":"Loukas","non-dropping-particle":"","parse-names":false,"suffix":""},{"dropping-particle":"","family":"Nguyen","given":"Huy","non-dropping-particle":"","parse-names":false,"suffix":""},{"dropping-particle":"","family":"Zhang","given":"Qingrun","non-dropping-particle":"","parse-names":false,"suffix":""},{"dropping-particle":"","family":"Ghori","given":"Mohammed J.R.","non-dropping-particle":"","parse-names":false,"suffix":""},{"dropping-particle":"","family":"McGinnis","given":"Ralph","non-dropping-particle":"","parse-names":false,"suffix":""},{"dropping-particle":"","family":"McLaren","given":"William","non-dropping-particle":"","parse-names":false,"suffix":""},{"dropping-particle":"","family":"Pollack","given":"Samuela","non-dropping-particle":"","parse-names":false,"suffix":""},{"dropping-particle":"","family":"Takeuchi","given":"Fumihiko","non-dropping-particle":"","parse-names":false,"suffix":""},{"dropping-particle":"","family":"Grossman","given":"Sharon R.","non-dropping-particle":"","parse-names":false,"suffix":""},{"dropping-particle":"","family":"Shlyakhter","given":"Ilya","non-dropping-particle":"","parse-names":false,"suffix":""},{"dropping-particle":"","family":"Hostetter","given":"Elizabeth B.","non-dropping-particle":"","parse-names":false,"suffix":""},{"dropping-particle":"","family":"Sabeti","given":"Pardis C.","non-dropping-particle":"","parse-names":false,"suffix":""},{"dropping-particle":"","family":"Adebamowo","given":"Clement A.","non-dropping-particle":"","parse-names":false,"suffix":""},{"dropping-particle":"","family":"Foster","given":"Morris W.","non-dropping-particle":"","parse-names":false,"suffix":""},{"dropping-particle":"","family":"Gordon","given":"Deborah R.","non-dropping-particle":"","parse-names":false,"suffix":""},{"dropping-particle":"","family":"Licinio","given":"Julio","non-dropping-particle":"","parse-names":false,"suffix":""},{"dropping-particle":"","family":"Manca","given":"Maria Cristina","non-dropping-particle":"","parse-names":false,"suffix":""},{"dropping-particle":"","family":"Marshall","given":"Patricia A.","non-dropping-particle":"","parse-names":false,"suffix":""},{"dropping-particle":"","family":"Matsuda","given":"Ichiro","non-dropping-particle":"","parse-names":false,"suffix":""},{"dropping-particle":"","family":"Ngare","given":"Duncan","non-dropping-particle":"","parse-names":false,"suffix":""},{"dropping-particle":"","family":"Wang","given":"Vivian Ota","non-dropping-particle":"","parse-names":false,"suffix":""},{"dropping-particle":"","family":"Reddy","given":"Deepa","non-dropping-particle":"","parse-names":false,"suffix":""},{"dropping-particle":"","family":"Rotimi","given":"Charles N.","non-dropping-particle":"","parse-names":false,"suffix":""},{"dropping-particle":"","family":"Royal","given":"Charmaine D.","non-dropping-particle":"","parse-names":false,"suffix":""},{"dropping-particle":"","family":"Sharp","given":"Richard R.","non-dropping-particle":"","parse-names":false,"suffix":""},{"dropping-particle":"","family":"Zeng","given":"Changqing","non-dropping-particle":"","parse-names":false,"suffix":""},{"dropping-particle":"","family":"Brooks","given":"D. B.","non-dropping-particle":"","parse-names":false,"suffix":""},{"dropping-particle":"","family":"McEwen","given":"Jean E.","non-dropping-particle":"","parse-names":false,"suffix":""}],"container-title":"Nature","id":"ITEM-1","issue":"7311","issued":{"date-parts":[["2010"]]},"page":"52-58","title":"Integrating common and rare genetic variation in diverse human populations","type":"article-journal","volume":"467"},"uris":["http://www.mendeley.com/documents/?uuid=4d2715d5-a2d1-4e53-a015-e96b67076859"]}],"mendeley":{"formattedCitation":"(Altshuler &lt;i&gt;et al.&lt;/i&gt;, 2010)","plainTextFormattedCitation":"(Altshuler et al., 2010)","previouslyFormattedCitation":"(Altshuler &lt;i&gt;et al.&lt;/i&gt;, 2010)"},"properties":{"noteIndex":0},"schema":"https://github.com/citation-style-language/schema/raw/master/csl-citation.json"}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(Altshuler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2010)</w:t>
      </w:r>
      <w:r w:rsidRPr="00A35149">
        <w:rPr>
          <w:rFonts w:asciiTheme="majorBidi" w:hAnsiTheme="majorBidi" w:cstheme="majorBidi"/>
          <w:color w:val="4472C4" w:themeColor="accent1"/>
        </w:rPr>
        <w:fldChar w:fldCharType="end"/>
      </w:r>
      <w:r w:rsidRPr="00A35149">
        <w:rPr>
          <w:rFonts w:asciiTheme="majorBidi" w:hAnsiTheme="majorBidi" w:cstheme="majorBidi"/>
          <w:color w:val="4472C4" w:themeColor="accent1"/>
        </w:rPr>
        <w:t xml:space="preserve"> </w:t>
      </w:r>
      <w:r w:rsidRPr="00A35149">
        <w:rPr>
          <w:rFonts w:asciiTheme="majorBidi" w:hAnsiTheme="majorBidi" w:cstheme="majorBidi"/>
        </w:rPr>
        <w:t xml:space="preserve">or 26 </w:t>
      </w:r>
      <w:r w:rsidR="00DC5F1F" w:rsidRPr="00A35149">
        <w:rPr>
          <w:rFonts w:asciiTheme="majorBidi" w:hAnsiTheme="majorBidi" w:cstheme="majorBidi"/>
        </w:rPr>
        <w:t xml:space="preserve">of the </w:t>
      </w:r>
      <w:r w:rsidRPr="00A35149">
        <w:rPr>
          <w:rFonts w:asciiTheme="majorBidi" w:hAnsiTheme="majorBidi" w:cstheme="majorBidi"/>
        </w:rPr>
        <w:t xml:space="preserve">1000 Genomes populations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{"citationItems":[{"id":"ITEM-1","itemData":{"DOI":"10.1038/nature11632","ISSN":"14764687","abstract":"By characterizing the geographic and functional spectrum of human genetic variation, the 1000 Genomes Project aims to build a resource to help to understand the genetic contribution to disease. Here we describe the genomes of 1,092 individuals from 14 populations, constructed using a combination of low-coverage whole-genome and exome sequencing. By developing methods to integrate information across several algorithms and diverse data sources, we provide a validated haplotype map of 38 million single nucleotide polymorphisms, 1.4 million short insertions and deletions, and more than 14,000 larger deletions. We show that individuals from different populations carry different profiles of rare and common variants, and that low-frequency variants show substantial geographic differentiation, which is further increased by the action of purifying selection. We show that evolutionary conservation and coding consequence are key determinants of the strength of purifying selection, that rare-variant load varies substantially across biological pathways, and that each individual contains hundreds of rare non-coding variants at conserved sites, such as motif-disrupting changes in transcription-factor-binding sites. This resource, which captures up to 98% of accessible single nucleotide polymorphisms at a frequency of 1% in related populations, enables analysis of common and low-frequency variants in individuals from diverse, including admixed, populations.","author":[{"dropping-particle":"","family":"Altshuler","given":"David M.","non-dropping-particle":"","parse-names":false,"suffix":""},{"dropping-particle":"","family":"Durbin","given":"Richard M.","non-dropping-particle":"","parse-names":false,"suffix":""},{"dropping-particle":"","family":"Abecasis","given":"Gonçalo R.","non-dropping-particle":"","parse-names":false,"suffix":""},{"dropping-particle":"","family":"Bentley","given":"David R.","non-dropping-particle":"","parse-names":false,"suffix":""},{"dropping-particle":"","family":"Chakravarti","given":"Aravinda","non-dropping-particle":"","parse-names":false,"suffix":""},{"dropping-particle":"","family":"Clark","given":"Andrew G.","non-dropping-particle":"","parse-names":false,"suffix":""},{"dropping-particle":"","family":"Donnelly","given":"Peter","non-dropping-particle":"","parse-names":false,"suffix":""},{"dropping-particle":"","family":"Eichler","given":"Evan E.","non-dropping-particle":"","parse-names":false,"suffix":""},{"dropping-particle":"","family":"Flicek","given":"Paul","non-dropping-particle":"","parse-names":false,"suffix":""},{"dropping-particle":"","family":"Gabriel","given":"Stacey B.","non-dropping-particle":"","parse-names":false,"suffix":""},{"dropping-particle":"","family":"Gibbs","given":"Richard A.","non-dropping-particle":"","parse-names":false,"suffix":""},{"dropping-particle":"","family":"Green","given":"Eric D.","non-dropping-particle":"","parse-names":false,"suffix":""},{"dropping-particle":"","family":"Hurles","given":"Matthew E.","non-dropping-particle":"","parse-names":false,"suffix":""},{"dropping-particle":"","family":"Knoppers","given":"Bartha M.","non-dropping-particle":"","parse-names":false,"suffix":""},{"dropping-particle":"","family":"Korbel","given":"Jan O.","non-dropping-particle":"","parse-names":false,"suffix":""},{"dropping-particle":"","family":"Lander","given":"Eric S.","non-dropping-particle":"","parse-names":false,"suffix":""},{"dropping-particle":"","family":"Lee","given":"Charles","non-dropping-particle":"","parse-names":false,"suffix":""},{"dropping-particle":"","family":"Lehrach","given":"Hans","non-dropping-particle":"","parse-names":false,"suffix":""},{"dropping-particle":"","family":"Mardis","given":"Elaine R.","non-dropping-particle":"","parse-names":false,"suffix":""},{"dropping-particle":"","family":"Marth","given":"Gabor T.","non-dropping-particle":"","parse-names":false,"suffix":""},{"dropping-particle":"","family":"McVean","given":"Gil A.","non-dropping-particle":"","parse-names":false,"suffix":""},{"dropping-particle":"","family":"Nickerson","given":"Deborah A.","non-dropping-particle":"","parse-names":false,"suffix":""},{"dropping-particle":"","family":"Schmidt","given":"Jeanette P.","non-dropping-particle":"","parse-names":false,"suffix":""},{"dropping-particle":"","family":"Sherry","given":"Stephen T.","non-dropping-particle":"","parse-names":false,"suffix":""},{"dropping-particle":"","family":"Wang","given":"Jun","non-dropping-particle":"","parse-names":false,"suffix":""},{"dropping-particle":"","family":"Wilson","given":"Richard K.","non-dropping-particle":"","parse-names":false,"suffix":""},{"dropping-particle":"","family":"Dinh","given":"Huyen","non-dropping-particle":"","parse-names":false,"suffix":""},{"dropping-particle":"","family":"Kovar","given":"Christie","non-dropping-particle":"","parse-names":false,"suffix":""},{"dropping-particle":"","family":"Lee","given":"Sandra","non-dropping-particle":"","parse-names":false,"suffix":""},{"dropping-particle":"","family":"Lewis","given":"Lora","non-dropping-particle":"","parse-names":false,"suffix":""},{"dropping-particle":"","family":"Muzny","given":"Donna","non-dropping-particle":"","parse-names":false,"suffix":""},{"dropping-particle":"","family":"Reid","given":"Jeff","non-dropping-particle":"","parse-names":false,"suffix":""},{"dropping-particle":"","family":"Wang","given":"Min","non-dropping-particle":"","parse-names":false,"suffix":""},{"dropping-particle":"","family":"Fang","given":"Xiaodong","non-dropping-particle":"","parse-names":false,"suffix":""},{"dropping-particle":"","family":"Guo","given":"Xiaosen","non-dropping-particle":"","parse-names":false,"suffix":""},{"dropping-particle":"","family":"Jian","given":"Min","non-dropping-particle":"","parse-names":false,"suffix":""},{"dropping-particle":"","family":"Jiang","given":"Hui","non-dropping-particle":"","parse-names":false,"suffix":""},{"dropping-particle":"","family":"Jin","given":"Xin","non-dropping-particle":"","parse-names":false,"suffix":""},{"dropping-particle":"","family":"Li","given":"Guoqing","non-dropping-particle":"","parse-names":false,"suffix":""},{"dropping-particle":"","family":"Li","given":"Jingxiang","non-dropping-particle":"","parse-names":false,"suffix":""},{"dropping-particle":"","family":"Li","given":"Yingrui","non-dropping-particle":"","parse-names":false,"suffix":""},{"dropping-particle":"","family":"Li","given":"Zhuo","non-dropping-particle":"","parse-names":false,"suffix":""},{"dropping-particle":"","family":"Liu","given":"Xiao","non-dropping-particle":"","parse-names":false,"suffix":""},{"dropping-particle":"","family":"Lu","given":"Yao","non-dropping-particle":"","parse-names":false,"suffix":""},{"dropping-particle":"","family":"Ma","given":"Xuedi","non-dropping-particle":"","parse-names":false,"suffix":""},{"dropping-particle":"","family":"Su","given":"Zhe","non-dropping-particle":"","parse-names":false,"suffix":""},{"dropping-particle":"","family":"Tai","given":"Shuaishuai","non-dropping-particle":"","parse-names":false,"suffix":""},{"dropping-particle":"","family":"Tang","given":"Meifang","non-dropping-particle":"","parse-names":false,"suffix":""},{"dropping-particle":"","family":"Wang","given":"Bo","non-dropping-particle":"","parse-names":false,"suffix":""},{"dropping-particle":"","family":"Wang","given":"Guangbiao","non-dropping-particle":"","parse-names":false,"suffix":""},{"dropping-particle":"","family":"Wu","given":"Honglong","non-dropping-particle":"","parse-names":false,"suffix":""},{"dropping-particle":"","family":"Wu","given":"Renhua","non-dropping-particle":"","parse-names":false,"suffix":""},{"dropping-particle":"","family":"Yin","given":"Ye","non-dropping-particle":"","parse-names":false,"suffix":""},{"dropping-particle":"","family":"Zhang","given":"Wenwei","non-dropping-particle":"","parse-names":false,"suffix":""},{"dropping-particle":"","family":"Zhao","given":"Jiao","non-dropping-particle":"","parse-names":false,"suffix":""},{"dropping-particle":"","family":"Zhao","given":"Meiru","non-dropping-particle":"","parse-names":false,"suffix":""},{"dropping-particle":"","family":"Zheng","given":"Xiaole","non-dropping-particle":"","parse-names":false,"suffix":""},{"dropping-particle":"","family":"Zhou","given":"Yan","non-dropping-particle":"","parse-names":false,"suffix":""},{"dropping-particle":"","family":"Gupta","given":"Namrata","non-dropping-particle":"","parse-names":false,"suffix":""},{"dropping-particle":"","family":"Clarke","given":"Laura","non-dropping-particle":"","parse-names":false,"suffix":""},{"dropping-particle":"","family":"Leinonen","given":"Rasko","non-dropping-particle":"","parse-names":false,"suffix":""},{"dropping-particle":"","family":"Smith","given":"Richard E.","non-dropping-particle":"","parse-names":false,"suffix":""},{"dropping-particle":"","family":"Zheng-Bradley","given":"Xiangqun","non-dropping-particle":"","parse-names":false,"suffix":""},{"dropping-particle":"","family":"Grocock","given":"Russell","non-dropping-particle":"","parse-names":false,"suffix":""},{"dropping-particle":"","family":"Humphray","given":"Sean","non-dropping-particle":"","parse-names":false,"suffix":""},{"dropping-particle":"","family":"James","given":"Terena","non-dropping-particle":"","parse-names":false,"suffix":""},{"dropping-particle":"","family":"Kingsbury","given":"Zoya","non-dropping-particle":"","parse-names":false,"suffix":""},{"dropping-particle":"","family":"Sudbrak","given":"Ralf","non-dropping-particle":"","parse-names":false,"suffix":""},{"dropping-particle":"","family":"Albrecht","given":"Marcus W.","non-dropping-particle":"","parse-names":false,"suffix":""},{"dropping-particle":"","family":"Amstislavskiy","given":"Vyacheslav S.","non-dropping-particle":"","parse-names":false,"suffix":""},{"dropping-particle":"","family":"Borodina","given":"Tatiana A.","non-dropping-particle":"","parse-names":false,"suffix":""},{"dropping-particle":"","family":"Lienhard","given":"Matthias","non-dropping-particle":"","parse-names":false,"suffix":""},{"dropping-particle":"","family":"Mertes","given":"Florian","non-dropping-particle":"","parse-names":false,"suffix":""},{"dropping-particle":"","family":"Sultan","given":"Marc","non-dropping-particle":"","parse-names":false,"suffix":""},{"dropping-particle":"","family":"Timmermann","given":"Bernd","non-dropping-particle":"","parse-names":false,"suffix":""},{"dropping-particle":"","family":"Yaspo","given":"Marie Laure","non-dropping-particle":"","parse-names":false,"suffix":""},{"dropping-particle":"","family":"Fulton","given":"Lucinda","non-dropping-particle":"","parse-names":false,"suffix":""},{"dropping-particle":"","family":"Fulton","given":"Robert","non-dropping-particle":"","parse-names":false,"suffix":""},{"dropping-particle":"","family":"Weinstock","given":"George M.","non-dropping-particle":"","parse-names":false,"suffix":""},{"dropping-particle":"","family":"Balasubramaniam","given":"Senduran","non-dropping-particle":"","parse-names":false,"suffix":""},{"dropping-particle":"","family":"Burton","given":"John","non-dropping-particle":"","parse-names":false,"suffix":""},{"dropping-particle":"","family":"Danecek","given":"Petr","non-dropping-particle":"","parse-names":false,"suffix":""},{"dropping-particle":"","family":"Keane","given":"Thomas M.","non-dropping-particle":"","parse-names":false,"suffix":""},{"dropping-particle":"","family":"Kolb-Kokocinski","given":"Anja","non-dropping-particle":"","parse-names":false,"suffix":""},{"dropping-particle":"","family":"McCarthy","given":"Shane","non-dropping-particle":"","parse-names":false,"suffix":""},{"dropping-particle":"","family":"Stalker","given":"James","non-dropping-particle":"","parse-names":false,"suffix":""},{"dropping-particle":"","family":"Quail","given":"Michael","non-dropping-particle":"","parse-names":false,"suffix":""},{"dropping-particle":"","family":"Davies","given":"Christopher J.","non-dropping-particle":"","parse-names":false,"suffix":""},{"dropping-particle":"","family":"Gollub","given":"Jeremy","non-dropping-particle":"","parse-names":false,"suffix":""},{"dropping-particle":"","family":"Webster","given":"Teresa","non-dropping-particle":"","parse-names":false,"suffix":""},{"dropping-particle":"","family":"Wong","given":"Brant","non-dropping-particle":"","parse-names":false,"suffix":""},{"dropping-particle":"","family":"Zhan","given":"Yiping","non-dropping-particle":"","parse-names":false,"suffix":""},{"dropping-particle":"","family":"Auton","given":"Adam","non-dropping-particle":"","parse-names":false,"suffix":""},{"dropping-particle":"","family":"Yu","given":"Fuli","non-dropping-particle":"","parse-names":false,"suffix":""},{"dropping-particle":"","family":"Bainbridge","given":"Matthew","non-dropping-particle":"","parse-names":false,"suffix":""},{"dropping-particle":"","family":"Challis","given":"Danny","non-dropping-particle":"","parse-names":false,"suffix":""},{"dropping-particle":"","family":"Evani","given":"Uday S.","non-dropping-particle":"","parse-names":false,"suffix":""},{"dropping-particle":"","family":"Lu","given":"James","non-dropping-particle":"","parse-names":false,"suffix":""},{"dropping-particle":"","family":"Nagaswamy","given":"Uma","non-dropping-particle":"","parse-names":false,"suffix":""},{"dropping-particle":"","family":"Sabo","given":"Aniko","non-dropping-particle":"","parse-names":false,"suffix":""},{"dropping-particle":"","family":"Wang","given":"Yi","non-dropping-particle":"","parse-names":false,"suffix":""},{"dropping-particle":"","family":"Yu","given":"Jin","non-dropping-particle":"","parse-names":false,"suffix":""},{"dropping-particle":"","family":"Coin","given":"Lachlan J.M.","non-dropping-particle":"","parse-names":false,"suffix":""},{"dropping-particle":"","family":"Fang","given":"Lin","non-dropping-particle":"","parse-names":false,"suffix":""},{"dropping-particle":"","family":"Li","given":"Qibin","non-dropping-particle":"","parse-names":false,"suffix":""},{"dropping-particle":"","family":"Li","given":"Zhenyu","non-dropping-particle":"","parse-names":false,"suffix":""},{"dropping-particle":"","family":"Lin","given":"Haoxiang","non-dropping-particle":"","parse-names":false,"suffix":""},{"dropping-particle":"","family":"Liu","given":"Binghang","non-dropping-particle":"","parse-names":false,"suffix":""},{"dropping-particle":"","family":"Luo","given":"Ruibang","non-dropping-particle":"","parse-names":false,"suffix":""},{"dropping-particle":"","family":"Qin","given":"Nan","non-dropping-particle":"","parse-names":false,"suffix":""},{"dropping-particle":"","family":"Shao","given":"Haojing","non-dropping-particle":"","parse-names":false,"suffix":""},{"dropping-particle":"","family":"Wang","given":"Bingqiang","non-dropping-particle":"","parse-names":false,"suffix":""},{"dropping-particle":"","family":"Xie","given":"Yinlong","non-dropping-particle":"","parse-names":false,"suffix":""},{"dropping-particle":"","family":"Ye","given":"Chen","non-dropping-particle":"","parse-names":false,"suffix":""},{"dropping-particle":"","family":"Yu","given":"Chang","non-dropping-particle":"","parse-names":false,"suffix":""},{"dropping-particle":"","family":"Zhang","given":"Fan","non-dropping-particle":"","parse-names":false,"suffix":""},{"dropping-particle":"","family":"Zheng","given":"Hancheng","non-dropping-particle":"","parse-names":false,"suffix":""},{"dropping-particle":"","family":"Zhu","given":"Hongmei","non-dropping-particle":"","parse-names":false,"suffix":""},{"dropping-particle":"","family":"Garrison","given":"Erik P.","non-dropping-particle":"","parse-names":false,"suffix":""},{"dropping-particle":"","family":"Kural","given":"Deniz","non-dropping-particle":"","parse-names":false,"suffix":""},{"dropping-particle":"","family":"Lee","given":"Wan Ping","non-dropping-particle":"","parse-names":false,"suffix":""},{"dropping-particle":"","family":"Fung Leong","given":"Wen","non-dropping-particle":"","parse-names":false,"suffix":""},{"dropping-particle":"","family":"Ward","given":"Alistair N.","non-dropping-particle":"","parse-names":false,"suffix":""},{"dropping-particle":"","family":"Wu","given":"Jiantao","non-dropping-particle":"","parse-names":false,"suffix":""},{"dropping-particle":"","family":"Zhang","given":"Mengyao","non-dropping-particle":"","parse-names":false,"suffix":""},{"dropping-particle":"","family":"Griffin","given":"Lauren","non-dropping-particle":"","parse-names":false,"suffix":""},{"dropping-particle":"","family":"Hsieh","given":"Chih Heng","non-dropping-particle":"","parse-names":false,"suffix":""},{"dropping-particle":"","family":"Mills","given":"Ryan E.","non-dropping-particle":"","parse-names":false,"suffix":""},{"dropping-particle":"","family":"Shi","given":"Xinghua","non-dropping-particle":"","parse-names":false,"suffix":""},{"dropping-particle":"","family":"Grotthuss","given":"Marcin","non-dropping-particle":"Von","parse-names":false,"suffix":""},{"dropping-particle":"","family":"Zhang","given":"Chengsheng","non-dropping-particle":"","parse-names":false,"suffix":""},{"dropping-particle":"","family":"Daly","given":"Mark J.","non-dropping-particle":"","parse-names":false,"suffix":""},{"dropping-particle":"","family":"Depristo","given":"Mark A.","non-dropping-particle":"","parse-names":false,"suffix":""},{"dropping-particle":"","family":"Banks","given":"Eric","non-dropping-particle":"","parse-names":false,"suffix":""},{"dropping-particle":"","family":"Bhatia","given":"Gaurav","non-dropping-particle":"","parse-names":false,"suffix":""},{"dropping-particle":"","family":"Carneiro","given":"Mauricio O.","non-dropping-particle":"","parse-names":false,"suffix":""},{"dropping-particle":"","family":"Angel","given":"Guillermo","non-dropping-particle":"Del","parse-names":false,"suffix":""},{"dropping-particle":"","family":"Genovese","given":"Giulio","non-dropping-particle":"","parse-names":false,"suffix":""},{"dropping-particle":"","family":"Handsaker","given":"Robert E.","non-dropping-particle":"","parse-names":false,"suffix":""},{"dropping-particle":"","family":"Hartl","given":"Chris","non-dropping-particle":"","parse-names":false,"suffix":""},{"dropping-particle":"","family":"McCarroll","given":"Steven A.","non-dropping-particle":"","parse-names":false,"suffix":""},{"dropping-particle":"","family":"Nemesh","given":"James C.","non-dropping-particle":"","parse-names":false,"suffix":""},{"dropping-particle":"","family":"Poplin","given":"Ryan E.","non-dropping-particle":"","parse-names":false,"suffix":""},{"dropping-particle":"","family":"Schaffner","given":"Stephen F.","non-dropping-particle":"","parse-names":false,"suffix":""},{"dropping-particle":"","family":"Shakir","given":"Khalid","non-dropping-particle":"","parse-names":false,"suffix":""},{"dropping-particle":"","family":"Yoon","given":"Seungtai C.","non-dropping-particle":"","parse-names":false,"suffix":""},{"dropping-particle":"","family":"Lihm","given":"Jayon","non-dropping-particle":"","parse-names":false,"suffix":""},{"dropping-particle":"","family":"Makarov","given":"Vladimir","non-dropping-particle":"","parse-names":false,"suffix":""},{"dropping-particle":"","family":"Jin","given":"Hanjun","non-dropping-particle":"","parse-names":false,"suffix":""},{"dropping-particle":"","family":"Kim","given":"Wook","non-dropping-particle":"","parse-names":false,"suffix":""},{"dropping-particle":"","family":"Cheol Kim","given":"Ki","non-dropping-particle":"","parse-names":false,"suffix":""},{"dropping-particle":"","family":"Rausch","given":"Tobias","non-dropping-particle":"","parse-names":false,"suffix":""},{"dropping-particle":"","family":"Beal","given":"Kathryn","non-dropping-particle":"","parse-names":false,"suffix":""},{"dropping-particle":"","family":"Cunningham","given":"Fiona","non-dropping-particle":"","parse-names":false,"suffix":""},{"dropping-particle":"","family":"Herrero","given":"Javier","non-dropping-particle":"","parse-names":false,"suffix":""},{"dropping-particle":"","family":"McLaren","given":"William M.","non-dropping-particle":"","parse-names":false,"suffix":""},{"dropping-particle":"","family":"Ritchie","given":"Graham R.S.","non-dropping-particle":"","parse-names":false,"suffix":""},{"dropping-particle":"","family":"Gottipati","given":"Srikanth","non-dropping-particle":"","parse-names":false,"suffix":""},{"dropping-particle":"","family":"Keinan","given":"Alon","non-dropping-particle":"","parse-names":false,"suffix":""},{"dropping-particle":"","family":"Rodriguez-Flores","given":"Juan L.","non-dropping-particle":"","parse-names":false,"suffix":""},{"dropping-particle":"","family":"Sabeti","given":"Pardis C.","non-dropping-particle":"","parse-names":false,"suffix":""},{"dropping-particle":"","family":"Grossman","given":"Sharon R.","non-dropping-particle":"","parse-names":false,"suffix":""},{"dropping-particle":"","family":"Tabrizi","given":"Shervin","non-dropping-particle":"","parse-names":false,"suffix":""},{"dropping-particle":"","family":"Tariyal","given":"Ridhi","non-dropping-particle":"","parse-names":false,"suffix":""},{"dropping-particle":"","family":"Cooper","given":"David N.","non-dropping-particle":"","parse-names":false,"suffix":""},{"dropping-particle":"V.","family":"Ball","given":"Edward","non-dropping-particle":"","parse-names":false,"suffix":""},{"dropping-particle":"","family":"Stenson","given":"Peter D.","non-dropping-particle":"","parse-names":false,"suffix":""},{"dropping-particle":"","family":"Barnes","given":"Bret","non-dropping-particle":"","parse-names":false,"suffix":""},{"dropping-particle":"","family":"Bauer","given":"Markus","non-dropping-particle":"","parse-names":false,"suffix":""},{"dropping-particle":"","family":"Keira Cheetham","given":"R.","non-dropping-particle":"","parse-names":false,"suffix":""},{"dropping-particle":"","family":"Cox","given":"Tony","non-dropping-particle":"","parse-names":false,"suffix":""},{"dropping-particle":"","family":"Eberle","given":"Michael","non-dropping-particle":"","parse-names":false,"suffix":""},{"dropping-particle":"","family":"Kahn","given":"Scott","non-dropping-particle":"","parse-names":false,"suffix":""},{"dropping-particle":"","family":"Murray","given":"Lisa","non-dropping-particle":"","parse-names":false,"suffix":""},{"dropping-particle":"","family":"Peden","given":"John","non-dropping-particle":"","parse-names":false,"suffix":""},{"dropping-particle":"","family":"Shaw","given":"Richard","non-dropping-particle":"","parse-names":false,"suffix":""},{"dropping-particle":"","family":"Ye","given":"Kai","non-dropping-particle":"","parse-names":false,"suffix":""},{"dropping-particle":"","family":"Batzer","given":"Mark A.","non-dropping-particle":"","parse-names":false,"suffix":""},{"dropping-particle":"","family":"Konkel","given":"Miriam K.","non-dropping-particle":"","parse-names":false,"suffix":""},{"dropping-particle":"","family":"Walker","given":"Jerilyn A.","non-dropping-particle":"","parse-names":false,"suffix":""},{"dropping-particle":"","family":"MacArthur","given":"Daniel G.","non-dropping-particle":"","parse-names":false,"suffix":""},{"dropping-particle":"","family":"Lek","given":"Monkol","non-dropping-particle":"","parse-names":false,"suffix":""},{"dropping-particle":"","family":"Herwig","given":"Ralf","non-dropping-particle":"","parse-names":false,"suffix":""},{"dropping-particle":"","family":"Shriver","given":"Mark D.","non-dropping-particle":"","parse-names":false,"suffix":""},{"dropping-particle":"","family":"Bustamante","given":"Carlos D.","non-dropping-particle":"","parse-names":false,"suffix":""},{"dropping-particle":"","family":"Byrnes","given":"Jake K.","non-dropping-particle":"","parse-names":false,"suffix":""},{"dropping-particle":"","family":"La Vega","given":"Francisco M.","non-dropping-particle":"De","parse-names":false,"suffix":""},{"dropping-particle":"","family":"Gravel","given":"Simon","non-dropping-particle":"","parse-names":false,"suffix":""},{"dropping-particle":"","family":"Kenny","given":"Eimear E.","non-dropping-particle":"","parse-names":false,"suffix":""},{"dropping-particle":"","family":"Kidd","given":"Jeffrey M.","non-dropping-particle":"","parse-names":false,"suffix":""},{"dropping-particle":"","family":"Maples","given":"Brian K.","non-dropping-particle":"","parse-names":false,"suffix":""},{"dropping-particle":"","family":"Moreno-Estrada","given":"Andres","non-dropping-particle":"","parse-names":false,"suffix":""},{"dropping-particle":"","family":"Zakharia","given":"Fouad","non-dropping-particle":"","parse-names":false,"suffix":""},{"dropping-particle":"","family":"Halperin","given":"Eran","non-dropping-particle":"","parse-names":false,"suffix":""},{"dropping-particle":"","family":"Baran","given":"Yael","non-dropping-particle":"","parse-names":false,"suffix":""},{"dropping-particle":"","family":"Craig","given":"David W.","non-dropping-particle":"","parse-names":false,"suffix":""},{"dropping-particle":"","family":"Christoforides","given":"Alexis","non-dropping-particle":"","parse-names":false,"suffix":""},{"dropping-particle":"","family":"Homer","given":"Nils","non-dropping-particle":"","parse-names":false,"suffix":""},{"dropping-particle":"","family":"Izatt","given":"Tyler","non-dropping-particle":"","parse-names":false,"suffix":""},{"dropping-particle":"","family":"Kurdoglu","given":"Ahmet A.","non-dropping-particle":"","parse-names":false,"suffix":""},{"dropping-particle":"","family":"Sinari","given":"Shripad A.","non-dropping-particle":"","parse-names":false,"suffix":""},{"dropping-particle":"","family":"Squire","given":"Kevin","non-dropping-particle":"","parse-names":false,"suffix":""},{"dropping-particle":"","family":"Xiao","given":"Chunlin","non-dropping-particle":"","parse-names":false,"suffix":""},{"dropping-particle":"","family":"Sebat","given":"Jonathan","non-dropping-particle":"","parse-names":false,"suffix":""},{"dropping-particle":"","family":"Bafna","given":"Vineet","non-dropping-particle":"","parse-names":false,"suffix":""},{"dropping-particle":"","family":"Ye","given":"Kenny","non-dropping-particle":"","parse-names":false,"suffix":""},{"dropping-particle":"","family":"Burchard","given":"Esteban G.","non-dropping-particle":"","parse-names":false,"suffix":""},{"dropping-particle":"","family":"Hernandez","given":"Ryan D.","non-dropping-particle":"","parse-names":false,"suffix":""},{"dropping-particle":"","family":"Gignoux","given":"Christopher R.","non-dropping-particle":"","parse-names":false,"suffix":""},{"dropping-particle":"","family":"Haussler","given":"David","non-dropping-particle":"","parse-names":false,"suffix":""},{"dropping-particle":"","family":"Katzman","given":"Sol J.","non-dropping-particle":"","parse-names":false,"suffix":""},{"dropping-particle":"","family":"James Kent","given":"W.","non-dropping-particle":"","parse-names":false,"suffix":""},{"dropping-particle":"","family":"Howie","given":"Bryan","non-dropping-particle":"","parse-names":false,"suffix":""},{"dropping-particle":"","family":"Ruiz-Linares","given":"Andres","non-dropping-particle":"","parse-names":false,"suffix":""},{"dropping-particle":"","family":"Dermitzakis","given":"Emmanouil T.","non-dropping-particle":"","parse-names":false,"suffix":""},{"dropping-particle":"","family":"Lappalainen","given":"Tuuli","non-dropping-particle":"","parse-names":false,"suffix":""},{"dropping-particle":"","family":"Devine","given":"Scott E.","non-dropping-particle":"","parse-names":false,"suffix":""},{"dropping-particle":"","family":"Liu","given":"Xinyue","non-dropping-particle":"","parse-names":false,"suffix":""},{"dropping-particle":"","family":"Maroo","given":"Ankit","non-dropping-particle":"","parse-names":false,"suffix":""},{"dropping-particle":"","family":"Tallon","given":"Luke J.","non-dropping-particle":"","parse-names":false,"suffix":""},{"dropping-particle":"","family":"Rosenfeld","given":"Jeffrey A.","non-dropping-particle":"","parse-names":false,"suffix":""},{"dropping-particle":"","family":"Michelson","given":"Leslie P.","non-dropping-particle":"","parse-names":false,"suffix":""},{"dropping-particle":"","family":"Min Kang","given":"Hyun","non-dropping-particle":"","parse-names":false,"suffix":""},{"dropping-particle":"","family":"Anderson","given":"Paul","non-dropping-particle":"","parse-names":false,"suffix":""},{"dropping-particle":"","family":"Angius","given":"Andrea","non-dropping-particle":"","parse-names":false,"suffix":""},{"dropping-particle":"","family":"Bigham","given":"Abigail","non-dropping-particle":"","parse-names":false,"suffix":""},{"dropping-particle":"","family":"Blackwell","given":"Tom","non-dropping-particle":"","parse-names":false,"suffix":""},{"dropping-particle":"","family":"Busonero","given":"Fabio","non-dropping-particle":"","parse-names":false,"suffix":""},{"dropping-particle":"","family":"Cucca","given":"Francesco","non-dropping-particle":"","parse-names":false,"suffix":""},{"dropping-particle":"","family":"Fuchsberger","given":"Christian","non-dropping-particle":"","parse-names":false,"suffix":""},{"dropping-particle":"","family":"Jones","given":"Chris","non-dropping-particle":"","parse-names":false,"suffix":""},{"dropping-particle":"","family":"Jun","given":"Goo","non-dropping-particle":"","parse-names":false,"suffix":""},{"dropping-particle":"","family":"Li","given":"Yun","non-dropping-particle":"","parse-names":false,"suffix":""},{"dropping-particle":"","family":"Lyons","given":"Robert","non-dropping-particle":"","parse-names":false,"suffix":""},{"dropping-particle":"","family":"Maschio","given":"Andrea","non-dropping-particle":"","parse-names":false,"suffix":""},{"dropping-particle":"","family":"Porcu","given":"Eleonora","non-dropping-particle":"","parse-names":false,"suffix":""},{"dropping-particle":"","family":"Reinier","given":"Fred","non-dropping-particle":"","parse-names":false,"suffix":""},{"dropping-particle":"","family":"Sanna","given":"Serena","non-dropping-particle":"","parse-names":false,"suffix":""},{"dropping-particle":"","family":"Schlessinger","given":"David","non-dropping-particle":"","parse-names":false,"suffix":""},{"dropping-particle":"","family":"Sidore","given":"Carlo","non-dropping-particle":"","parse-names":false,"suffix":""},{"dropping-particle":"","family":"Tan","given":"Adrian","non-dropping-particle":"","parse-names":false,"suffix":""},{"dropping-particle":"","family":"Kate Trost","given":"Mary","non-dropping-particle":"","parse-names":false,"suffix":""},{"dropping-particle":"","family":"Awadalla","given":"Philip","non-dropping-particle":"","parse-names":false,"suffix":""},{"dropping-particle":"","family":"Hodgkinson","given":"Alan","non-dropping-particle":"","parse-names":false,"suffix":""},{"dropping-particle":"","family":"Lunter","given":"Gerton","non-dropping-particle":"","parse-names":false,"suffix":""},{"dropping-particle":"","family":"Marchini","given":"Jonathan L.","non-dropping-particle":"","parse-names":false,"suffix":""},{"dropping-particle":"","family":"Myers","given":"Simon","non-dropping-particle":"","parse-names":false,"suffix":""},{"dropping-particle":"","family":"Churchhouse","given":"Claire","non-dropping-particle":"","parse-names":false,"suffix":""},{"dropping-particle":"","family":"Delaneau","given":"Olivier","non-dropping-particle":"","parse-names":false,"suffix":""},{"dropping-particle":"","family":"Gupta-Hinch","given":"Anjali","non-dropping-particle":"","parse-names":false,"suffix":""},{"dropping-particle":"","family":"Iqbal","given":"Zamin","non-dropping-particle":"","parse-names":false,"suffix":""},{"dropping-particle":"","family":"Mathieson","given":"Iain","non-dropping-particle":"","parse-names":false,"suffix":""},{"dropping-particle":"","family":"Rimmer","given":"Andy","non-dropping-particle":"","parse-names":false,"suffix":""},{"dropping-particle":"","family":"Xifara","given":"Dionysia K.","non-dropping-particle":"","parse-names":false,"suffix":""},{"dropping-particle":"","family":"Oleksyk","given":"Taras K.","non-dropping-particle":"","parse-names":false,"suffix":""},{"dropping-particle":"","family":"Fu","given":"Yunxin","non-dropping-particle":"","parse-names":false,"suffix":""},{"dropping-particle":"","family":"Liu","given":"Xiaoming","non-dropping-particle":"","parse-names":false,"suffix":""},{"dropping-particle":"","family":"Xiong","given":"Momiao","non-dropping-particle":"","parse-names":false,"suffix":""},{"dropping-particle":"","family":"Jorde","given":"Lynn","non-dropping-particle":"","parse-names":false,"suffix":""},{"dropping-particle":"","family":"Witherspoon","given":"David","non-dropping-particle":"","parse-names":false,"suffix":""},{"dropping-particle":"","family":"Xing","given":"Jinchuan","non-dropping-particle":"","parse-names":false,"suffix":""},{"dropping-particle":"","family":"Browning","given":"Brian L.","non-dropping-particle":"","parse-names":false,"suffix":""},{"dropping-particle":"","family":"Alkan","given":"Can","non-dropping-particle":"","parse-names":false,"suffix":""},{"dropping-particle":"","family":"Hajirasouliha","given":"Iman","non-dropping-particle":"","parse-names":false,"suffix":""},{"dropping-particle":"","family":"Hormozdiari","given":"Fereydoun","non-dropping-particle":"","parse-names":false,"suffix":""},{"dropping-particle":"","family":"Ko","given":"Arthur","non-dropping-particle":"","parse-names":false,"suffix":""},{"dropping-particle":"","family":"Sudmant","given":"Peter H.","non-dropping-particle":"","parse-names":false,"suffix":""},{"dropping-particle":"","family":"Chen","given":"Ken","non-dropping-particle":"","parse-names":false,"suffix":""},{"dropping-particle":"","family":"Chinwalla","given":"Asif","non-dropping-particle":"","parse-names":false,"suffix":""},{"dropping-particle":"","family":"Ding","given":"Li","non-dropping-particle":"","parse-names":false,"suffix":""},{"dropping-particle":"","family":"Dooling","given":"David","non-dropping-particle":"","parse-names":false,"suffix":""},{"dropping-particle":"","family":"Koboldt","given":"Daniel C.","non-dropping-particle":"","parse-names":false,"suffix":""},{"dropping-particle":"","family":"McLellan","given":"Michael D.","non-dropping-particle":"","parse-names":false,"suffix":""},{"dropping-particle":"","family":"Wallis","given":"John W.","non-dropping-particle":"","parse-names":false,"suffix":""},{"dropping-particle":"","family":"Wendl","given":"Michael C.","non-dropping-particle":"","parse-names":false,"suffix":""},{"dropping-particle":"","family":"Zhang","given":"Qunyuan","non-dropping-particle":"","parse-names":false,"suffix":""},{"dropping-particle":"","family":"Tyler-Smith","given":"Chris","non-dropping-particle":"","parse-names":false,"suffix":""},{"dropping-particle":"","family":"Albers","given":"Cornelis A.","non-dropping-particle":"","parse-names":false,"suffix":""},{"dropping-particle":"","family":"Ayub","given":"Qasim","non-dropping-particle":"","parse-names":false,"suffix":""},{"dropping-particle":"","family":"Chen","given":"Yuan","non-dropping-particle":"","parse-names":false,"suffix":""},{"dropping-particle":"","family":"Coffey","given":"Alison J.","non-dropping-particle":"","parse-names":false,"suffix":""},{"dropping-particle":"","family":"Colonna","given":"Vincenza","non-dropping-particle":"","parse-names":false,"suffix":""},{"dropping-particle":"","family":"Huang","given":"Ni","non-dropping-particle":"","parse-names":false,"suffix":""},{"dropping-particle":"","family":"Jostins","given":"Luke","non-dropping-particle":"","parse-names":false,"suffix":""},{"dropping-particle":"","family":"Li","given":"Heng","non-dropping-particle":"","parse-names":false,"suffix":""},{"dropping-particle":"","family":"Scally","given":"Aylwyn","non-dropping-particle":"","parse-names":false,"suffix":""},{"dropping-particle":"","family":"Walter","given":"Klaudia","non-dropping-particle":"","parse-names":false,"suffix":""},{"dropping-particle":"","family":"Xue","given":"Yali","non-dropping-particle":"","parse-names":false,"suffix":""},{"dropping-particle":"","family":"Zhang","given":"Yujun","non-dropping-particle":"","parse-names":false,"suffix":""},{"dropping-particle":"","family":"Gerstein","given":"Mark B.","non-dropping-particle":"","parse-names":false,"suffix":""},{"dropping-particle":"","family":"Abyzov","given":"Alexej","non-dropping-particle":"","parse-names":false,"suffix":""},{"dropping-particle":"","family":"Balasubramanian","given":"Suganthi","non-dropping-particle":"","parse-names":false,"suffix":""},{"dropping-particle":"","family":"Chen","given":"Jieming","non-dropping-particle":"","parse-names":false,"suffix":""},{"dropping-particle":"","family":"Clarke","given":"Declan","non-dropping-particle":"","parse-names":false,"suffix":""},{"dropping-particle":"","family":"Fu","given":"Yao","non-dropping-particle":"","parse-names":false,"suffix":""},{"dropping-particle":"","family":"Habegger","given":"Lukas","non-dropping-particle":"","parse-names":false,"suffix":""},{"dropping-particle":"","family":"Harmanci","given":"Arif O.","non-dropping-particle":"","parse-names":false,"suffix":""},{"dropping-particle":"","family":"Jin","given":"Mike","non-dropping-particle":"","parse-names":false,"suffix":""},{"dropping-particle":"","family":"Khurana","given":"Ekta","non-dropping-particle":"","parse-names":false,"suffix":""},{"dropping-particle":"","family":"Jasmine Mu","given":"Xinmeng","non-dropping-particle":"","parse-names":false,"suffix":""},{"dropping-particle":"","family":"Sisu","given":"Cristina","non-dropping-particle":"","parse-names":false,"suffix":""},{"dropping-particle":"","family":"Degenhardt","given":"Jeremiah","non-dropping-particle":"","parse-names":false,"suffix":""},{"dropping-particle":"","family":"Stütz","given":"Adrian M.","non-dropping-particle":"","parse-names":false,"suffix":""},{"dropping-particle":"","family":"Keira Cheetham","given":"R.","non-dropping-particle":"","parse-names":false,"suffix":""},{"dropping-particle":"","family":"Church","given":"Deanna","non-dropping-particle":"","parse-names":false,"suffix":""},{"dropping-particle":"","family":"Michaelson","given":"Jacob J.","non-dropping-particle":"","parse-names":false,"suffix":""},{"dropping-particle":"","family":"Blackburne","given":"Ben","non-dropping-particle":"","parse-names":false,"suffix":""},{"dropping-particle":"","family":"Lindsay","given":"Sarah J.","non-dropping-particle":"","parse-names":false,"suffix":""},{"dropping-particle":"","family":"Ning","given":"Zemin","non-dropping-particle":"","parse-names":false,"suffix":""},{"dropping-particle":"","family":"Frankish","given":"Adam","non-dropping-particle":"","parse-names":false,"suffix":""},{"dropping-particle":"","family":"Harrow","given":"Jennifer","non-dropping-particle":"","parse-names":false,"suffix":""},{"dropping-particle":"","family":"Mu","given":"Xinmeng Jasmine","non-dropping-particle":"","parse-names":false,"suffix":""},{"dropping-particle":"","family":"Fowler","given":"Gerald","non-dropping-particle":"","parse-names":false,"suffix":""},{"dropping-particle":"","family":"Hale","given":"Walker","non-dropping-particle":"","parse-names":false,"suffix":""},{"dropping-particle":"","family":"Kalra","given":"Divya","non-dropping-particle":"","parse-names":false,"suffix":""},{"dropping-particle":"","family":"Barker","given":"Jonathan","non-dropping-particle":"","parse-names":false,"suffix":""},{"dropping-particle":"","family":"Kelman","given":"Gavin","non-dropping-particle":"","parse-names":false,"suffix":""},{"dropping-particle":"","family":"Kulesha","given":"Eugene","non-dropping-particle":"","parse-names":false,"suffix":""},{"dropping-particle":"","family":"Radhakrishnan","given":"Rajesh","non-dropping-particle":"","parse-names":false,"suffix":""},{"dropping-particle":"","family":"Roa","given":"Asier","non-dropping-particle":"","parse-names":false,"suffix":""},{"dropping-particle":"","family":"Smirnov","given":"Dmitriy","non-dropping-particle":"","parse-names":false,"suffix":""},{"dropping-particle":"","family":"Streeter","given":"Ian","non-dropping-particle":"","parse-names":false,"suffix":""},{"dropping-particle":"","family":"Toneva","given":"Iliana","non-dropping-particle":"","parse-names":false,"suffix":""},{"dropping-particle":"","family":"Vaughan","given":"Brendan","non-dropping-particle":"","parse-names":false,"suffix":""},{"dropping-particle":"","family":"Ananiev","given":"Victor","non-dropping-particle":"","parse-names":false,"suffix":""},{"dropping-particle":"","family":"Belaia","given":"Zinaida","non-dropping-particle":"","parse-names":false,"suffix":""},{"dropping-particle":"","family":"Beloslyudtsev","given":"Dimitriy","non-dropping-particle":"","parse-names":false,"suffix":""},{"dropping-particle":"","family":"Bouk","given":"Nathan","non-dropping-particle":"","parse-names":false,"suffix":""},{"dropping-particle":"","family":"Chen","given":"Chao","non-dropping-particle":"","parse-names":false,"suffix":""},{"dropping-particle":"","family":"Cohen","given":"Robert","non-dropping-particle":"","parse-names":false,"suffix":""},{"dropping-particle":"","family":"Cook","given":"Charles","non-dropping-particle":"","parse-names":false,"suffix":""},{"dropping-particle":"","family":"Garner","given":"John","non-dropping-particle":"","parse-names":false,"suffix":""},{"dropping-particle":"","family":"Hefferon","given":"Timothy","non-dropping-particle":"","parse-names":false,"suffix":""},{"dropping-particle":"","family":"Kimelman","given":"Mikhail","non-dropping-particle":"","parse-names":false,"suffix":""},{"dropping-particle":"","family":"Liu","given":"Chunlei","non-dropping-particle":"","parse-names":false,"suffix":""},{"dropping-particle":"","family":"Lopez","given":"John","non-dropping-particle":"","parse-names":false,"suffix":""},{"dropping-particle":"","family":"Meric","given":"Peter","non-dropping-particle":"","parse-names":false,"suffix":""},{"dropping-particle":"","family":"O'Sullivan","given":"Chris","non-dropping-particle":"","parse-names":false,"suffix":""},{"dropping-particle":"","family":"Ostapchuk","given":"Yuri","non-dropping-particle":"","parse-names":false,"suffix":""},{"dropping-particle":"","family":"Phan","given":"Lon","non-dropping-particle":"","parse-names":false,"suffix":""},{"dropping-particle":"","family":"Ponomarov","given":"Sergiy","non-dropping-particle":"","parse-names":false,"suffix":""},{"dropping-particle":"","family":"Schneider","given":"Valerie","non-dropping-particle":"","parse-names":false,"suffix":""},{"dropping-particle":"","family":"Shekhtman","given":"Eugene","non-dropping-particle":"","parse-names":false,"suffix":""},{"dropping-particle":"","family":"Sirotkin","given":"Karl","non-dropping-particle":"","parse-names":false,"suffix":""},{"dropping-particle":"","family":"Slotta","given":"Douglas","non-dropping-particle":"","parse-names":false,"suffix":""},{"dropping-particle":"","family":"Zhang","given":"Hua","non-dropping-particle":"","parse-names":false,"suffix":""},{"dropping-particle":"","family":"Barnes","given":"Kathleen C.","non-dropping-particle":"","parse-names":false,"suffix":""},{"dropping-particle":"","family":"Beiswanger","given":"Christine","non-dropping-particle":"","parse-names":false,"suffix":""},{"dropping-particle":"","family":"Cai","given":"Hongyu","non-dropping-particle":"","parse-names":false,"suffix":""},{"dropping-particle":"","family":"Cao","given":"Hongzhi","non-dropping-particle":"","parse-names":false,"suffix":""},{"dropping-particle":"","family":"Gharani","given":"Neda","non-dropping-particle":"","parse-names":false,"suffix":""},{"dropping-particle":"","family":"Henn","given":"Brenna","non-dropping-particle":"","parse-names":false,"suffix":""},{"dropping-particle":"","family":"Jones","given":"Danielle","non-dropping-particle":"","parse-names":false,"suffix":""},{"dropping-particle":"","family":"Kaye","given":"Jane S.","non-dropping-particle":"","parse-names":false,"suffix":""},{"dropping-particle":"","family":"Kent","given":"Alastair","non-dropping-particle":"","parse-names":false,"suffix":""},{"dropping-particle":"","family":"Kerasidou","given":"Angeliki","non-dropping-particle":"","parse-names":false,"suffix":""},{"dropping-particle":"","family":"Mathias","given":"Rasika","non-dropping-particle":"","parse-names":false,"suffix":""},{"dropping-particle":"","family":"Ossorio","given":"Pilar N.","non-dropping-particle":"","parse-names":false,"suffix":""},{"dropping-particle":"","family":"Parker","given":"Michael","non-dropping-particle":"","parse-names":false,"suffix":""},{"dropping-particle":"","family":"Reich","given":"David","non-dropping-particle":"","parse-names":false,"suffix":""},{"dropping-particle":"","family":"Rotimi","given":"Charles N.","non-dropping-particle":"","parse-names":false,"suffix":""},{"dropping-particle":"","family":"Royal","given":"Charmaine D.","non-dropping-particle":"","parse-names":false,"suffix":""},{"dropping-particle":"","family":"Sandoval","given":"Karla","non-dropping-particle":"","parse-names":false,"suffix":""},{"dropping-particle":"","family":"Su","given":"Yeyang","non-dropping-particle":"","parse-names":false,"suffix":""},{"dropping-particle":"","family":"Tian","given":"Zhongming","non-dropping-particle":"","parse-names":false,"suffix":""},{"dropping-particle":"","family":"Tishkoff","given":"Sarah","non-dropping-particle":"","parse-names":false,"suffix":""},{"dropping-particle":"","family":"Toji","given":"Lorraine H.","non-dropping-particle":"","parse-names":false,"suffix":""},{"dropping-particle":"","family":"Via","given":"Marc","non-dropping-particle":"","parse-names":false,"suffix":""},{"dropping-particle":"","family":"Wang","given":"Yuhong","non-dropping-particle":"","parse-names":false,"suffix":""},{"dropping-particle":"","family":"Yang","given":"Huanming","non-dropping-particle":"","parse-names":false,"suffix":""},{"dropping-particle":"","family":"Yang","given":"Ling","non-dropping-particle":"","parse-names":false,"suffix":""},{"dropping-particle":"","family":"Zhu","given":"Jiayong","non-dropping-particle":"","parse-names":false,"suffix":""},{"dropping-particle":"","family":"Bodmer","given":"Walter","non-dropping-particle":"","parse-names":false,"suffix":""},{"dropping-particle":"","family":"Bedoya","given":"Gabriel","non-dropping-particle":"","parse-names":false,"suffix":""},{"dropping-particle":"","family":"Ming","given":"Cai Zhi","non-dropping-particle":"","parse-names":false,"suffix":""},{"dropping-particle":"","family":"Yang","given":"Gao","non-dropping-particle":"","parse-names":false,"suffix":""},{"dropping-particle":"","family":"Jia You","given":"Chu","non-dropping-particle":"","parse-names":false,"suffix":""},{"dropping-particle":"","family":"Peltonen","given":"Leena","non-dropping-particle":"","parse-names":false,"suffix":""},{"dropping-particle":"","family":"Garcia-Montero","given":"Andres","non-dropping-particle":"","parse-names":false,"suffix":""},{"dropping-particle":"","family":"Orfao","given":"Alberto","non-dropping-particle":"","parse-names":false,"suffix":""},{"dropping-particle":"","family":"Dutil","given":"Julie","non-dropping-particle":"","parse-names":false,"suffix":""},{"dropping-particle":"","family":"Martinez-Cruzado","given":"Juan C.","non-dropping-particle":"","parse-names":false,"suffix":""},{"dropping-particle":"","family":"Brooks","given":"Lisa D.","non-dropping-particle":"","parse-names":false,"suffix":""},{"dropping-particle":"","family":"Felsenfeld","given":"Adam L.","non-dropping-particle":"","parse-names":false,"suffix":""},{"dropping-particle":"","family":"McEwen","given":"Jean E.","non-dropping-particle":"","parse-names":false,"suffix":""},{"dropping-particle":"","family":"Clemm","given":"Nicholas C.","non-dropping-particle":"","parse-names":false,"suffix":""},{"dropping-particle":"","family":"Duncanson","given":"Audrey","non-dropping-particle":"","parse-names":false,"suffix":""},{"dropping-particle":"","family":"Dunn","given":"Michael","non-dropping-particle":"","parse-names":false,"suffix":""},{"dropping-particle":"","family":"Guyer","given":"Mark S.","non-dropping-particle":"","parse-names":false,"suffix":""},{"dropping-particle":"","family":"Peterson","given":"Jane L.","non-dropping-particle":"","parse-names":false,"suffix":""},{"dropping-particle":"","family":"Lacroute","given":"Phil","non-dropping-particle":"","parse-names":false,"suffix":""}],"container-title":"Nature","id":"ITEM-1","issued":{"date-parts":[["2012"]]},"page":"56-65","title":"An integrated map of genetic variation from 1,092 human genomes","type":"article-journal","volume":"491"},"uris":["http://www.mendeley.com/documents/?uuid=4cc0cc18-de0e-47ae-8f0c-e8ef74ea4937"]}],"mendeley":{"formattedCitation":"(Altshuler &lt;i&gt;et al.&lt;/i&gt;, 2012)","plainTextFormattedCitation":"(Altshuler et al., 2012)","previouslyFormattedCitation":"(Altshuler &lt;i&gt;et al.&lt;/i&gt;, 2012)"},"properties":{"noteIndex":0},"schema":"https://github.com/citation-style-language/schema/raw/master/csl-citation.json"}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(Altshuler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2012)</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w:t>
      </w:r>
      <w:r w:rsidR="00DC5F1F" w:rsidRPr="00A35149">
        <w:rPr>
          <w:rFonts w:asciiTheme="majorBidi" w:hAnsiTheme="majorBidi" w:cstheme="majorBidi"/>
        </w:rPr>
        <w:t>Unsurprisingly, w</w:t>
      </w:r>
      <w:r w:rsidRPr="00A35149">
        <w:rPr>
          <w:rFonts w:asciiTheme="majorBidi" w:hAnsiTheme="majorBidi" w:cstheme="majorBidi"/>
        </w:rPr>
        <w:t xml:space="preserve">ithout a model, correcting for population stratification remains </w:t>
      </w:r>
      <w:r w:rsidR="00F21609" w:rsidRPr="00A35149">
        <w:rPr>
          <w:rFonts w:asciiTheme="majorBidi" w:hAnsiTheme="majorBidi" w:cstheme="majorBidi"/>
        </w:rPr>
        <w:t>strenuous</w:t>
      </w:r>
      <w:r w:rsidRPr="00A35149">
        <w:rPr>
          <w:rFonts w:asciiTheme="majorBidi" w:hAnsiTheme="majorBidi" w:cstheme="majorBidi"/>
        </w:rPr>
        <w:t xml:space="preserve">. </w:t>
      </w:r>
    </w:p>
    <w:p w14:paraId="34D6ABDF" w14:textId="77777777" w:rsidR="00A96FA7" w:rsidRPr="00A35149" w:rsidRDefault="00A96FA7" w:rsidP="00A96FA7">
      <w:pPr>
        <w:widowControl w:val="0"/>
        <w:rPr>
          <w:rFonts w:asciiTheme="majorBidi" w:hAnsiTheme="majorBidi" w:cstheme="majorBidi"/>
        </w:rPr>
      </w:pPr>
    </w:p>
    <w:p w14:paraId="2A8C6666" w14:textId="48A28772" w:rsidR="00A96FA7" w:rsidRPr="00A35149" w:rsidRDefault="00A96FA7" w:rsidP="00A96FA7">
      <w:pPr>
        <w:widowControl w:val="0"/>
        <w:rPr>
          <w:rFonts w:asciiTheme="majorBidi" w:hAnsiTheme="majorBidi" w:cstheme="majorBidi"/>
        </w:rPr>
      </w:pPr>
      <w:r w:rsidRPr="00A35149">
        <w:rPr>
          <w:rFonts w:asciiTheme="majorBidi" w:hAnsiTheme="majorBidi" w:cstheme="majorBidi"/>
        </w:rPr>
        <w:tab/>
        <w:t xml:space="preserve">Many association studies ignore population stratification or implicitly assume its redundancy if the data were collected from continental groups </w:t>
      </w:r>
      <w:r w:rsidRPr="00A35149">
        <w:rPr>
          <w:rFonts w:asciiTheme="majorBidi" w:hAnsiTheme="majorBidi" w:cstheme="majorBidi"/>
          <w:color w:val="4472C4"/>
        </w:rPr>
        <w:t xml:space="preserve">(e.g., </w:t>
      </w:r>
      <w:r w:rsidRPr="00A35149">
        <w:rPr>
          <w:rFonts w:asciiTheme="majorBidi" w:hAnsiTheme="majorBidi" w:cstheme="majorBidi"/>
          <w:noProof/>
          <w:color w:val="4472C4" w:themeColor="accent1"/>
        </w:rPr>
        <w:t xml:space="preserve">Ooi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2019</w:t>
      </w:r>
      <w:r w:rsidRPr="00A35149">
        <w:rPr>
          <w:rFonts w:asciiTheme="majorBidi" w:hAnsiTheme="majorBidi" w:cstheme="majorBidi"/>
          <w:color w:val="4472C4"/>
        </w:rPr>
        <w:t>)</w:t>
      </w:r>
      <w:r w:rsidRPr="00A35149">
        <w:rPr>
          <w:rFonts w:asciiTheme="majorBidi" w:hAnsiTheme="majorBidi" w:cstheme="majorBidi"/>
        </w:rPr>
        <w:t xml:space="preserve">. Groups are assigned either by self-identified ethnicity or inferred by comparison to the </w:t>
      </w:r>
      <w:proofErr w:type="spellStart"/>
      <w:r w:rsidRPr="00A35149">
        <w:rPr>
          <w:rFonts w:asciiTheme="majorBidi" w:hAnsiTheme="majorBidi" w:cstheme="majorBidi"/>
        </w:rPr>
        <w:t>Hapmap</w:t>
      </w:r>
      <w:proofErr w:type="spellEnd"/>
      <w:r w:rsidRPr="00A35149">
        <w:rPr>
          <w:rFonts w:asciiTheme="majorBidi" w:hAnsiTheme="majorBidi" w:cstheme="majorBidi"/>
        </w:rPr>
        <w:t xml:space="preserve"> or 1000 Genomes populations, and analyse each cluster independently </w:t>
      </w:r>
      <w:r w:rsidRPr="00A35149">
        <w:rPr>
          <w:rFonts w:asciiTheme="majorBidi" w:hAnsiTheme="majorBidi" w:cstheme="majorBidi"/>
          <w:color w:val="4472C4"/>
        </w:rPr>
        <w:t xml:space="preserve">(e.g., </w:t>
      </w:r>
      <w:r w:rsidRPr="00A35149">
        <w:rPr>
          <w:rFonts w:asciiTheme="majorBidi" w:hAnsiTheme="majorBidi" w:cstheme="majorBidi"/>
          <w:noProof/>
          <w:color w:val="4472C4" w:themeColor="accent1"/>
        </w:rPr>
        <w:t xml:space="preserve">Ooi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2019</w:t>
      </w:r>
      <w:r w:rsidRPr="00A35149">
        <w:rPr>
          <w:rFonts w:asciiTheme="majorBidi" w:hAnsiTheme="majorBidi" w:cstheme="majorBidi"/>
          <w:color w:val="4472C4"/>
        </w:rPr>
        <w:t>)</w:t>
      </w:r>
      <w:r w:rsidRPr="00A35149">
        <w:rPr>
          <w:rFonts w:asciiTheme="majorBidi" w:hAnsiTheme="majorBidi" w:cstheme="majorBidi"/>
        </w:rPr>
        <w:t xml:space="preserve">. This approach is implausible, not accounting for the existence of fine-scale structure everywhere </w:t>
      </w:r>
      <w:r w:rsidR="0067225B" w:rsidRPr="00A35149">
        <w:rPr>
          <w:rFonts w:asciiTheme="majorBidi" w:hAnsiTheme="majorBidi" w:cstheme="majorBidi"/>
          <w:color w:val="4472C4" w:themeColor="accent1"/>
        </w:rPr>
        <w:fldChar w:fldCharType="begin" w:fldLock="1"/>
      </w:r>
      <w:r w:rsidR="0067225B" w:rsidRPr="00A35149">
        <w:rPr>
          <w:rFonts w:asciiTheme="majorBidi" w:hAnsiTheme="majorBidi" w:cstheme="majorBidi"/>
          <w:color w:val="4472C4" w:themeColor="accent1"/>
        </w:rPr>
        <w:instrText>ADDIN CSL_CITATION {"citationItems":[{"id":"ITEM-1","itemData":{"DOI":"10.1007/s00439-019-02014-8","ISSN":"14321203","abstract":"Replicable genetic association signals have consistently been found through genome-wide association studies in recent years. The recent dramatic expansion of study sizes improves power of estimation of effect sizes, genomic prediction, causal inference, and polygenic selection, but it simultaneously increases susceptibility of these methods to bias due to subtle population structure. Standard methods using genetic principal components to correct for structure might not always be appropriate and we use a simulation study to illustrate when correction might be ineffective for avoiding biases. New methods such as trans-ethnic modeling and chromosome painting allow for a richer understanding of the relationship between traits and population structure. We illustrate the arguments using real examples (stroke and educational attainment) and provide a more nuanced understanding of population structure, which is set to be revisited as a critical aspect of future analyses in genetic epidemiology. We also make simple recommendations for how problems can be avoided in the future. Our results have particular importance for the implementation of GWAS meta-analysis, for prediction of traits, and for causal inference.","author":[{"dropping-particle":"","family":"Lawson","given":"Daniel John","non-dropping-particle":"","parse-names":false,"suffix":""},{"dropping-particle":"","family":"Davies","given":"Neil Martin","non-dropping-particle":"","parse-names":false,"suffix":""},{"dropping-particle":"","family":"Haworth","given":"Simon","non-dropping-particle":"","parse-names":false,"suffix":""},{"dropping-particle":"","family":"Ashraf","given":"Bilal","non-dropping-particle":"","parse-names":false,"suffix":""},{"dropping-particle":"","family":"Howe","given":"Laurence","non-dropping-particle":"","parse-names":false,"suffix":""},{"dropping-particle":"","family":"Crawford","given":"Andrew","non-dropping-particle":"","parse-names":false,"suffix":""},{"dropping-particle":"","family":"Hemani","given":"Gibran","non-dropping-particle":"","parse-names":false,"suffix":""},{"dropping-particle":"","family":"Davey Smith","given":"George","non-dropping-particle":"","parse-names":false,"suffix":""},{"dropping-particle":"","family":"Timpson","given":"Nicholas John","non-dropping-particle":"","parse-names":false,"suffix":""}],"container-title":"Human Genetics","id":"ITEM-1","issue":"1","issued":{"date-parts":[["2020"]]},"page":"23-41","title":"Is population structure in the genetic biobank era irrelevant, a challenge, or an opportunity?","type":"article-journal","volume":"139"},"uris":["http://www.mendeley.com/documents/?uuid=bb27f0d0-21f5-4666-a96a-3bc82d8de46b"]}],"mendeley":{"formattedCitation":"(Lawson &lt;i&gt;et al.&lt;/i&gt;, 2020)","plainTextFormattedCitation":"(Lawson et al., 2020)","previouslyFormattedCitation":"(Lawson &lt;i&gt;et al.&lt;/i&gt;, 2020)"},"properties":{"noteIndex":0},"schema":"https://github.com/citation-style-language/schema/raw/master/csl-citation.json"}</w:instrText>
      </w:r>
      <w:r w:rsidR="0067225B" w:rsidRPr="00A35149">
        <w:rPr>
          <w:rFonts w:asciiTheme="majorBidi" w:hAnsiTheme="majorBidi" w:cstheme="majorBidi"/>
          <w:color w:val="4472C4" w:themeColor="accent1"/>
        </w:rPr>
        <w:fldChar w:fldCharType="separate"/>
      </w:r>
      <w:r w:rsidR="0067225B" w:rsidRPr="00A35149">
        <w:rPr>
          <w:rFonts w:asciiTheme="majorBidi" w:hAnsiTheme="majorBidi" w:cstheme="majorBidi"/>
          <w:noProof/>
          <w:color w:val="4472C4" w:themeColor="accent1"/>
        </w:rPr>
        <w:t xml:space="preserve">(Lawson </w:t>
      </w:r>
      <w:r w:rsidR="0067225B" w:rsidRPr="00A35149">
        <w:rPr>
          <w:rFonts w:asciiTheme="majorBidi" w:hAnsiTheme="majorBidi" w:cstheme="majorBidi"/>
          <w:i/>
          <w:noProof/>
          <w:color w:val="4472C4" w:themeColor="accent1"/>
        </w:rPr>
        <w:t>et al.</w:t>
      </w:r>
      <w:r w:rsidR="0067225B" w:rsidRPr="00A35149">
        <w:rPr>
          <w:rFonts w:asciiTheme="majorBidi" w:hAnsiTheme="majorBidi" w:cstheme="majorBidi"/>
          <w:noProof/>
          <w:color w:val="4472C4" w:themeColor="accent1"/>
        </w:rPr>
        <w:t>, 2020)</w:t>
      </w:r>
      <w:r w:rsidR="0067225B" w:rsidRPr="00A35149">
        <w:rPr>
          <w:rFonts w:asciiTheme="majorBidi" w:hAnsiTheme="majorBidi" w:cstheme="majorBidi"/>
          <w:color w:val="4472C4" w:themeColor="accent1"/>
        </w:rPr>
        <w:fldChar w:fldCharType="end"/>
      </w:r>
      <w:r w:rsidR="0067225B" w:rsidRPr="00A35149">
        <w:rPr>
          <w:rFonts w:asciiTheme="majorBidi" w:hAnsiTheme="majorBidi" w:cstheme="majorBidi"/>
        </w:rPr>
        <w:t>,</w:t>
      </w:r>
      <w:r w:rsidRPr="00A35149">
        <w:rPr>
          <w:rFonts w:asciiTheme="majorBidi" w:hAnsiTheme="majorBidi" w:cstheme="majorBidi"/>
          <w:color w:val="4472C4" w:themeColor="accent1"/>
        </w:rPr>
        <w:t xml:space="preserve"> </w:t>
      </w:r>
      <w:r w:rsidRPr="00A35149">
        <w:rPr>
          <w:rFonts w:asciiTheme="majorBidi" w:hAnsiTheme="majorBidi" w:cstheme="majorBidi"/>
        </w:rPr>
        <w:t xml:space="preserve">and cannot be applied to </w:t>
      </w:r>
      <w:r w:rsidR="00E3759C" w:rsidRPr="00A35149">
        <w:rPr>
          <w:rFonts w:asciiTheme="majorBidi" w:hAnsiTheme="majorBidi" w:cstheme="majorBidi"/>
        </w:rPr>
        <w:t xml:space="preserve">more </w:t>
      </w:r>
      <w:r w:rsidRPr="00A35149">
        <w:rPr>
          <w:rFonts w:asciiTheme="majorBidi" w:hAnsiTheme="majorBidi" w:cstheme="majorBidi"/>
        </w:rPr>
        <w:t xml:space="preserve">admixed populations, which is important where recent massive migrations have occurred, such as </w:t>
      </w:r>
      <w:r w:rsidR="00E3759C" w:rsidRPr="00A35149">
        <w:rPr>
          <w:rFonts w:asciiTheme="majorBidi" w:hAnsiTheme="majorBidi" w:cstheme="majorBidi"/>
        </w:rPr>
        <w:t xml:space="preserve">in </w:t>
      </w:r>
      <w:r w:rsidRPr="00A35149">
        <w:rPr>
          <w:rFonts w:asciiTheme="majorBidi" w:hAnsiTheme="majorBidi" w:cstheme="majorBidi"/>
        </w:rPr>
        <w:t>the Americas.</w:t>
      </w:r>
    </w:p>
    <w:p w14:paraId="67412F78" w14:textId="0971346F" w:rsidR="00A96FA7" w:rsidRPr="00A35149" w:rsidRDefault="00A96FA7" w:rsidP="00A96FA7">
      <w:pPr>
        <w:widowControl w:val="0"/>
        <w:rPr>
          <w:rFonts w:asciiTheme="majorBidi" w:hAnsiTheme="majorBidi" w:cstheme="majorBidi"/>
        </w:rPr>
      </w:pPr>
    </w:p>
    <w:p w14:paraId="167E18C1" w14:textId="77777777" w:rsidR="0046220D" w:rsidRPr="00A35149" w:rsidRDefault="0046220D" w:rsidP="0046220D">
      <w:pPr>
        <w:pStyle w:val="Heading2"/>
        <w:rPr>
          <w:rFonts w:asciiTheme="majorBidi" w:hAnsiTheme="majorBidi"/>
          <w:color w:val="4472C4" w:themeColor="accent1"/>
        </w:rPr>
      </w:pPr>
      <w:r w:rsidRPr="00A35149">
        <w:rPr>
          <w:rFonts w:asciiTheme="majorBidi" w:hAnsiTheme="majorBidi"/>
          <w:color w:val="4472C4" w:themeColor="accent1"/>
        </w:rPr>
        <w:t>PCs and GRMs</w:t>
      </w:r>
    </w:p>
    <w:p w14:paraId="56F52AF7" w14:textId="77777777" w:rsidR="0046220D" w:rsidRPr="00A35149" w:rsidRDefault="0046220D" w:rsidP="00A96FA7">
      <w:pPr>
        <w:widowControl w:val="0"/>
        <w:rPr>
          <w:rFonts w:asciiTheme="majorBidi" w:hAnsiTheme="majorBidi" w:cstheme="majorBidi"/>
        </w:rPr>
      </w:pPr>
    </w:p>
    <w:p w14:paraId="58DBD024" w14:textId="6480C34A" w:rsidR="0046220D" w:rsidRPr="00A35149" w:rsidRDefault="00DC5F1F" w:rsidP="0046220D">
      <w:pPr>
        <w:widowControl w:val="0"/>
        <w:ind w:firstLine="720"/>
        <w:rPr>
          <w:rFonts w:asciiTheme="majorBidi" w:hAnsiTheme="majorBidi" w:cstheme="majorBidi"/>
        </w:rPr>
      </w:pPr>
      <w:bookmarkStart w:id="0" w:name="_Hlk37198969"/>
      <w:r w:rsidRPr="00A35149">
        <w:rPr>
          <w:rFonts w:asciiTheme="majorBidi" w:hAnsiTheme="majorBidi" w:cstheme="majorBidi"/>
        </w:rPr>
        <w:t>Currently,</w:t>
      </w:r>
      <w:r w:rsidR="00A96FA7" w:rsidRPr="00A35149">
        <w:rPr>
          <w:rFonts w:asciiTheme="majorBidi" w:hAnsiTheme="majorBidi" w:cstheme="majorBidi"/>
        </w:rPr>
        <w:t xml:space="preserve"> “</w:t>
      </w:r>
      <w:r w:rsidRPr="00A35149">
        <w:rPr>
          <w:rFonts w:asciiTheme="majorBidi" w:hAnsiTheme="majorBidi" w:cstheme="majorBidi"/>
        </w:rPr>
        <w:t>global</w:t>
      </w:r>
      <w:r w:rsidR="00A96FA7" w:rsidRPr="00A35149">
        <w:rPr>
          <w:rFonts w:asciiTheme="majorBidi" w:hAnsiTheme="majorBidi" w:cstheme="majorBidi"/>
        </w:rPr>
        <w:t xml:space="preserve"> correction” of such populations, using either </w:t>
      </w:r>
      <w:r w:rsidR="0046220D" w:rsidRPr="00A35149">
        <w:rPr>
          <w:rFonts w:asciiTheme="majorBidi" w:hAnsiTheme="majorBidi" w:cstheme="majorBidi"/>
        </w:rPr>
        <w:t>Principal Components Analysis (</w:t>
      </w:r>
      <w:r w:rsidR="00A96FA7" w:rsidRPr="00A35149">
        <w:rPr>
          <w:rFonts w:asciiTheme="majorBidi" w:hAnsiTheme="majorBidi" w:cstheme="majorBidi"/>
        </w:rPr>
        <w:t>PCA</w:t>
      </w:r>
      <w:r w:rsidR="0046220D" w:rsidRPr="00A35149">
        <w:rPr>
          <w:rFonts w:asciiTheme="majorBidi" w:hAnsiTheme="majorBidi" w:cstheme="majorBidi"/>
        </w:rPr>
        <w:t xml:space="preserve"> see </w:t>
      </w:r>
      <w:r w:rsidR="0046220D" w:rsidRPr="00A35149">
        <w:rPr>
          <w:rFonts w:asciiTheme="majorBidi" w:hAnsiTheme="majorBidi" w:cstheme="majorBidi"/>
          <w:color w:val="0070C0"/>
        </w:rPr>
        <w:t>Box 1</w:t>
      </w:r>
      <w:r w:rsidR="0046220D" w:rsidRPr="00A35149">
        <w:rPr>
          <w:rFonts w:asciiTheme="majorBidi" w:hAnsiTheme="majorBidi" w:cstheme="majorBidi"/>
        </w:rPr>
        <w:t xml:space="preserve">, e.g. </w:t>
      </w:r>
      <w:r w:rsidR="008A739A" w:rsidRPr="00A35149">
        <w:rPr>
          <w:rFonts w:asciiTheme="majorBidi" w:hAnsiTheme="majorBidi" w:cstheme="majorBidi"/>
          <w:noProof/>
          <w:color w:val="4472C4" w:themeColor="accent1"/>
        </w:rPr>
        <w:t xml:space="preserve">Price </w:t>
      </w:r>
      <w:r w:rsidR="008A739A" w:rsidRPr="00A35149">
        <w:rPr>
          <w:rFonts w:asciiTheme="majorBidi" w:hAnsiTheme="majorBidi" w:cstheme="majorBidi"/>
          <w:i/>
          <w:noProof/>
          <w:color w:val="4472C4" w:themeColor="accent1"/>
        </w:rPr>
        <w:t>et al.</w:t>
      </w:r>
      <w:r w:rsidR="008A739A" w:rsidRPr="00A35149">
        <w:rPr>
          <w:rFonts w:asciiTheme="majorBidi" w:hAnsiTheme="majorBidi" w:cstheme="majorBidi"/>
          <w:noProof/>
          <w:color w:val="4472C4" w:themeColor="accent1"/>
        </w:rPr>
        <w:t>, 2006</w:t>
      </w:r>
      <w:r w:rsidR="0046220D" w:rsidRPr="00A35149">
        <w:rPr>
          <w:rFonts w:asciiTheme="majorBidi" w:hAnsiTheme="majorBidi" w:cstheme="majorBidi"/>
        </w:rPr>
        <w:t>)</w:t>
      </w:r>
      <w:r w:rsidR="00A96FA7" w:rsidRPr="00A35149">
        <w:rPr>
          <w:rFonts w:asciiTheme="majorBidi" w:hAnsiTheme="majorBidi" w:cstheme="majorBidi"/>
        </w:rPr>
        <w:t xml:space="preserve"> and</w:t>
      </w:r>
      <w:r w:rsidR="0046220D" w:rsidRPr="00A35149">
        <w:rPr>
          <w:rFonts w:asciiTheme="majorBidi" w:hAnsiTheme="majorBidi" w:cstheme="majorBidi"/>
        </w:rPr>
        <w:t>/or</w:t>
      </w:r>
      <w:r w:rsidR="00A96FA7" w:rsidRPr="00A35149">
        <w:rPr>
          <w:rFonts w:asciiTheme="majorBidi" w:hAnsiTheme="majorBidi" w:cstheme="majorBidi"/>
        </w:rPr>
        <w:t xml:space="preserve"> mixed linear models</w:t>
      </w:r>
      <w:r w:rsidR="0046220D" w:rsidRPr="00A35149">
        <w:rPr>
          <w:rFonts w:asciiTheme="majorBidi" w:hAnsiTheme="majorBidi" w:cstheme="majorBidi"/>
        </w:rPr>
        <w:t xml:space="preserve"> (MLM, </w:t>
      </w:r>
      <w:r w:rsidR="0046220D" w:rsidRPr="00A35149">
        <w:rPr>
          <w:rFonts w:asciiTheme="majorBidi" w:hAnsiTheme="majorBidi" w:cstheme="majorBidi"/>
          <w:color w:val="0070C0"/>
        </w:rPr>
        <w:t>Box 1</w:t>
      </w:r>
      <w:r w:rsidR="0046220D" w:rsidRPr="00A35149">
        <w:rPr>
          <w:rFonts w:asciiTheme="majorBidi" w:hAnsiTheme="majorBidi" w:cstheme="majorBidi"/>
        </w:rPr>
        <w:t xml:space="preserve">, e.g. </w:t>
      </w:r>
      <w:r w:rsidR="0046220D" w:rsidRPr="00A35149">
        <w:rPr>
          <w:rFonts w:asciiTheme="majorBidi" w:hAnsiTheme="majorBidi" w:cstheme="majorBidi"/>
          <w:color w:val="4472C4" w:themeColor="accent1"/>
        </w:rPr>
        <w:fldChar w:fldCharType="begin" w:fldLock="1"/>
      </w:r>
      <w:r w:rsidR="0046220D" w:rsidRPr="00A35149">
        <w:rPr>
          <w:rFonts w:asciiTheme="majorBidi" w:hAnsiTheme="majorBidi" w:cstheme="majorBidi"/>
          <w:color w:val="4472C4" w:themeColor="accent1"/>
        </w:rPr>
        <w:instrText>ADDIN CSL_CITATION {"citationItems":[{"id":"ITEM-1","itemData":{"DOI":"10.1002/gepi.21879","ISSN":"10982272","abstract":"Genome-wide association studies (GWAS) have been established as a major tool to identify genetic variants associated with complex traits, such as common diseases. However, GWAS may suffer from false positives and false negatives due to confounding population structures, including known or unknown relatedness. Another important issue is unmeasured environmental risk factors. Among many methods for adjusting for population structures, two approaches stand out: one is principal component regression (PCR) based on principal component analysis, which is perhaps the most popular due to its early appearance, simplicity, and general effectiveness; the other is based on a linear mixed model (LMM) that has emerged recently as perhaps the most flexible and effective, especially for samples with complex structures as in model organisms. As shown previously, the PCR approach can be regarded as an approximation to an LMM; such an approximation depends on the number of the top principal components (PCs) used, the choice of which is often difficult in practice. Hence, in the presence of population structure, the LMM appears to outperform the PCR method. However, due to the different treatments of fixed vs. random effects in the two approaches, we show an advantage of PCR over LMM: in the presence of an unknown but spatially confined environmental confounder (e.g., environmental pollution or lifestyle), the PCs may be able to implicitly and effectively adjust for the confounder whereas the LMM cannot. Accordingly, to adjust for both population structures and nongenetic confounders, we propose a hybrid method combining the use and, thus, strengths of PCR and LMM. We use real genotype data and simulated phenotypes to confirm the above points, and establish the superior performance of the hybrid method across all scenarios.","author":[{"dropping-particle":"","family":"Zhang","given":"Yiwei","non-dropping-particle":"","parse-names":false,"suffix":""},{"dropping-particle":"","family":"Pan","given":"Wei","non-dropping-particle":"","parse-names":false,"suffix":""}],"container-title":"Genetic Epidemiology","id":"ITEM-1","issue":"3","issued":{"date-parts":[["2015"]]},"page":"149-155","title":"Principal Component Regression and Linear Mixed Model in Association Analysis of Structured Samples: Competitors or Complements?","type":"article-journal","volume":"39"},"uris":["http://www.mendeley.com/documents/?uuid=47debb71-a1a2-4041-b45a-f5af863e3648"]}],"mendeley":{"formattedCitation":"(Zhang and Pan, 2015)","plainTextFormattedCitation":"(Zhang and Pan, 2015)","previouslyFormattedCitation":"(Zhang and Pan, 2015)"},"properties":{"noteIndex":0},"schema":"https://github.com/citation-style-language/schema/raw/master/csl-citation.json"}</w:instrText>
      </w:r>
      <w:r w:rsidR="0046220D" w:rsidRPr="00A35149">
        <w:rPr>
          <w:rFonts w:asciiTheme="majorBidi" w:hAnsiTheme="majorBidi" w:cstheme="majorBidi"/>
          <w:color w:val="4472C4" w:themeColor="accent1"/>
        </w:rPr>
        <w:fldChar w:fldCharType="separate"/>
      </w:r>
      <w:r w:rsidR="0046220D" w:rsidRPr="00A35149">
        <w:rPr>
          <w:rFonts w:asciiTheme="majorBidi" w:hAnsiTheme="majorBidi" w:cstheme="majorBidi"/>
          <w:noProof/>
          <w:color w:val="4472C4" w:themeColor="accent1"/>
        </w:rPr>
        <w:t>(Zhang and Pan, 2015)</w:t>
      </w:r>
      <w:r w:rsidR="0046220D" w:rsidRPr="00A35149">
        <w:rPr>
          <w:rFonts w:asciiTheme="majorBidi" w:hAnsiTheme="majorBidi" w:cstheme="majorBidi"/>
          <w:color w:val="4472C4" w:themeColor="accent1"/>
        </w:rPr>
        <w:fldChar w:fldCharType="end"/>
      </w:r>
      <w:r w:rsidR="0046220D" w:rsidRPr="00A35149">
        <w:rPr>
          <w:rFonts w:asciiTheme="majorBidi" w:hAnsiTheme="majorBidi" w:cstheme="majorBidi"/>
        </w:rPr>
        <w:t xml:space="preserve">) starts with the Genetic Relatedness Matrix (GRM, </w:t>
      </w:r>
      <w:r w:rsidR="0046220D" w:rsidRPr="00A35149">
        <w:rPr>
          <w:rFonts w:asciiTheme="majorBidi" w:hAnsiTheme="majorBidi" w:cstheme="majorBidi"/>
          <w:color w:val="0070C0"/>
        </w:rPr>
        <w:t>Box 1</w:t>
      </w:r>
      <w:r w:rsidR="0046220D" w:rsidRPr="00A35149">
        <w:rPr>
          <w:rFonts w:asciiTheme="majorBidi" w:hAnsiTheme="majorBidi" w:cstheme="majorBidi"/>
        </w:rPr>
        <w:t xml:space="preserve">) </w:t>
      </w:r>
      <w:r w:rsidR="0046220D" w:rsidRPr="00A35149">
        <w:rPr>
          <w:rFonts w:asciiTheme="majorBidi" w:hAnsiTheme="majorBidi" w:cstheme="majorBidi"/>
          <w:color w:val="4472C4" w:themeColor="accent1"/>
        </w:rPr>
        <w:fldChar w:fldCharType="begin" w:fldLock="1"/>
      </w:r>
      <w:r w:rsidR="0046220D" w:rsidRPr="00A35149">
        <w:rPr>
          <w:rFonts w:asciiTheme="majorBidi" w:hAnsiTheme="majorBidi" w:cstheme="majorBidi"/>
          <w:color w:val="4472C4" w:themeColor="accent1"/>
        </w:rPr>
        <w:instrText>ADDIN CSL_CITATION {"citationItems":[{"id":"ITEM-1","itemData":{"DOI":"10.1080/24709360.2018.1529346","ISSN":"24709379","abstract":"The advent of large-scale genetic studies has helped bring a new era of biomedical research on dissecting the genetic architecture of complex human disease. Genome-wide association studies (GWASs) and next-generation sequencing studies are two popular tools for identifying genetic variants that are associated with complex traits. This article overviews some of the most important statistical tools for analyzing data from these two types of studies, with an emphasis on single-SNP tests for common variants and region-based tests for rare variants. We compare various statistical methods for common and rare variants in humans, and describe some critical considerations to guide the choice of an analysis method. Also discussed are the related topics of sample ascertainment, missing heritability, and multiple testing correction, as well as some remaining analytical challenges presented by complex trait association mapping using genomic data obtained via high-throughput technologies.","author":[{"dropping-particle":"","family":"Jiang","given":"Duo","non-dropping-particle":"","parse-names":false,"suffix":""},{"dropping-particle":"","family":"Wang","given":"Miaoyan","non-dropping-particle":"","parse-names":false,"suffix":""}],"container-title":"Biostatistics and Epidemiology","id":"ITEM-1","issue":"1","issued":{"date-parts":[["2018"]]},"page":"132-159","title":"Recent developments in statistical methods for gwas and high-throughput sequencing association studies of complex traits","type":"article-journal","volume":"2"},"uris":["http://www.mendeley.com/documents/?uuid=db78e3f2-cae4-4e41-9066-f82faaf30daa"]}],"mendeley":{"formattedCitation":"(Jiang and Wang, 2018)","plainTextFormattedCitation":"(Jiang and Wang, 2018)","previouslyFormattedCitation":"(Jiang and Wang, 2018)"},"properties":{"noteIndex":0},"schema":"https://github.com/citation-style-language/schema/raw/master/csl-citation.json"}</w:instrText>
      </w:r>
      <w:r w:rsidR="0046220D" w:rsidRPr="00A35149">
        <w:rPr>
          <w:rFonts w:asciiTheme="majorBidi" w:hAnsiTheme="majorBidi" w:cstheme="majorBidi"/>
          <w:color w:val="4472C4" w:themeColor="accent1"/>
        </w:rPr>
        <w:fldChar w:fldCharType="separate"/>
      </w:r>
      <w:r w:rsidR="0046220D" w:rsidRPr="00A35149">
        <w:rPr>
          <w:rFonts w:asciiTheme="majorBidi" w:hAnsiTheme="majorBidi" w:cstheme="majorBidi"/>
          <w:noProof/>
          <w:color w:val="4472C4" w:themeColor="accent1"/>
        </w:rPr>
        <w:t>(Jiang and Wang, 2018)</w:t>
      </w:r>
      <w:r w:rsidR="0046220D" w:rsidRPr="00A35149">
        <w:rPr>
          <w:rFonts w:asciiTheme="majorBidi" w:hAnsiTheme="majorBidi" w:cstheme="majorBidi"/>
          <w:color w:val="4472C4" w:themeColor="accent1"/>
        </w:rPr>
        <w:fldChar w:fldCharType="end"/>
      </w:r>
      <w:r w:rsidR="00A96FA7" w:rsidRPr="00A35149">
        <w:rPr>
          <w:rFonts w:asciiTheme="majorBidi" w:hAnsiTheme="majorBidi" w:cstheme="majorBidi"/>
        </w:rPr>
        <w:t xml:space="preserve"> </w:t>
      </w:r>
      <w:r w:rsidR="0046220D" w:rsidRPr="00A35149">
        <w:rPr>
          <w:rFonts w:asciiTheme="majorBidi" w:hAnsiTheme="majorBidi" w:cstheme="majorBidi"/>
        </w:rPr>
        <w:t xml:space="preserve">as </w:t>
      </w:r>
      <w:r w:rsidR="00A96FA7" w:rsidRPr="00A35149">
        <w:rPr>
          <w:rFonts w:asciiTheme="majorBidi" w:hAnsiTheme="majorBidi" w:cstheme="majorBidi"/>
        </w:rPr>
        <w:t xml:space="preserve">the </w:t>
      </w:r>
      <w:r w:rsidR="00A96FA7" w:rsidRPr="00A35149">
        <w:rPr>
          <w:rFonts w:asciiTheme="majorBidi" w:hAnsiTheme="majorBidi" w:cstheme="majorBidi"/>
          <w:i/>
          <w:iCs/>
        </w:rPr>
        <w:t>de-facto</w:t>
      </w:r>
      <w:r w:rsidR="00A96FA7" w:rsidRPr="00A35149">
        <w:rPr>
          <w:rFonts w:asciiTheme="majorBidi" w:hAnsiTheme="majorBidi" w:cstheme="majorBidi"/>
        </w:rPr>
        <w:t xml:space="preserve"> standard used to describe ancestry of large-scale genetic </w:t>
      </w:r>
      <w:r w:rsidR="00A96FA7" w:rsidRPr="00A35149">
        <w:rPr>
          <w:rFonts w:asciiTheme="majorBidi" w:hAnsiTheme="majorBidi" w:cstheme="majorBidi"/>
        </w:rPr>
        <w:lastRenderedPageBreak/>
        <w:t>datasets.</w:t>
      </w:r>
      <w:r w:rsidR="0046220D" w:rsidRPr="00A35149">
        <w:rPr>
          <w:rFonts w:asciiTheme="majorBidi" w:hAnsiTheme="majorBidi" w:cstheme="majorBidi"/>
        </w:rPr>
        <w:t xml:space="preserve"> PCA corrects for the largest variation components of the GRM whilst MLM corrects for the whole </w:t>
      </w:r>
      <w:r w:rsidR="0077392D" w:rsidRPr="00A35149">
        <w:rPr>
          <w:rFonts w:asciiTheme="majorBidi" w:hAnsiTheme="majorBidi" w:cstheme="majorBidi"/>
        </w:rPr>
        <w:t>matrix</w:t>
      </w:r>
      <w:r w:rsidR="0046220D" w:rsidRPr="00A35149">
        <w:rPr>
          <w:rFonts w:asciiTheme="majorBidi" w:hAnsiTheme="majorBidi" w:cstheme="majorBidi"/>
        </w:rPr>
        <w:t xml:space="preserve">, </w:t>
      </w:r>
      <w:r w:rsidR="0077392D" w:rsidRPr="00A35149">
        <w:rPr>
          <w:rFonts w:asciiTheme="majorBidi" w:hAnsiTheme="majorBidi" w:cstheme="majorBidi"/>
        </w:rPr>
        <w:t>accounting for</w:t>
      </w:r>
      <w:r w:rsidR="0046220D" w:rsidRPr="00A35149">
        <w:rPr>
          <w:rFonts w:asciiTheme="majorBidi" w:hAnsiTheme="majorBidi" w:cstheme="majorBidi"/>
        </w:rPr>
        <w:t xml:space="preserve"> recently related individuals.</w:t>
      </w:r>
    </w:p>
    <w:bookmarkEnd w:id="0"/>
    <w:p w14:paraId="6777CD82" w14:textId="77777777" w:rsidR="0046220D" w:rsidRPr="00A35149" w:rsidRDefault="0046220D" w:rsidP="0046220D">
      <w:pPr>
        <w:widowControl w:val="0"/>
        <w:ind w:firstLine="720"/>
        <w:rPr>
          <w:rFonts w:asciiTheme="majorBidi" w:hAnsiTheme="majorBidi" w:cstheme="majorBidi"/>
        </w:rPr>
      </w:pPr>
    </w:p>
    <w:p w14:paraId="572A8FAE" w14:textId="09C9AD7A" w:rsidR="00DC5F1F" w:rsidRPr="00A35149" w:rsidRDefault="00A96FA7">
      <w:pPr>
        <w:widowControl w:val="0"/>
        <w:ind w:firstLine="720"/>
        <w:rPr>
          <w:rFonts w:asciiTheme="majorBidi" w:hAnsiTheme="majorBidi" w:cstheme="majorBidi"/>
        </w:rPr>
      </w:pPr>
      <w:r w:rsidRPr="00A35149">
        <w:rPr>
          <w:rFonts w:asciiTheme="majorBidi" w:hAnsiTheme="majorBidi" w:cstheme="majorBidi"/>
        </w:rPr>
        <w:t>These tools view the genome as a set of independent loci whose effect can be simply added up. Unfortunately, depending on sampling and genetic drift, this can yield spurious results</w:t>
      </w:r>
      <w:r w:rsidR="00494156" w:rsidRPr="00A35149">
        <w:rPr>
          <w:rFonts w:asciiTheme="majorBidi" w:hAnsiTheme="majorBidi" w:cstheme="majorBidi"/>
          <w:color w:val="4472C4" w:themeColor="accent1"/>
          <w:vertAlign w:val="superscript"/>
        </w:rPr>
        <w:t xml:space="preserve"> </w:t>
      </w:r>
      <w:r w:rsidR="00494156" w:rsidRPr="00A35149">
        <w:rPr>
          <w:rFonts w:asciiTheme="majorBidi" w:hAnsiTheme="majorBidi" w:cstheme="majorBidi"/>
          <w:color w:val="4472C4" w:themeColor="accent1"/>
          <w:vertAlign w:val="superscript"/>
        </w:rPr>
        <w:fldChar w:fldCharType="begin" w:fldLock="1"/>
      </w:r>
      <w:r w:rsidR="00494156" w:rsidRPr="00A35149">
        <w:rPr>
          <w:rFonts w:asciiTheme="majorBidi" w:hAnsiTheme="majorBidi" w:cstheme="majorBidi"/>
          <w:color w:val="4472C4" w:themeColor="accent1"/>
          <w:vertAlign w:val="superscript"/>
        </w:rPr>
        <w:instrText>ADDIN CSL_CITATION {"citationItems":[{"id":"ITEM-1","itemData":{"DOI":"10.1038/ng.139","ISSN":"10614036","PMID":"18425127","abstract":"Nearly 30 years ago, Cavalli-Sforza et al. pioneered the use of principal component analysis (PCA) in population genetics and used PCA to produce maps summarizing human genetic variation across continental regions. They interpreted gradient and wave patterns in these maps as signatures of specific migration events. These interpretations have been controversial, but influential, and the use of PCA has become widespread in analysis of population genetics data. However, the behavior of PCA for genetic data showing continuous spatial variation, such as might exist within human continental groups, has been less well characterized. Here, we find that gradients and waves observed in Cavalli-Sforza et al.'s maps resemble sinusoidal mathematical artifacts that arise generally when PCA is applied to spatial data, implying that the patterns do not necessarily reflect specific migration events. Our findings aid interpretation of PCA results and suggest how PCA can help correct for continuous population structure in association studies. © 2008 Nature Publishing Group.","author":[{"dropping-particle":"","family":"Novembre","given":"John","non-dropping-particle":"","parse-names":false,"suffix":""},{"dropping-particle":"","family":"Stephens","given":"Matthew","non-dropping-particle":"","parse-names":false,"suffix":""}],"container-title":"Nature Genetics","id":"ITEM-1","issue":"5","issued":{"date-parts":[["2008"]]},"page":"646-649","title":"Interpreting principal component analyses of spatial population genetic variation","type":"article-journal","volume":"40"},"uris":["http://www.mendeley.com/documents/?uuid=d3593bbf-becd-421a-945b-b34d1925d5b3"]},{"id":"ITEM-2","itemData":{"DOI":"10.1371/journal.pgen.1000686","ISSN":"15537390","abstract":"Principal components analysis, PCA, is a statistical method commonly used in population genetics to identify structure in the distribution of genetic variation across geographical location and ethnic background. However, while the method is often used to inform about historical demographic processes, little is known about the relationship between fundamental demographic parameters and the projection of samples onto the primary axes. Here I show that for SNP data the projection of samples onto the principal components can be obtained directly from considering the average coalescent times between pairs of haploid genomes. The result provides a framework for interpreting PCA projections in terms of underlying processes, including migration, geographical isolation, and admixture. I also demonstrate a link between PCA and Wright's f(st) and show that SNP ascertainment has a largely simple and predictable effect on the projection of samples. Using examples from human genetics, I discuss the application of these results to empirical data and the implications for inference.","author":[{"dropping-particle":"","family":"McVean","given":"Gil","non-dropping-particle":"","parse-names":false,"suffix":""}],"container-title":"PLoS Genetics","id":"ITEM-2","issue":"10","issued":{"date-parts":[["2009"]]},"title":"A genealogical interpretation of principal components analysis","type":"article-journal","volume":"5"},"uris":["http://www.mendeley.com/documents/?uuid=f651b85a-46b0-4ee1-8ffd-94a560378b55"]},{"id":"ITEM-3","itemData":{"DOI":"10.1093/molbev/mss203","ISSN":"07374038","abstract":"Cavalli-Sforza and Edwards (Analysis of human evolution. 1963. In: Geerts SJ, editor. Genetics today: Proceedings of the 11th International Congress of Genetics, The Hague, The Netherlands. New York: Pergamon. p. 923-993.) initiated the representation of genetic relationships among human populations with principal component (PC) analysis (PCA). Their study revealed the presence of a southeast-northwest (SE-NW) gradient of genetic variation in current European populations, which was interpreted as the result of the demic diffusion of early neolithic farmers during their expansion from the near east. However, this interpretation has been questioned, as PCA gradients can occur even when there is no expansion and because the first PC axis is often orthogonal to the expansion axis. Here, we revisit PCA patterns obtained under realistic scenarios of the settlement of Europe, focusing on the effects of various levels of admixture between paleolithic and neolithic populations, and of range contractions during the last glacial maximum (LGM). Using extensive simulations, we find that the first PC (PC1) gradients are orthogonal to the expansion axis, but only when the expansion is recent (neolithic). More ancient (paleolithic) expansions alter the orientation of the PC1 gradient due to a spatial homogenization of genetic diversity over time, and to the exact location of LGM refugia from which re-expansions proceeded. Overall we find that PC1 gradients consistently follow an SE-NW orientation if there is a large paleolithic contribution to the current European gene pool, and if the main refuge area during the last ice age was in the Iberian Peninsula. Our study suggests that an SE-NW PC1 gradient is compatible with little genetic impact of neolithic populations on the current European gene pool, and that range contractions have affected observed genetic patterns. © 2012 The Author.","author":[{"dropping-particle":"","family":"Arenas","given":"Miguel","non-dropping-particle":"","parse-names":false,"suffix":""},{"dropping-particle":"","family":"François","given":"Olivier","non-dropping-particle":"","parse-names":false,"suffix":""},{"dropping-particle":"","family":"Currat","given":"Mathias","non-dropping-particle":"","parse-names":false,"suffix":""},{"dropping-particle":"","family":"Ray","given":"Nicolas","non-dropping-particle":"","parse-names":false,"suffix":""},{"dropping-particle":"","family":"Excoffier","given":"Laurent","non-dropping-particle":"","parse-names":false,"suffix":""}],"container-title":"Molecular Biology and Evolution","id":"ITEM-3","issue":"1","issued":{"date-parts":[["2013"]]},"page":"57-61","title":"Influence of admixture and paleolithic range contractions on current European diversity gradients","type":"article-journal","volume":"30"},"uris":["http://www.mendeley.com/documents/?uuid=8df40906-a57b-4c39-bee3-0d941d61c352"]},{"id":"ITEM-4","itemData":{"DOI":"10.1093/bioinformatics/bty946","ISSN":"1367-4803","abstract":"In clinical trials, individuals are matched using demographic criteria, paired, and then randomly assigned to treatment and control groups to determine a drug's efficacy. A chief cause for the irreproducibility of results across pilot to Phase III trials is population stratification bias caused by the uneven distribution of ancestries in the treatment and control groups.","author":[{"dropping-particle":"","family":"Elhaik","given":"Eran","non-dropping-particle":"","parse-names":false,"suffix":""},{"dropping-particle":"","family":"Ryan","given":"Desmond M","non-dropping-particle":"","parse-names":false,"suffix":""}],"container-title":"Bioinformatics","id":"ITEM-4","issue":"13","issued":{"date-parts":[["2019"]]},"page":"2243-2250","title":"Pair Matcher (PaM): fast model-based optimization of treatment/case-control matches","type":"article-journal","volume":"35"},"uris":["http://www.mendeley.com/documents/?uuid=e800fe6d-36c6-4211-9f97-8d81fb3a4bc9"]}],"mendeley":{"formattedCitation":"(Novembre and Stephens, 2008; McVean, 2009; Arenas &lt;i&gt;et al.&lt;/i&gt;, 2013; Elhaik and Ryan, 2019)","plainTextFormattedCitation":"(Novembre and Stephens, 2008; McVean, 2009; Arenas et al., 2013; Elhaik and Ryan, 2019)","previouslyFormattedCitation":"(Novembre and Stephens, 2008; McVean, 2009; Arenas &lt;i&gt;et al.&lt;/i&gt;, 2013; Elhaik and Ryan, 2019)"},"properties":{"noteIndex":0},"schema":"https://github.com/citation-style-language/schema/raw/master/csl-citation.json"}</w:instrText>
      </w:r>
      <w:r w:rsidR="00494156" w:rsidRPr="00A35149">
        <w:rPr>
          <w:rFonts w:asciiTheme="majorBidi" w:hAnsiTheme="majorBidi" w:cstheme="majorBidi"/>
          <w:color w:val="4472C4" w:themeColor="accent1"/>
          <w:vertAlign w:val="superscript"/>
        </w:rPr>
        <w:fldChar w:fldCharType="separate"/>
      </w:r>
      <w:r w:rsidR="00494156" w:rsidRPr="00A35149">
        <w:rPr>
          <w:rFonts w:asciiTheme="majorBidi" w:hAnsiTheme="majorBidi" w:cstheme="majorBidi"/>
          <w:noProof/>
          <w:color w:val="4472C4" w:themeColor="accent1"/>
        </w:rPr>
        <w:t xml:space="preserve">(Novembre and Stephens, 2008; McVean, 2009; Arenas </w:t>
      </w:r>
      <w:r w:rsidR="00494156" w:rsidRPr="00A35149">
        <w:rPr>
          <w:rFonts w:asciiTheme="majorBidi" w:hAnsiTheme="majorBidi" w:cstheme="majorBidi"/>
          <w:i/>
          <w:noProof/>
          <w:color w:val="4472C4" w:themeColor="accent1"/>
        </w:rPr>
        <w:t>et al.</w:t>
      </w:r>
      <w:r w:rsidR="00494156" w:rsidRPr="00A35149">
        <w:rPr>
          <w:rFonts w:asciiTheme="majorBidi" w:hAnsiTheme="majorBidi" w:cstheme="majorBidi"/>
          <w:noProof/>
          <w:color w:val="4472C4" w:themeColor="accent1"/>
        </w:rPr>
        <w:t>, 2013; Elhaik and Ryan, 2019)</w:t>
      </w:r>
      <w:r w:rsidR="00494156" w:rsidRPr="00A35149">
        <w:rPr>
          <w:rFonts w:asciiTheme="majorBidi" w:hAnsiTheme="majorBidi" w:cstheme="majorBidi"/>
          <w:color w:val="4472C4" w:themeColor="accent1"/>
          <w:vertAlign w:val="superscript"/>
        </w:rPr>
        <w:fldChar w:fldCharType="end"/>
      </w:r>
      <w:r w:rsidRPr="00A35149">
        <w:rPr>
          <w:rFonts w:asciiTheme="majorBidi" w:hAnsiTheme="majorBidi" w:cstheme="majorBidi"/>
        </w:rPr>
        <w:t xml:space="preserve">, including representing individuals with two ancestrally different parents as similar to populations that resemble this mixture. For example, an individual with one European and one Asian parent may be </w:t>
      </w:r>
      <w:r w:rsidR="00DC5F1F" w:rsidRPr="00A35149">
        <w:rPr>
          <w:rFonts w:asciiTheme="majorBidi" w:hAnsiTheme="majorBidi" w:cstheme="majorBidi"/>
        </w:rPr>
        <w:t>in</w:t>
      </w:r>
      <w:r w:rsidRPr="00A35149">
        <w:rPr>
          <w:rFonts w:asciiTheme="majorBidi" w:hAnsiTheme="majorBidi" w:cstheme="majorBidi"/>
        </w:rPr>
        <w:t>correct</w:t>
      </w:r>
      <w:r w:rsidR="00DC5F1F" w:rsidRPr="00A35149">
        <w:rPr>
          <w:rFonts w:asciiTheme="majorBidi" w:hAnsiTheme="majorBidi" w:cstheme="majorBidi"/>
        </w:rPr>
        <w:t xml:space="preserve">ly </w:t>
      </w:r>
      <w:r w:rsidR="0046220D" w:rsidRPr="00A35149">
        <w:rPr>
          <w:rFonts w:asciiTheme="majorBidi" w:hAnsiTheme="majorBidi" w:cstheme="majorBidi"/>
        </w:rPr>
        <w:t>corrected as</w:t>
      </w:r>
      <w:r w:rsidR="00DC5F1F" w:rsidRPr="00A35149">
        <w:rPr>
          <w:rFonts w:asciiTheme="majorBidi" w:hAnsiTheme="majorBidi" w:cstheme="majorBidi"/>
        </w:rPr>
        <w:t xml:space="preserve"> </w:t>
      </w:r>
      <w:r w:rsidRPr="00A35149">
        <w:rPr>
          <w:rFonts w:asciiTheme="majorBidi" w:hAnsiTheme="majorBidi" w:cstheme="majorBidi"/>
        </w:rPr>
        <w:t>a Middle Eastern individual</w:t>
      </w:r>
      <w:r w:rsidR="00695C3D" w:rsidRPr="00A35149">
        <w:rPr>
          <w:rFonts w:asciiTheme="majorBidi" w:hAnsiTheme="majorBidi" w:cstheme="majorBidi"/>
        </w:rPr>
        <w:t xml:space="preserve"> </w:t>
      </w:r>
      <w:r w:rsidR="00695C3D" w:rsidRPr="00A35149">
        <w:rPr>
          <w:rFonts w:asciiTheme="majorBidi" w:hAnsiTheme="majorBidi" w:cstheme="majorBidi"/>
          <w:color w:val="4472C4" w:themeColor="accent1"/>
        </w:rPr>
        <w:fldChar w:fldCharType="begin" w:fldLock="1"/>
      </w:r>
      <w:r w:rsidR="005941F8" w:rsidRPr="00A35149">
        <w:rPr>
          <w:rFonts w:asciiTheme="majorBidi" w:hAnsiTheme="majorBidi" w:cstheme="majorBidi"/>
          <w:color w:val="4472C4" w:themeColor="accent1"/>
        </w:rPr>
        <w:instrText>ADDIN CSL_CITATION {"citationItems":[{"id":"ITEM-1","itemData":{"DOI":"10.1093/bioinformatics/bty946","ISSN":"1367-4803","abstract":"In clinical trials, individuals are matched using demographic criteria, paired, and then randomly assigned to treatment and control groups to determine a drug's efficacy. A chief cause for the irreproducibility of results across pilot to Phase III trials is population stratification bias caused by the uneven distribution of ancestries in the treatment and control groups.","author":[{"dropping-particle":"","family":"Elhaik","given":"Eran","non-dropping-particle":"","parse-names":false,"suffix":""},{"dropping-particle":"","family":"Ryan","given":"Desmond M","non-dropping-particle":"","parse-names":false,"suffix":""}],"container-title":"Bioinformatics","id":"ITEM-1","issue":"13","issued":{"date-parts":[["2019"]]},"page":"2243-2250","title":"Pair Matcher (PaM): fast model-based optimization of treatment/case-control matches","type":"article-journal","volume":"35"},"uris":["http://www.mendeley.com/documents/?uuid=e800fe6d-36c6-4211-9f97-8d81fb3a4bc9"]}],"mendeley":{"formattedCitation":"(Elhaik and Ryan, 2019)","plainTextFormattedCitation":"(Elhaik and Ryan, 2019)","previouslyFormattedCitation":"(Elhaik and Ryan, 2019)"},"properties":{"noteIndex":0},"schema":"https://github.com/citation-style-language/schema/raw/master/csl-citation.json"}</w:instrText>
      </w:r>
      <w:r w:rsidR="00695C3D" w:rsidRPr="00A35149">
        <w:rPr>
          <w:rFonts w:asciiTheme="majorBidi" w:hAnsiTheme="majorBidi" w:cstheme="majorBidi"/>
          <w:color w:val="4472C4" w:themeColor="accent1"/>
        </w:rPr>
        <w:fldChar w:fldCharType="separate"/>
      </w:r>
      <w:r w:rsidR="00695C3D" w:rsidRPr="00A35149">
        <w:rPr>
          <w:rFonts w:asciiTheme="majorBidi" w:hAnsiTheme="majorBidi" w:cstheme="majorBidi"/>
          <w:noProof/>
          <w:color w:val="4472C4" w:themeColor="accent1"/>
        </w:rPr>
        <w:t>(Elhaik and Ryan, 2019)</w:t>
      </w:r>
      <w:r w:rsidR="00695C3D" w:rsidRPr="00A35149">
        <w:rPr>
          <w:rFonts w:asciiTheme="majorBidi" w:hAnsiTheme="majorBidi" w:cstheme="majorBidi"/>
          <w:color w:val="4472C4" w:themeColor="accent1"/>
        </w:rPr>
        <w:fldChar w:fldCharType="end"/>
      </w:r>
      <w:r w:rsidRPr="00A35149">
        <w:rPr>
          <w:rFonts w:asciiTheme="majorBidi" w:hAnsiTheme="majorBidi" w:cstheme="majorBidi"/>
        </w:rPr>
        <w:t xml:space="preserve">. </w:t>
      </w:r>
    </w:p>
    <w:p w14:paraId="007DDE25" w14:textId="67D4674F" w:rsidR="0045669D" w:rsidRPr="00A35149" w:rsidRDefault="0046220D" w:rsidP="0045669D">
      <w:pPr>
        <w:widowControl w:val="0"/>
        <w:spacing w:before="240" w:after="240"/>
        <w:ind w:firstLine="720"/>
        <w:rPr>
          <w:rFonts w:asciiTheme="majorBidi" w:hAnsiTheme="majorBidi" w:cstheme="majorBidi"/>
        </w:rPr>
      </w:pPr>
      <w:r w:rsidRPr="00A35149">
        <w:rPr>
          <w:rFonts w:asciiTheme="majorBidi" w:hAnsiTheme="majorBidi" w:cstheme="majorBidi"/>
        </w:rPr>
        <w:t>Both PCA and MLMs</w:t>
      </w:r>
      <w:r w:rsidR="00962855" w:rsidRPr="00A35149">
        <w:rPr>
          <w:rFonts w:asciiTheme="majorBidi" w:hAnsiTheme="majorBidi" w:cstheme="majorBidi"/>
        </w:rPr>
        <w:t xml:space="preserve"> </w:t>
      </w:r>
      <w:r w:rsidRPr="00A35149">
        <w:rPr>
          <w:rFonts w:asciiTheme="majorBidi" w:hAnsiTheme="majorBidi" w:cstheme="majorBidi"/>
        </w:rPr>
        <w:t>are</w:t>
      </w:r>
      <w:r w:rsidR="00962855" w:rsidRPr="00A35149">
        <w:rPr>
          <w:rFonts w:asciiTheme="majorBidi" w:hAnsiTheme="majorBidi" w:cstheme="majorBidi"/>
        </w:rPr>
        <w:t xml:space="preserve"> use</w:t>
      </w:r>
      <w:r w:rsidRPr="00A35149">
        <w:rPr>
          <w:rFonts w:asciiTheme="majorBidi" w:hAnsiTheme="majorBidi" w:cstheme="majorBidi"/>
        </w:rPr>
        <w:t>d for</w:t>
      </w:r>
      <w:r w:rsidR="00962855" w:rsidRPr="00A35149">
        <w:rPr>
          <w:rFonts w:asciiTheme="majorBidi" w:hAnsiTheme="majorBidi" w:cstheme="majorBidi"/>
        </w:rPr>
        <w:t xml:space="preserve"> meta-analysis of</w:t>
      </w:r>
      <w:r w:rsidR="0045669D" w:rsidRPr="00A35149">
        <w:rPr>
          <w:rFonts w:asciiTheme="majorBidi" w:hAnsiTheme="majorBidi" w:cstheme="majorBidi"/>
        </w:rPr>
        <w:t xml:space="preserve"> a large number of independent studies</w:t>
      </w:r>
      <w:r w:rsidR="00A33D21" w:rsidRPr="00A35149">
        <w:rPr>
          <w:rFonts w:asciiTheme="majorBidi" w:hAnsiTheme="majorBidi" w:cstheme="majorBidi"/>
        </w:rPr>
        <w:t xml:space="preserve"> </w:t>
      </w:r>
      <w:r w:rsidR="00962855" w:rsidRPr="00A35149">
        <w:rPr>
          <w:rFonts w:asciiTheme="majorBidi" w:hAnsiTheme="majorBidi" w:cstheme="majorBidi"/>
        </w:rPr>
        <w:t xml:space="preserve">(e.g., BMI </w:t>
      </w:r>
      <w:r w:rsidR="00486CA6" w:rsidRPr="00A35149">
        <w:rPr>
          <w:rFonts w:asciiTheme="majorBidi" w:hAnsiTheme="majorBidi" w:cstheme="majorBidi"/>
          <w:color w:val="4472C4" w:themeColor="accent1"/>
        </w:rPr>
        <w:t>(</w:t>
      </w:r>
      <w:bookmarkStart w:id="1" w:name="_Hlk27572453"/>
      <w:r w:rsidR="00486CA6" w:rsidRPr="00A35149">
        <w:rPr>
          <w:rFonts w:asciiTheme="majorBidi" w:hAnsiTheme="majorBidi" w:cstheme="majorBidi"/>
          <w:color w:val="4472C4" w:themeColor="accent1"/>
          <w:vertAlign w:val="superscript"/>
        </w:rPr>
        <w:fldChar w:fldCharType="begin" w:fldLock="1"/>
      </w:r>
      <w:r w:rsidR="00486CA6" w:rsidRPr="00A35149">
        <w:rPr>
          <w:rFonts w:asciiTheme="majorBidi" w:hAnsiTheme="majorBidi" w:cstheme="majorBidi"/>
          <w:color w:val="4472C4" w:themeColor="accent1"/>
          <w:vertAlign w:val="superscript"/>
        </w:rPr>
        <w:instrText xml:space="preserve">ADDIN CSL_CITATION {"citationItems":[{"id":"ITEM-1","itemData":{"DOI":"10.1038/nature14177","ISSN":"14764687","PMID":"25673413","abstract":"Obesity is heritable and predisposes to many diseases. To understand the genetic basis of obesity better, here we conduct a genome-wide association study and Metabochip meta-analysis of body mass index (BMI), a measure commonly used to define obesity and assess adiposity, in up to 339,224 individuals. This analysis identifies 97 BMI-associated loci (P &lt; 5 × 10-8), 56 of which are novel. Five loci demonstrate clear evidence of several independent association signals, and many loci have significant effects on other metabolic phenotypes. The 97 loci account for </w:instrText>
      </w:r>
      <w:r w:rsidR="00486CA6" w:rsidRPr="00A35149">
        <w:rPr>
          <w:rFonts w:ascii="Cambria Math" w:hAnsi="Cambria Math" w:cs="Cambria Math"/>
          <w:color w:val="4472C4" w:themeColor="accent1"/>
          <w:vertAlign w:val="superscript"/>
        </w:rPr>
        <w:instrText>∼</w:instrText>
      </w:r>
      <w:r w:rsidR="00486CA6" w:rsidRPr="00A35149">
        <w:rPr>
          <w:rFonts w:asciiTheme="majorBidi" w:hAnsiTheme="majorBidi" w:cstheme="majorBidi"/>
          <w:color w:val="4472C4" w:themeColor="accent1"/>
          <w:vertAlign w:val="superscript"/>
        </w:rPr>
        <w:instrText>2.7% of BMI variation, and genome-wide estimates suggest that common variation accounts for &gt;20 % of BMI variation. Pathway analyses provide strong support for a role of the central nervous system in obesity susceptibility and implicate new genes and pathways, including those related to synaptic function, glutamate signalling, insulin secretion/action, energy metabolism, lipid biology and adipogenesis.","author":[{"dropping-particle":"","family":"Locke","given":"A. E.","non-dropping-particle":"","parse-names":false,"suffix":""},{"dropping-particle":"","family":"Kahali","given":"B.","non-dropping-particle":"","parse-names":false,"suffix":""},{"dropping-particle":"","family":"Berndt","given":"S. I.","non-dropping-particle":"","parse-names":false,"suffix":""},{"dropping-particle":"","family":"Justice","given":"A. E.","non-dropping-particle":"","parse-names":false,"suffix":""},{"dropping-particle":"","family":"Pers","given":"T. H.","non-dropping-particle":"","parse-names":false,"suffix":""},{"dropping-particle":"","family":"Day","given":"F. R.","non-dropping-particle":"","parse-names":false,"suffix":""},{"dropping-particle":"","family":"Powell","given":"C.","non-dropping-particle":"","parse-names":false,"suffix":""},{"dropping-particle":"","family":"Vedantam","given":"S.","non-dropping-particle":"","parse-names":false,"suffix":""},{"dropping-particle":"","family":"Buchkovich","given":"M. L.","non-dropping-particle":"","parse-names":false,"suffix":""},{"dropping-particle":"","family":"Yang","given":"J.","non-dropping-particle":"","parse-names":false,"suffix":""},{"dropping-particle":"","family":"Croteau-Chonka","given":"D. C.","non-dropping-particle":"","parse-names":false,"suffix":""},{"dropping-particle":"","family":"Esko","given":"T.","non-dropping-particle":"","parse-names":false,"suffix":""},{"dropping-particle":"","family":"Fall","given":"T.","non-dropping-particle":"","parse-names":false,"suffix":""},{"dropping-particle":"","family":"Ferreira","given":"T.","non-dropping-particle":"","parse-names":false,"suffix":""},{"dropping-particle":"","family":"Gustafsson","given":"S.","non-dropping-particle":"","parse-names":false,"suffix":""},{"dropping-particle":"","family":"Kutalik","given":"Z.","non-dropping-particle":"","parse-names":false,"suffix":""},{"dropping-particle":"","family":"Luan","given":"J.","non-dropping-particle":"","parse-names":false,"suffix":""},{"dropping-particle":"","family":"Mägi","given":"R.","non-dropping-particle":"","parse-names":false,"suffix":""},{"dropping-particle":"","family":"Randall","given":"J. C.","non-dropping-particle":"","parse-names":false,"suffix":""},{"dropping-particle":"","family":"Winkler","given":"T. W.","non-dropping-particle":"","parse-names":false,"suffix":""},{"dropping-particle":"","family":"Wood","given":"A. R.","non-dropping-particle":"","parse-names":false,"suffix":""},{"dropping-particle":"","family":"Workalemahu","given":"T.","non-dropping-particle":"","parse-names":false,"suffix":""},{"dropping-particle":"","family":"Faul","given":"J. D.","non-dropping-particle":"","parse-names":false,"suffix":""},{"dropping-particle":"","family":"Smith","given":"J. A.","non-dropping-particle":"","parse-names":false,"suffix":""},{"dropping-particle":"","family":"Zhao","given":"J. H.","non-dropping-particle":"","parse-names":false,"suffix":""},{"dropping-particle":"","family":"Zhao","given":"W.","non-dropping-particle":"","parse-names":false,"suffix":""},{"dropping-particle":"","family":"Chen","given":"J.","non-dropping-particle":"","parse-names":false,"suffix":""},{"dropping-particle":"","family":"Fehrmann","given":"R.","non-dropping-particle":"","parse-names":false,"suffix":""},{"dropping-particle":"","family":"Hedman","given":"K.","non-dropping-particle":"","parse-names":false,"suffix":""},{"dropping-particle":"","family":"Karjalainen","given":"J.","non-dropping-particle":"","parse-names":false,"suffix":""},{"dropping-particle":"","family":"Schmidt","given":"E. M.","non-dropping-particle":"","parse-names":false,"suffix":""},{"dropping-particle":"","family":"Absher","given":"D.","non-dropping-particle":"","parse-names":false,"suffix":""},{"dropping-particle":"","family":"Amin","given":"N.","non-dropping-particle":"","parse-names":false,"suffix":""},{"dropping-particle":"","family":"Anderson","given":"D.","non-dropping-particle":"","parse-names":false,"suffix":""},{"dropping-particle":"","family":"Beekman","given":"M.","non-dropping-particle":"","parse-names":false,"suffix":""},{"dropping-particle":"","family":"Bolton","given":"J. L.","non-dropping-particle":"","parse-names":false,"suffix":""},{"dropping-particle":"","family":"Bragg-Gresham","given":"J. L.","non-dropping-particle":"","parse-names":false,"suffix":""},{"dropping-particle":"","family":"Buyske","given":"S.","non-dropping-particle":"","parse-names":false,"suffix":""},{"dropping-particle":"","family":"Demirkan","given":"A.","non-dropping-particle":"","parse-names":false,"suffix":""},{"dropping-particle":"","family":"Deng","given":"G.","non-dropping-particle":"","parse-names":false,"suffix":""},{"dropping-particle":"","family":"Ehret","given":"G.","non-dropping-particle":"","parse-names":false,"suffix":""},{"dropping-particle":"","family":"Feenstra","given":"B.","non-dropping-particle":"","parse-names":false,"suffix":""},{"dropping-particle":"","family":"Feitosa","given":"M.","non-dropping-particle":"","parse-names":false,"suffix":""},{"dropping-particle":"","family":"Fischer","given":"K.","non-dropping-particle":"","parse-names":false,"suffix":""},{"dropping-particle":"","family":"Goel","given":"A.","non-dropping-particle":"","parse-names":false,"suffix":""},{"dropping-particle":"","family":"Gong","given":"J.","non-dropping-particle":"","parse-names":false,"suffix":""},{"dropping-particle":"","family":"Jackson","given":"A. U.","non-dropping-particle":"","parse-names":false,"suffix":""},{"dropping-particle":"","family":"Kanoni","given":"S.","non-dropping-particle":"","parse-names":false,"suffix":""},{"dropping-particle":"","family":"Kleber","given":"M. E.","non-dropping-particle":"","parse-names":false,"suffix":""},{"dropping-particle":"","family":"Kristiansson","given":"K.","non-dropping-particle":"","parse-names":false,"suffix":""},{"dropping-particle":"","family":"Lim","given":"U.","non-dropping-particle":"","parse-names":false,"suffix":""},{"dropping-particle":"","family":"Lotay","given":"V.","non-dropping-particle":"","parse-names":false,"suffix":""},{"dropping-particle":"","family":"Mangino","given":"M.","non-dropping-particle":"","parse-names":false,"suffix":""},{"dropping-particle":"","family":"Leach","given":"I. M.","non-dropping-particle":"","parse-names":false,"suffix":""},{"dropping-particle":"","family":"Medina-Gomez","given":"C.","non-dropping-particle":"","parse-names":false,"suffix":""},{"dropping-particle":"","family":"Medland","given":"S. E.","non-dropping-particle":"","parse-names":false,"suffix":""},{"dropping-particle":"","family":"Nalls","given":"M. A.","non-dropping-particle":"","parse-names":false,"suffix":""},{"dropping-particle":"","family":"Palmer","given":"C. D.","non-dropping-particle":"","parse-names":false,"suffix":""},{"dropping-particle":"","family":"Pasko","given":"D.","non-dropping-particle":"","parse-names":false,"suffix":""},{"dropping-particle":"","family":"Pechlivanis","given":"S.","non-dropping-particle":"","parse-names":false,"suffix":""},{"dropping-particle":"","family":"Peters","given":"M. J.","non-dropping-particle":"","parse-names":false,"suffix":""},{"dropping-particle":"","family":"Prokopenko","given":"I.","non-dropping-particle":"","parse-names":false,"suffix":""},{"dropping-particle":"","family":"Shungin","given":"D.","non-dropping-particle":"","parse-names":false,"suffix":""},{"dropping-particle":"","family":"Stančáková","given":"A.","non-dropping-particle":"","parse-names":false,"suffix":""},{"dropping-particle":"","family":"Strawbridge","given":"R. J.","non-dropping-particle":"","parse-names":false,"suffix":""},{"dropping-particle":"","family":"Sung","given":"Y. J.","non-dropping-particle":"","parse-names":false,"suffix":""},{"dropping-particle":"","family":"Tanaka","given":"T.","non-dropping-particle":"","parse-names":false,"suffix":""},{"dropping-particle":"","family":"Teumer","given":"A.","non-dropping-particle":"","parse-names":false,"suffix":""},{"dropping-particle":"","family":"Trompet","given":"S.","non-dropping-particle":"","parse-names":false,"suffix":""},{"dropping-particle":"","family":"Laan","given":"S. W.","non-dropping-particle":"van der","parse-names":false,"suffix":""},{"dropping-particle":"","family":"Setten","given":"J.","non-dropping-particle":"van","parse-names":false,"suffix":""},{"dropping-particle":"V.","family":"Vliet-Ostaptchouk","given":"J.","non-dropping-particle":"Van","parse-names":false,"suffix":""},{"dropping-particle":"","family":"Wang","given":"Z.","non-dropping-particle":"","parse-names":false,"suffix":""},{"dropping-particle":"","family":"Yengo","given":"L.","non-dropping-particle":"","parse-names":false,"suffix":""},{"dropping-particle":"","family":"Zhang","given":"W.","non-dropping-particle":"","parse-names":false,"suffix":""},{"dropping-particle":"","family":"Isaacs","given":"A.","non-dropping-particle":"","parse-names":false,"suffix":""},{"dropping-particle":"","family":"Albrecht","given":"E.","non-dropping-particle":"","parse-names":false,"suffix":""},{"dropping-particle":"","family":"Ärnlöv","given":"J.","non-dropping-particle":"","parse-names":false,"suffix":""},{"dropping-particle":"","family":"Arscott","given":"G. M.","non-dropping-particle":"","parse-names":false,"suffix":""},{"dropping-particle":"","family":"Attwood","given":"A. P.","non-dropping-particle":"","parse-names":false,"suffix":""},{"dropping-particle":"","family":"Bandinelli","given":"S.","non-dropping-particle":"","parse-names":false,"suffix":""},{"dropping-particle":"","family":"Barrett","given":"A.","non-dropping-particle":"","parse-names":false,"suffix":""},{"dropping-particle":"","family":"Bas","given":"I. N.","non-dropping-particle":"","parse-names":false,"suffix":""},{"dropping-particle":"","family":"Bellis","given":"C.","non-dropping-particle":"","parse-names":false,"suffix":""},{"dropping-particle":"","family":"Bennett","given":"A. J.","non-dropping-particle":"","parse-names":false,"suffix":""},{"dropping-particle":"","family":"Berne","given":"C.","non-dropping-particle":"","parse-names":false,"suffix":""},{"dropping-particle":"","family":"Blagieva","given":"R.","non-dropping-particle":"","parse-names":false,"suffix":""},{"dropping-particle":"","family":"Blüher","given":"M.","non-dropping-particle":"","parse-names":false,"suffix":""},{"dropping-particle":"","family":"Böhringer","given":"S.","non-dropping-particle":"","parse-names":false,"suffix":""},{"dropping-particle":"","family":"Bonnycastle","given":"L. L.","non-dropping-particle":"","parse-names":false,"suffix":""},{"dropping-particle":"","family":"Böttcher","given":"Y.","non-dropping-particle":"","parse-names":false,"suffix":""},{"dropping-particle":"","family":"Boyd","given":"H. A.","non-dropping-particle":"","parse-names":false,"suffix":""},{"dropping-particle":"","family":"Bruinenberg","given":"M.","non-dropping-particle":"","parse-names":false,"suffix":""},{"dropping-particle":"","family":"Caspersen","given":"I. H.","non-dropping-particle":"","parse-names":false,"suffix":""},{"dropping-particle":"","family":"Chen","given":"Y. I.","non-dropping-particle":"","parse-names":false,"suffix":""},{"dropping-particle":"","family":"Clarke","given":"R.","non-dropping-particle":"","parse-names":false,"suffix":""},{"dropping-particle":"","family":"Daw","given":"E. W.","non-dropping-particle":"","parse-names":false,"suffix":""},{"dropping-particle":"","family":"Craen","given":"A. J.M.","non-dropping-particle":"de","parse-names":false,"suffix":""},{"dropping-particle":"","family":"Delgado","given":"G.","non-dropping-particle":"","parse-names":false,"suffix":""},{"dropping-particle":"","family":"Dimitriou","given":"M.","non-dropping-particle":"","parse-names":false,"suffix":""},{"dropping-particle":"","family":"Doney","given":"A. S.F.","non-dropping-particle":"","parse-names":false,"suffix":""},{"dropping-particle":"","family":"Eklund","given":"N.","non-dropping-particle":"","parse-names":false,"suffix":""},{"dropping-particle":"","family":"Estrada","given":"K.","non-dropping-particle":"","parse-names":false,"suffix":""},{"dropping-particle":"","family":"Eury","given":"E.","non-dropping-particle":"","parse-names":false,"suffix":""},{"dropping-particle":"","family":"Folkersen","given":"L.","non-dropping-particle":"","parse-names":false,"suffix":""},{"dropping-particle":"","family":"Fraser","given":"R. M.","non-dropping-particle":"","parse-names":false,"suffix":""},{"dropping-particle":"","family":"Garcia","given":"M.","non-dropping-particle":"","parse-names":false,"suffix":""},{"dropping-particle":"","family":"Geller","given":"F.","non-dropping-particle":"","parse-names":false,"suffix":""},{"dropping-particle":"","family":"Giedraitis","given":"V.","non-dropping-particle":"","parse-names":false,"suffix":""},{"dropping-particle":"","family":"Gigante","given":"B.","non-dropping-particle":"","parse-names":false,"suffix":""},{"dropping-particle":"","family":"Go","given":"A. S.","non-dropping-particle":"","parse-names":false,"suffix":""},{"dropping-particle":"","family":"Golay","given":"A.","non-dropping-particle":"","parse-names":false,"suffix":""},{"dropping-particle":"","family":"Goodall","given":"A.","non-dropping-particle":"","parse-names":false,"suffix":""},{"dropping-particle":"","family":"Gordon","given":"S. D.","non-dropping-particle":"","parse-names":false,"suffix":""},{"dropping-particle":"","family":"Gorski","given":"M.","non-dropping-particle":"","parse-names":false,"suffix":""},{"dropping-particle":"","family":"Grabe","given":"H. J.","non-dropping-particle":"","parse-names":false,"suffix":""},{"dropping-particle":"","family":"Grallert","given":"H.","non-dropping-particle":"","parse-names":false,"suffix":""},{"dropping-particle":"","family":"Grammer","given":"T. B.","non-dropping-particle":"","parse-names":false,"suffix":""},{"dropping-particle":"","family":"Gräßler","given":"J.","non-dropping-particle":"","parse-names":false,"suffix":""},{"dropping-particle":"","family":"Grönberg","given":"H.","non-dropping-particle":"","parse-names":false,"suffix":""},{"dropping-particle":"","family":"Groves","given":"C. J.","non-dropping-particle":"","parse-names":false,"suffix":""},{"dropping-particle":"","family":"Gusto","given":"G.","non-dropping-particle":"","parse-names":false,"suffix":""},{"dropping-particle":"","family":"Haessler","given":"J.","non-dropping-particle":"","parse-names":false,"suffix":""},{"dropping-particle":"","family":"Hall","given":"P.","non-dropping-particle":"","parse-names":false,"suffix":""},{"dropping-particle":"","family":"Haller","given":"T.","non-dropping-particle":"","parse-names":false,"suffix":""},{"dropping-particle":"","family":"Hallmans","given":"G.","non-dropping-particle":"","parse-names":false,"suffix":""},{"dropping-particle":"","family":"Hartman","given":"C. A.","non-dropping-particle":"","parse-names":false,"suffix":""},{"dropping-particle":"","family":"Hassinen","given":"M.","non-dropping-particle":"","parse-names":false,"suffix":""},{"dropping-particle":"","family":"Hayward","given":"C.","non-dropping-particle":"","parse-names":false,"suffix":""},{"dropping-particle":"","family":"Heard-Costa","given":"N. L.","non-dropping-particle":"","parse-names":false,"suffix":""},{"dropping-particle":"","family":"Helmer","given":"Q.","non-dropping-particle":"","parse-names":false,"suffix":""},{"dropping-particle":"","family":"Hengstenberg","given":"C.","non-dropping-particle":"","parse-names":false,"suffix":""},{"dropping-particle":"","family":"Holmen","given":"O.","non-dropping-particle":"","parse-names":false,"suffix":""},{"dropping-particle":"","family":"Hottenga","given":"J. J.","non-dropping-particle":"","parse-names":false,"suffix":""},{"dropping-particle":"","family":"James","given":"A. L.","non-dropping-particle":"","parse-names":false,"suffix":""},{"dropping-particle":"","family":"Jeff","given":"J.","non-dropping-particle":"","parse-names":false,"suffix":""},{"dropping-particle":"","family":"Johansson","given":"","non-dropping-particle":"","parse-names":false,"suffix":""},{"dropping-particle":"","family":"Jolley","given":"J.","non-dropping-particle":"","parse-names":false,"suffix":""},{"dropping-particle":"","family":"Juliusdottir","given":"T.","non-dropping-particle":"","parse-names":false,"suffix":""},{"dropping-particle":"","family":"Kinnunen","given":"L.","non-dropping-particle":"","parse-names":false,"suffix":""},{"dropping-particle":"","family":"Koenig","given":"W.","non-dropping-particle":"","parse-names":false,"suffix":""},{"dropping-particle":"","family":"Koskenvuo","given":"M.","non-dropping-particle":"","parse-names":false,"suffix":""},{"dropping-particle":"","family":"Kratzer","given":"W.","non-dropping-particle":"","parse-names":false,"suffix":""},{"dropping-particle":"","family":"Laitinen","given":"J.","non-dropping-particle":"","parse-names":false,"suffix":""},{"dropping-particle":"","family":"Lamina","given":"C.","non-dropping-particle":"","parse-names":false,"suffix":""},{"dropping-particle":"","family":"Leander","given":"K.","non-dropping-particle":"","parse-names":false,"suffix":""},{"dropping-particle":"","family":"Lee","given":"N. R.","non-dropping-particle":"","parse-names":false,"suffix":""},{"dropping-particle":"","family":"Lichtner","given":"P.","non-dropping-particle":"","parse-names":false,"suffix":""},{"dropping-particle":"","family":"Lind","given":"L.","non-dropping-particle":"","parse-names":false,"suffix":""},{"dropping-particle":"","family":"Lindström","given":"J.","non-dropping-particle":"","parse-names":false,"suffix":""},{"dropping-particle":"","family":"Lo","given":"K. S.","non-dropping-particle":"","parse-names":false,"suffix":""},{"dropping-particle":"","family":"Lobbens","given":"S.","non-dropping-particle":"","parse-names":false,"suffix":""},{"dropping-particle":"","family":"Lorbeer","given":"R.","non-dropping-particle":"","parse-names":false,"suffix":""},{"dropping-particle":"","family":"Lu","given":"Y.","non-dropping-particle":"","parse-names":false,"suffix":""},{"dropping-particle":"","family":"Mach","given":"F.","non-dropping-particle":"","parse-names":false,"suffix":""},{"dropping-particle":"","family":"Magnusson","given":"P. K.","non-dropping-particle":"","parse-names":false,"suffix":""},{"dropping-particle":"","family":"Mahajan","given":"A.","non-dropping-particle":"","parse-names":false,"suffix":""},{"dropping-particle":"","family":"McArdle","given":"W. L.","non-dropping-particle":"","parse-names":false,"suffix":""},{"dropping-particle":"","family":"McLachlan","given":"S.","non-dropping-particle":"","parse-names":false,"suffix":""},{"dropping-particle":"","family":"Menni","given":"C.","non-dropping-particle":"","parse-names":false,"suffix":""},{"dropping-particle":"","family":"Merger","given":"S.","non-dropping-particle":"","parse-names":false,"suffix":""},{"dropping-particle":"","family":"Mihailov","given":"E.","non-dropping-particle":"","parse-names":false,"suffix":""},{"dropping-particle":"","family":"Milani","given":"L.","non-dropping-particle":"","parse-names":false,"suffix":""},{"dropping-particle":"","family":"Moayyeri","given":"A.","non-dropping-particle":"","parse-names":false,"suffix":""},{"dropping-particle":"","family":"Monda","given":"K. L.","non-dropping-particle":"","parse-names":false,"suffix":""},{"dropping-particle":"","family":"Morken","given":"M. A.","non-dropping-particle":"","parse-names":false,"suffix":""},{"dropping-particle":"","family":"Mulas","given":"A.","non-dropping-particle":"","parse-names":false,"suffix":""},{"dropping-particle":"","family":"Müller","given":"G.","non-dropping-particle":"","parse-names":false,"suffix":""},{"dropping-particle":"","family":"Müller-Nurasyid","given":"M.","non-dropping-particle":"","parse-names":false,"suffix":""},{"dropping-particle":"","family":"Musk","given":"A. W.","non-dropping-particle":"","parse-names":false,"suffix":""},{"dropping-particle":"","family":"Nagaraja","given":"R.","non-dropping-particle":"","parse-names":false,"suffix":""},{"dropping-particle":"","family":"Nöthen","given":"M. M.","non-dropping-particle":"","parse-names":false,"suffix":""},{"dropping-particle":"","family":"Nolte","given":"I. M.","non-dropping-particle":"","parse-names":false,"suffix":""},{"dropping-particle":"","family":"Pilz","given":"S.","non-dropping-particle":"","parse-names":false,"suffix":""},{"dropping-particle":"","family":"Rayner","given":"N. W.","non-dropping-particle":"","parse-names":false,"suffix":""},{"dropping-particle":"","family":"Renstrom","given":"F.","non-dropping-particle":"","parse-names":false,"suffix":""},{"dropping-particle":"","family":"Rettig","given":"R.","non-dropping-particle":"","parse-names":false,"suffix":""},{"dropping-particle":"","family":"Ried","given":"J. S.","non-dropping-particle":"","parse-names":false,"suffix":""},{"dropping-particle":"","family":"Ripke","given":"S.","non-dropping-particle":"","parse-names":false,"suffix":""},{"dropping-particle":"","family":"Robertson","given":"N.","non-dropping-particle":"","parse-names":false,"suffix":""},{"dropping-particle":"","family":"Rose","given":"L. M.","non-dropping-particle":"","parse-names":false,"suffix":""},{"dropping-particle":"","family":"Sanna","given":"S.","non-dropping-particle":"","parse-names":false,"suffix":""},{"dropping-particle":"","family":"Scharnagl","given":"H.","non-dropping-particle":"","parse-names":false,"suffix":""},{"dropping-particle":"","family":"Scholtens","given":"S.","non-dropping-particle":"","parse-names":false,"suffix":""},{"dropping-particle":"","family":"Schumacher","given":"F.","non-dropping-particle":"","parse-names":false,"suffix":""},{"dropping-particle":"","family":"Scott","given":"W. R.","non-dropping-particle":"","parse-names":false,"suffix":""},{"dropping-particle":"","family":"Seufferlein","given":"T.","non-dropping-particle":"","parse-names":false,"suffix":""},{"dropping-particle":"","family":"Shi","given":"J.","non-dropping-particle":"","parse-names":false,"suffix":""},{"dropping-particle":"V.","family":"Smith","given":"A.","non-dropping-particle":"","parse-names":false,"suffix":""},{"dropping-particle":"","family":"Smolonska","given":"J.","non-dropping-particle":"","parse-names":false,"suffix":""},{"dropping-particle":"V.","family":"Stanton","given":"A.","non-dropping-particle":"","parse-names":false,"suffix":""},{"dropping-particle":"","family":"Steinthorsdottir","given":"V.","non-dropping-particle":"","parse-names":false,"suffix":""},{"dropping-particle":"","family":"Stirrups","given":"K.","non-dropping-particle":"","parse-names":false,"suffix":""},{"dropping-particle":"","family":"Stringham","given":"H. M.","non-dropping-particle":"","parse-names":false,"suffix":""},{"dropping-particle":"","family":"Sundström","given":"J.","non-dropping-particle":"","parse-names":false,"suffix":""},{"dropping-particle":"","family":"Swertz","given":"M. A.","non-dropping-particle":"","parse-names":false,"suffix":""},{"dropping-particle":"","family":"Swift","given":"A. J.","non-dropping-particle":"","parse-names":false,"suffix":""},{"dropping-particle":"","family":"Syvänen","given":"A. C.","non-dropping-particle":"","parse-names":false,"suffix":""},{"dropping-particle":"","family":"Tan","given":"S. T.","non-dropping-particle":"","parse-names":false,"suffix":""},{"dropping-particle":"","family":"Tayo","given":"B.","non-dropping-particle":"","parse-names":false,"suffix":""},{"dropping-particle":"","family":"Thorand","given":"B.","non-dropping-particle":"","parse-names":false,"suffix":""},{"dropping-particle":"","family":"Thorleifsson","given":"G.","non-dropping-particle":"","parse-names":false,"suffix":""},{"dropping-particle":"","family":"Tyrer","given":"J.","non-dropping-particle":"","parse-names":false,"suffix":""},{"dropping-particle":"","family":"Uh","given":"H. W.","non-dropping-particle":"","parse-names":false,"suffix":""},{"dropping-particle":"","family":"Vandenput","given":"L.","non-dropping-particle":"","parse-names":false,"suffix":""},{"dropping-particle":"","family":"Verhulst","given":"F. C.","non-dropping-particle":"","parse-names":false,"suffix":""},{"dropping-particle":"","family":"Vermeulen","given":"S. H.","non-dropping-particle":"","parse-names":false,"suffix":""},{"dropping-particle":"","family":"Verweij","given":"N.","non-dropping-particle":"","parse-names":false,"suffix":""},{"dropping-particle":"","family":"Vonk","given":"J. M.","non-dropping-particle":"","parse-names":false,"suffix":""},{"dropping-particle":"","family":"Waite","given":"L. L.","non-dropping-particle":"","parse-names":false,"suffix":""},{"dropping-particle":"","family":"Warren","given":"H. R.","non-dropping-particle":"","parse-names":false,"suffix":""},{"dropping-particle":"","family":"Waterworth","given":"D. M.","non-dropping-particle":"","parse-names":false,"suffix":""},{"dropping-particle":"","family":"Weedon","given":"M. N.","non-dropping-particle":"","parse-names":false,"suffix":""},{"dropping-particle":"","family":"Wilkens","given":"L.","non-dropping-particle":"","parse-names":false,"suffix":""},{"dropping-particle":"","family":"Willenborg","given":"C.","non-dropping-particle":"","parse-names":false,"suffix":""},{"dropping-particle":"","family":"Wilsgaard","given":"T.","non-dropping-particle":"","parse-names":false,"suffix":""},{"dropping-particle":"","family":"Wojczynski","given":"M. K.","non-dropping-particle":"","parse-names":false,"suffix":""},{"dropping-particle":"","family":"Wong","given":"A.","non-dropping-particle":"","parse-names":false,"suffix":""},{"dropping-particle":"","family":"Wright","given":"A. F.","non-dropping-particle":"","parse-names":false,"suffix":""},{"dropping-particle":"","family":"Zhang","given":"Q.","non-dropping-particle":"","parse-names":false,"suffix":""},{"dropping-particle":"","family":"Brennan","given":"E. P.","non-dropping-particle":"","parse-names":false,"suffix":""},{"dropping-particle":"","family":"Choi","given":"M.","non-dropping-particle":"","parse-names":false,"suffix":""},{"dropping-particle":"","family":"Dastani","given":"Z.","non-dropping-particle":"","parse-names":false,"suffix":""},{"dropping-particle":"","family":"Drong","given":"A. W.","non-dropping-particle":"","parse-names":false,"suffix":""},{"dropping-particle":"","family":"Eriksson","given":"P.","non-dropping-particle":"","parse-names":false,"suffix":""},{"dropping-particle":"","family":"Franco-Cereceda","given":"A.","non-dropping-particle":"","parse-names":false,"suffix":""},{"dropping-particle":"","family":"Gådin","given":"J. R.","non-dropping-particle":"","parse-names":false,"suffix":""},{"dropping-particle":"","family":"Gharavi","given":"A. G.","non-dropping-particle":"","parse-names":false,"suffix":""},{"dropping-particle":"","family":"Goddard","given":"M. E.","non-dropping-particle":"","parse-names":false,"suffix":""},{"dropping-particle":"","family":"Handsaker","given":"R. E.","non-dropping-particle":"","parse-names":false,"suffix":""},{"dropping-particle":"","family":"Huang","given":"J.","non-dropping-particle":"","parse-names":false,"suffix":""},{"dropping-particle":"","family":"Karpe","given":"F.","non-dropping-particle":"","parse-names":false,"suffix":""},{"dropping-particle":"","family":"Kathiresan","given":"S.","non-dropping-particle":"","parse-names":false,"suffix":""},{"dropping-particle":"","family":"Keildson","given":"S.","non-dropping-particle":"","parse-names":false,"suffix":""},{"dropping-particle":"","family":"Kiryluk","given":"K.","non-dropping-particle":"","parse-names":false,"suffix":""},{"dropping-particle":"","family":"Kubo","given":"M.","non-dropping-particle":"","parse-names":false,"suffix":""},{"dropping-particle":"","family":"Lee","given":"J. Y.","non-dropping-particle":"","parse-names":false,"suffix":""},{"dropping-particle":"","family":"Liang","given":"L.","non-dropping-particle":"","parse-names":false,"suffix":""},{"dropping-particle":"","family":"Lifton","given":"R. P.","non-dropping-particle":"","parse-names":false,"suffix":""},{"dropping-particle":"","family":"Ma","given":"B.","non-dropping-particle":"","parse-names":false,"suffix":""},{"dropping-particle":"","family":"McCarroll","given":"S. A.","non-dropping-particle":"","parse-names":false,"suffix":""},{"dropping-particle":"","family":"McKnight","given":"A. J.","non-dropping-particle":"","parse-names":false,"suffix":""},{"dropping-particle":"","family":"Min","given":"J. L.","non-dropping-particle":"","parse-names":false,"suffix":""},{"dropping-particle":"","family":"Moffatt","given":"M. F.","non-dropping-particle":"","parse-names":false,"suffix":""},{"dropping-particle":"","family":"Montgomery","given":"G. W.","non-dropping-particle":"","parse-names":false,"suffix":""},{"dropping-particle":"","family":"Murabito","given":"J. M.","non-dropping-particle":"","parse-names":false,"suffix":""},{"dropping-particle":"","family":"Nicholson","given":"G.","non-dropping-particle":"","parse-names":false,"suffix":""},{"dropping-particle":"","family":"Nyholt","given":"D. R.","non-dropping-particle":"","parse-names":false,"suffix":""},{"dropping-particle":"","family":"Okada","given":"Y.","non-dropping-particle":"","parse-names":false,"suffix":""},{"dropping-particle":"","family":"Perry","given":"J. R.","non-dropping-particle":"","parse-names":false,"suffix":""},{"dropping-particle":"","family":"Dorajoo","given":"R.","non-dropping-particle":"","parse-names":false,"suffix":""},{"dropping-particle":"","family":"Reinmaa","given":"E.","non-dropping-particle":"","parse-names":false,"suffix":""},{"dropping-particle":"","family":"Salem","given":"R. M.","non-dropping-particle":"","parse-names":false,"suffix":""},{"dropping-particle":"","family":"Sandholm","given":"N.","non-dropping-particle":"","parse-names":false,"suffix":""},{"dropping-particle":"","family":"Scott","given":"R. A.","non-dropping-particle":"","parse-names":false,"suffix":""},{"dropping-particle":"","family":"Stolk","given":"L.","non-dropping-particle":"","parse-names":false,"suffix":""},{"dropping-particle":"","family":"Takahashi","given":"A.","non-dropping-particle":"","parse-names":false,"suffix":""},{"dropping-particle":"","family":"Van't Hooft","given":"F. M.","non-dropping-particle":"","parse-names":false,"suffix":""},{"dropping-particle":"","family":"Vinkhuyzen","given":"A. A.E.","non-dropping-particle":"","parse-names":false,"suffix":""},{"dropping-particle":"","family":"Westra","given":"H. J.","non-dropping-particle":"","parse-names":false,"suffix":""},{"dropping-particle":"","family":"Zheng","given":"W.","non-dropping-particle":"","parse-names":false,"suffix":""},{"dropping-particle":"","family":"Zondervan","given":"K. T.","non-dropping-particle":"","parse-names":false,"suffix":""},{"dropping-particle":"","family":"Heath","given":"A. C.","non-dropping-particle":"","parse-names":false,"suffix":""},{"dropping-particle":"","family":"Arveiler","given":"D.","non-dropping-particle":"","parse-names":false,"suffix":""},{"dropping-particle":"","family":"Bakker","given":"S. J.","non-dropping-particle":"","parse-names":false,"suffix":""},{"dropping-particle":"","family":"Beilby","given":"J. P.","non-dropping-particle":"","parse-names":false,"suffix":""},{"dropping-particle":"","family":"Bergman","given":"R. N.","non-dropping-particle":"","parse-names":false,"suffix":""},{"dropping-particle":"","family":"Blangero","given":"J.","non-dropping-particle":"","parse-names":false,"suffix":""},{"dropping-particle":"","family":"Bovet","given":"P.","non-dropping-particle":"","parse-names":false,"suffix":""},{"dropping-particle":"","family":"Campbell","given":"H.","non-dropping-particle":"","parse-names":false,"suffix":""},{"dropping-particle":"","family":"Caulfield","given":"M.","non-dropping-particle":"","parse-names":false,"suffix":""},{"dropping-particle":"","family":"Cesana","given":"G.","non-dropping-particle":"","parse-names":false,"suffix":""},{"dropping-particle":"","family":"Chakravarti","given":"A.","non-dropping-particle":"","parse-names":false,"suffix":""},{"dropping-particle":"","family":"Chasman","given":"D.","non-dropping-particle":"","parse-names":false,"suffix":""},{"dropping-particle":"","family":"Chines","given":"P. S.","non-dropping-particle":"","parse-names":false,"suffix":""},{"dropping-particle":"","family":"Collins","given":"F. S.","non-dropping-particle":"","parse-names":false,"suffix":""},{"dropping-particle":"","family":"Crawford","given":"D.","non-dropping-particle":"","parse-names":false,"suffix":""},{"dropping-particle":"","family":"Cupples","given":"L.","non-dropping-particle":"","parse-names":false,"suffix":""},{"dropping-particle":"","family":"Cusi","given":"D.","non-dropping-particle":"","parse-names":false,"suffix":""},{"dropping-particle":"","family":"Danesh","given":"J.","non-dropping-particle":"","parse-names":false,"suffix":""},{"dropping-particle":"","family":"Faire","given":"U.","non-dropping-particle":"de","parse-names":false,"suffix":""},{"dropping-particle":"","family":"Ruijter","given":"H. M.","non-dropping-particle":"Den","parse-names":false,"suffix":""},{"dropping-particle":"","family":"Dominiczak","given":"A. F.","non-dropping-particle":"","parse-names":false,"suffix":""},{"dropping-particle":"","family":"Erbel","given":"R.","non-dropping-particle":"","parse-names":false,"suffix":""},{"dropping-particle":"","family":"Erdmann","given":"J.","non-dropping-particle":"","parse-names":false,"suffix":""},{"dropping-particle":"","family":"Eriksson","given":"J. G.","non-dropping-particle":"","parse-names":false,"suffix":""},{"dropping-particle":"","family":"Farrall","given":"M.","non-dropping-particle":"","parse-names":false,"suffix":""},{"dropping-particle":"","family":"Felix","given":"S. B.","non-dropping-particle":"","parse-names":false,"suffix":""},{"dropping-particle":"","family":"Ferrannini","given":"E.","non-dropping-particle":"","parse-names":false,"suffix":""},{"dropping-particle":"","family":"Ferrières","given":"J.","non-dropping-particle":"","parse-names":false,"suffix":""},{"dropping-particle":"","family":"Ford","given":"I.","non-dropping-particle":"","parse-names":false,"suffix":""},{"dropping-particle":"","family":"Forouhi","given":"N. G.","non-dropping-particle":"","parse-names":false,"suffix":""},{"dropping-particle":"","family":"Forrester","given":"T.","non-dropping-particle":"","parse-names":false,"suffix":""},{"dropping-particle":"","family":"Franco","given":"O. H.","non-dropping-particle":"","parse-names":false,"suffix":""},{"dropping-particle":"","family":"Gansevoort","given":"R. T.","non-dropping-particle":"","parse-names":false,"suffix":""},{"dropping-particle":"V.","family":"Gejman","given":"P.","non-dropping-particle":"","parse-names":false,"suffix":""},{"dropping-particle":"","family":"Gieger","given":"C.","non-dropping-particle":"","parse-names":false,"suffix":""},{"dropping-particle":"","family":"Gottesman","given":"O.","non-dropping-particle":"","parse-names":false,"suffix":""},{"dropping-particle":"","family":"Gudnason","given":"V.","non-dropping-particle":"","parse-names":false,"suffix":""},{"dropping-particle":"","family":"Gyllensten","given":"U. B.","non-dropping-particle":"","parse-names":false,"suffix":""},{"dropping-particle":"","family":"Hall","given":"A. S.","non-dropping-particle":"","parse-names":false,"suffix":""},{"dropping-particle":"","family":"Harris","given":"T. B.","non-dropping-particle":"","parse-names":false,"suffix":""},{"dropping-particle":"","family":"Hattersley","given":"A. T.","non-dropping-particle":"","parse-names":false,"suffix":""},{"dropping-particle":"","family":"Hicks","given":"A. A.","non-dropping-particle":"","parse-names":false,"suffix":""},{"dropping-particle":"","family":"Hindorff","given":"L.","non-dropping-particle":"","parse-names":false,"suffix":""},{"dropping-particle":"","family":"Hingorani","given":"A.","non-dropping-particle":"","parse-names":false,"suffix":""},{"dropping-particle":"","family":"Hofman","given":"A.","non-dropping-particle":"","parse-names":false,"suffix":""},{"dropping-particle":"","family":"Homuth","given":"G.","non-dropping-particle":"","parse-names":false,"suffix":""},{"dropping-particle":"","family":"Hovingh","given":"G.","non-dropping-particle":"","parse-names":false,"suffix":""},{"dropping-particle":"","family":"Humphries","given":"S. E.","non-dropping-particle":"","parse-names":false,"suffix":""},{"dropping-particle":"","family":"Hunt","given":"S. C.","non-dropping-particle":"","parse-names":false,"suffix":""},{"dropping-particle":"","family":"Hyppönen","given":"E.","non-dropping-particle":"","parse-names":false,"suffix":""},{"dropping-particle":"","family":"Illig","given":"T.","non-dropping-particle":"","parse-names":false,"suffix":""},{"dropping-particle":"","family":"Jacobs","given":"K. B.","non-dropping-particle":"","parse-names":false,"suffix":""},{"dropping-particle":"","family":"Jarvelin","given":"M. R.","non-dropping-particle":"","parse-names":false,"suffix":""},{"dropping-particle":"","family":"Jöckel","given":"K. H.","non-dropping-particle":"","parse-names":false,"suffix":""},{"dropping-particle":"","family":"Johansen","given":"B.","non-dropping-particle":"","parse-names":false,"suffix":""},{"dropping-particle":"","family":"Jousilahti","given":"P.","non-dropping-particle":"","parse-names":false,"suffix":""},{"dropping-particle":"","family":"Jukema","given":"J.","non-dropping-particle":"","parse-names":false,"suffix":""},{"dropping-particle":"","family":"Jula","given":"A.","non-dropping-particle":"","parse-names":false,"suffix":""},{"dropping-particle":"","family":"Kaprio","given":"J.","non-dropping-particle":"","parse-names":false,"suffix":""},{"dropping-particle":"","family":"Kastelein","given":"J. J.","non-dropping-particle":"","parse-names":false,"suffix":""},{"dropping-particle":"","family":"Keinanen-Kiukaanniemi","given":"S. M.","non-dropping-particle":"","parse-names":false,"suffix":""},{"dropping-particle":"","family":"Kiemeney","given":"L. A.","non-dropping-particle":"","parse-names":false,"suffix":""},{"dropping-particle":"","family":"Knekt","given":"P.","non-dropping-particle":"","parse-names":false,"suffix":""},{"dropping-particle":"","family":"Kooner","given":"J. S.","non-dropping-particle":"","parse-names":false,"suffix":""},{"dropping-particle":"","family":"Kooperberg","given":"C.","non-dropping-particle":"","parse-names":false,"suffix":""},{"dropping-particle":"","family":"Kovacs","given":"P.","non-dropping-particle":"","parse-names":false,"suffix":""},{"dropping-particle":"","family":"Kraja","given":"A. T.","non-dropping-particle":"","parse-names":false,"suffix":""},{"dropping-particle":"","family":"Kumari","given":"M.","non-dropping-particle":"","parse-names":false,"suffix":""},{"dropping-particle":"","family":"Kuusisto","given":"J.","non-dropping-particle":"","parse-names":false,"suffix":""},{"dropping-particle":"","family":"Lakka","given":"T.","non-dropping-particle":"","parse-names":false,"suffix":""},{"dropping-particle":"","family":"Langenberg","given":"C.","non-dropping-particle":"","parse-names":false,"suffix":""},{"dropping-particle":"","family":"Marchand","given":"L. L.","non-dropping-particle":"","parse-names":false,"suffix":""},{"dropping-particle":"","family":"Lehtimäki","given":"T.","non-dropping-particle":"","parse-names":false,"suffix":""},{"dropping-particle":"","family":"Lyssenko","given":"V.","non-dropping-particle":"","parse-names":false,"suffix":""},{"dropping-particle":"","family":"Männistö","given":"S.","non-dropping-particle":"","parse-names":false,"suffix":""},{"dropping-particle":"","family":"Marette","given":"A.","non-dropping-particle":"","parse-names":false,"suffix":""},{"dropping-particle":"","family":"Matise","given":"T.","non-dropping-particle":"","parse-names":false,"suffix":""},{"dropping-particle":"","family":"McKenzie","given":"C. A.","non-dropping-particle":"","parse-names":false,"suffix":""},{"dropping-particle":"","family":"McKnight","given":"B.","non-dropping-particle":"","parse-names":false,"suffix":""},{"dropping-particle":"","family":"Moll","given":"F. L.","non-dropping-particle":"","parse-names":false,"suffix":""},{"dropping-particle":"","family":"Morris","given":"A. D.","non-dropping-particle":"","parse-names":false,"suffix":""},{"dropping-particle":"","family":"Morris","given":"A. P.","non-dropping-particle":"","parse-names":false,"suffix":""},{"dropping-particle":"","family":"Murray","given":"J. C.","non-dropping-particle":"","parse-names":false,"suffix":""},{"dropping-particle":"","family":"Nelis","given":"M.","non-dropping-particle":"","parse-names":false,"suffix":""},{"dropping-particle":"","family":"Ohlsson","given":"C.","non-dropping-particle":"","parse-names":false,"suffix":""},{"dropping-particle":"","family":"Oldehinkel","given":"A. J.","non-dropping-particle":"","parse-names":false,"suffix":""},{"dropping-particle":"","family":"Ong","given":"K. K.","non-dropping-particle":"","parse-names":false,"suffix":""},{"dropping-particle":"","family":"Madden","given":"P. A.F.","non-dropping-particle":"","parse-names":false,"suffix":""},{"dropping-particle":"","family":"Pasterkamp","given":"G.","non-dropping-particle":"","parse-names":false,"suffix":""},{"dropping-particle":"","family":"Peden","given":"J. F.","non-dropping-particle":"","parse-names":false,"suffix":""},{"dropping-particle":"","family":"Peters","given":"A.","non-dropping-particle":"","parse-names":false,"suffix":""},{"dropping-particle":"","family":"Postma","given":"D. S.","non-dropping-particle":"","parse-names":false,"suffix":""},{"dropping-particle":"","family":"Pramstaller","given":"P. P.","non-dropping-particle":"","parse-names":false,"suffix":""},{"dropping-particle":"","family":"Price","given":"J. F.","non-dropping-particle":"","parse-names":false,"suffix":""},{"dropping-particle":"","family":"Qi","given":"L.","non-dropping-particle":"","parse-names":false,"suffix":""},{"dropping-particle":"","family":"Raitakari","given":"O.","non-dropping-particle":"","parse-names":false,"suffix":""},{"dropping-particle":"","family":"Rankinen","given":"T.","non-dropping-particle":"","parse-names":false,"suffix":""},{"dropping-particle":"","family":"Rao","given":"D. C.","non-dropping-particle":"","parse-names":false,"suffix":""},{"dropping-particle":"","family":"Rice","given":"T. K.","non-dropping-particle":"","parse-names":false,"suffix":""},{"dropping-particle":"","family":"Ridker","given":"P.","non-dropping-particle":"","parse-names":false,"suffix":""},{"dropping-particle":"","family":"Rioux","given":"J. D.","non-dropping-particle":"","parse-names":false,"suffix":""},{"dropping-particle":"","family":"Ritchie","given":"M.","non-dropping-particle":"","parse-names":false,"suffix":""},{"dropping-particle":"","family":"Rudan","given":"I.","non-dropping-particle":"","parse-names":false,"suffix":""},{"dropping-particle":"","family":"Salomaa","given":"V.","non-dropping-particle":"","parse-names":false,"suffix":""},{"dropping-particle":"","family":"Samani","given":"N.","non-dropping-particle":"","parse-names":false,"suffix":""},{"dropping-particle":"","family":"Saramies","given":"J.","non-dropping-particle":"","parse-names":false,"suffix":""},{"dropping-particle":"","family":"Sarzynski","given":"M. A.","non-dropping-particle":"","parse-names":false,"suffix":""},{"dropping-particle":"","family":"Schunkert","given":"H.","non-dropping-particle":"","parse-names":false,"suffix":""},{"dropping-particle":"","family":"Schwarz","given":"P. E.","non-dropping-particle":"","parse-names":false,"suffix":""},{"dropping-particle":"","family":"Sever","given":"P.","non-dropping-particle":"","parse-names":false,"suffix":""},{"dropping-particle":"","family":"Shuldiner","given":"A. R.","non-dropping-particle":"","parse-names":false,"suffix":""},{"dropping-particle":"","family":"Sinisalo","given":"J.","non-dropping-particle":"","parse-names":false,"suffix":""},{"dropping-particle":"","family":"Stolk","given":"R. P.","non-dropping-particle":"","parse-names":false,"suffix":""},{"dropping-particle":"","family":"Strauch","given":"K.","non-dropping-particle":"","parse-names":false,"suffix":""},{"dropping-particle":"","family":"Tönjes","given":"A.","non-dropping-particle":"","parse-names":false,"suffix":""},{"dropping-particle":"","family":"Trégouët","given":"D. A.","non-dropping-particle":"","parse-names":false,"suffix":""},{"dropping-particle":"","family":"Tremblay","given":"A.","non-dropping-particle":"","parse-names":false,"suffix":""},{"dropping-particle":"","family":"Tremoli","given":"E.","non-dropping-particle":"","parse-names":false,"suffix":""},{"dropping-particle":"","family":"Virtamo","given":"J.","non-dropping-particle":"","parse-names":false,"suffix":""},{"dropping-particle":"","family":"Vohl","given":"M. C.","non-dropping-particle":"","parse-names":false,"suffix":""},{"dropping-particle":"","family":"Völker","given":"U.","non-dropping-particle":"","parse-names":false,"suffix":""},{"dropping-particle":"","family":"Waeber","given":"G.","non-dropping-particle":"","parse-names":false,"suffix":""},{"dropping-particle":"","family":"Willemsen","given":"G.","non-dropping-particle":"","parse-names":false,"suffix":""},{"dropping-particle":"","family":"Witteman","given":"J. C.","non-dropping-particle":"","parse-names":false,"suffix":""},{"dropping-particle":"","family":"Zillikens","given":"M. C.","non-dropping-particle":"","parse-names":false,"suffix":""},{"dropping-particle":"","family":"Adair","given":"L. S.","non-dropping-particle":"","parse-names":false,"suffix":""},{"dropping-particle":"","family":"Amouyel","given":"P.","non-dropping-particle":"","parse-names":false,"suffix":""},{"dropping-particle":"","family":"Asselbergs","given":"F. W.","non-dropping-particle":"","parse-names":false,"suffix":""},{"dropping-particle":"","family":"Assimes","given":"T. L.","non-dropping-particle":"","parse-names":false,"suffix":""},{"dropping-particle":"","family":"Bochud","given":"M.","non-dropping-particle":"","parse-names":false,"suffix":""},{"dropping-particle":"","family":"Boehm","given":"B. O.","non-dropping-particle":"","parse-names":false,"suffix":""},{"dropping-particle":"","family":"Boerwinkle","given":"E.","non-dropping-particle":"","parse-names":false,"suffix":""},{"dropping-particle":"","family":"Bornstein","given":"S. R.","non-dropping-particle":"","parse-names":false,"suffix":""},{"dropping-particle":"","family":"Bottinger","given":"E. P.","non-dropping-particle":"","parse-names":false,"suffix":""},{"dropping-particle":"","family":"Bouchard","given":"C.","non-dropping-particle":"","parse-names":false,"suffix":""},{"dropping-particle":"","family":"Cauchi","given":"S.","non-dropping-particle":"","parse-names":false,"suffix":""},{"dropping-particle":"","family":"Chambers","given":"J. C.","non-dropping-particle":"","parse-names":false,"suffix":""},{"dropping-particle":"","family":"Chanock","given":"S. J.","non-dropping-particle":"","parse-names":false,"suffix":""},{"dropping-particle":"","family":"Cooper","given":"R. S.","non-dropping-particle":"","parse-names":false,"suffix":""},{"dropping-particle":"","family":"Bakker","given":"P. I.W.","non-dropping-particle":"de","parse-names":false,"suffix":""},{"dropping-particle":"V.","family":"Dedoussis","given":"G.","non-dropping-particle":"","parse-names":false,"suffix":""},{"dropping-particle":"","family":"Ferrucci","given":"L.","non-dropping-particle":"","parse-names":false,"suffix":""},{"dropping-particle":"","family":"Franks","given":"P. W.","non-dropping-particle":"","parse-names":false,"suffix":""},{"dropping-particle":"","family":"Froguel","given":"P.","non-dropping-particle":"","parse-names":false,"suffix":""},{"dropping-particle":"","family":"Groop","given":"L.","non-dropping-particle":"","parse-names":false,"suffix":""},{"dropping-particle":"","family":"Haiman","given":"C.","non-dropping-particle":"","parse-names":false,"suffix":""},{"dropping-particle":"","family":"Hamsten","given":"A.","non-dropping-particle":"","parse-names":false,"suffix":""},{"dropping-particle":"","family":"Hui","given":"J.","non-dropping-particle":"","parse-names":false,"suffix":""},{"dropping-particle":"","family":"Hunter","given":"D. J.","non-dropping-particle":"","parse-names":false,"suffix":""},{"dropping-particle":"","family":"Hveem","given":"K.","non-dropping-particle":"","parse-names":false,"suffix":""},{"dropping-particle":"","family":"Kaplan","given":"R. C.","non-dropping-particle":"","parse-names":false,"suffix":""},{"dropping-particle":"","family":"Kivimaki","given":"M.","non-dropping-particle":"","parse-names":false,"suffix":""},{"dropping-particle":"","family":"Kuh","given":"D.","non-dropping-particle":"","parse-names":false,"suffix":""},{"dropping-particle":"","family":"Laakso","given":"M.","non-dropping-particle":"","parse-names":false,"suffix":""},{"dropping-particle":"","family":"Liu","given":"Y.","non-dropping-particle":"","parse-names":false,"suffix":""},{"dropping-particle":"","family":"Martin","given":"N. G.","non-dropping-particle":"","parse-names":false,"suffix":""},{"dropping-particle":"","family":"März","given":"W.","non-dropping-particle":"","parse-names":false,"suffix":""},{"dropping-particle":"","family":"Melbye","given":"M.","non-dropping-particle":"","parse-names":false,"suffix":""},{"dropping-particle":"","family":"Metspalu","given":"A.","non-dropping-particle":"","parse-names":false,"suffix":""},{"dropping-particle":"","family":"Moebus","given":"S.","non-dropping-particle":"","parse-names":false,"suffix":""},{"dropping-particle":"","family":"Munroe","given":"P.","non-dropping-particle":"","parse-names":false,"suffix":""},{"dropping-particle":"","family":"Njølstad","given":"I.","non-dropping-particle":"","parse-names":false,"suffix":""},{"dropping-particle":"","family":"Oostra","given":"B. A.","non-dropping-particle":"","parse-names":false,"suffix":""},{"dropping-particle":"","family":"Palmer","given":"C. N.","non-dropping-particle":"","parse-names":false,"suffix":""},{"dropping-particle":"","family":"Pedersen","given":"N. L.","non-dropping-particle":"","parse-names":false,"suffix":""},{"dropping-particle":"","family":"Perola","given":"M.","non-dropping-particle":"","parse-names":false,"suffix":""},{"dropping-particle":"","family":"Pérusse","given":"L.","non-dropping-particle":"","parse-names":false,"suffix":""},{"dropping-particle":"","family":"Peters","given":"U.","non-dropping-particle":"","parse-names":false,"suffix":""},{"dropping-particle":"","family":"Power","given":"C.","non-dropping-particle":"","parse-names":false,"suffix":""},{"dropping-particle":"","family":"Quertermous","given":"T.","non-dropping-particle":"","parse-names":false,"suffix":""},{"dropping-particle":"","family":"Rauramaa","given":"R.","non-dropping-particle":"","parse-names":false,"suffix":""},{"dropping-particle":"","family":"Rivadeneira","given":"F.","non-dropping-particle":"","parse-names":false,"suffix":""},{"dropping-particle":"","family":"Saaristo","given":"T. E.","non-dropping-particle":"","parse-names":false,"suffix":""},{"dropping-particle":"","family":"Saleheen","given":"D.","non-dropping-particle":"","parse-names":false,"suffix":""},{"dropping-particle":"","family":"Sattar","given":"N.","non-dropping-particle":"","parse-names":false,"suffix":""},{"dropping-particle":"","family":"Schadt","given":"E.","non-dropping-particle":"","parse-names":false,"suffix":""},{"dropping-particle":"","family":"Schlessinger","given":"D.","non-dropping-particle":"","parse-names":false,"suffix":""},{"dropping-particle":"","family":"Slagboom","given":"P. E.","non-dropping-particle":"","parse-names":false,"suffix":""},{"dropping-particle":"","family":"Snieder","given":"H.","non-dropping-particle":"","parse-names":false,"suffix":""},{"dropping-particle":"","family":"Spector","given":"T. D.","non-dropping-particle":"","parse-names":false,"suffix":""},{"dropping-particle":"","family":"Thorsteinsdottir","given":"U.","non-dropping-particle":"","parse-names":false,"suffix":""},{"dropping-particle":"","family":"Stumvoll","given":"M.","non-dropping-particle":"","parse-names":false,"suffix":""},{"dropping-particle":"","family":"Tuomilehto","given":"J.","non-dropping-particle":"","parse-names":false,"suffix":""},{"dropping-particle":"","family":"Uitterlinden","given":"A. G.","non-dropping-particle":"","parse-names":false,"suffix":""},{"dropping-particle":"","family":"Uusitupa","given":"M.","non-dropping-particle":"","parse-names":false,"suffix":""},{"dropping-particle":"","family":"Harst","given":"P.","non-dropping-particle":"van der","parse-names":false,"suffix":""},{"dropping-particle":"","family":"Walker","given":"M. C.","non-dropping-particle":"","parse-names":false,"suffix":""},{"dropping-particle":"","family":"Wallaschofski","given":"H.","non-dropping-particle":"","parse-names":false,"suffix":""},{"dropping-particle":"","family":"Wareham","given":"N.","non-dropping-particle":"","parse-names":false,"suffix":""},{"dropping-particle":"","family":"Watkins","given":"H.","non-dropping-particle":"","parse-names":false,"suffix":""},{"dropping-particle":"","family":"Weir","given":"D. R.","non-dropping-particle":"","parse-names":false,"suffix":""},{"dropping-particle":"","family":"Wichmann","given":"H.","non-dropping-particle":"","parse-names":false,"suffix":""},{"dropping-particle":"","family":"Wilson","given":"J. F.","non-dropping-particle":"","parse-names":false,"suffix":""},{"dropping-particle":"","family":"Zanen","given":"P.","non-dropping-particle":"","parse-names":false,"suffix":""},{"dropping-particle":"","family":"Borecki","given":"I.","non-dropping-particle":"","parse-names":false,"suffix":""},{"dropping-particle":"","family":"Deloukas","given":"P.","non-dropping-particle":"","parse-names":false,"suffix":""},{"dropping-particle":"","family":"Fox","given":"C. S.","non-dropping-particle":"","parse-names":false,"suffix":""},{"dropping-particle":"","family":"Heid","given":"I. M.","non-dropping-particle":"","parse-names":false,"suffix":""},{"dropping-particle":"","family":"O'connell","given":"J. R.","non-dropping-particle":"","parse-names":false,"suffix":""},{"dropping-particle":"","family":"Strachan","given":"D. P.","non-dropping-particle":"","parse-names":false,"suffix":""},{"dropping-particle":"","family":"Stefansson","given":"K.","non-dropping-particle":"","parse-names":false,"suffix":""},{"dropping-particle":"","family":"Duijn","given":"C.","non-dropping-particle":"Van","parse-names":false,"suffix":""},{"dropping-particle":"","family":"Abecasis","given":"G.","non-dropping-particle":"","parse-names":false,"suffix":""},{"dropping-particle":"","family":"Franke","given":"L.","non-dropping-particle":"","parse-names":false,"suffix":""},{"dropping-particle":"","family":"Frayling","given":"T. M.","non-dropping-particle":"","parse-names":false,"suffix":""},{"dropping-particle":"","family":"McCarthy","given":"M. I.","non-dropping-particle":"","parse-names":false,"suffix":""},{"dropping-particle":"","family":"Visscher","given":"P. M.","non-dropping-particle":"","parse-names":false,"suffix":""},{"dropping-particle":"","family":"Scherag","given":"A.","non-dropping-particle":"","parse-names":false,"suffix":""},{"dropping-particle":"","family":"Willer","given":"C. J.","non-dropping-particle":"","parse-names":false,"suffix":""},{"dropping-particle":"","family":"Boehnke","given":"M.","non-dropping-particle":"","parse-names":false,"suffix":""},{"dropping-particle":"","family":"Mohlke","given":"K. L.","non-dropping-particle":"","parse-names":false,"suffix":""},{"dropping-particle":"","family":"Lindgren","given":"C. M.","non-dropping-particle":"","parse-names":false,"suffix":""},{"dropping-particle":"","family":"Beckmann","given":"J. S.","non-dropping-particle":"","parse-names":false,"suffix":""},{"dropping-particle":"","family":"Barroso","given":"I.","non-dropping-particle":"","parse-names":false,"suffix":""},{"dropping-particle":"","family":"North","given":"K. E.","non-dropping-particle":"","parse-names":false,"suffix":""},{"dropping-particle":"","family":"Ingelsson","given":"E.","non-dropping-particle":"","parse-names":false,"suffix":""},{"dropping-particle":"","family":"Hirschhorn","given":"J. N.","non-dropping-particle":"","parse-names":false,"suffix":""},{"dropping-particle":"","family":"Loos","given":"R. J.","non-dropping-particle":"","parse-names":false,"suffix":""},{"dropping-particle":"","family":"Speliotes","given":"E. K.","non-dropping-particle":"","parse-names":false,"suffix":""},{"dropping-particle":"","family":"Thompson","given":"J. R.","non-dropping-particle":"","parse-names":false,"suffix":""},{"dropping-particle":"","family":"Goldstein","given":"B. A.","non-dropping-particle":"","parse-names":false,"suffix":""},{"dropping-particle":"","family":"König","given":"I. R.","non-dropping-particle":"","parse-names":false,"suffix":""},{"dropping-particle":"","family":"Cazier","given":"J. B.","non-dropping-particle":"","parse-names":false,"suffix":""},{"dropping-particle":"","family":"Grundberg","given":"E.","non-dropping-particle":"","parse-names":false,"suffix":""},{"dropping-particle":"","family":"Havulinna","given":"A. S.","non-dropping-particle":"","parse-names":false,"suffix":""},{"dropping-particle":"","family":"Ho","given":"W. K.","non-dropping-particle":"","parse-names":false,"suffix":""},{"dropping-particle":"","family":"Hopewell","given":"J. C.","non-dropping-particle":"","parse-names":false,"suffix":""},{"dropping-particle":"","family":"Eriksson","given":"N.","non-dropping-particle":"","parse-names":false,"suffix":""},{"dropping-particle":"","family":"Lundmark","given":"P.","non-dropping-particle":"","parse-names":false,"suffix":""},{"dropping-particle":"","family":"Lyytikäinen","given":"L. P.","non-dropping-particle":"","parse-names":false,"suffix":""},{"dropping-particle":"","family":"Rafelt","given":"S.","non-dropping-particle":"","parse-names":false,"suffix":""},{"dropping-particle":"","family":"Tikkanen","given":"E.","non-dropping-particle":"","parse-names":false,"suffix":""},{"dropping-particle":"","family":"Zuydam","given":"N.","non-dropping-particle":"Van","parse-names":false,"suffix":""},{"dropping-particle":"","family":"Voight","given":"B. F.","non-dropping-particle":"","parse-names":false,"suffix":""},{"dropping-particle":"","family":"Ziegler","given":"A.","non-dropping-particle":"","parse-names":false,"suffix":""},{"dropping-particle":"","family":"Altshuler","given":"D.","non-dropping-particle":"","parse-names":false,"suffix":""},{"dropping-particle":"","family":"Balmforth","given":"A. J.","non-dropping-particle":"","parse-names":false,"suffix":""},{"dropping-particle":"","family":"Braund","given":"P. S.","non-dropping-particle":"","parse-names":false,"suffix":""},{"dropping-particle":"","family":"Burgdorf","given":"C.","non-dropping-particle":"","parse-names":false,"suffix":""},{"dropping-particle":"","family":"Claudi-Boehm","given":"S.","non-dropping-particle":"","parse-names":false,"suffix":""},{"dropping-particle":"","family":"Cox","given":"D.","non-dropping-particle":"","parse-names":false,"suffix":""},{"dropping-particle":"","family":"Do","given":"R.","non-dropping-particle":"","parse-names":false,"suffix":""},{"dropping-particle":"","family":"Doney","given":"A. S.","non-dropping-particle":"","parse-names":false,"suffix":""},{"dropping-particle":"","family":"Mokhtari","given":"N.","non-dropping-particle":"El","parse-names":false,"suffix":""},{"dropping-particle":"","family":"Fontanillas","given":"P.","non-dropping-particle":"","parse-names":false,"suffix":""},{"dropping-particle":"","family":"Hager","given":"J.","non-dropping-particle":"","parse-names":false,"suffix":""},{"dropping-particle":"","family":"Han","given":"B. G.","non-dropping-particle":"","parse-names":false,"suffix":""},{"dropping-particle":"","family":"Hunt","given":"S. E.","non-dropping-particle":"","parse-names":false,"suffix":""},{"dropping-particle":"","family":"Kang","given":"H. M.","non-dropping-particle":"","parse-names":false,"suffix":""},{"dropping-particle":"","family":"Kessler","given":"T.","non-dropping-particle":"","parse-names":false,"suffix":""},{"dropping-particle":"","family":"Knowles","given":"J. W.","non-dropping-particle":"","parse-names":false,"suffix":""},{"dropping-particle":"","family":"Kolovou","given":"G.","non-dropping-particle":"","parse-names":false,"suffix":""},{"dropping-particle":"","family":"Langford","given":"C.","non-dropping-particle":"","parse-names":false,"suffix":""},{"dropping-particle":"","family":"Lokki","given":"M. L.","non-dropping-particle":"","parse-names":false,"suffix":""},{"dropping-particle":"","family":"Lundmark","given":"A.","non-dropping-particle":"","parse-names":false,"suffix":""},{"dropping-particle":"","family":"Meisinger","given":"C.","non-dropping-particle":"","parse-names":false,"suffix":""},{"dropping-particle":"","family":"Melander","given":"O.","non-dropping-particle":"","parse-names":false,"suffix":""},{"dropping-particle":"","family":"Maouche","given":"S.","non-dropping-particle":"","parse-names":false,"suffix":""},{"dropping-particle":"","family":"Nikus","given":"K.","non-dropping-particle":"","parse-names":false,"suffix":""},{"dropping-particle":"","family":"Rasheed","given":"A.","non-dropping-particle":"","parse-names":false,"suffix":""},{"dropping-particle":"","family":"Rosinger","given":"S.","non-dropping-particle":"","parse-names":false,"suffix":""},{"dropping-particle":"","family":"Rubin","given":"D.","non-dropping-particle":"","parse-names":false,"suffix":""},{"dropping-particle":"","family":"Rumpf","given":"M. P.","non-dropping-particle":"","parse-names":false,"suffix":""},{"dropping-particle":"","family":"Schäfer","given":"A.","non-dropping-particle":"","parse-names":false,"suffix":""},{"dropping-particle":"","family":"Sivananthan","given":"M.","non-dropping-particle":"","parse-names":false,"suffix":""},{"dropping-particle":"","family":"Song","given":"C.","non-dropping-particle":"","parse-names":false,"suffix":""},{"dropping-particle":"","family":"Stewart","given":"A. F.","non-dropping-particle":"","parse-names":false,"suffix":""},{"dropping-particle":"","family":"Thorgeirsson","given":"G.","non-dropping-particle":"","parse-names":false,"suffix":""},{"dropping-particle":"","family":"Schoot","given":"C. E.","non-dropping-particle":"van der","parse-names":false,"suffix":""},{"dropping-particle":"","family":"Wagner","given":"P. J.","non-dropping-particle":"","parse-names":false,"suffix":""},{"dropping-particle":"","family":"Wells","given":"G. A.","non-dropping-particle":"","parse-names":false,"suffix":""},{"dropping-particle":"","family":"Wild","given":"P. S.","non-dropping-particle":"","parse-names":false,"suffix":""},{"dropping-particle":"","family":"Tsun-Po","given":"Y.","non-dropping-particle":"","parse-names":false,"suffix":""},{"dropping-particle":"","family":"Basart","given":"H.","non-dropping-particle":"","parse-names":false,"suffix":""},{"dropping-particle":"","family":"Brambilla","given":"P.","non-dropping-particle":"","parse-names":false,"suffix":""},{"dropping-particle":"","family":"Cambien","given":"F.","non-dropping-particle":"","parse-names":false,"suffix":""},{"dropping-particle":"","family":"Cupples","given":"A. L.","non-dropping-particle":"","parse-names":false,"suffix":""},{"dropping-particle":"","family":"Dehghan","given":"A.","non-dropping-particle":"","parse-names":false,"suffix":""},{"dropping-particle":"","family":"Diemert","given":"P.","non-dropping-particle":"","parse-names":false,"suffix":""},{"dropping-particle":"","family":"Epstein","given":"S. E.","non-dropping-particle":"","parse-names":false,"suffix":""},{"dropping-particle":"","family":"Evans","given":"A.","non-dropping-particle":"","parse-names":false,"suffix":""},{"dropping-particle":"","family":"Ferrario","given":"M. M.","non-dropping-particle":"","parse-names":false,"suffix":""},{"dropping-particle":"","family":"Gauguier","given":"D.","non-dropping-particle":"","parse-names":false,"suffix":""},{"dropping-particle":"","family":"Hazen","given":"S. L.","non-dropping-particle":"","parse-names":false,"suffix":""},{"dropping-particle":"","family":"Holm","given":"H.","non-dropping-particle":"","parse-names":false,"suffix":""},{"dropping-particle":"","family":"Iribarren","given":"C.","non-dropping-particle":"","parse-names":false,"suffix":""},{"dropping-particle":"","family":"Jang","given":"Y.","non-dropping-particle":"","parse-names":false,"suffix":""},{"dropping-particle":"","family":"Kähönen","given":"M.","non-dropping-particle":"","parse-names":false,"suffix":""},{"dropping-particle":"","family":"Kee","given":"F.","non-dropping-particle":"","parse-names":false,"suffix":""},{"dropping-particle":"","family":"Kim","given":"H. S.","non-dropping-particle":"","parse-names":false,"suffix":""},{"dropping-particle":"","family":"Klopp","given":"N.","non-dropping-particle":"","parse-names":false,"suffix":""},{"dropping-particle":"","family":"Kuulasmaa","given":"K.","non-dropping-particle":"","parse-names":false,"suffix":""},{"dropping-particle":"","family":"Laaksonen","given":"R.","non-dropping-particle":"","parse-names":false,"suffix":""},{"dropping-particle":"","family":"Ouwehand","given":"W.","non-dropping-particle":"","parse-names":false,"suffix":""},{"dropping-particle":"","family":"Parish","given":"S.","non-dropping-particle":"","parse-names":false,"suffix":""},{"dropping-particle":"","family":"Park","given":"J. E.","non-dropping-particle":"","parse-names":false,"suffix":""},{"dropping-particle":"","family":"Rader","given":"D. J.","non-dropping-particle":"","parse-names":false,"suffix":""},{"dropping-particle":"","family":"Shah","given":"S.","non-dropping-particle":"","parse-names":false,"suffix":""},{"dropping-particle":"","family":"Stark","given":"K.","non-dropping-particle":"","parse-names":false,"suffix":""},{"dropping-particle":"","family":"Wallentin","given":"L.","non-dropping-particle":"","parse-names":false,"suffix":""},{"dropping-particle":"","family":"Zimmermann","given":"M. E.","non-dropping-particle":"","parse-names":false,"suffix":""},{"dropping-particle":"","family":"Nieminen","given":"M. S.","non-dropping-particle":"","parse-names":false,"suffix":""},{"dropping-particle":"","family":"Sandhu","given":"M. S.","non-dropping-particle":"","parse-names":false,"suffix":""},{"dropping-particle":"","family":"Pastinen","given":"T.","non-dropping-particle":"","parse-names":false,"suffix":""},{"dropping-particle":"","family":"Zalloua","given":"P. A.","non-dropping-particle":"","parse-names":false,"suffix":""},{"dropping-particle":"","family":"Siegbahn","given":"A.","non-dropping-particle":"","parse-names":false,"suffix":""},{"dropping-particle":"","family":"Schreiber","given":"S.","non-dropping-particle":"","parse-names":false,"suffix":""},{"dropping-particle":"","family":"Ripatti","given":"S.","non-dropping-particle":"","parse-names":false,"suffix":""},{"dropping-particle":"","family":"Blankenberg","given":"S. S.","non-dropping-particle":"","parse-names":false,"suffix":""},{"dropping-particle":"","family":"O'donnell","given":"C.","non-dropping-particle":"","parse-names":false,"suffix":""},{"dropping-particle":"","family":"Reilly","given":"M. P.","non-dropping-particle":"","parse-names":false,"suffix":""},{"dropping-particle":"","family":"Collins","given":"R.","non-dropping-particle":"","parse-names":false,"suffix":""},{"dropping-particle":"","family":"Roberts","given":"R.","non-dropping-particle":"","parse-names":false,"suffix":""},{"dropping-particle":"","family":"Pattaro","given":"C.","non-dropping-particle":"","parse-names":false,"suffix":""},{"dropping-particle":"","family":"Köttgen","given":"A.","non-dropping-particle":"","parse-names":false,"suffix":""},{"dropping-particle":"","family":"Garnaas","given":"M.","non-dropping-particle":"","parse-names":false,"suffix":""},{"dropping-particle":"","family":"Böger","given":"C. A.","non-dropping-particle":"","parse-names":false,"suffix":""},{"dropping-particle":"","family":"Fuchsberger","given":"C.","non-dropping-particle":"","parse-names":false,"suffix":""},{"dropping-particle":"","family":"Olden","given":"M.","non-dropping-particle":"","parse-names":false,"suffix":""},{"dropping-particle":"","family":"Chen","given":"M. H.","non-dropping-particle":"","parse-names":false,"suffix":""},{"dropping-particle":"","family":"Tin","given":"A.","non-dropping-particle":"","parse-names":false,"suffix":""},{"dropping-particle":"","family":"Taliun","given":"D.","non-dropping-particle":"","parse-names":false,"suffix":""},{"dropping-particle":"","family":"Li","given":"M.","non-dropping-particle":"","parse-names":false,"suffix":""},{"dropping-particle":"","family":"Gao","given":"X.","non-dropping-particle":"","parse-names":false,"suffix":""},{"dropping-particle":"","family":"Yang","given":"Q.","non-dropping-particle":"","parse-names":false,"suffix":""},{"dropping-particle":"","family":"Hundertmark","given":"C.","non-dropping-particle":"","parse-names":false,"suffix":""},{"dropping-particle":"","family":"Foster","given":"M. C.","non-dropping-particle":"","parse-names":false,"suffix":""},{"dropping-particle":"","family":"O'seaghdha","given":"C. M.","non-dropping-particle":"","parse-names":false,"suffix":""},{"dropping-particle":"","family":"Glazer","given":"N.","non-dropping-particle":"","parse-names":false,"suffix":""},{"dropping-particle":"","family":"Liu","given":"C. T.","non-dropping-particle":"","parse-names":false,"suffix":""},{"dropping-particle":"","family":"Struchalin","given":"M.","non-dropping-particle":"","parse-names":false,"suffix":""},{"dropping-particle":"","family":"Li","given":"G.","non-dropping-particle":"","parse-names":false,"suffix":""},{"dropping-particle":"","family":"Johnson","given":"A. D.","non-dropping-particle":"","parse-names":false,"suffix":""},{"dropping-particle":"","family":"Gierman","given":"H. J.","non-dropping-particle":"","parse-names":false,"suffix":""},{"dropping-particle":"","family":"Hwang","given":"S. J.","non-dropping-particle":"","parse-names":false,"suffix":""},{"dropping-particle":"","family":"Atkinson","given":"E. J.","non-dropping-particle":"","parse-names":false,"suffix":""},{"dropping-particle":"","family":"Lohman","given":"K.","non-dropping-particle":"","parse-names":false,"suffix":""},{"dropping-particle":"","family":"Cornelis","given":"M. C.","non-dropping-particle":"","parse-names":false,"suffix":""},{"dropping-particle":"","family":"Chouraki","given":"V.","non-dropping-particle":"","parse-names":false,"suffix":""},{"dropping-particle":"","family":"Holliday","given":"E. G.","non-dropping-particle":"","parse-names":false,"suffix":""},{"dropping-particle":"","family":"Sorice","given":"R.","non-dropping-particle":"","parse-names":false,"suffix":""},{"dropping-particle":"","family":"Deshmukh","given":"H.","non-dropping-particle":"","parse-names":false,"suffix":""},{"dropping-particle":"","family":"Ulivi","given":"S.","non-dropping-particle":"","parse-names":false,"suffix":""},{"dropping-particle":"","family":"Chu","given":"A. Y.","non-dropping-particle":"","parse-names":false,"suffix":""},{"dropping-particle":"","family":"Murgia","given":"F.","non-dropping-particle":"","parse-names":false,"suffix":""},{"dropping-particle":"","family":"Imboden","given":"M.","non-dropping-particle":"","parse-names":false,"suffix":""},{"dropping-particle":"","family":"Kollerits","given":"B.","non-dropping-particle":"","parse-names":false,"suffix":""},{"dropping-particle":"","family":"Pistis","given":"G.","non-dropping-particle":"","parse-names":false,"suffix":""},{"dropping-particle":"","family":"Launer","given":"L.","non-dropping-particle":"","parse-names":false,"suffix":""},{"dropping-particle":"","family":"Aspelund","given":"T.","non-dropping-particle":"","parse-names":false,"suffix":""},{"dropping-particle":"","family":"Eiriksdottir","given":"G.","non-dropping-particle":"","parse-names":false,"suffix":""},{"dropping-particle":"","family":"Mitchell","given":"B. D.","non-dropping-particle":"","parse-names":false,"suffix":""},{"dropping-particle":"","family":"Schmidt","given":"H.","non-dropping-particle":"","parse-names":false,"suffix":""},{"dropping-particle":"","family":"Cavalieri","given":"M.","non-dropping-particle":"","parse-names":false,"suffix":""},{"dropping-particle":"","family":"Rao","given":"M.","non-dropping-particle":"","parse-names":false,"suffix":""},{"dropping-particle":"","family":"Hu","given":"F. B.","non-dropping-particle":"","parse-names":false,"suffix":""},{"dropping-particle":"","family":"Andrade","given":"M.","non-dropping-particle":"de","parse-names":false,"suffix":""},{"dropping-particle":"","family":"Turner","given":"S. T.","non-dropping-particle":"","parse-names":false,"suffix":""},{"dropping-particle":"","family":"Ding","given":"J.","non-dropping-particle":"","parse-names":false,"suffix":""},{"dropping-particle":"","family":"Andrews","given":"J. S.","non-dropping-particle":"","parse-names":false,"suffix":""},{"dropping-particle":"","family":"Freedman","given":"B. I.","non-dropping-particle":"","parse-names":false,"suffix":""},{"dropping-particle":"","family":"Döring","given":"A.","non-dropping-particle":"","parse-names":false,"suffix":""},{"dropping-particle":"","family":"Kolcic","given":"I.","non-dropping-particle":"","parse-names":false,"suffix":""},{"dropping-particle":"","family":"Zemunik","given":"T.","non-dropping-particle":"","parse-names":false,"suffix":""},{"dropping-particle":"","family":"Boban","given":"M.","non-dropping-particle":"","parse-names":false,"suffix":""},{"dropping-particle":"","family":"Minelli","given":"C.","non-dropping-particle":"","parse-names":false,"suffix":""},{"dropping-particle":"","family":"Wheeler","given":"H. E.","non-dropping-particle":"","parse-names":false,"suffix":""},{"dropping-particle":"","family":"Igl","given":"W.","non-dropping-particle":"","parse-names":false,"suffix":""},{"dropping-particle":"","family":"Zaboli","given":"G.","non-dropping-particle":"","parse-names":false,"suffix":""},{"dropping-particle":"","family":"Wild","given":"S. H.","non-dropping-particle":"","parse-names":false,"suffix":""},{"dropping-particle":"","family":"Ellinghaus","given":"D.","non-dropping-particle":"","parse-names":false,"suffix":""},{"dropping-particle":"","family":"Nöthlings","given":"U.","non-dropping-particle":"","parse-names":false,"suffix":""},{"dropping-particle":"","family":"Jacobs","given":"G.","non-dropping-particle":"","parse-names":false,"suffix":""},{"dropping-particle":"","family":"Biffar","given":"R.","non-dropping-particle":"","parse-names":false,"suffix":""},{"dropping-particle":"","family":"Endlich","given":"K.","non-dropping-particle":"","parse-names":false,"suffix":""},{"dropping-particle":"","family":"Ernst","given":"F.","non-dropping-particle":"","parse-names":false,"suffix":""},{"dropping-particle":"","family":"Kroemer","given":"H. K.","non-dropping-particle":"","parse-names":false,"suffix":""},{"dropping-particle":"","family":"Nauck","given":"M.","non-dropping-particle":"","parse-names":false,"suffix":""},{"dropping-particle":"","family":"Stracke","given":"S.","non-dropping-particle":"","parse-names":false,"suffix":""},{"dropping-particle":"","family":"Völzke","given":"H.","non-dropping-particle":"","parse-names":false,"suffix":""},{"dropping-particle":"","family":"Aulchenko","given":"Y. S.","non-dropping-particle":"","parse-names":false,"suffix":""},{"dropping-particle":"","family":"Polasek","given":"O.","non-dropping-particle":"","parse-names":false,"suffix":""},{"dropping-particle":"","family":"Hastie","given":"N.","non-dropping-particle":"","parse-names":false,"suffix":""},{"dropping-particle":"","family":"Vitart","given":"V.","non-dropping-particle":"","parse-names":false,"suffix":""},{"dropping-particle":"","family":"Helmer","given":"C.","non-dropping-particle":"","parse-names":false,"suffix":""},{"dropping-particle":"","family":"Wang","given":"J. J.","non-dropping-particle":"","parse-names":false,"suffix":""},{"dropping-particle":"","family":"Ruggiero","given":"D.","non-dropping-particle":"","parse-names":false,"suffix":""},{"dropping-particle":"","family":"Bergmann","given":"S.","non-dropping-particle":"","parse-names":false,"suffix":""},{"dropping-particle":"","family":"Viikari","given":"J.","non-dropping-particle":"","parse-names":false,"suffix":""},{"dropping-particle":"","family":"Nikopensius","given":"T.","non-dropping-particle":"","parse-names":false,"suffix":""},{"dropping-particle":"","family":"Province","given":"M.","non-dropping-particle":"","parse-names":false,"suffix":""},{"dropping-particle":"","family":"Ketkar","given":"S.","non-dropping-particle":"","parse-names":false,"suffix":""},{"dropping-particle":"","family":"Colhoun","given":"H.","non-dropping-particle":"","parse-names":false,"suffix":""},{"dropping-particle":"","family":"Doney","given":"A.","non-dropping-particle":"","parse-names":false,"suffix":""},{"dropping-particle":"","family":"Robino","given":"A.","non-dropping-particle":"","parse-names":false,"suffix":""},{"dropping-particle":"","family":"Giulianini","given":"F.","non-dropping-particle":"","parse-names":false,"suffix":""},{"dropping-particle":"","family":"Krämer","given":"B. K.","non-dropping-particle":"","parse-names":false,"suffix":""},{"dropping-particle":"","family":"Portas","given":"L.","non-dropping-particle":"","parse-names":false,"suffix":""},{"dropping-particle":"","family":"Buckley","given":"B. M.","non-dropping-particle":"","parse-names":false,"suffix":""},{"dropping-particle":"","family":"Adam","given":"M.","non-dropping-particle":"","parse-names":false,"suffix":""},{"dropping-particle":"","family":"Thun","given":"G. A.","non-dropping-particle":"","parse-names":false,"suffix":""},{"dropping-particle":"","family":"Paulweber","given":"B.","non-dropping-particle":"","parse-names":false,"suffix":""},{"dropping-particle":"","family":"Haun","given":"M.","non-dropping-particle":"","parse-names":false,"suffix":""},{"dropping-particle":"","family":"Sala","given":"C.","non-dropping-particle":"","parse-names":false,"suffix":""},{"dropping-particle":"","family":"Metzger","given":"M.","non-dropping-particle":"","parse-names":false,"suffix":""},{"dropping-particle":"","family":"Mitchell","given":"P.","non-dropping-particle":"","parse-names":false,"suffix":""},{"dropping-particle":"","family":"Ciullo","given":"M.","non-dropping-particle":"","parse-names":false,"suffix":""},{"dropping-particle":"","family":"Kim","given":"S. K.","non-dropping-particle":"","parse-names":false,"suffix":""},{"dropping-particle":"","family":"Vollenweider","given":"P.","non-dropping-particle":"","parse-names":false,"suffix":""},{"dropping-particle":"","family":"Palmer","given":"C.","non-dropping-particle":"","parse-names":false,"suffix":""},{"dropping-particle":"","family":"Gasparini","given":"P.","non-dropping-particle":"","parse-names":false,"suffix":""},{"dropping-particle":"","family":"Pirastu","given":"M.","non-dropping-particle":"","parse-names":false,"suffix":""},{"dropping-particle":"","family":"Probst-Hensch","given":"N. M.","non-dropping-particle":"","parse-names":false,"suffix":""},{"dropping-particle":"","family":"Kronenberg","given":"F.","non-dropping-particle":"","parse-names":false,"suffix":""},{"dropping-particle":"","family":"Toniolo","given":"D.","non-dropping-particle":"","parse-names":false,"suffix":""},{"dropping-particle":"","family":"Coresh","given":"J.","non-dropping-particle":"","parse-names":false,"suffix":""},{"dropping-particle":"","family":"Schmidt","given":"R.","non-dropping-particle":"","parse-names":false,"suffix":""},{"dropping-particle":"","family":"Siscovick","given":"D.","non-dropping-particle":"","parse-names":false,"suffix":""},{"dropping-particle":"","family":"Kardia","given":"S. L.","non-dropping-particle":"","parse-names":false,"suffix":""},{"dropping-particle":"","family":"Curhan","given":"G. C.","non-dropping-particle":"","parse-names":false,"suffix":""},{"dropping-particle":"","family":"Franke","given":"A.","non-dropping-particle":"","parse-names":false,"suffix":""},{"dropping-particle":"","family":"Parsa","given":"A.","non-dropping-particle":"","parse-names":false,"suffix":""},{"dropping-particle":"","family":"Goessling","given":"W.","non-dropping-particle":"","parse-names":false,"suffix":""},{"dropping-particle":"","family":"Kao","given":"W.","non-dropping-particle":"","parse-names":false,"suffix":""},{"dropping-particle":"","family":"Boer","given":"I. H.","non-dropping-particle":"de","parse-names":false,"suffix":""},{"dropping-particle":"","family":"Peralta","given":"C. A.","non-dropping-particle":"","parse-names":false,"suffix":""},{"dropping-particle":"","family":"Akylbekova","given":"E.","non-dropping-particle":"","parse-names":false,"suffix":""},{"dropping-particle":"","family":"Kramer","given":"H.","non-dropping-particle":"","parse-names":false,"suffix":""},{"dropping-particle":"","family":"Arking","given":"D. E.","non-dropping-particle":"","parse-names":false,"suffix":""},{"dropping-particle":"","family":"Franceschini","given":"N.","non-dropping-particle":"","parse-names":false,"suffix":""},{"dropping-particle":"","family":"Egan","given":"J.","non-dropping-particle":"","parse-names":false,"suffix":""},{"dropping-particle":"","family":"Hernandez","given":"D.","non-dropping-particle":"","parse-names":false,"suffix":""},{"dropping-particle":"","family":"Townsend","given":"R. R.","non-dropping-particle":"","parse-names":false,"suffix":""},{"dropping-particle":"","family":"Lumley","given":"T.","non-dropping-particle":"","parse-names":false,"suffix":""},{"dropping-particle":"","family":"Psaty","given":"B.","non-dropping-particle":"","parse-names":false,"suffix":""},{"dropping-particle":"","family":"Kestenbaum","given":"B.","non-dropping-particle":"","parse-names":false,"suffix":""},{"dropping-particle":"","family":"Haritunians","given":"T.","non-dropping-particle":"","parse-names":false,"suffix":""},{"dropping-particle":"","family":"Mooser","given":"V.","non-dropping-particle":"","parse-names":false,"suffix":""},{"dropping-particle":"","family":"Florez","given":"J. C.","non-dropping-particle":"","parse-names":false,"suffix":""},{"dropping-particle":"","family":"Meigs","given":"J. B.","non-dropping-particle":"","parse-names":false,"suffix":""},{"dropping-particle":"","family":"Lu","given":"X.","non-dropping-particle":"","parse-names":false,"suffix":""},{"dropping-particle":"","family":"Leak","given":"T. S.","non-dropping-particle":"","parse-names":false,"suffix":""},{"dropping-particle":"","family":"Aasarød","given":"K.","non-dropping-particle":"","parse-names":false,"suffix":""},{"dropping-particle":"","family":"Skorpen","given":"F.","non-dropping-particle":"","parse-names":false,"suffix":""},{"dropping-particle":"","family":"Baumert","given":"J.","non-dropping-particle":"","parse-names":false,"suffix":""},{"dropping-particle":"","family":"Devuyst","given":"O.","non-dropping-particle":"","parse-names":false,"suffix":""},{"dropping-particle":"","family":"Mychaleckyj","given":"J. C.","non-dropping-particle":"","parse-names":false,"suffix":""},{"dropping-particle":"","family":"Kedenko","given":"L.","non-dropping-particle":"","parse-names":false,"suffix":""},{"dropping-particle":"","family":"Coassin","given":"S.","non-dropping-particle":"","parse-names":false,"suffix":""},{"dropping-particle":"","family":"Hallan","given":"S.","non-dropping-particle":"","parse-names":false,"suffix":""},{"dropping-particle":"","family":"Navis","given":"G.","non-dropping-particle":"","parse-names":false,"suffix":""},{"dropping-particle":"","family":"Shlipak","given":"M. G.","non-dropping-particle":"","parse-names":false,"suffix":""},{"dropping-particle":"","family":"Bull","given":"S. B.","non-dropping-particle":"","parse-names":false,"suffix":""},{"dropping-particle":"","family":"Paterson","given":"A. D.","non-dropping-particle":"","parse-names":false,"suffix":""},{"dropping-particle":"","family":"Rotter","given":"J. I.","non-dropping-particle":"","parse-names":false,"suffix":""},{"dropping-particle":"","family":"Dreisbach","given":"A. W.","non-dropping-particle":"","parse-names":false,"suffix":""},{"dropping-particle":"","family":"Anderson","given":"C. A.","non-dropping-particle":"","parse-names":false,"suffix":""},{"dropping-particle":"","family":"Guo","given":"Q.","non-dropping-particle":"","parse-names":false,"suffix":""},{"dropping-particle":"","family":"Henders","given":"A.","non-dropping-particle":"","parse-names":false,"suffix":""},{"dropping-particle":"","family":"Lambert","given":"A.","non-dropping-particle":"","parse-names":false,"suffix":""},{"dropping-particle":"","family":"Lee","given":"S. H.","non-dropping-particle":"","parse-names":false,"suffix":""},{"dropping-particle":"","family":"Kraft","given":"P.","non-dropping-particle":"","parse-names":false,"suffix":""},{"dropping-particle":"","family":"Kennedy","given":"S. H.","non-dropping-particle":"","parse-names":false,"suffix":""},{"dropping-particle":"","family":"Macgregor","given":"S.","non-dropping-particle":"","parse-names":false,"suffix":""},{"dropping-particle":"","family":"Missmer","given":"S. A.","non-dropping-particle":"","parse-names":false,"suffix":""},{"dropping-particle":"","family":"Painter","given":"J. N.","non-dropping-particle":"","parse-names":false,"suffix":""},{"dropping-particle":"","family":"Roseman","given":"F.","non-dropping-particle":"","parse-names":false,"suffix":""},{"dropping-particle":"","family":"Treloar","given":"S. A.","non-dropping-particle":"","parse-names":false,"suffix":""},{"dropping-particle":"","family":"Wallace","given":"L.","non-dropping-particle":"","parse-names":false,"suffix":""},{"dropping-particle":"","family":"Forsblom","given":"C.","non-dropping-particle":"","parse-names":false,"suffix":""},{"dropping-particle":"","family":"Isakova","given":"T.","non-dropping-particle":"","parse-names":false,"suffix":""},{"dropping-particle":"","family":"McKay","given":"G. J.","non-dropping-particle":"","parse-names":false,"suffix":""},{"dropping-particle":"","family":"Williams","given":"W. W.","non-dropping-particle":"","parse-names":false,"suffix":""},{"dropping-particle":"","family":"Sadlier","given":"D. M.","non-dropping-particle":"","parse-names":false,"suffix":""},{"dropping-particle":"","family":"Mäkinen","given":"V. P.","non-dropping-particle":"","parse-names":false,"suffix":""},{"dropping-particle":"","family":"Swan","given":"E. J.","non-dropping-particle":"","parse-names":false,"suffix":""},{"dropping-particle":"","family":"Boright","given":"A. P.","non-dropping-particle":"","parse-names":false,"suffix":""},{"dropping-particle":"","family":"Ahlqvist","given":"E.","non-dropping-particle":"","parse-names":false,"suffix":""},{"dropping-particle":"","family":"Keller","given":"B. J.","non-dropping-particle":"","parse-names":false,"suffix":""},{"dropping-particle":"","family":"Huang","given":"H.","non-dropping-particle":"","parse-names":false,"suffix":""},{"dropping-particle":"","family":"Ahola","given":"A.","non-dropping-particle":"","parse-names":false,"suffix":""},{"dropping-particle":"","family":"Fagerholm","given":"E.","non-dropping-particle":"","parse-names":false,"suffix":""},{"dropping-particle":"","family":"Gordin","given":"D.","non-dropping-particle":"","parse-names":false,"suffix":""},{"dropping-particle":"","family":"Harjutsalo","given":"V.","non-dropping-particle":"","parse-names":false,"suffix":""},{"dropping-particle":"","family":"He","given":"B.","non-dropping-particle":"","parse-names":false,"suffix":""},{"dropping-particle":"","family":"Heikkilä","given":"O.","non-dropping-particle":"","parse-names":false,"suffix":""},{"dropping-particle":"","family":"Hietala","given":"K.","non-dropping-particle":"","parse-names":false,"suffix":""},{"dropping-particle":"","family":"Kytö","given":"J.","non-dropping-particle":"","parse-names":false,"suffix":""},{"dropping-particle":"","family":"Lahermo","given":"P.","non-dropping-particle":"","parse-names":false,"suffix":""},{"dropping-particle":"","family":"Lehto","given":"M.","non-dropping-particle":"","parse-names":false,"suffix":""},{"dropping-particle":"","family":"Österholm","given":"A. M.","non-dropping-particle":"","parse-names":false,"suffix":""},{"dropping-particle":"","family":"Parkkonen","given":"M.","non-dropping-particle":"","parse-names":false,"suffix":""},{"dropping-particle":"","family":"Pitkäniemi","given":"J.","non-dropping-particle":"","parse-names":false,"suffix":""},{"dropping-particle":"","family":"Rosengård-Bärlund","given":"M.","non-dropping-particle":"","parse-names":false,"suffix":""},{"dropping-particle":"","family":"Saraheimo","given":"M.","non-dropping-particle":"","parse-names":false,"suffix":""},{"dropping-particle":"","family":"Sarti","given":"C.","non-dropping-particle":"","parse-names":false,"suffix":""},{"dropping-particle":"","family":"Söderlund","given":"J.","non-dropping-particle":"","parse-names":false,"suffix":""},{"dropping-particle":"","family":"Soro-Paavonen","given":"A.","non-dropping-particle":"","parse-names":false,"suffix":""},{"dropping-particle":"","family":"Syreeni","given":"A.","non-dropping-particle":"","parse-names":false,"suffix":""},{"dropping-particle":"","family":"Thorn","given":"L. M.","non-dropping-particle":"","parse-names":false,"suffix":""},{"dropping-particle":"","family":"Tikkanen","given":"H.","non-dropping-particle":"","parse-names":false,"suffix":""},{"dropping-particle":"","family":"Tolonen","given":"N.","non-dropping-particle":"","parse-names":false,"suffix":""},{"dropping-particle":"","family":"Tryggvason","given":"K.","non-dropping-particle":"","parse-names":false,"suffix":""},{"dropping-particle":"","family":"Wadén","given":"J.","non-dropping-particle":"","parse-names":false,"suffix":""},{"dropping-particle":"V.","family":"Gill","given":"G.","non-dropping-particle":"","parse-names":false,"suffix":""},{"dropping-particle":"","family":"Prior","given":"S.","non-dropping-particle":"","parse-names":false,"suffix":""},{"dropping-particle":"","family":"Guiducci","given":"C.","non-dropping-particle":"","parse-names":false,"suffix":""},{"dropping-particle":"","family":"Mirel","given":"D.","non-dropping-particle":"","parse-names":false,"suffix":""},{"dropping-particle":"","family":"Taylor","given":"A.","non-dropping-particle":"","parse-names":false,"suffix":""},{"dropping-particle":"","family":"Hosseini","given":"M.","non-dropping-particle":"","parse-names":false,"suffix":""},{"dropping-particle":"","family":"Parving","given":"H. H.","non-dropping-particle":"","parse-names":false,"suffix":""},{"dropping-particle":"","family":"Rossing","given":"P.","non-dropping-particle":"","parse-names":false,"suffix":""},{"dropping-particle":"","family":"Tarnow","given":"L.","non-dropping-particle":"","parse-names":false,"suffix":""},{"dropping-particle":"","family":"Ladenvall","given":"C.","non-dropping-particle":"","parse-names":false,"suffix":""},{"dropping-particle":"","family":"Alhenc-Gelas","given":"F.","non-dropping-particle":"","parse-names":false,"suffix":""},{"dropping-particle":"","family":"Lefebvre","given":"P.","non-dropping-particle":"","parse-names":false,"suffix":""},{"dropping-particle":"","family":"Rigalleau","given":"V.","non-dropping-particle":"","parse-names":false,"suffix":""},{"dropping-particle":"","family":"Roussel","given":"R.","non-dropping-particle":"","parse-names":false,"suffix":""},{"dropping-particle":"","family":"Tregouet","given":"D. A.","non-dropping-particle":"","parse-names":false,"suffix":""},{"dropping-particle":"","family":"Maestroni","given":"A.","non-dropping-particle":"","parse-names":false,"suffix":""},{"dropping-particle":"","family":"Maestroni","given":"S.","non-dropping-particle":"","parse-names":false,"suffix":""},{"dropping-particle":"","family":"Falhammar","given":"H.","non-dropping-particle":"","parse-names":false,"suffix":""},{"dropping-particle":"","family":"Gu","given":"T.","non-dropping-particle":"","parse-names":false,"suffix":""},{"dropping-particle":"","family":"Möllsten","given":"A.","non-dropping-particle":"","parse-names":false,"suffix":""},{"dropping-particle":"","family":"Cimponeriu","given":"D.","non-dropping-particle":"","parse-names":false,"suffix":""},{"dropping-particle":"","family":"Mihai","given":"I.","non-dropping-particle":"","parse-names":false,"suffix":""},{"dropping-particle":"","family":"Mota","given":"M.","non-dropping-particle":"","parse-names":false,"suffix":""},{"dropping-particle":"","family":"Mota","given":"E.","non-dropping-particle":"","parse-names":false,"suffix":""},{"dropping-particle":"","family":"Serafinceanu","given":"C.","non-dropping-particle":"","parse-names":false,"suffix":""},{"dropping-particle":"","family":"Stavarachi","given":"M.","non-dropping-particle":"","parse-names":false,"suffix":""},{"dropping-particle":"","family":"Hanson","given":"R. L.","non-dropping-particle":"","parse-names":false,"suffix":""},{"dropping-particle":"","family":"Nelson","given":"R. G.","non-dropping-particle":"","parse-names":false,"suffix":""},{"dropping-particle":"","family":"Kretzler","given":"M.","non-dropping-particle":"","parse-names":false,"suffix":""},{"dropping-particle":"","family":"Panduru","given":"N. M.","non-dropping-particle":"","parse-names":false,"suffix":""},{"dropping-particle":"","family":"Gu","given":"H. F.","non-dropping-particle":"","parse-names":false,"suffix":""},{"dropping-particle":"","family":"Brismar","given":"K.","non-dropping-particle":"","parse-names":false,"suffix":""},{"dropping-particle":"","family":"Zerbini","given":"G.","non-dropping-particle":"","parse-names":false,"suffix":""},{"dropping-particle":"","family":"Hadjadj","given":"S.","non-dropping-particle":"","parse-names":false,"suffix":""},{"dropping-particle":"","family":"Marre","given":"M.","non-dropping-particle":"","parse-names":false,"suffix":""},{"dropping-particle":"","family":"Lajer","given":"M.","non-dropping-particle":"","parse-names":false,"suffix":""},{"dropping-particle":"","family":"Waggott","given":"D.","non-dropping-particle":"","parse-names":false,"suffix":""},{"dropping-particle":"","family":"Savage","given":"D. A.","non-dropping-particle":"","parse-names":false,"suffix":""},{"dropping-particle":"","family":"Bain","given":"S. C.","non-dropping-particle":"","parse-names":false,"suffix":""},{"dropping-particle":"","family":"Martin","given":"F.","non-dropping-particle":"","parse-names":false,"suffix":""},{"dropping-particle":"","family":"Godson","given":"C.","non-dropping-particle":"","parse-names":false,"suffix":""},{"dropping-particle":"","family":"Groop","given":"P. H.","non-dropping-particle":"","parse-names":false,"suffix":""},{"dropping-particle":"","family":"Maxwell","given":"A. P.","non-dropping-particle":"","parse-names":false,"suffix":""},{"dropping-particle":"","family":"Sengupta","given":"S.","non-dropping-particle":"","parse-names":false,"suffix":""},{"dropping-particle":"","family":"Peloso","given":"G. M.","non-dropping-particle":"","parse-names":false,"suffix":""},{"dropping-particle":"","family":"Ganna","given":"A.","non-dropping-particle":"","parse-names":false,"suffix":""},{"dropping-particle":"","family":"Mora","given":"S.","non-dropping-particle":"","parse-names":false,"suffix":""},{"dropping-particle":"","family":"Chang","given":"H. Y.","non-dropping-particle":"","parse-names":false,"suffix":""},{"dropping-particle":"","family":"Hertog","given":"H. M.","non-dropping-particle":"Den","parse-names":false,"suffix":""},{"dropping-particle":"","family":"Donnelly","given":"L. A.","non-dropping-particle":"","parse-names":false,"suffix":""},{"dropping-particle":"","family":"Freitag","given":"D. F.","non-dropping-particle":"","parse-names":false,"suffix":""},{"dropping-particle":"","family":"Gurdasani","given":"D.","non-dropping-particle":"","parse-names":false,"suffix":""},{"dropping-particle":"","family":"Heikkilä","given":"K.","non-dropping-particle":"","parse-names":false,"suffix":""},{"dropping-particle":"","family":"Johnson","given":"T.","non-dropping-particle":"","parse-names":false,"suffix":""},{"dropping-particle":"","family":"Kaakinen","given":"M.","non-dropping-particle":"","parse-names":false,"suffix":""},{"dropping-particle":"","family":"Kettunen","given":"J.","non-dropping-particle":"","parse-names":false,"suffix":""},{"dropping-particle":"","family":"Li","given":"X.","non-dropping-particle":"","parse-names":false,"suffix":""},{"dropping-particle":"","family":"Montasser","given":"M. E.","non-dropping-particle":"","parse-names":false,"suffix":""},{"dropping-particle":"","family":"Petersen","given":"A. K.","non-dropping-particle":"","parse-names":false,"suffix":""},{"dropping-particle":"","family":"Saxena","given":"R.","non-dropping-particle":"","parse-names":false,"suffix":""},{"dropping-particle":"","family":"Service","given":"S. K.","non-dropping-particle":"","parse-names":false,"suffix":""},{"dropping-particle":"","family":"Sidore","given":"C.","non-dropping-particle":"","parse-names":false,"suffix":""},{"dropping-particle":"","family":"Surakka","given":"I.","non-dropping-particle":"","parse-names":false,"suffix":""},{"dropping-particle":"","family":"Teslovich","given":"T. M.","non-dropping-particle":"","parse-names":false,"suffix":""},{"dropping-particle":"","family":"Herik","given":"E. G.","non-dropping-particle":"Van den","parse-names":false,"suffix":""},{"dropping-particle":"","family":"Volcik","given":"K. A.","non-dropping-particle":"","parse-names":false,"suffix":""},{"dropping-particle":"","family":"Wu","given":"Y.","non-dropping-particle":"","parse-names":false,"suffix":""},{"dropping-particle":"","family":"Asiki","given":"G.","non-dropping-particle":"","parse-names":false,"suffix":""},{"dropping-particle":"","family":"Been","given":"L. F.","non-dropping-particle":"","parse-names":false,"suffix":""},{"dropping-particle":"","family":"Burnett","given":"M. S.","non-dropping-particle":"","parse-names":false,"suffix":""},{"dropping-particle":"","family":"Doring","given":"A.","non-dropping-particle":"","parse-names":false,"suffix":""},{"dropping-particle":"","family":"Elliott","given":"P.","non-dropping-particle":"","parse-names":false,"suffix":""},{"dropping-particle":"","family":"Eyjolfsson","given":"G. I.","non-dropping-particle":"","parse-names":false,"suffix":""},{"dropping-particle":"","family":"Goodarzi","given":"M. O.","non-dropping-particle":"","parse-names":false,"suffix":""},{"dropping-particle":"","family":"Gravito","given":"M. L.","non-dropping-particle":"","parse-names":false,"suffix":""},{"dropping-particle":"","family":"Hartikainen","given":"A. L.","non-dropping-particle":"","parse-names":false,"suffix":""},{"dropping-particle":"","family":"Hung","given":"Y. J.","non-dropping-particle":"","parse-names":false,"suffix":""},{"dropping-particle":"","family":"Jones","given":"M. R.","non-dropping-particle":"","parse-names":false,"suffix":""},{"dropping-particle":"","family":"Kaleebu","given":"P.","non-dropping-particle":"","parse-names":false,"suffix":""},{"dropping-particle":"","family":"Khaw","given":"K. T.","non-dropping-particle":"","parse-names":false,"suffix":""},{"dropping-particle":"","family":"Kim","given":"E.","non-dropping-particle":"","parse-names":false,"suffix":""},{"dropping-particle":"","family":"Komulainen","given":"P.","non-dropping-particle":"","parse-names":false,"suffix":""},{"dropping-particle":"","family":"Lehtimaki","given":"T.","non-dropping-particle":"","parse-names":false,"suffix":""},{"dropping-particle":"","family":"Lin","given":"S. Y.","non-dropping-particle":"","parse-names":false,"suffix":""},{"dropping-particle":"","family":"Lindstrom","given":"J.","non-dropping-particle":"","parse-names":false,"suffix":""},{"dropping-particle":"","family":"Muller","given":"G.","non-dropping-particle":"","parse-names":false,"suffix":""},{"dropping-particle":"","family":"Narisu","given":"N.","non-dropping-particle":"","parse-names":false,"suffix":""},{"dropping-particle":"V.","family":"Nieminen","given":"T.","non-dropping-particle":"","parse-names":false,"suffix":""},{"dropping-particle":"","family":"Nsubuga","given":"R. N.","non-dropping-particle":"","parse-names":false,"suffix":""},{"dropping-particle":"","family":"Olafsson","given":"I.","non-dropping-particle":"","parse-names":false,"suffix":""},{"dropping-particle":"","family":"Palotie","given":"A.","non-dropping-particle":"","parse-names":false,"suffix":""},{"dropping-particle":"","family":"Papamarkou","given":"T.","non-dropping-particle":"","parse-names":false,"suffix":""},{"dropping-particle":"","family":"Pomilla","given":"C.","non-dropping-particle":"","parse-names":false,"suffix":""},{"dropping-particle":"","family":"Pouta","given":"A.","non-dropping-particle":"","parse-names":false,"suffix":""},{"dropping-particle":"","family":"Ruokonen","given":"A.","non-dropping-particle":"","parse-names":false,"suffix":""},{"dropping-particle":"","family":"Seeley","given":"J.","non-dropping-particle":"","parse-names":false,"suffix":""},{"dropping-particle":"","family":"Silander","given":"K.","non-dropping-particle":"","parse-names":false,"suffix":""},{"dropping-particle":"","family":"Tiret","given":"L.","non-dropping-particle":"","parse-names":false,"suffix":""},{"dropping-particle":"","family":"Pelt","given":"L.","non-dropping-particle":"van","parse-names":false,"suffix":""},{"dropping-particle":"","family":"Wainwright","given":"N.","non-dropping-particle":"","parse-names":false,"suffix":""},{"dropping-particle":"","family":"Wijmenga","given":"C.","non-dropping-particle":"","parse-names":false,"suffix":""},{"dropping-particle":"","family":"Young","given":"E. H.","non-dropping-particle":"","parse-names":false,"suffix":""},{"dropping-particle":"","family":"Bennett","given":"F.","non-dropping-particle":"","parse-names":false,"suffix":""},{"dropping-particle":"","family":"Boomsma","given":"D. I.","non-dropping-particle":"","parse-names":false,"suffix":""},{"dropping-particle":"","family":"Burnier","given":"M.","non-dropping-particle":"","parse-names":false,"suffix":""},{"dropping-particle":"","family":"Chen","given":"Y. D.","non-dropping-particle":"","parse-names":false,"suffix":""},{"dropping-particle":"","family":"Feranil","given":"A. B.","non-dropping-particle":"","parse-names":false,"suffix":""},{"dropping-particle":"","family":"Ferrieres","given":"J.","non-dropping-particle":"","parse-names":false,"suffix":""},{"dropping-particle":"","family":"Freimer","given":"N. B.","non-dropping-particle":"","parse-names":false,"suffix":""},{"dropping-particle":"","family":"Hsiung","given":"C. A.","non-dropping-particle":"","parse-names":false,"suffix":""},{"dropping-particle":"","family":"Kesäniemi","given":"A.","non-dropping-particle":"","parse-names":false,"suffix":""},{"dropping-particle":"","family":"Koudstaal","given":"P. J.","non-dropping-particle":"","parse-names":false,"suffix":""},{"dropping-particle":"","family":"Krauss","given":"R. M.","non-dropping-particle":"","parse-names":false,"suffix":""},{"dropping-particle":"","family":"Kyvik","given":"K. O.","non-dropping-particle":"","parse-names":false,"suffix":""},{"dropping-particle":"","family":"Meneton","given":"P.","non-dropping-particle":"","parse-names":false,"suffix":""},{"dropping-particle":"","family":"Moilanen","given":"L.","non-dropping-particle":"","parse-names":false,"suffix":""},{"dropping-particle":"","family":"Sanghera","given":"D. K.","non-dropping-particle":"","parse-names":false,"suffix":""},{"dropping-particle":"","family":"Sheu","given":"W. H.","non-dropping-particle":"","parse-names":false,"suffix":""},{"dropping-particle":"","family":"Whitfield","given":"J. B.","non-dropping-particle":"","parse-names":false,"suffix":""},{"dropping-particle":"","family":"Wolffenbuttel","given":"B. H.","non-dropping-particle":"","parse-names":false,"suffix":""},{"dropping-particle":"","family":"Ordovas","given":"J. M.","non-dropping-particle":"","parse-names":false,"suffix":""},{"dropping-particle":"","family":"Rich","given":"S. S.","non-dropping-particle":"","parse-names":false,"suffix":""},{"dropping-particle":"","family":"Johnson","given":"A.","non-dropping-particle":"","parse-names":false,"suffix":""},{"dropping-particle":"","family":"Johnson","given":"L.","non-dropping-particle":"","parse-names":false,"suffix":""},{"dropping-particle":"","family":"Larson","given":"M. G.","non-dropping-particle":"","parse-names":false,"suffix":""},{"dropping-particle":"","family":"Levy","given":"D.","non-dropping-particle":"","parse-names":false,"suffix":""},{"dropping-particle":"","family":"Newton-Cheh","given":"C.","non-dropping-particle":"","parse-names":false,"suffix":""},{"dropping-particle":"","family":"O'reilly","given":"P. F.","non-dropping-particle":"","parse-names":false,"suffix":""},{"dropping-particle":"","family":"Palmas","given":"W.","non-dropping-particle":"","parse-names":false,"suffix":""},{"dropping-particle":"","family":"Rice","given":"K.","non-dropping-particle":"","parse-names":false,"suffix":""},{"dropping-particle":"","family":"Smith","given":"A.","non-dropping-particle":"","parse-names":false,"suffix":""},{"dropping-particle":"","family":"Snider","given":"H.","non-dropping-particle":"","parse-names":false,"suffix":""},{"dropping-particle":"","family":"Tobin","given":"M.","non-dropping-particle":"","parse-names":false,"suffix":""},{"dropping-particle":"","family":"Verwoert","given":"G.","non-dropping-particle":"","parse-names":false,"suffix":""},{"dropping-particle":"","family":"Rice","given":"K. M.","non-dropping-particle":"","parse-names":false,"suffix":""},{"dropping-particle":"","family":"Verwoert","given":"G. C.","non-dropping-particle":"","parse-names":false,"suffix":""},{"dropping-particle":"","family":"Pihur","given":"V.","non-dropping-particle":"","parse-names":false,"suffix":""},{"dropping-particle":"","family":"Heath","given":"S.","non-dropping-particle":"","parse-names":false,"suffix":""},{"dropping-particle":"","family":"Sõber","given":"S.","non-dropping-particle":"","parse-names":false,"suffix":""},{"dropping-particle":"","family":"Arora","given":"P.","non-dropping-particle":"","parse-names":false,"suffix":""},{"dropping-particle":"","family":"Zhang","given":"F.","non-dropping-particle":"","parse-names":false,"suffix":""},{"dropping-particle":"","family":"Lucas","given":"G.","non-dropping-particle":"","parse-names":false,"suffix":""},{"dropping-particle":"","family":"Milaneschi","given":"Y.","non-dropping-particle":"","parse-names":false,"suffix":""},{"dropping-particle":"","family":"Parker","given":"A. N.","non-dropping-particle":"","parse-names":false,"suffix":""},{"dropping-particle":"","family":"Fava","given":"C.","non-dropping-particle":"","parse-names":false,"suffix":""},{"dropping-particle":"","family":"Fox","given":"E. R.","non-dropping-particle":"","parse-names":false,"suffix":""},{"dropping-particle":"","family":"Go","given":"M. J.","non-dropping-particle":"","parse-names":false,"suffix":""},{"dropping-particle":"","family":"Sjögren","given":"M.","non-dropping-particle":"","parse-names":false,"suffix":""},{"dropping-particle":"","family":"Vinay","given":"D.","non-dropping-particle":"","parse-names":false,"suffix":""},{"dropping-particle":"","family":"Alexander","given":"M.","non-dropping-particle":"","parse-names":false,"suffix":""},{"dropping-particle":"","family":"Tabara","given":"Y.","non-dropping-particle":"","parse-names":false,"suffix":""},{"dropping-particle":"","family":"Shaw-Hawkins","given":"S.","non-dropping-particle":"","parse-names":false,"suffix":""},{"dropping-particle":"","family":"Whincup","given":"P. H.","non-dropping-particle":"","parse-names":false,"suffix":""},{"dropping-particle":"","family":"Shi","given":"G.","non-dropping-particle":"","parse-names":false,"suffix":""},{"dropping-particle":"","family":"Seielstad","given":"M.","non-dropping-particle":"","parse-names":false,"suffix":""},{"dropping-particle":"","family":"Sim","given":"X.","non-dropping-particle":"","parse-names":false,"suffix":""},{"dropping-particle":"","family":"Nguyen","given":"K. D.","non-dropping-particle":"","parse-names":false,"suffix":""},{"dropping-particle":"","family":"Matullo","given":"G.","non-dropping-particle":"","parse-names":false,"suffix":""},{"dropping-particle":"","family":"Gaunt","given":"T. R.","non-dropping-particle":"","parse-names":false,"suffix":""},{"dropping-particle":"","family":"Onland-Moret","given":"N. C.","non-dropping-particle":"","parse-names":false,"suffix":""},{"dropping-particle":"","family":"Cooper","given":"M. N.","non-dropping-particle":"","parse-names":false,"suffix":""},{"dropping-particle":"","family":"Platou","given":"C. G.","non-dropping-particle":"","parse-names":false,"suffix":""},{"dropping-particle":"","family":"Org","given":"E.","non-dropping-particle":"","parse-names":false,"suffix":""},{"dropping-particle":"","family":"Hardy","given":"R.","non-dropping-particle":"","parse-names":false,"suffix":""},{"dropping-particle":"","family":"Dahgam","given":"S.","non-dropping-particle":"","parse-names":false,"suffix":""},{"dropping-particle":"","family":"Palmen","given":"J.","non-dropping-particle":"","parse-names":false,"suffix":""},{"dropping-particle":"","family":"Kuznetsova","given":"T.","non-dropping-particle":"","parse-names":false,"suffix":""},{"dropping-particle":"","family":"Uiterwaal","given":"C. S.","non-dropping-particle":"","parse-names":false,"suffix":""},{"dropping-particle":"","family":"Adeyemo","given":"A.","non-dropping-particle":"","parse-names":false,"suffix":""},{"dropping-particle":"","family":"Ludwig","given":"B.","non-dropping-particle":"","parse-names":false,"suffix":""},{"dropping-particle":"","family":"Tomaszewski","given":"M.","non-dropping-particle":"","parse-names":false,"suffix":""},{"dropping-particle":"","family":"Tzoulaki","given":"I.","non-dropping-particle":"","parse-names":false,"suffix":""},{"dropping-particle":"","family":"Palmer","given":"N. D.","non-dropping-particle":"","parse-names":false,"suffix":""},{"dropping-particle":"","family":"Chang","given":"Y. P.","non-dropping-particle":"","parse-names":false,"suffix":""},{"dropping-particle":"","family":"Steinle","given":"N. I.","non-dropping-particle":"","parse-names":false,"suffix":""},{"dropping-particle":"","family":"Grobbee","given":"D. E.","non-dropping-particle":"","parse-names":false,"suffix":""},{"dropping-particle":"","family":"Morrison","given":"A. C.","non-dropping-particle":"","parse-names":false,"suffix":""},{"dropping-particle":"","family":"Najjar","given":"S.","non-dropping-particle":"","parse-names":false,"suffix":""},{"dropping-particle":"","family":"Hadley","given":"D.","non-dropping-particle":"","parse-names":false,"suffix":""},{"dropping-particle":"","family":"Brown","given":"M. J.","non-dropping-particle":"","parse-names":false,"suffix":""},{"dropping-particle":"","family":"Connell","given":"J. M.","non-dropping-particle":"","parse-names":false,"suffix":""},{"dropping-particle":"","family":"Day","given":"I. N.","non-dropping-particle":"","parse-names":false,"suffix":""},{"dropping-particle":"","family":"Lawlor","given":"D. A.","non-dropping-particle":"","parse-names":false,"suffix":""},{"dropping-particle":"","family":"Lawrence","given":"R. W.","non-dropping-particle":"","parse-names":false,"suffix":""},{"dropping-particle":"","family":"Ongen","given":"H.","non-dropping-particle":"","parse-names":false,"suffix":""},{"dropping-particle":"","family":"Li","given":"Y.","non-dropping-particle":"","parse-names":false,"suffix":""},{"dropping-particle":"","family":"Young","given":"J. H.","non-dropping-particle":"","parse-names":false,"suffix":""},{"dropping-particle":"","family":"Bis","given":"J. C.","non-dropping-particle":"","parse-names":false,"suffix":""},{"dropping-particle":"","family":"Bolton","given":"J. A.","non-dropping-particle":"","parse-names":false,"suffix":""},{"dropping-particle":"","family":"Chaturvedi","given":"N.","non-dropping-particle":"","parse-names":false,"suffix":""},{"dropping-particle":"","family":"Islam","given":"M.","non-dropping-particle":"","parse-names":false,"suffix":""},{"dropping-particle":"","family":"Jafar","given":"T. H.","non-dropping-particle":"","parse-names":false,"suffix":""},{"dropping-particle":"","family":"Kulkarni","given":"S. R.","non-dropping-particle":"","parse-names":false,"suffix":""},{"dropping-particle":"","family":"Howard","given":"P.","non-dropping-particle":"","parse-names":false,"suffix":""},{"dropping-particle":"","family":"Guarrera","given":"S.","non-dropping-particle":"","parse-names":false,"suffix":""},{"dropping-particle":"","family":"Ricceri","given":"F.","non-dropping-particle":"","parse-names":false,"suffix":""},{"dropping-particle":"","family":"Emilsson","given":"V.","non-dropping-particle":"","parse-names":false,"suffix":""},{"dropping-particle":"","family":"Plump","given":"A. S.","non-dropping-particle":"","parse-names":false,"suffix":""},{"dropping-particle":"","family":"Weder","given":"A. B.","non-dropping-particle":"","parse-names":false,"suffix":""},{"dropping-particle":"V.","family":"Sun","given":"Y.","non-dropping-particle":"","parse-names":false,"suffix":""},{"dropping-particle":"","family":"Scott","given":"L. J.","non-dropping-particle":"","parse-names":false,"suffix":""},{"dropping-particle":"","family":"Peltonen","given":"L.","non-dropping-particle":"","parse-names":false,"suffix":""},{"dropping-particle":"","family":"Vartiainen","given":"E.","non-dropping-particle":"","parse-names":false,"suffix":""},{"dropping-particle":"","family":"Brand","given":"S. M.","non-dropping-particle":"","parse-names":false,"suffix":""},{"dropping-particle":"","family":"Staessen","given":"J. A.","non-dropping-particle":"","parse-names":false,"suffix":""},{"dropping-particle":"","family":"Wang","given":"T. J.","non-dropping-particle":"","parse-names":false,"suffix":""},{"dropping-particle":"","family":"Burton","given":"P. R.","non-dropping-particle":"","parse-names":false,"suffix":""},{"dropping-particle":"","family":"Artigas","given":"M. S.","non-dropping-particle":"","parse-names":false,"suffix":""},{"dropping-particle":"","family":"Dong","given":"Y.","non-dropping-particle":"","parse-names":false,"suffix":""},{"dropping-particle":"","family":"Wang","given":"X.","non-dropping-particle":"","parse-names":false,"suffix":""},{"dropping-particle":"","family":"Zhu","given":"H.","non-dropping-particle":"","parse-names":false,"suffix":""},{"dropping-particle":"","family":"Rudock","given":"M. E.","non-dropping-particle":"","parse-names":false,"suffix":""},{"dropping-particle":"","family":"Heckbert","given":"S. R.","non-dropping-particle":"","parse-names":false,"suffix":""},{"dropping-particle":"","family":"Smith","given":"N. L.","non-dropping-particle":"","parse-names":false,"suffix":""},{"dropping-particle":"","family":"Wiggins","given":"K. L.","non-dropping-particle":"","parse-names":false,"suffix":""},{"dropping-particle":"","family":"Doumatey","given":"A.","non-dropping-particle":"","parse-names":false,"suffix":""},{"dropping-particle":"","family":"Shriner","given":"D.","non-dropping-particle":"","parse-names":false,"suffix":""},{"dropping-particle":"","family":"Veldre","given":"G.","non-dropping-particle":"","parse-names":false,"suffix":""},{"dropping-particle":"","family":"Viigimaa","given":"M.","non-dropping-particle":"","parse-names":false,"suffix":""},{"dropping-particle":"","family":"Kinra","given":"S.","non-dropping-particle":"","parse-names":false,"suffix":""},{"dropping-particle":"","family":"Prabhakaran","given":"D.","non-dropping-particle":"","parse-names":false,"suffix":""},{"dropping-particle":"","family":"Tripathy","given":"V.","non-dropping-particle":"","parse-names":false,"suffix":""},{"dropping-particle":"","family":"Langefeld","given":"C. D.","non-dropping-particle":"","parse-names":false,"suffix":""},{"dropping-particle":"","family":"Rosengren","given":"A.","non-dropping-particle":"","parse-names":false,"suffix":""},{"dropping-particle":"","family":"Thelle","given":"D. S.","non-dropping-particle":"","parse-names":false,"suffix":""},{"dropping-particle":"","family":"Corsi","given":"A. M.","non-dropping-particle":"","parse-names":false,"suffix":""},{"dropping-particle":"","family":"Singleton","given":"A.","non-dropping-particle":"","parse-names":false,"suffix":""},{"dropping-particle":"","family":"Hilton","given":"G.","non-dropping-particle":"","parse-names":false,"suffix":""},{"dropping-particle":"","family":"Salako","given":"T.","non-dropping-particle":"","parse-names":false,"suffix":""},{"dropping-particle":"","family":"Iwai","given":"N.","non-dropping-particle":"","parse-names":false,"suffix":""},{"dropping-particle":"","family":"Kita","given":"Y.","non-dropping-particle":"","parse-names":false,"suffix":""},{"dropping-particle":"","family":"Ogihara","given":"T.","non-dropping-particle":"","parse-names":false,"suffix":""},{"dropping-particle":"","family":"Ohkubo","given":"T.","non-dropping-particle":"","parse-names":false,"suffix":""},{"dropping-particle":"","family":"Okamura","given":"T.","non-dropping-particle":"","parse-names":false,"suffix":""},{"dropping-particle":"","family":"Ueshima","given":"H.","non-dropping-particle":"","parse-names":false,"suffix":""},{"dropping-particle":"","family":"Umemura","given":"S.","non-dropping-particle":"","parse-names":false,"suffix":""},{"dropping-particle":"","family":"Eyheramendy","given":"S.","non-dropping-particle":"","parse-names":false,"suffix":""},{"dropping-particle":"","family":"Meitinger","given":"T.","non-dropping-particle":"","parse-names":false,"suffix":""},{"dropping-particle":"","family":"Cho","given":"Y. S.","non-dropping-particle":"","parse-names":false,"suffix":""},{"dropping-particle":"","family":"Kim","given":"H. L.","non-dropping-particle":"","parse-names":false,"suffix":""},{"dropping-particle":"","family":"Scott","given":"J.","non-dropping-particle":"","parse-names":false,"suffix":""},{"dropping-particle":"","family":"Sehmi","given":"J. S.","non-dropping-particle":"","parse-names":false,"suffix":""},{"dropping-particle":"","family":"Hedblad","given":"B.","non-dropping-particle":"","parse-names":false,"suffix":""},{"dropping-particle":"","family":"Nilsson","given":"P.","non-dropping-particle":"","parse-names":false,"suffix":""},{"dropping-particle":"","family":"Smith","given":"G. D.","non-dropping-particle":"","parse-names":false,"suffix":""},{"dropping-particle":"","family":"Raffel","given":"L. J.","non-dropping-particle":"","parse-names":false,"suffix":""},{"dropping-particle":"","family":"Yao","given":"J.","non-dropping-particle":"","parse-names":false,"suffix":""},{"dropping-particle":"","family":"Schwartz","given":"S. M.","non-dropping-particle":"","parse-names":false,"suffix":""},{"dropping-particle":"","family":"Ikram","given":"M.","non-dropping-particle":"","parse-names":false,"suffix":""},{"dropping-particle":"","family":"W","given":"Longstreth","non-dropping-particle":"","parse-names":false,"suffix":""},{"dropping-particle":"","family":"Mosley","given":"T. H.","non-dropping-particle":"","parse-names":false,"suffix":""},{"dropping-particle":"","family":"Seshadri","given":"S.","non-dropping-particle":"","parse-names":false,"suffix":""},{"dropping-particle":"","family":"Shrine","given":"N. R.","non-dropping-particle":"","parse-names":false,"suffix":""},{"dropping-particle":"V.","family":"Wain","given":"L.","non-dropping-particle":"","parse-names":false,"suffix":""},{"dropping-particle":"","family":"Zitting","given":"P.","non-dropping-particle":"","parse-names":false,"suffix":""},{"dropping-particle":"","family":"Cooper","given":"J. A.","non-dropping-particle":"","parse-names":false,"suffix":""},{"dropping-particle":"","family":"Gilst","given":"W. H.","non-dropping-particle":"van","parse-names":false,"suffix":""},{"dropping-particle":"","family":"Janipalli","given":"C. S.","non-dropping-particle":"","parse-names":false,"suffix":""},{"dropping-particle":"","family":"Mani","given":"K.","non-dropping-particle":"","parse-names":false,"suffix":""},{"dropping-particle":"","family":"Yajnik","given":"C. S.","non-dropping-particle":"","parse-names":false,"suffix":""},{"dropping-particle":"","family":"Mattace-Raso","given":"F. U.","non-dropping-particle":"","parse-names":false,"suffix":""},{"dropping-particle":"","family":"Lakatta","given":"E. G.","non-dropping-particle":"","parse-names":false,"suffix":""},{"dropping-particle":"","family":"Orru","given":"M.","non-dropping-particle":"","parse-names":false,"suffix":""},{"dropping-particle":"","family":"Scuteri","given":"A.","non-dropping-particle":"","parse-names":false,"suffix":""},{"dropping-particle":"","family":"Ala-Korpela","given":"M.","non-dropping-particle":"","parse-names":false,"suffix":""},{"dropping-particle":"","family":"Kangas","given":"A. J.","non-dropping-particle":"","parse-names":false,"suffix":""},{"dropping-particle":"","family":"Soininen","given":"P.","non-dropping-particle":"","parse-names":false,"suffix":""},{"dropping-particle":"","family":"Tukiainen","given":"T.","non-dropping-particle":"","parse-names":false,"suffix":""},{"dropping-particle":"","family":"Würtz","given":"P.","non-dropping-particle":"","parse-names":false,"suffix":""},{"dropping-particle":"","family":"Ong","given":"R. T.","non-dropping-particle":"","parse-names":false,"suffix":""},{"dropping-particle":"","family":"Dörr","given":"M.","non-dropping-particle":"","parse-names":false,"suffix":""},{"dropping-particle":"","family":"Galan","given":"P.","non-dropping-particle":"","parse-names":false,"suffix":""},{"dropping-particle":"","family":"Hercberg","given":"S.","non-dropping-particle":"","parse-names":false,"suffix":""},{"dropping-particle":"","family":"Lathrop","given":"M.","non-dropping-particle":"","parse-names":false,"suffix":""},{"dropping-particle":"","family":"Zelenika","given":"D.","non-dropping-particle":"","parse-names":false,"suffix":""},{"dropping-particle":"","family":"Zhai","given":"G.","non-dropping-particle":"","parse-names":false,"suffix":""},{"dropping-particle":"","family":"Meschia","given":"J. F.","non-dropping-particle":"","parse-names":false,"suffix":""},{"dropping-particle":"","family":"Sharma","given":"P.","non-dropping-particle":"","parse-names":false,"suffix":""},{"dropping-particle":"","family":"Terzic","given":"J.","non-dropping-particle":"","parse-names":false,"suffix":""},{"dropping-particle":"","family":"Kumar","given":"M.","non-dropping-particle":"","parse-names":false,"suffix":""},{"dropping-particle":"","family":"Denniff","given":"M.","non-dropping-particle":"","parse-names":false,"suffix":""},{"dropping-particle":"","family":"Zukowska-Szczechowska","given":"E.","non-dropping-particle":"","parse-names":false,"suffix":""},{"dropping-particle":"","family":"Wagenknecht","given":"L. E.","non-dropping-particle":"","parse-names":false,"suffix":""},{"dropping-particle":"","family":"Fowkes","given":"F.","non-dropping-particle":"","parse-names":false,"suffix":""},{"dropping-particle":"","family":"Charchar","given":"F. J.","non-dropping-particle":"","parse-names":false,"suffix":""},{"dropping-particle":"","family":"Guo","given":"X.","non-dropping-particle":"","parse-names":false,"suffix":""},{"dropping-particle":"","family":"Rotimi","given":"C.","non-dropping-particle":"","parse-names":false,"suffix":""},{"dropping-particle":"","family":"Bots","given":"M. L.","non-dropping-particle":"","parse-names":false,"suffix":""},{"dropping-particle":"","family":"Brand","given":"E.","non-dropping-particle":"","parse-names":false,"suffix":""},{"dropping-particle":"","family":"Talmud","given":"P. J.","non-dropping-particle":"","parse-names":false,"suffix":""},{"dropping-particle":"","family":"Nyberg","given":"F.","non-dropping-particle":"","parse-names":false,"suffix":""},{"dropping-particle":"","family":"Laan","given":"M.","non-dropping-particle":"","parse-names":false,"suffix":""},{"dropping-particle":"","family":"Palmer","given":"L. J.","non-dropping-particle":"","parse-names":false,"suffix":""},{"dropping-particle":"","family":"Schouw","given":"Y. T.","non-dropping-particle":"van der","parse-names":false,"suffix":""},{"dropping-particle":"","family":"Casas","given":"J. P.","non-dropping-particle":"","parse-names":false,"suffix":""},{"dropping-particle":"","family":"Vineis","given":"P.","non-dropping-particle":"","parse-names":false,"suffix":""},{"dropping-particle":"","family":"Ganesh","given":"S. K.","non-dropping-particle":"","parse-names":false,"suffix":""},{"dropping-particle":"","family":"Wong","given":"T. Y.","non-dropping-particle":"","parse-names":false,"suffix":""},{"dropping-particle":"","family":"Tai","given":"E. S.","non-dropping-particle":"","parse-names":false,"suffix":""},{"dropping-particle":"","family":"Morris","given":"R. W.","non-dropping-particle":"","parse-names":false,"suffix":""},{"dropping-particle":"","family":"Marmot","given":"M. G.","non-dropping-particle":"","parse-names":false,"suffix":""},{"dropping-particle":"","family":"Miki","given":"T.","non-dropping-particle":"","parse-names":false,"suffix":""},{"dropping-particle":"","family":"Chandak","given":"G. R.","non-dropping-particle":"","parse-names":false,"suffix":""},{"dropping-particle":"","family":"Zhu","given":"X.","non-dropping-particle":"","parse-names":false,"suffix":""},{"dropping-particle":"","family":"Elosua","given":"R.","non-dropping-particle":"","parse-names":false,"suffix":""},{"dropping-particle":"","family":"Soranzo","given":"N.","non-dropping-particle":"","parse-names":false,"suffix":""},{"dropping-particle":"","family":"Sijbrands","given":"E. J.","non-dropping-particle":"","parse-names":false,"suffix":""},{"dropping-particle":"","family":"Uda","given":"M.","non-dropping-particle":"","parse-names":false,"suffix":""},{"dropping-particle":"","family":"Vasan","given":"R. S.","non-dropping-particle":"","parse-names":false,"suffix":""},{"dropping-particle":"","family":"Järvelin","given":"M. R.","non-dropping-particle":"","parse-names":false,"suffix":""},{"dropping-particle":"","family":"Alizadeh","given":"B. Z.","non-dropping-particle":"","parse-names":false,"suffix":""},{"dropping-particle":"","family":"Boer","given":"R. A.","non-dropping-particle":"de","parse-names":false,"suffix":""},{"dropping-particle":"","family":"Boezen","given":"H. M.","non-dropping-particle":"","parse-names":false,"suffix":""},{"dropping-particle":"","family":"Hillege","given":"H. L.","non-dropping-particle":"","parse-names":false,"suffix":""},{"dropping-particle":"","family":"Klauw","given":"M. M.","non-dropping-particle":"van der","parse-names":false,"suffix":""},{"dropping-particle":"","family":"Ormel","given":"J.","non-dropping-particle":"","parse-names":false,"suffix":""},{"dropping-particle":"","family":"Rosmalen","given":"J. G.","non-dropping-particle":"","parse-names":false,"suffix":""},{"dropping-particle":"","family":"Slaets","given":"J. P.","non-dropping-particle":"","parse-names":false,"suffix":""},{"dropping-particle":"","family":"Lagou","given":"V.","non-dropping-particle":"","parse-names":false,"suffix":""},{"dropping-particle":"","family":"Welch","given":"R. P.","non-dropping-particle":"","parse-names":false,"suffix":""},{"dropping-particle":"","family":"Wheeler","given":"E.","non-dropping-particle":"","parse-names":false,"suffix":""},{"dropping-particle":"","family":"Rehnberg","given":"E.","non-dropping-particle":"","parse-names":false,"suffix":""},{"dropping-particle":"","family":"Rasmussen-Torvik","given":"L. J.","non-dropping-particle":"","parse-names":false,"suffix":""},{"dropping-particle":"","family":"Lecoeur","given":"C.","non-dropping-particle":"","parse-names":false,"suffix":""},{"dropping-particle":"","family":"Johnson","given":"P. C.","non-dropping-particle":"","parse-names":false,"suffix":""},{"dropping-particle":"","family":"Sennblad","given":"B.","non-dropping-particle":"","parse-names":false,"suffix":""},{"dropping-particle":"","family":"Salo","given":"P.","non-dropping-particle":"","parse-names":false,"suffix":""},{"dropping-particle":"","family":"Timpson","given":"N. J.","non-dropping-particle":"","parse-names":false,"suffix":""},{"dropping-particle":"","family":"Evans","given":"D. M.","non-dropping-particle":"","parse-names":false,"suffix":""},{"dropping-particle":"","family":"St Pourcain","given":"B.","non-dropping-particle":"","parse-names":false,"suffix":""},{"dropping-particle":"","family":"Bielak","given":"L. F.","non-dropping-particle":"","parse-names":false,"suffix":""},{"dropping-particle":"","family":"Horikoshi","given":"M.","non-dropping-particle":"","parse-names":false,"suffix":""},{"dropping-particle":"","family":"Navarro","given":"P.","non-dropping-particle":"","parse-names":false,"suffix":""},{"dropping-particle":"","family":"Raychaudhuri","given":"S.","non-dropping-particle":"","parse-names":false,"suffix":""},{"dropping-particle":"","family":"Chen","given":"H.","non-dropping-particle":"","parse-names":false,"suffix":""},{"dropping-particle":"","family":"Rybin","given":"D.","non-dropping-particle":"","parse-names":false,"suffix":""},{"dropping-particle":"","family":"Willems","given":"S. M.","non-dropping-particle":"","parse-names":false,"suffix":""},{"dropping-particle":"","family":"Song","given":"K.","non-dropping-particle":"","parse-names":false,"suffix":""},{"dropping-particle":"","family":"An","given":"P.","non-dropping-particle":"","parse-names":false,"suffix":""},{"dropping-particle":"","family":"Marullo","given":"L.","non-dropping-particle":"","parse-names":false,"suffix":""},{"dropping-particle":"","family":"Jansen","given":"H.","non-dropping-particle":"","parse-names":false,"suffix":""},{"dropping-particle":"","family":"Pankow","given":"J.","non-dropping-particle":"","parse-names":false,"suffix":""},{"dropping-particle":"","family":"Edkins","given":"S.","non-dropping-particle":"","parse-names":false,"suffix":""},{"dropping-particle":"V.","family":"Varga","given":"T.","non-dropping-particle":"","parse-names":false,"suffix":""},{"dropping-particle":"","family":"Oksa","given":"H.","non-dropping-particle":"","parse-names":false,"suffix":""},{"dropping-particle":"","family":"Antonella","given":"M.","non-dropping-particle":"","parse-names":false,"suffix":""},{"dropping-particle":"","family":"Kong","given":"A.","non-dropping-particle":"","parse-names":false,"suffix":""},{"dropping-particle":"","family":"Herder","given":"C.","non-dropping-particle":"","parse-names":false,"suffix":""},{"dropping-particle":"","family":"Antti","given":"J.","non-dropping-particle":"","parse-names":false,"suffix":""},{"dropping-particle":"","family":"Small","given":"K. S.","non-dropping-particle":"","parse-names":false,"suffix":""},{"dropping-particle":"","family":"Miljkovic","given":"I.","non-dropping-particle":"","parse-names":false,"suffix":""},{"dropping-particle":"","family":"Atalay","given":"M.","non-dropping-particle":"","parse-names":false,"suffix":""},{"dropping-particle":"","family":"Kiess","given":"W.","non-dropping-particle":"","parse-names":false,"suffix":""},{"dropping-particle":"","family":"Smit","given":"J. H.","non-dropping-particle":"","parse-names":false,"suffix":""},{"dropping-particle":"","family":"Campbell","given":"S.","non-dropping-particle":"","parse-names":false,"suffix":""},{"dropping-particle":"","family":"Fowkes","given":"G. R.","non-dropping-particle":"","parse-names":false,"suffix":""},{"dropping-particle":"","family":"Rathmann","given":"W.","non-dropping-particle":"","parse-names":false,"suffix":""},{"dropping-particle":"","family":"Maerz","given":"W.","non-dropping-particle":"","parse-names":false,"suffix":""},{"dropping-particle":"","family":"Watanabe","given":"R. M.","non-dropping-particle":"","parse-names":false,"suffix":""},{"dropping-particle":"","family":"Geus","given":"E. J.","non-dropping-particle":"de","parse-names":false,"suffix":""},{"dropping-particle":"","family":"Penninx","given":"B. W.","non-dropping-particle":"","parse-names":false,"suffix":""},{"dropping-particle":"","family":"Toenjes","given":"A.","non-dropping-particle":"","parse-names":false,"suffix":""},{"dropping-particle":"","family":"Peyser","given":"P. A.","non-dropping-particle":"","parse-names":false,"suffix":""},{"dropping-particle":"","family":"Körner","given":"A.","non-dropping-particle":"","parse-names":false,"suffix":""},{"dropping-particle":"","family":"Dupuis","given":"J.","non-dropping-particle":"","parse-names":false,"suffix":""},{"dropping-particle":"","family":"Cucca","given":"F.","non-dropping-particle":"","parse-names":false,"suffix":""},{"dropping-particle":"","family":"Balkau","given":"B.","non-dropping-particle":"","parse-names":false,"suffix":""},{"dropping-particle":"","family":"Bouatia-Naji","given":"N.","non-dropping-particle":"","parse-names":false,"suffix":""},{"dropping-particle":"","family":"Purcell","given":"S.","non-dropping-particle":"","parse-names":false,"suffix":""},{"dropping-particle":"","family":"Musunuru","given":"K.","non-dropping-particle":"","parse-names":false,"suffix":""},{"dropping-particle":"","family":"Ardissino","given":"D.","non-dropping-particle":"","parse-names":false,"suffix":""},{"dropping-particle":"","family":"Mannucci","given":"P. M.","non-dropping-particle":"","parse-names":false,"suffix":""},{"dropping-particle":"","family":"Anand","given":"S.","non-dropping-particle":"","parse-names":false,"suffix":""},{"dropping-particle":"","family":"Engert","given":"J. C.","non-dropping-particle":"","parse-names":false,"suffix":""},{"dropping-particle":"","family":"Morgan","given":"T.","non-dropping-particle":"","parse-names":false,"suffix":""},{"dropping-particle":"","family":"Spertus","given":"J. A.","non-dropping-particle":"","parse-names":false,"suffix":""},{"dropping-particle":"","family":"Stoll","given":"M.","non-dropping-particle":"","parse-names":false,"suffix":""},{"dropping-particle":"","family":"Girelli","given":"D.","non-dropping-particle":"","parse-names":false,"suffix":""},{"dropping-particle":"","family":"McKeown","given":"P. P.","non-dropping-particle":"","parse-names":false,"suffix":""},{"dropping-particle":"","family":"Patterson","given":"C. C.","non-dropping-particle":"","parse-names":false,"suffix":""},{"dropping-particle":"","family":"Merlini","given":"P. A.","non-dropping-particle":"","parse-names":false,"suffix":""},{"dropping-particle":"","family":"Berzuini","given":"C.","non-dropping-particle":"","parse-names":false,"suffix":""},{"dropping-particle":"","family":"Bernardinelli","given":"L.","non-dropping-particle":"","parse-names":false,"suffix":""},{"dropping-particle":"","family":"Peyvandi","given":"F.","non-dropping-particle":"","parse-names":false,"suffix":""},{"dropping-particle":"","family":"Tubaro","given":"M.","non-dropping-particle":"","parse-names":false,"suffix":""},{"dropping-particle":"","family":"Celli","given":"P.","non-dropping-particle":"","parse-names":false,"suffix":""},{"dropping-particle":"","family":"Fetiveau","given":"R.","non-dropping-particle":"","parse-names":false,"suffix":""},{"dropping-particle":"","family":"Marziliano","given":"N.","non-dropping-particle":"","parse-names":false,"suffix":""},{"dropping-particle":"","family":"Casari","given":"G.","non-dropping-particle":"","parse-names":false,"suffix":""},{"dropping-particle":"","family":"Galli","given":"M.","non-dropping-particle":"","parse-names":false,"suffix":""},{"dropping-particle":"","family":"Ribichini","given":"F.","non-dropping-particle":"","parse-names":false,"suffix":""},{"dropping-particle":"","family":"Rossi","given":"M.","non-dropping-particle":"","parse-names":false,"suffix":""},{"dropping-particle":"","family":"Bernardi","given":"F.","non-dropping-particle":"","parse-names":false,"suffix":""},{"dropping-particle":"","family":"Zonzin","given":"P.","non-dropping-particle":"","parse-names":false,"suffix":""},{"dropping-particle":"","family":"Piazza","given":"A.","non-dropping-particle":"","parse-names":false,"suffix":""},{"dropping-particle":"","family":"Yee","given":"J.","non-dropping-particle":"","parse-names":false,"suffix":""},{"dropping-particle":"","family":"Friedlander","given":"Y.","non-dropping-particle":"","parse-names":false,"suffix":""},{"dropping-particle":"","family":"Marrugat","given":"J.","non-dropping-particle":"","parse-names":false,"suffix":""},{"dropping-particle":"","family":"Subirana","given":"I.","non-dropping-particle":"","parse-names":false,"suffix":""},{"dropping-particle":"","family":"Sala","given":"J.","non-dropping-particle":"","parse-names":false,"suffix":""},{"dropping-particle":"","family":"Ramos","given":"R.","non-dropping-particle":"","parse-names":false,"suffix":""},{"dropping-particle":"","family":"Williams","given":"G.","non-dropping-particle":"","parse-names":false,"suffix":""},{"dropping-particle":"","family":"Nathan","given":"D. M.","non-dropping-particle":"","parse-names":false,"suffix":""},{"dropping-particle":"","family":"Macrae","given":"C. A.","non-dropping-particle":"","parse-names":false,"suffix":""},{"dropping-particle":"","family":"Berglund","given":"G.","non-dropping-particle":"","parse-names":false,"suffix":""},{"dropping-particle":"","family":"Asselta","given":"R.","non-dropping-particle":"","parse-names":false,"suffix":""},{"dropping-particle":"","family":"Duga","given":"S.","non-dropping-particle":"","parse-names":false,"suffix":""},{"dropping-particle":"","family":"Spreafico","given":"M.","non-dropping-particle":"","parse-names":false,"suffix":""},{"dropping-particle":"","family":"Daly","given":"M. J.","non-dropping-particle":"","parse-names":false,"suffix":""},{"dropping-particle":"","family":"Nemesh","given":"J.","non-dropping-particle":"","parse-names":false,"suffix":""},{"dropping-particle":"","family":"Korn","given":"J. M.","non-dropping-particle":"","parse-names":false,"suffix":""},{"dropping-particle":"","family":"Surti","given":"A.","non-dropping-particle":"","parse-names":false,"suffix":""},{"dropping-particle":"","family":"Gianniny","given":"L.","non-dropping-particle":"","parse-names":false,"suffix":""},{"dropping-particle":"","family":"Parkin","given":"M.","non-dropping-particle":"","parse-names":false,"suffix":""},{"dropping-particle":"","family":"Burtt","given":"N.","non-dropping-particle":"","parse-names":false,"suffix":""},{"dropping-particle":"","family":"Gabriel","given":"S. B.","non-dropping-particle":"","parse-names":false,"suffix":""},{"dropping-particle":"","family":"Wright","given":"B. J.","non-dropping-particle":"","parse-names":false,"suffix":""},{"dropping-particle":"","family":"Ball","given":"S. G.","non-dropping-particle":"","parse-names":false,"suffix":""},{"dropping-particle":"","family":"Schunkert","given":"I.","non-dropping-particle":"","parse-names":false,"suffix":""},{"dropping-particle":"","family":"Linsel-Nitschke","given":"P.","non-dropping-particle":"","parse-names":false,"suffix":""},{"dropping-particle":"","family":"Lieb","given":"W.","non-dropping-particle":"","parse-names":false,"suffix":""},{"dropping-particle":"","family":"Fischer","given":"M.","non-dropping-particle":"","parse-names":false,"suffix":""},{"dropping-particle":"","family":"Grosshennig","given":"A.","non-dropping-particle":"","parse-names":false,"suffix":""},{"dropping-particle":"","family":"Preuss","given":"M.","non-dropping-particle":"","parse-names":false,"suffix":""},{"dropping-particle":"","family":"Scholz","given":"M.","non-dropping-particle":"","parse-names":false,"suffix":""},{"dropping-particle":"","family":"Chen","given":"Z.","non-dropping-particle":"","parse-names":false,"suffix":""},{"dropping-particle":"","family":"Wilensky","given":"R.","non-dropping-particle":"","parse-names":false,"suffix":""},{"dropping-particle":"","family":"Matthai","given":"W.","non-dropping-particle":"","parse-names":false,"suffix":""},{"dropping-particle":"","family":"Qasim","given":"A.","non-dropping-particle":"","parse-names":false,"suffix":""},{"dropping-particle":"","family":"Hakonarson","given":"H. H.","non-dropping-particle":"","parse-names":false,"suffix":""},{"dropping-particle":"","family":"Devaney","given":"J.","non-dropping-particle":"","parse-names":false,"suffix":""},{"dropping-particle":"","family":"Pichard","given":"A. D.","non-dropping-particle":"","parse-names":false,"suffix":""},{"dropping-particle":"","family":"Kent","given":"K. M.","non-dropping-particle":"","parse-names":false,"suffix":""},{"dropping-particle":"","family":"Satler","given":"L.","non-dropping-particle":"","parse-names":false,"suffix":""},{"dropping-particle":"","family":"Lindsay","given":"J. M.","non-dropping-particle":"","parse-names":false,"suffix":""},{"dropping-particle":"","family":"Waksman","given":"R.","non-dropping-particle":"","parse-names":false,"suffix":""},{"dropping-particle":"","family":"Knouff","given":"C. W.","non-dropping-particle":"","parse-names":false,"suffix":""},{"dropping-particle":"","family":"Scheffold","given":"T.","non-dropping-particle":"","parse-names":false,"suffix":""},{"dropping-particle":"","family":"Berger","given":"K.","non-dropping-particle":"","parse-names":false,"suffix":""},{"dropping-particle":"","family":"Huge","given":"A.","non-dropping-particle":"","parse-names":false,"suffix":""},{"dropping-particle":"","family":"Martinelli","given":"N.","non-dropping-particle":"","parse-names":false,"suffix":""},{"dropping-particle":"","family":"Olivieri","given":"O.","non-dropping-particle":"","parse-names":false,"suffix":""},{"dropping-particle":"","family":"Corrocher","given":"R.","non-dropping-particle":"","parse-names":false,"suffix":""},{"dropping-particle":"","family":"Hólm","given":"H.","non-dropping-particle":"","parse-names":false,"suffix":""},{"dropping-particle":"","family":"Xie","given":"C.","non-dropping-particle":"","parse-names":false,"suffix":""},{"dropping-particle":"","family":"Ahmadi","given":"K. R.","non-dropping-particle":"","parse-names":false,"suffix":""},{"dropping-particle":"","family":"Ainali","given":"C.","non-dropping-particle":"","parse-names":false,"suffix":""},{"dropping-particle":"","family":"Bataille","given":"V.","non-dropping-particle":"","parse-names":false,"suffix":""},{"dropping-particle":"","family":"Bell","given":"J. T.","non-dropping-particle":"","parse-names":false,"suffix":""},{"dropping-particle":"","family":"Buil","given":"A.","non-dropping-particle":"","parse-names":false,"suffix":""},{"dropping-particle":"","family":"Dermitzakis","given":"E. T.","non-dropping-particle":"","parse-names":false,"suffix":""},{"dropping-particle":"","family":"Dimas","given":"A. S.","non-dropping-particle":"","parse-names":false,"suffix":""},{"dropping-particle":"","family":"Durbin","given":"R.","non-dropping-particle":"","parse-names":false,"suffix":""},{"dropping-particle":"","family":"Glass","given":"D.","non-dropping-particle":"","parse-names":false,"suffix":""},{"dropping-particle":"","family":"Hassanali","given":"N.","non-dropping-particle":"","parse-names":false,"suffix":""},{"dropping-particle":"","family":"Ingle","given":"C.","non-dropping-particle":"","parse-names":false,"suffix":""},{"dropping-particle":"","family":"Knowles","given":"D.","non-dropping-particle":"","parse-names":false,"suffix":""},{"dropping-particle":"","family":"Krestyaninova","given":"M.","non-dropping-particle":"","parse-names":false,"suffix":""},{"dropping-particle":"","family":"Lowe","given":"C. E.","non-dropping-particle":"","parse-names":false,"suffix":""},{"dropping-particle":"","family":"Meduri","given":"E.","non-dropping-particle":"","parse-names":false,"suffix":""},{"dropping-particle":"","family":"Meglio","given":"P.","non-dropping-particle":"Di","parse-names":false,"suffix":""},{"dropping-particle":"","family":"Montgomery","given":"S. B.","non-dropping-particle":"","parse-names":false,"suffix":""},{"dropping-particle":"","family":"Nestle","given":"F. O.","non-dropping-particle":"","parse-names":false,"suffix":""},{"dropping-particle":"","family":"Nica","given":"A. C.","non-dropping-particle":"","parse-names":false,"suffix":""},{"dropping-particle":"","family":"Nisbet","given":"J.","non-dropping-particle":"","parse-names":false,"suffix":""},{"dropping-particle":"","family":"O'rahilly","given":"S.","non-dropping-particle":"","parse-names":false,"suffix":""},{"dropping-particle":"","family":"Parts","given":"L.","non-dropping-particle":"","parse-names":false,"suffix":""},{"dropping-particle":"","family":"Potter","given":"S.","non-dropping-particle":"","parse-names":false,"suffix":""},{"dropping-particle":"","family":"Sekowska","given":"M.","non-dropping-particle":"","parse-names":false,"suffix":""},{"dropping-particle":"","family":"Shin","given":"S. Y.","non-dropping-particle":"","parse-names":false,"suffix":""},{"dropping-particle":"","family":"Surdulescu","given":"G.","non-dropping-particle":"","parse-names":false,"suffix":""},{"dropping-particle":"","family":"Travers","given":"M. E.","non-dropping-particle":"","parse-names":false,"suffix":""},{"dropping-particle":"","family":"Tsaprouni","given":"L.","non-dropping-particle":"","parse-names":false,"suffix":""},{"dropping-particle":"","family":"Tsoka","given":"S.","non-dropping-particle":"","parse-names":false,"suffix":""},{"dropping-particle":"","family":"Wilk","given":"A.","non-dropping-particle":"","parse-names":false,"suffix":""},{"dropping-particle":"","family":"Yang","given":"T. P.","non-dropping-particle":"","parse-names":false,"suffix":""},{"dropping-particle":"","family":"Higashio","given":"J.","non-dropping-particle":"","parse-names":false,"suffix":""},{"dropping-particle":"","family":"Williams","given":"R.","non-dropping-particle":"","parse-names":false,"suffix":""},{"dropping-particle":"","family":"Nato","given":"A.","non-dropping-particle":"","parse-names":false,"suffix":""},{"dropping-particle":"","family":"Ambite","given":"J. L.","non-dropping-particle":"","parse-names":false,"suffix":""},{"dropping-particle":"","family":"Deelman","given":"E.","non-dropping-particle":"","parse-names":false,"suffix":""},{"dropping-particle":"","family":"Manolio","given":"T.","non-dropping-particle":"","parse-names":false,"suffix":""},{"dropping-particle":"","family":"Heiss","given":"G.","non-dropping-particle":"","parse-names":false,"suffix":""},{"dropping-particle":"","family":"Taylor","given":"K.","non-dropping-particle":"","parse-names":false,"suffix":""},{"dropping-particle":"","family":"Avery","given":"C.","non-dropping-particle":"","parse-names":false,"suffix":""},{"dropping-particle":"","family":"Graff","given":"M.","non-dropping-particle":"","parse-names":false,"suffix":""},{"dropping-particle":"","family":"Lin","given":"D.","non-dropping-particle":"","parse-names":false,"suffix":""},{"dropping-particle":"","family":"Quibrera","given":"M.","non-dropping-particle":"","parse-names":false,"suffix":""},{"dropping-particle":"","family":"Cochran","given":"B.","non-dropping-particle":"","parse-names":false,"suffix":""},{"dropping-particle":"","family":"Kao","given":"L.","non-dropping-particle":"","parse-names":false,"suffix":""},{"dropping-particle":"","family":"Umans","given":"J.","non-dropping-particle":"","parse-names":false,"suffix":""},{"dropping-particle":"","family":"Cole","given":"S.","non-dropping-particle":"","parse-names":false,"suffix":""},{"dropping-particle":"","family":"Maccluer","given":"J.","non-dropping-particle":"","parse-names":false,"suffix":""},{"dropping-particle":"","family":"Person","given":"S.","non-dropping-particle":"","parse-names":false,"suffix":""},{"dropping-particle":"","family":"Gross","given":"M.","non-dropping-particle":"","parse-names":false,"suffix":""},{"dropping-particle":"","family":"Fornage","given":"M.","non-dropping-particle":"","parse-names":false,"suffix":""},{"dropping-particle":"","family":"Durda","given":"P.","non-dropping-particle":"","parse-names":false,"suffix":""},{"dropping-particle":"","family":"Jenny","given":"N.","non-dropping-particle":"","parse-names":false,"suffix":""},{"dropping-particle":"","family":"Patsy","given":"B.","non-dropping-particle":"","parse-names":false,"suffix":""},{"dropping-particle":"","family":"Arnold","given":"A. M.","non-dropping-particle":"","parse-names":false,"suffix":""},{"dropping-particle":"","family":"Buzkova","given":"P.","non-dropping-particle":"","parse-names":false,"suffix":""},{"dropping-particle":"","family":"Haines","given":"J.","non-dropping-particle":"","parse-names":false,"suffix":""},{"dropping-particle":"","family":"Murdock","given":"D.","non-dropping-particle":"","parse-names":false,"suffix":""},{"dropping-particle":"","family":"Glenn","given":"K.","non-dropping-particle":"","parse-names":false,"suffix":""},{"dropping-particle":"","family":"Brown-Gentry","given":"K.","non-dropping-particle":"","parse-names":false,"suffix":""},{"dropping-particle":"","family":"Thornton-Wells","given":"T.","non-dropping-particle":"","parse-names":false,"suffix":""},{"dropping-particle":"","family":"Dumitrescu","given":"L.","non-dropping-particle":"","parse-names":false,"suffix":""},{"dropping-particle":"","family":"Bush","given":"W. S.","non-dropping-particle":"","parse-names":false,"suffix":""},{"dropping-particle":"","family":"Mitchell","given":"S. L.","non-dropping-particle":"","parse-names":false,"suffix":""},{"dropping-particle":"","family":"Goodloe","given":"R.","non-dropping-particle":"","parse-names":false,"suffix":""},{"dropping-particle":"","family":"Wilson","given":"S.","non-dropping-particle":"","parse-names":false,"suffix":""},{"dropping-particle":"","family":"Boston","given":"J.","non-dropping-particle":"","parse-names":false,"suffix":""},{"dropping-particle":"","family":"Malinowski","given":"J.","non-dropping-particle":"","parse-names":false,"suffix":""},{"dropping-particle":"","family":"Restrepo","given":"N.","non-dropping-particle":"","parse-names":false,"suffix":""},{"dropping-particle":"","family":"Oetjens","given":"M.","non-dropping-particle":"","parse-names":false,"suffix":""},{"dropping-particle":"","family":"Fowke","given":"J.","non-dropping-particle":"","parse-names":false,"suffix":""},{"dropping-particle":"","family":"Spencer","given":"K.","non-dropping-particle":"","parse-names":false,"suffix":""},{"dropping-particle":"","family":"Pendergrass","given":"S.","non-dropping-particle":"","parse-names":false,"suffix":""},{"dropping-particle":"","family":"Marchand","given":"L.","non-dropping-particle":"Le","parse-names":false,"suffix":""},{"dropping-particle":"","family":"Park","given":"L.","non-dropping-particle":"","parse-names":false,"suffix":""},{"dropping-particle":"","family":"Tiirikainen","given":"M.","non-dropping-particle":"","parse-names":false,"suffix":""},{"dropping-particle":"","family":"Kolonel","given":"L.","non-dropping-particle":"","parse-names":false,"suffix":""},{"dropping-particle":"","family":"Cheng","given":"I.","non-dropping-particle":"","parse-names":false,"suffix":""},{"dropping-particle":"","family":"Wang","given":"H.","non-dropping-particle":"","parse-names":false,"suffix":""},{"dropping-particle":"","family":"Shohet","given":"R.","non-dropping-particle":"","parse-names":false,"suffix":""},{"dropping-particle":"","family":"Stram","given":"D.","non-dropping-particle":"","parse-names":false,"suffix":""},{"dropping-particle":"","family":"Henderson","given":"B.","non-dropping-particle":"","parse-names":false,"suffix":""},{"dropping-particle":"","family":"Monroe","given":"K.","non-dropping-particle":"","parse-names":false,"suffix":""},{"dropping-particle":"","family":"Anderson","given":"G.","non-dropping-particle":"","parse-names":false,"suffix":""},{"dropping-particle":"","family":"Carlson","given":"C.","non-dropping-particle":"","parse-names":false,"suffix":""},{"dropping-particle":"","family":"Prentice","given":"R.","non-dropping-particle":"","parse-names":false,"suffix":""},{"dropping-particle":"","family":"Lacroix","given":"A.","non-dropping-particle":"","parse-names":false,"suffix":""},{"dropping-particle":"","family":"Wu","given":"C.","non-dropping-particle":"","parse-names":false,"suffix":""},{"dropping-particle":"","family":"Carty","given":"C.","non-dropping-particle":"","parse-names":false,"suffix":""},{"dropping-particle":"","family":"Rosse","given":"S.","non-dropping-particle":"","parse-names":false,"suffix":""},{"dropping-particle":"","family":"Young","given":"A.","non-dropping-particle":"","parse-names":false,"suffix":""},{"dropping-particle":"","family":"Kocarnik","given":"J.","non-dropping-particle":"","parse-names":false,"suffix":""},{"dropping-particle":"","family":"Lin","given":"Y.","non-dropping-particle":"","parse-names":false,"suffix":""},{"dropping-particle":"","family":"Jackson","given":"R.","non-dropping-particle":"","parse-names":false,"suffix":""},{"dropping-particle":"","family":"Duggan","given":"D.","non-dropping-particle":"","parse-names":false,"suffix":""},{"dropping-particle":"","family":"Kuller","given":"L.","non-dropping-particle":"","parse-names":false,"suffix":""},{"dropping-particle":"","family":"He","given":"C.","non-dropping-particle":"","parse-names":false,"suffix":""},{"dropping-particle":"","family":"Sulem","given":"P.","non-dropping-particle":"","parse-names":false,"suffix":""},{"dropping-particle":"","family":"Barbalic","given":"M.","non-dropping-particle":"","parse-names":false,"suffix":""},{"dropping-particle":"","family":"Broer","given":"L.","non-dropping-particle":"","parse-names":false,"suffix":""},{"dropping-particle":"","family":"Byrne","given":"E. M.","non-dropping-particle":"","parse-names":false,"suffix":""},{"dropping-particle":"","family":"Gudbjartsson","given":"D. F.","non-dropping-particle":"","parse-names":false,"suffix":""},{"dropping-particle":"","family":"McArdle","given":"P. F.","non-dropping-particle":"","parse-names":false,"suffix":""},{"dropping-particle":"","family":"Porcu","given":"E.","non-dropping-particle":"","parse-names":false,"suffix":""},{"dropping-particle":"","family":"Wingerden","given":"S.","non-dropping-particle":"van","parse-names":false,"suffix":""},{"dropping-particle":"V.","family":"Zhuang","given":"W.","non-dropping-particle":"","parse-names":false,"suffix":""},{"dropping-particle":"","family":"Lauc","given":"L. B.","non-dropping-particle":"","parse-names":false,"suffix":""},{"dropping-particle":"","family":"Broekmans","given":"F. J.","non-dropping-particle":"","parse-names":false,"suffix":""},{"dropping-particle":"","family":"Burri","given":"A.","non-dropping-particle":"","parse-names":false,"suffix":""},{"dropping-particle":"","family":"Chen","given":"C.","non-dropping-particle":"","parse-names":false,"suffix":""},{"dropping-particle":"","family":"Corre","given":"T.","non-dropping-particle":"","parse-names":false,"suffix":""},{"dropping-particle":"","family":"Coviello","given":"A. D.","non-dropping-particle":"","parse-names":false,"suffix":""},{"dropping-particle":"","family":"D'adamo","given":"P.","non-dropping-particle":"","parse-names":false,"suffix":""},{"dropping-particle":"","family":"Davies","given":"G.","non-dropping-particle":"","parse-names":false,"suffix":""},{"dropping-particle":"","family":"Deary","given":"I. J.","non-dropping-particle":"","parse-names":false,"suffix":""},{"dropping-particle":"","family":"Ebrahim","given":"S.","non-dropping-particle":"","parse-names":false,"suffix":""},{"dropping-particle":"","family":"Fauser","given":"B. C.","non-dropping-particle":"","parse-names":false,"suffix":""},{"dropping-particle":"","family":"Ferreli","given":"L.","non-dropping-particle":"","parse-names":false,"suffix":""},{"dropping-particle":"","family":"Folsom","given":"A. R.","non-dropping-particle":"","parse-names":false,"suffix":""},{"dropping-particle":"","family":"Hankinson","given":"S. E.","non-dropping-particle":"","parse-names":false,"suffix":""},{"dropping-particle":"","family":"Hass","given":"M.","non-dropping-particle":"","parse-names":false,"suffix":""},{"dropping-particle":"","family":"Janssens","given":"A. C.","non-dropping-particle":"","parse-names":false,"suffix":""},{"dropping-particle":"","family":"Karasik","given":"D.","non-dropping-particle":"","parse-names":false,"suffix":""},{"dropping-particle":"","family":"Keyzer","given":"J.","non-dropping-particle":"","parse-names":false,"suffix":""},{"dropping-particle":"","family":"Kiel","given":"D. P.","non-dropping-particle":"","parse-names":false,"suffix":""},{"dropping-particle":"","family":"Lahti","given":"J.","non-dropping-particle":"","parse-names":false,"suffix":""},{"dropping-particle":"","family":"Lai","given":"S.","non-dropping-particle":"","parse-names":false,"suffix":""},{"dropping-particle":"","family":"Laisk","given":"T.","non-dropping-particle":"","parse-names":false,"suffix":""},{"dropping-particle":"","family":"Laven","given":"J. S.","non-dropping-particle":"","parse-names":false,"suffix":""},{"dropping-particle":"","family":"Liu","given":"J.","non-dropping-particle":"","parse-names":false,"suffix":""},{"dropping-particle":"","family":"Lopez","given":"L. M.","non-dropping-particle":"","parse-names":false,"suffix":""},{"dropping-particle":"V.","family":"Louwers","given":"Y.","non-dropping-particle":"","parse-names":false,"suffix":""},{"dropping-particle":"","family":"Marongiu","given":"M.","non-dropping-particle":"","parse-names":false,"suffix":""},{"dropping-particle":"","family":"Klaric","given":"I. M.","non-dropping-particle":"","parse-names":false,"suffix":""},{"dropping-particle":"","family":"Masciullo","given":"C.","non-dropping-particle":"","parse-names":false,"suffix":""},{"dropping-particle":"","family":"Melzer","given":"D.","non-dropping-particle":"","parse-names":false,"suffix":""},{"dropping-particle":"","family":"Newman","given":"A. B.","non-dropping-particle":"","parse-names":false,"suffix":""},{"dropping-particle":"","family":"Paré","given":"G.","non-dropping-particle":"","parse-names":false,"suffix":""},{"dropping-particle":"","family":"Peeters","given":"P. H.","non-dropping-particle":"","parse-names":false,"suffix":""},{"dropping-particle":"","family":"Pop","given":"V. J.","non-dropping-particle":"","parse-names":false,"suffix":""},{"dropping-particle":"","family":"Räikkönen","given":"K.","non-dropping-particle":"","parse-names":false,"suffix":""},{"dropping-particle":"","family":"Salumets","given":"A.","non-dropping-particle":"","parse-names":false,"suffix":""},{"dropping-particle":"","family":"Stacey","given":"S. N.","non-dropping-particle":"","parse-names":false,"suffix":""},{"dropping-particle":"","family":"Starr","given":"J. M.","non-dropping-particle":"","parse-names":false,"suffix":""},{"dropping-particle":"","family":"Stathopoulou","given":"M. G.","non-dropping-particle":"","parse-names":false,"suffix":""},{"dropping-particle":"","family":"Styrkarsdottir","given":"U.","non-dropping-particle":"","parse-names":false,"suffix":""},{"dropping-particle":"","family":"Tenesa","given":"A.","non-dropping-particle":"","parse-names":false,"suffix":""},{"dropping-particle":"","family":"Tryggvadottir","given":"L.","non-dropping-particle":"","parse-names":false,"suffix":""},{"dropping-particle":"","family":"Tsui","given":"K.","non-dropping-particle":"","parse-names":false,"suffix":""},{"dropping-particle":"","family":"Dam","given":"R. M.","non-dropping-particle":"van","parse-names":false,"suffix":""},{"dropping-particle":"","family":"Gils","given":"C. H.","non-dropping-particle":"van","parse-names":false,"suffix":""},{"dropping-particle":"","family":"Nierop","given":"P.","non-dropping-particle":"van","parse-names":false,"suffix":""},{"dropping-particle":"","family":"Vink","given":"J. M.","non-dropping-particle":"","parse-names":false,"suffix":""},{"dropping-particle":"","family":"Voorhuis","given":"M.","non-dropping-particle":"","parse-names":false,"suffix":""},{"dropping-particle":"","family":"Widen","given":"E.","non-dropping-particle":"","parse-names":false,"suffix":""},{"dropping-particle":"","family":"Wijnands-Van Gent","given":"C. J.","non-dropping-particle":"","parse-names":false,"suffix":""},{"dropping-particle":"","family":"Yerges-Armstrong","given":"L. M.","non-dropping-particle":"","parse-names":false,"suffix":""},{"dropping-particle":"","family":"Zgaga","given":"L.","non-dropping-particle":"","parse-names":false,"suffix":""},{"dropping-particle":"","family":"Zygmunt","given":"M.","non-dropping-particle":"","parse-names":false,"suffix":""},{"dropping-particle":"","family":"Buring","given":"J. E.","non-dropping-particle":"","parse-names":false,"suffix":""},{"dropping-particle":"","family":"Crisponi","given":"L.","non-dropping-particle":"","parse-names":false,"suffix":""},{"dropping-particle":"","family":"Demerath","given":"E. W.","non-dropping-particle":"","parse-names":false,"suffix":""},{"dropping-particle":"","family":"Streeten","given":"E. A.","non-dropping-particle":"","parse-names":false,"suffix":""},{"dropping-particle":"","family":"Murray","given":"A.","non-dropping-particle":"","parse-names":false,"suffix":""},{"dropping-particle":"","family":"Visser","given":"J. A.","non-dropping-particle":"","parse-names":false,"suffix":""},{"dropping-particle":"","family":"Lunetta","given":"K. L.","non-dropping-particle":"","parse-names":false,"suffix":""},{"dropping-particle":"","family":"Elks","given":"C. E.","non-dropping-particle":"","parse-names":false,"suffix":""},{"dropping-particle":"","family":"Cousminer","given":"D. L.","non-dropping-particle":"","parse-names":false,"suffix":""},{"dropping-particle":"","family":"Koller","given":"D. L.","non-dropping-particle":"","parse-names":false,"suffix":""},{"dropping-particle":"","family":"Lin","given":"P.","non-dropping-particle":"","parse-names":false,"suffix":""},{"dropping-particle":"","family":"Smith","given":"E. N.","non-dropping-particle":"","parse-names":false,"suffix":""},{"dropping-particle":"","family":"Warrington","given":"N. M.","non-dropping-particle":"","parse-names":false,"suffix":""},{"dropping-particle":"","family":"Alavere","given":"H.","non-dropping-particle":"","parse-names":false,"suffix":""},{"dropping-particle":"","family":"Berenson","given":"G. S.","non-dropping-particle":"","parse-names":false,"suffix":""},{"dropping-particle":"","family":"Blackburn","given":"H.","non-dropping-particle":"","parse-names":false,"suffix":""},{"dropping-particle":"","family":"Busonero","given":"F.","non-dropping-particle":"","parse-names":false,"suffix":""},{"dropping-particle":"","family":"Chen","given":"W.","non-dropping-particle":"","parse-names":false,"suffix":""},{"dropping-particle":"","family":"Couper","given":"D.","non-dropping-particle":"","parse-names":false,"suffix":""},{"dropping-particle":"","family":"Easton","given":"D. F.","non-dropping-particle":"","parse-names":false,"suffix":""},{"dropping-particle":"","family":"Eriksson","given":"J.","non-dropping-particle":"","parse-names":false,"suffix":""},{"dropping-particle":"","family":"Foroud","given":"T.","non-dropping-particle":"","parse-names":false,"suffix":""},{"dropping-particle":"","family":"Kilpeläinen","given":"T. O.","non-dropping-particle":"","parse-names":false,"suffix":""},{"dropping-particle":"","family":"Li","given":"S.","non-dropping-particle":"","parse-names":false,"suffix":""},{"dropping-particle":"","family":"Murray","given":"S. S.","non-dropping-particle":"","parse-names":false,"suffix":""},{"dropping-particle":"","family":"Ness","given":"A. R.","non-dropping-particle":"","parse-names":false,"suffix":""},{"dropping-particle":"","family":"Northstone","given":"K.","non-dropping-particle":"","parse-names":false,"suffix":""},{"dropping-particle":"","family":"Peacock","given":"M.","non-dropping-particle":"","parse-names":false,"suffix":""},{"dropping-particle":"","family":"Pennell","given":"C. E.","non-dropping-particle":"","parse-names":false,"suffix":""},{"dropping-particle":"","family":"Pharoah","given":"P.","non-dropping-particle":"","parse-names":false,"suffix":""},{"dropping-particle":"","family":"Rafnar","given":"T.","non-dropping-particle":"","parse-names":false,"suffix":""},{"dropping-particle":"","family":"Rice","given":"J. P.","non-dropping-particle":"","parse-names":false,"suffix":""},{"dropping-particle":"","family":"Ring","given":"S. M.","non-dropping-particle":"","parse-names":false,"suffix":""},{"dropping-particle":"","family":"Schork","given":"N. J.","non-dropping-particle":"","parse-names":false,"suffix":""},{"dropping-particle":"V.","family":"Segrè","given":"A.","non-dropping-particle":"","parse-names":false,"suffix":""},{"dropping-particle":"","family":"Sovio","given":"U.","non-dropping-particle":"","parse-names":false,"suffix":""},{"dropping-particle":"","family":"Srinivasan","given":"S. R.","non-dropping-particle":"","parse-names":false,"suffix":""},{"dropping-particle":"","family":"Tammesoo","given":"M. L.","non-dropping-particle":"","parse-names":false,"suffix":""},{"dropping-particle":"","family":"Meurs","given":"J. B.","non-dropping-particle":"van","parse-names":false,"suffix":""},{"dropping-particle":"","family":"Young","given":"L.","non-dropping-particle":"","parse-names":false,"suffix":""},{"dropping-particle":"","family":"Bierut","given":"L. J.","non-dropping-particle":"","parse-names":false,"suffix":""},{"dropping-particle":"","family":"Econs","given":"M. J.","non-dropping-particle":"","parse-names":false,"suffix":""}],"container-title":"Nature","id":"ITEM-1","issue":"7538","issued":{"date-parts":[["2015"]]},"page":"197-206","title":"Genetic studies of body mass index yield new insights for obesity biology","type":"article-journal","volume":"518"},"uris":["http://www.mendeley.com/documents/?uuid=4230954b-b8b1-473e-b705-b8fa61676a33"]}],"mendeley":{"formattedCitation":"(Locke &lt;i&gt;et al.&lt;/i&gt;, 2015)","manualFormatting":"Locke et al., 2015)","plainTextFormattedCitation":"(Locke et al., 2015)","previouslyFormattedCitation":"(Locke &lt;i&gt;et al.&lt;/i&gt;, 2015)"},"properties":{"noteIndex":0},"schema":"https://github.com/citation-style-language/schema/raw/master/csl-citation.json"}</w:instrText>
      </w:r>
      <w:r w:rsidR="00486CA6" w:rsidRPr="00A35149">
        <w:rPr>
          <w:rFonts w:asciiTheme="majorBidi" w:hAnsiTheme="majorBidi" w:cstheme="majorBidi"/>
          <w:color w:val="4472C4" w:themeColor="accent1"/>
          <w:vertAlign w:val="superscript"/>
        </w:rPr>
        <w:fldChar w:fldCharType="separate"/>
      </w:r>
      <w:r w:rsidR="00486CA6" w:rsidRPr="00A35149">
        <w:rPr>
          <w:rFonts w:asciiTheme="majorBidi" w:hAnsiTheme="majorBidi" w:cstheme="majorBidi"/>
          <w:noProof/>
          <w:color w:val="4472C4" w:themeColor="accent1"/>
        </w:rPr>
        <w:t xml:space="preserve">Locke </w:t>
      </w:r>
      <w:r w:rsidR="00486CA6" w:rsidRPr="00A35149">
        <w:rPr>
          <w:rFonts w:asciiTheme="majorBidi" w:hAnsiTheme="majorBidi" w:cstheme="majorBidi"/>
          <w:i/>
          <w:noProof/>
          <w:color w:val="4472C4" w:themeColor="accent1"/>
        </w:rPr>
        <w:t>et al.</w:t>
      </w:r>
      <w:r w:rsidR="00486CA6" w:rsidRPr="00A35149">
        <w:rPr>
          <w:rFonts w:asciiTheme="majorBidi" w:hAnsiTheme="majorBidi" w:cstheme="majorBidi"/>
          <w:noProof/>
          <w:color w:val="4472C4" w:themeColor="accent1"/>
        </w:rPr>
        <w:t>, 2015)</w:t>
      </w:r>
      <w:r w:rsidR="00486CA6" w:rsidRPr="00A35149">
        <w:rPr>
          <w:rFonts w:asciiTheme="majorBidi" w:hAnsiTheme="majorBidi" w:cstheme="majorBidi"/>
          <w:color w:val="4472C4" w:themeColor="accent1"/>
          <w:vertAlign w:val="superscript"/>
        </w:rPr>
        <w:fldChar w:fldCharType="end"/>
      </w:r>
      <w:bookmarkEnd w:id="1"/>
      <w:r w:rsidR="00962855" w:rsidRPr="00A35149">
        <w:rPr>
          <w:rFonts w:asciiTheme="majorBidi" w:hAnsiTheme="majorBidi" w:cstheme="majorBidi"/>
        </w:rPr>
        <w:t>)</w:t>
      </w:r>
      <w:r w:rsidRPr="00A35149">
        <w:rPr>
          <w:rFonts w:asciiTheme="majorBidi" w:hAnsiTheme="majorBidi" w:cstheme="majorBidi"/>
        </w:rPr>
        <w:t>. Meta-analysis importantly demonstrates</w:t>
      </w:r>
      <w:r w:rsidR="0045669D" w:rsidRPr="00A35149">
        <w:rPr>
          <w:rFonts w:asciiTheme="majorBidi" w:hAnsiTheme="majorBidi" w:cstheme="majorBidi"/>
        </w:rPr>
        <w:t xml:space="preserve"> replication </w:t>
      </w:r>
      <w:r w:rsidRPr="00A35149">
        <w:rPr>
          <w:rFonts w:asciiTheme="majorBidi" w:hAnsiTheme="majorBidi" w:cstheme="majorBidi"/>
        </w:rPr>
        <w:t>of effects</w:t>
      </w:r>
      <w:r w:rsidR="0045669D" w:rsidRPr="00A35149">
        <w:rPr>
          <w:rFonts w:asciiTheme="majorBidi" w:hAnsiTheme="majorBidi" w:cstheme="majorBidi"/>
        </w:rPr>
        <w:t xml:space="preserve"> genetic risk loci and </w:t>
      </w:r>
      <w:r w:rsidRPr="00A35149">
        <w:rPr>
          <w:rFonts w:asciiTheme="majorBidi" w:hAnsiTheme="majorBidi" w:cstheme="majorBidi"/>
        </w:rPr>
        <w:t xml:space="preserve">hence minimizes </w:t>
      </w:r>
      <w:r w:rsidR="0045669D" w:rsidRPr="00A35149">
        <w:rPr>
          <w:rFonts w:asciiTheme="majorBidi" w:hAnsiTheme="majorBidi" w:cstheme="majorBidi"/>
        </w:rPr>
        <w:t xml:space="preserve">individual cohort bias. However, </w:t>
      </w:r>
      <w:r w:rsidR="00962855" w:rsidRPr="00A35149">
        <w:rPr>
          <w:rFonts w:asciiTheme="majorBidi" w:hAnsiTheme="majorBidi" w:cstheme="majorBidi"/>
        </w:rPr>
        <w:t xml:space="preserve">the effect size </w:t>
      </w:r>
      <w:r w:rsidR="0045669D" w:rsidRPr="00A35149">
        <w:rPr>
          <w:rFonts w:asciiTheme="majorBidi" w:hAnsiTheme="majorBidi" w:cstheme="majorBidi"/>
        </w:rPr>
        <w:t xml:space="preserve">estimate </w:t>
      </w:r>
      <w:r w:rsidR="00FC1232" w:rsidRPr="00A35149">
        <w:rPr>
          <w:rFonts w:asciiTheme="majorBidi" w:hAnsiTheme="majorBidi" w:cstheme="majorBidi"/>
        </w:rPr>
        <w:t xml:space="preserve">of meta-analysis </w:t>
      </w:r>
      <w:r w:rsidR="0045669D" w:rsidRPr="00A35149">
        <w:rPr>
          <w:rFonts w:asciiTheme="majorBidi" w:hAnsiTheme="majorBidi" w:cstheme="majorBidi"/>
        </w:rPr>
        <w:t>is the averaged effect of the SNP on outcome across several populations.</w:t>
      </w:r>
      <w:r w:rsidR="00962855" w:rsidRPr="00A35149">
        <w:rPr>
          <w:rFonts w:asciiTheme="majorBidi" w:hAnsiTheme="majorBidi" w:cstheme="majorBidi"/>
        </w:rPr>
        <w:t xml:space="preserve"> </w:t>
      </w:r>
      <w:r w:rsidR="0045669D" w:rsidRPr="00A35149">
        <w:rPr>
          <w:rFonts w:asciiTheme="majorBidi" w:hAnsiTheme="majorBidi" w:cstheme="majorBidi"/>
        </w:rPr>
        <w:t xml:space="preserve">The assumption that the effects of a SNP are </w:t>
      </w:r>
      <w:r w:rsidR="009E0A90" w:rsidRPr="00A35149">
        <w:rPr>
          <w:rFonts w:asciiTheme="majorBidi" w:hAnsiTheme="majorBidi" w:cstheme="majorBidi"/>
        </w:rPr>
        <w:t xml:space="preserve">equal </w:t>
      </w:r>
      <w:r w:rsidR="0045669D" w:rsidRPr="00A35149">
        <w:rPr>
          <w:rFonts w:asciiTheme="majorBidi" w:hAnsiTheme="majorBidi" w:cstheme="majorBidi"/>
        </w:rPr>
        <w:t xml:space="preserve">across populations with different allele frequencies is unlikely to hold for </w:t>
      </w:r>
      <w:r w:rsidR="00FC1232" w:rsidRPr="00A35149">
        <w:rPr>
          <w:rFonts w:asciiTheme="majorBidi" w:hAnsiTheme="majorBidi" w:cstheme="majorBidi"/>
        </w:rPr>
        <w:t xml:space="preserve">three </w:t>
      </w:r>
      <w:r w:rsidR="00AE2373" w:rsidRPr="00A35149">
        <w:rPr>
          <w:rFonts w:asciiTheme="majorBidi" w:hAnsiTheme="majorBidi" w:cstheme="majorBidi"/>
        </w:rPr>
        <w:t xml:space="preserve">main </w:t>
      </w:r>
      <w:r w:rsidR="0045669D" w:rsidRPr="00A35149">
        <w:rPr>
          <w:rFonts w:asciiTheme="majorBidi" w:hAnsiTheme="majorBidi" w:cstheme="majorBidi"/>
        </w:rPr>
        <w:t>reasons</w:t>
      </w:r>
      <w:r w:rsidR="00FC1232" w:rsidRPr="00A35149">
        <w:rPr>
          <w:rFonts w:asciiTheme="majorBidi" w:hAnsiTheme="majorBidi" w:cstheme="majorBidi"/>
        </w:rPr>
        <w:t>.</w:t>
      </w:r>
      <w:r w:rsidR="0045669D" w:rsidRPr="00A35149">
        <w:rPr>
          <w:rFonts w:asciiTheme="majorBidi" w:hAnsiTheme="majorBidi" w:cstheme="majorBidi"/>
        </w:rPr>
        <w:t xml:space="preserve"> </w:t>
      </w:r>
      <w:r w:rsidR="00FC1232" w:rsidRPr="00A35149">
        <w:rPr>
          <w:rFonts w:asciiTheme="majorBidi" w:hAnsiTheme="majorBidi" w:cstheme="majorBidi"/>
        </w:rPr>
        <w:t>Firstly,</w:t>
      </w:r>
      <w:r w:rsidR="0045669D" w:rsidRPr="00A35149">
        <w:rPr>
          <w:rFonts w:asciiTheme="majorBidi" w:hAnsiTheme="majorBidi" w:cstheme="majorBidi"/>
        </w:rPr>
        <w:t xml:space="preserve"> many SNPs identified in GWAS are not the causal variant but rather in linkage disequilibrium with one or more causal variants and linkage disequilibrium patterns differ between populations</w:t>
      </w:r>
      <w:r w:rsidR="005941F8" w:rsidRPr="00A35149">
        <w:rPr>
          <w:rFonts w:asciiTheme="majorBidi" w:hAnsiTheme="majorBidi" w:cstheme="majorBidi"/>
        </w:rPr>
        <w:t xml:space="preserve"> </w:t>
      </w:r>
      <w:r w:rsidR="005941F8" w:rsidRPr="00A35149">
        <w:rPr>
          <w:rFonts w:asciiTheme="majorBidi" w:hAnsiTheme="majorBidi" w:cstheme="majorBidi"/>
          <w:color w:val="4472C4" w:themeColor="accent1"/>
        </w:rPr>
        <w:fldChar w:fldCharType="begin" w:fldLock="1"/>
      </w:r>
      <w:r w:rsidR="005941F8" w:rsidRPr="00A35149">
        <w:rPr>
          <w:rFonts w:asciiTheme="majorBidi" w:hAnsiTheme="majorBidi" w:cstheme="majorBidi"/>
          <w:color w:val="4472C4" w:themeColor="accent1"/>
        </w:rPr>
        <w:instrText>ADDIN CSL_CITATION {"citationItems":[{"id":"ITEM-1","itemData":{"DOI":"10.1101/gr.4107905","ISSN":"10889051","abstract":"Large-scale SNP genotyping studies rely on an initial assessment of nucleotide variation to identify sites in the DNA sequence that harbor variation among individuals. This \"SNP discovery\" sample may be quite variable in size and composition, and it has been well established that properties of the SNPs that are found are influenced by the discovery sampling effort. The International HapMap project relied on nearly any piece of information available to identify SNPs-including BAC end sequences, shotgun reads, and differences between public and private sequences-and even made use of chimpanzee data to confirm human sequence differences. In addition, the ascertainment criteria shifted from using only SNPs that had been validated in population samples, to double-hit SNPs, to finally accepting SNPs that were singletons in small discovery samples. In contrast, Perlegen's primary discovery was a resequencing-by-hybridization effort using the 24 people of diverse origin in the Polymorphism Discovery Resource. Here we take these two data sets and contrast two basic summary statistics, heterozygosity and FST, as well as the site frequency spectra, for 500-kb windows spanning the genome. The magnitude of disparity between these samples in these measures of variability indicates that population genetic analysis on the raw genotype data is ill advised. Given the knowledge of the discovery samples, we perform an ascertainment correction and show how the post-correction data are more consistent across these studies. However, discrepancies persist, suggesting that the heterogeneity in the SNP discovery process of the HapMap project resulted in a data set resistant to complete ascertainment correction. Ascertainment bias will likely erode the power of tests of association between SNPs and complex disorders, but the effect will likely be small, and perhaps more importantly, it is unlikely that the bias will introduce false-positive inferences. ©2005 by Cold Spring Harbor Laboratory Press.","author":[{"dropping-particle":"","family":"Clark","given":"Andrew G.","non-dropping-particle":"","parse-names":false,"suffix":""},{"dropping-particle":"","family":"Hubisz","given":"Melissa J.","non-dropping-particle":"","parse-names":false,"suffix":""},{"dropping-particle":"","family":"Bustamante","given":"Carlos D.","non-dropping-particle":"","parse-names":false,"suffix":""},{"dropping-particle":"","family":"Williamson","given":"Scott H.","non-dropping-particle":"","parse-names":false,"suffix":""},{"dropping-particle":"","family":"Nielsen","given":"Rasmus","non-dropping-particle":"","parse-names":false,"suffix":""}],"container-title":"Genome Research","id":"ITEM-1","issue":"11","issued":{"date-parts":[["2005"]]},"page":"1496-1502","title":"Ascertainment bias in studies of human genome-wide polymorphism","type":"article-journal","volume":"15"},"uris":["http://www.mendeley.com/documents/?uuid=27e8f5d7-914c-40ac-94f5-1b0f43b4d4df"]}],"mendeley":{"formattedCitation":"(Clark &lt;i&gt;et al.&lt;/i&gt;, 2005)","plainTextFormattedCitation":"(Clark et al., 2005)","previouslyFormattedCitation":"(Clark &lt;i&gt;et al.&lt;/i&gt;, 2005)"},"properties":{"noteIndex":0},"schema":"https://github.com/citation-style-language/schema/raw/master/csl-citation.json"}</w:instrText>
      </w:r>
      <w:r w:rsidR="005941F8" w:rsidRPr="00A35149">
        <w:rPr>
          <w:rFonts w:asciiTheme="majorBidi" w:hAnsiTheme="majorBidi" w:cstheme="majorBidi"/>
          <w:color w:val="4472C4" w:themeColor="accent1"/>
        </w:rPr>
        <w:fldChar w:fldCharType="separate"/>
      </w:r>
      <w:r w:rsidR="005941F8" w:rsidRPr="00A35149">
        <w:rPr>
          <w:rFonts w:asciiTheme="majorBidi" w:hAnsiTheme="majorBidi" w:cstheme="majorBidi"/>
          <w:noProof/>
          <w:color w:val="4472C4" w:themeColor="accent1"/>
        </w:rPr>
        <w:t xml:space="preserve">(Clark </w:t>
      </w:r>
      <w:r w:rsidR="005941F8" w:rsidRPr="00A35149">
        <w:rPr>
          <w:rFonts w:asciiTheme="majorBidi" w:hAnsiTheme="majorBidi" w:cstheme="majorBidi"/>
          <w:i/>
          <w:noProof/>
          <w:color w:val="4472C4" w:themeColor="accent1"/>
        </w:rPr>
        <w:t>et al.</w:t>
      </w:r>
      <w:r w:rsidR="005941F8" w:rsidRPr="00A35149">
        <w:rPr>
          <w:rFonts w:asciiTheme="majorBidi" w:hAnsiTheme="majorBidi" w:cstheme="majorBidi"/>
          <w:noProof/>
          <w:color w:val="4472C4" w:themeColor="accent1"/>
        </w:rPr>
        <w:t>, 2005)</w:t>
      </w:r>
      <w:r w:rsidR="005941F8" w:rsidRPr="00A35149">
        <w:rPr>
          <w:rFonts w:asciiTheme="majorBidi" w:hAnsiTheme="majorBidi" w:cstheme="majorBidi"/>
          <w:color w:val="4472C4" w:themeColor="accent1"/>
        </w:rPr>
        <w:fldChar w:fldCharType="end"/>
      </w:r>
      <w:r w:rsidR="00FC1232" w:rsidRPr="00A35149">
        <w:rPr>
          <w:rFonts w:asciiTheme="majorBidi" w:hAnsiTheme="majorBidi" w:cstheme="majorBidi"/>
        </w:rPr>
        <w:t>. Secondly,</w:t>
      </w:r>
      <w:r w:rsidR="0045669D" w:rsidRPr="00A35149">
        <w:rPr>
          <w:rFonts w:asciiTheme="majorBidi" w:hAnsiTheme="majorBidi" w:cstheme="majorBidi"/>
        </w:rPr>
        <w:t xml:space="preserve"> </w:t>
      </w:r>
      <w:r w:rsidR="008B2556" w:rsidRPr="00A35149">
        <w:rPr>
          <w:rFonts w:asciiTheme="majorBidi" w:hAnsiTheme="majorBidi" w:cstheme="majorBidi"/>
        </w:rPr>
        <w:t>g</w:t>
      </w:r>
      <w:r w:rsidR="0045669D" w:rsidRPr="00A35149">
        <w:rPr>
          <w:rFonts w:asciiTheme="majorBidi" w:hAnsiTheme="majorBidi" w:cstheme="majorBidi"/>
        </w:rPr>
        <w:t xml:space="preserve">ene-environment interactions </w:t>
      </w:r>
      <w:r w:rsidR="0067225B" w:rsidRPr="00A35149">
        <w:rPr>
          <w:rFonts w:asciiTheme="majorBidi" w:hAnsiTheme="majorBidi" w:cstheme="majorBidi"/>
          <w:color w:val="4472C4" w:themeColor="accent1"/>
        </w:rPr>
        <w:fldChar w:fldCharType="begin" w:fldLock="1"/>
      </w:r>
      <w:r w:rsidR="0067225B" w:rsidRPr="00A35149">
        <w:rPr>
          <w:rFonts w:asciiTheme="majorBidi" w:hAnsiTheme="majorBidi" w:cstheme="majorBidi"/>
          <w:color w:val="4472C4" w:themeColor="accent1"/>
        </w:rPr>
        <w:instrText>ADDIN CSL_CITATION {"citationItems":[{"id":"ITEM-1","itemData":{"DOI":"10.1375/136905202762342026","ISSN":"13690523","PMID":"12573187","abstract":"Gene-environment interaction is likely to be a common and important source of variation for complex behavioral traits. Often conceptualized as the genetic control of sensitivity to the environment, it can be incorporated in variance components twin analyses by partitioning genetic effects into a mean part, which is independent of the environment, and a part that is a linear function of the environment. The model allows for one or more environmental moderator variables (that possibly interact with each other) that may i) be continuous or binary ii) differ between twins within a pair iii) interact with residual environmental as well as genetic effects iv) have nonlinear moderating properties v) show scalar (different magnitudes) or qualitative (different genes) interactions vi) be correlated with genetic effects acting upon the trait, to allow for a test of gene-environment interaction in the presence of gene-environment correlation. Aspects and applications of a class of models are explored by simulation, in the context of both individual differences twin analysis and, in a companion paper (Purcell &amp; Sham, 2002) sibpair quantitative trait locus linkage analysis. As well as elucidating environmental pathways, consideration of gene-environment interaction in quantitative and molecular studies will potentially direct and enhance gene-mapping efforts.","author":[{"dropping-particle":"","family":"Purcell","given":"Shaun","non-dropping-particle":"","parse-names":false,"suffix":""}],"container-title":"Twin Research","id":"ITEM-1","issue":"6","issued":{"date-parts":[["2002"]]},"page":"554-571","title":"Variance components models for gene-environment interaction in twin analysis","type":"article-journal","volume":"5"},"uris":["http://www.mendeley.com/documents/?uuid=47cea1a0-9824-4df1-8fc0-56bcae0f727b"]}],"mendeley":{"formattedCitation":"(Purcell, 2002)","plainTextFormattedCitation":"(Purcell, 2002)","previouslyFormattedCitation":"(Purcell, 2002)"},"properties":{"noteIndex":0},"schema":"https://github.com/citation-style-language/schema/raw/master/csl-citation.json"}</w:instrText>
      </w:r>
      <w:r w:rsidR="0067225B" w:rsidRPr="00A35149">
        <w:rPr>
          <w:rFonts w:asciiTheme="majorBidi" w:hAnsiTheme="majorBidi" w:cstheme="majorBidi"/>
          <w:color w:val="4472C4" w:themeColor="accent1"/>
        </w:rPr>
        <w:fldChar w:fldCharType="separate"/>
      </w:r>
      <w:r w:rsidR="0067225B" w:rsidRPr="00A35149">
        <w:rPr>
          <w:rFonts w:asciiTheme="majorBidi" w:hAnsiTheme="majorBidi" w:cstheme="majorBidi"/>
          <w:noProof/>
          <w:color w:val="4472C4" w:themeColor="accent1"/>
        </w:rPr>
        <w:t>(Purcell, 2002)</w:t>
      </w:r>
      <w:r w:rsidR="0067225B" w:rsidRPr="00A35149">
        <w:rPr>
          <w:rFonts w:asciiTheme="majorBidi" w:hAnsiTheme="majorBidi" w:cstheme="majorBidi"/>
          <w:color w:val="4472C4" w:themeColor="accent1"/>
        </w:rPr>
        <w:fldChar w:fldCharType="end"/>
      </w:r>
      <w:r w:rsidR="0067225B" w:rsidRPr="00A35149">
        <w:rPr>
          <w:rFonts w:asciiTheme="majorBidi" w:hAnsiTheme="majorBidi" w:cstheme="majorBidi"/>
        </w:rPr>
        <w:t xml:space="preserve"> </w:t>
      </w:r>
      <w:r w:rsidR="0045669D" w:rsidRPr="00A35149">
        <w:rPr>
          <w:rFonts w:asciiTheme="majorBidi" w:hAnsiTheme="majorBidi" w:cstheme="majorBidi"/>
        </w:rPr>
        <w:t>may contribute to the overall effect of a SNP and these may differ by population</w:t>
      </w:r>
      <w:r w:rsidR="00FC1232" w:rsidRPr="00A35149">
        <w:rPr>
          <w:rFonts w:asciiTheme="majorBidi" w:hAnsiTheme="majorBidi" w:cstheme="majorBidi"/>
        </w:rPr>
        <w:t xml:space="preserve"> (</w:t>
      </w:r>
      <w:r w:rsidR="00384083" w:rsidRPr="00A35149">
        <w:rPr>
          <w:rFonts w:asciiTheme="majorBidi" w:hAnsiTheme="majorBidi" w:cstheme="majorBidi"/>
        </w:rPr>
        <w:t xml:space="preserve">for example, in BMI </w:t>
      </w:r>
      <w:r w:rsidR="00B87052" w:rsidRPr="00A35149">
        <w:rPr>
          <w:rFonts w:asciiTheme="majorBidi" w:hAnsiTheme="majorBidi" w:cstheme="majorBidi"/>
        </w:rPr>
        <w:t xml:space="preserve">and exercise, </w:t>
      </w:r>
      <w:r w:rsidR="0067225B" w:rsidRPr="00A35149">
        <w:rPr>
          <w:rFonts w:asciiTheme="majorBidi" w:hAnsiTheme="majorBidi" w:cstheme="majorBidi"/>
        </w:rPr>
        <w:fldChar w:fldCharType="begin" w:fldLock="1"/>
      </w:r>
      <w:r w:rsidR="0067225B" w:rsidRPr="00A35149">
        <w:rPr>
          <w:rFonts w:asciiTheme="majorBidi" w:hAnsiTheme="majorBidi" w:cstheme="majorBidi"/>
        </w:rPr>
        <w:instrText>ADDIN CSL_CITATION {"citationItems":[{"id":"ITEM-1","itemData":{"DOI":"10.1371/journal.pgen.1006977","ISSN":"15537404","abstract":"Previous genome-wide association studies (GWAS) have identified hundreds of genetic loci to be associated with body mass index (BMI) and risk of obesity. Genetic effects can differ between individuals depending on lifestyle or environmental factors due to gene-environment interactions. In this study, we examine gene-environment interactions in 362,496 unrelated participants with Caucasian ancestry from the UK Biobank resource. A total of 94 BMI-associated SNPs, selected from a previous GWAS on BMI, were used to construct weighted genetic scores for BMI (GSBMI). Linear regression modeling was used to estimate the effect of gene-environment interactions on BMI for 131 lifestyle factors related to: dietary habits, smoking and alcohol consumption, physical activity, socioeconomic status, mental health, sleeping patterns, as well as female-specific factors such as menopause and childbirth. In total, 15 lifestyle factors were observed to interact with GSBMI, of which alcohol intake frequency, usual walking pace, and Townsend deprivation index, a measure of socioeconomic status, were all highly significant (p = 1.45*10−29, p = 3.83*10−26, p = 4.66*10−11, respectively). Interestingly, the frequency of alcohol consumption, rather than the total weekly amount resulted in a significant interaction. The FTO locus was the strongest single locus interacting with any of the lifestyle factors. However, 13 significant interactions were also observed after omitting the FTO locus from the genetic score. Our analyses indicate that many lifestyle factors modify the genetic effects on BMI with some groups of individuals having more than double the effect of the genetic score. However, the underlying causal mechanisms of gene-environmental interactions are difficult to deduce from cross-sectional data alone and controlled experiments are required to fully characterise the causal factors.","author":[{"dropping-particle":"","family":"Rask-Andersen","given":"Mathias","non-dropping-particle":"","parse-names":false,"suffix":""},{"dropping-particle":"","family":"Karlsson","given":"Torgny","non-dropping-particle":"","parse-names":false,"suffix":""},{"dropping-particle":"","family":"Ek","given":"Weronica E.","non-dropping-particle":"","parse-names":false,"suffix":""},{"dropping-particle":"","family":"Johansson","given":"Åsa","non-dropping-particle":"","parse-names":false,"suffix":""}],"container-title":"PLoS Genetics","id":"ITEM-1","issue":"9","issued":{"date-parts":[["2017"]]},"title":"Gene-environment interaction study for BMI reveals interactions between genetic factors and physical activity, alcohol consumption and socioeconomic status","type":"article-journal","volume":"13"},"uris":["http://www.mendeley.com/documents/?uuid=13ae07e8-d4a5-4254-8686-14871a4cea6b"]}],"mendeley":{"formattedCitation":"(Rask-Andersen &lt;i&gt;et al.&lt;/i&gt;, 2017)","manualFormatting":"Rask-Andersen et al., 2017)","plainTextFormattedCitation":"(Rask-Andersen et al., 2017)","previouslyFormattedCitation":"(Rask-Andersen &lt;i&gt;et al.&lt;/i&gt;, 2017)"},"properties":{"noteIndex":0},"schema":"https://github.com/citation-style-language/schema/raw/master/csl-citation.json"}</w:instrText>
      </w:r>
      <w:r w:rsidR="0067225B" w:rsidRPr="00A35149">
        <w:rPr>
          <w:rFonts w:asciiTheme="majorBidi" w:hAnsiTheme="majorBidi" w:cstheme="majorBidi"/>
        </w:rPr>
        <w:fldChar w:fldCharType="separate"/>
      </w:r>
      <w:r w:rsidR="0067225B" w:rsidRPr="00A35149">
        <w:rPr>
          <w:rFonts w:asciiTheme="majorBidi" w:hAnsiTheme="majorBidi" w:cstheme="majorBidi"/>
          <w:noProof/>
          <w:color w:val="4472C4" w:themeColor="accent1"/>
        </w:rPr>
        <w:t xml:space="preserve">Rask-Andersen </w:t>
      </w:r>
      <w:r w:rsidR="0067225B" w:rsidRPr="00A35149">
        <w:rPr>
          <w:rFonts w:asciiTheme="majorBidi" w:hAnsiTheme="majorBidi" w:cstheme="majorBidi"/>
          <w:i/>
          <w:noProof/>
          <w:color w:val="4472C4" w:themeColor="accent1"/>
        </w:rPr>
        <w:t>et al.</w:t>
      </w:r>
      <w:r w:rsidR="0067225B" w:rsidRPr="00A35149">
        <w:rPr>
          <w:rFonts w:asciiTheme="majorBidi" w:hAnsiTheme="majorBidi" w:cstheme="majorBidi"/>
          <w:noProof/>
          <w:color w:val="4472C4" w:themeColor="accent1"/>
        </w:rPr>
        <w:t>, 2017</w:t>
      </w:r>
      <w:r w:rsidR="0067225B" w:rsidRPr="00A35149">
        <w:rPr>
          <w:rFonts w:asciiTheme="majorBidi" w:hAnsiTheme="majorBidi" w:cstheme="majorBidi"/>
          <w:noProof/>
        </w:rPr>
        <w:t>)</w:t>
      </w:r>
      <w:r w:rsidR="0067225B" w:rsidRPr="00A35149">
        <w:rPr>
          <w:rFonts w:asciiTheme="majorBidi" w:hAnsiTheme="majorBidi" w:cstheme="majorBidi"/>
        </w:rPr>
        <w:fldChar w:fldCharType="end"/>
      </w:r>
      <w:r w:rsidR="0067225B" w:rsidRPr="00A35149">
        <w:rPr>
          <w:rFonts w:asciiTheme="majorBidi" w:hAnsiTheme="majorBidi" w:cstheme="majorBidi"/>
        </w:rPr>
        <w:t>.</w:t>
      </w:r>
      <w:r w:rsidR="0045669D" w:rsidRPr="00A35149">
        <w:rPr>
          <w:rFonts w:asciiTheme="majorBidi" w:hAnsiTheme="majorBidi" w:cstheme="majorBidi"/>
        </w:rPr>
        <w:t xml:space="preserve"> </w:t>
      </w:r>
      <w:r w:rsidR="00FC1232" w:rsidRPr="00A35149">
        <w:rPr>
          <w:rFonts w:asciiTheme="majorBidi" w:hAnsiTheme="majorBidi" w:cstheme="majorBidi"/>
        </w:rPr>
        <w:t>Thirdly, statistical artefacts can arise from differential correction power for stratification across studi</w:t>
      </w:r>
      <w:r w:rsidR="0067225B" w:rsidRPr="00A35149">
        <w:rPr>
          <w:rFonts w:asciiTheme="majorBidi" w:hAnsiTheme="majorBidi" w:cstheme="majorBidi"/>
        </w:rPr>
        <w:t xml:space="preserve">es </w:t>
      </w:r>
      <w:r w:rsidR="0067225B" w:rsidRPr="00A35149">
        <w:rPr>
          <w:rFonts w:asciiTheme="majorBidi" w:hAnsiTheme="majorBidi" w:cstheme="majorBidi"/>
          <w:color w:val="4472C4" w:themeColor="accent1"/>
        </w:rPr>
        <w:fldChar w:fldCharType="begin" w:fldLock="1"/>
      </w:r>
      <w:r w:rsidR="0067225B" w:rsidRPr="00A35149">
        <w:rPr>
          <w:rFonts w:asciiTheme="majorBidi" w:hAnsiTheme="majorBidi" w:cstheme="majorBidi"/>
          <w:color w:val="4472C4" w:themeColor="accent1"/>
        </w:rPr>
        <w:instrText>ADDIN CSL_CITATION {"citationItems":[{"id":"ITEM-1","itemData":{"DOI":"10.1007/s00439-019-02014-8","ISSN":"14321203","abstract":"Replicable genetic association signals have consistently been found through genome-wide association studies in recent years. The recent dramatic expansion of study sizes improves power of estimation of effect sizes, genomic prediction, causal inference, and polygenic selection, but it simultaneously increases susceptibility of these methods to bias due to subtle population structure. Standard methods using genetic principal components to correct for structure might not always be appropriate and we use a simulation study to illustrate when correction might be ineffective for avoiding biases. New methods such as trans-ethnic modeling and chromosome painting allow for a richer understanding of the relationship between traits and population structure. We illustrate the arguments using real examples (stroke and educational attainment) and provide a more nuanced understanding of population structure, which is set to be revisited as a critical aspect of future analyses in genetic epidemiology. We also make simple recommendations for how problems can be avoided in the future. Our results have particular importance for the implementation of GWAS meta-analysis, for prediction of traits, and for causal inference.","author":[{"dropping-particle":"","family":"Lawson","given":"Daniel John","non-dropping-particle":"","parse-names":false,"suffix":""},{"dropping-particle":"","family":"Davies","given":"Neil Martin","non-dropping-particle":"","parse-names":false,"suffix":""},{"dropping-particle":"","family":"Haworth","given":"Simon","non-dropping-particle":"","parse-names":false,"suffix":""},{"dropping-particle":"","family":"Ashraf","given":"Bilal","non-dropping-particle":"","parse-names":false,"suffix":""},{"dropping-particle":"","family":"Howe","given":"Laurence","non-dropping-particle":"","parse-names":false,"suffix":""},{"dropping-particle":"","family":"Crawford","given":"Andrew","non-dropping-particle":"","parse-names":false,"suffix":""},{"dropping-particle":"","family":"Hemani","given":"Gibran","non-dropping-particle":"","parse-names":false,"suffix":""},{"dropping-particle":"","family":"Davey Smith","given":"George","non-dropping-particle":"","parse-names":false,"suffix":""},{"dropping-particle":"","family":"Timpson","given":"Nicholas John","non-dropping-particle":"","parse-names":false,"suffix":""}],"container-title":"Human Genetics","id":"ITEM-1","issue":"1","issued":{"date-parts":[["2020"]]},"page":"23-41","title":"Is population structure in the genetic biobank era irrelevant, a challenge, or an opportunity?","type":"article-journal","volume":"139"},"uris":["http://www.mendeley.com/documents/?uuid=bb27f0d0-21f5-4666-a96a-3bc82d8de46b"]}],"mendeley":{"formattedCitation":"(Lawson &lt;i&gt;et al.&lt;/i&gt;, 2020)","plainTextFormattedCitation":"(Lawson et al., 2020)","previouslyFormattedCitation":"(Lawson &lt;i&gt;et al.&lt;/i&gt;, 2020)"},"properties":{"noteIndex":0},"schema":"https://github.com/citation-style-language/schema/raw/master/csl-citation.json"}</w:instrText>
      </w:r>
      <w:r w:rsidR="0067225B" w:rsidRPr="00A35149">
        <w:rPr>
          <w:rFonts w:asciiTheme="majorBidi" w:hAnsiTheme="majorBidi" w:cstheme="majorBidi"/>
          <w:color w:val="4472C4" w:themeColor="accent1"/>
        </w:rPr>
        <w:fldChar w:fldCharType="separate"/>
      </w:r>
      <w:r w:rsidR="0067225B" w:rsidRPr="00A35149">
        <w:rPr>
          <w:rFonts w:asciiTheme="majorBidi" w:hAnsiTheme="majorBidi" w:cstheme="majorBidi"/>
          <w:noProof/>
          <w:color w:val="4472C4" w:themeColor="accent1"/>
        </w:rPr>
        <w:t xml:space="preserve">(Lawson </w:t>
      </w:r>
      <w:r w:rsidR="0067225B" w:rsidRPr="00A35149">
        <w:rPr>
          <w:rFonts w:asciiTheme="majorBidi" w:hAnsiTheme="majorBidi" w:cstheme="majorBidi"/>
          <w:i/>
          <w:noProof/>
          <w:color w:val="4472C4" w:themeColor="accent1"/>
        </w:rPr>
        <w:t>et al.</w:t>
      </w:r>
      <w:r w:rsidR="0067225B" w:rsidRPr="00A35149">
        <w:rPr>
          <w:rFonts w:asciiTheme="majorBidi" w:hAnsiTheme="majorBidi" w:cstheme="majorBidi"/>
          <w:noProof/>
          <w:color w:val="4472C4" w:themeColor="accent1"/>
        </w:rPr>
        <w:t>, 2020)</w:t>
      </w:r>
      <w:r w:rsidR="0067225B" w:rsidRPr="00A35149">
        <w:rPr>
          <w:rFonts w:asciiTheme="majorBidi" w:hAnsiTheme="majorBidi" w:cstheme="majorBidi"/>
          <w:color w:val="4472C4" w:themeColor="accent1"/>
        </w:rPr>
        <w:fldChar w:fldCharType="end"/>
      </w:r>
      <w:r w:rsidR="005941F8" w:rsidRPr="00A35149">
        <w:rPr>
          <w:rFonts w:asciiTheme="majorBidi" w:hAnsiTheme="majorBidi" w:cstheme="majorBidi"/>
        </w:rPr>
        <w:t xml:space="preserve">. </w:t>
      </w:r>
      <w:r w:rsidR="00FC1232" w:rsidRPr="00A35149">
        <w:rPr>
          <w:rFonts w:asciiTheme="majorBidi" w:hAnsiTheme="majorBidi" w:cstheme="majorBidi"/>
        </w:rPr>
        <w:t xml:space="preserve">The resulting bias </w:t>
      </w:r>
      <w:r w:rsidR="0045669D" w:rsidRPr="00A35149">
        <w:rPr>
          <w:rFonts w:asciiTheme="majorBidi" w:hAnsiTheme="majorBidi" w:cstheme="majorBidi"/>
        </w:rPr>
        <w:t xml:space="preserve">is problematic because many </w:t>
      </w:r>
      <w:r w:rsidR="00962855" w:rsidRPr="00A35149">
        <w:rPr>
          <w:rFonts w:asciiTheme="majorBidi" w:hAnsiTheme="majorBidi" w:cstheme="majorBidi"/>
        </w:rPr>
        <w:t>downstream applications</w:t>
      </w:r>
      <w:r w:rsidR="0045669D" w:rsidRPr="00A35149">
        <w:rPr>
          <w:rFonts w:asciiTheme="majorBidi" w:hAnsiTheme="majorBidi" w:cstheme="majorBidi"/>
        </w:rPr>
        <w:t xml:space="preserve"> use summary statistics from GWAS</w:t>
      </w:r>
      <w:r w:rsidR="005B2B65" w:rsidRPr="00A35149">
        <w:rPr>
          <w:rFonts w:asciiTheme="majorBidi" w:hAnsiTheme="majorBidi" w:cstheme="majorBidi"/>
        </w:rPr>
        <w:t xml:space="preserve"> and do not access the original dataset</w:t>
      </w:r>
      <w:r w:rsidR="0045669D" w:rsidRPr="00A35149">
        <w:rPr>
          <w:rFonts w:asciiTheme="majorBidi" w:hAnsiTheme="majorBidi" w:cstheme="majorBidi"/>
        </w:rPr>
        <w:t>.</w:t>
      </w:r>
    </w:p>
    <w:p w14:paraId="5E3E3154" w14:textId="5AB726C2" w:rsidR="000A1E0A" w:rsidRPr="00A35149" w:rsidRDefault="009E0A90" w:rsidP="001F7075">
      <w:pPr>
        <w:pStyle w:val="Heading1"/>
        <w:rPr>
          <w:rFonts w:asciiTheme="majorBidi" w:hAnsiTheme="majorBidi"/>
          <w:color w:val="4472C4" w:themeColor="accent1"/>
        </w:rPr>
      </w:pPr>
      <w:r w:rsidRPr="00A35149">
        <w:rPr>
          <w:rFonts w:asciiTheme="majorBidi" w:hAnsiTheme="majorBidi"/>
          <w:color w:val="4472C4" w:themeColor="accent1"/>
        </w:rPr>
        <w:t>IMPLICATIONS OF POPULATION STRUCTURE</w:t>
      </w:r>
    </w:p>
    <w:p w14:paraId="00000067" w14:textId="52388B63" w:rsidR="007F6EEB" w:rsidRPr="00A35149" w:rsidRDefault="007F6EEB">
      <w:pPr>
        <w:widowControl w:val="0"/>
        <w:rPr>
          <w:rFonts w:asciiTheme="majorBidi" w:hAnsiTheme="majorBidi" w:cstheme="majorBidi"/>
        </w:rPr>
      </w:pPr>
    </w:p>
    <w:p w14:paraId="5E48479B" w14:textId="6E2CA088" w:rsidR="000A1E0A" w:rsidRPr="00A35149" w:rsidRDefault="000A1E0A" w:rsidP="00E06A40">
      <w:pPr>
        <w:widowControl w:val="0"/>
        <w:ind w:firstLine="720"/>
        <w:rPr>
          <w:rFonts w:asciiTheme="majorBidi" w:hAnsiTheme="majorBidi" w:cstheme="majorBidi"/>
        </w:rPr>
      </w:pPr>
      <w:r w:rsidRPr="00A35149">
        <w:rPr>
          <w:rFonts w:asciiTheme="majorBidi" w:hAnsiTheme="majorBidi" w:cstheme="majorBidi"/>
        </w:rPr>
        <w:t xml:space="preserve">Detecting associations between genetics and phenotypes is only the </w:t>
      </w:r>
      <w:r w:rsidR="005B2B65" w:rsidRPr="00A35149">
        <w:rPr>
          <w:rFonts w:asciiTheme="majorBidi" w:hAnsiTheme="majorBidi" w:cstheme="majorBidi"/>
        </w:rPr>
        <w:t xml:space="preserve">beginning </w:t>
      </w:r>
      <w:r w:rsidRPr="00A35149">
        <w:rPr>
          <w:rFonts w:asciiTheme="majorBidi" w:hAnsiTheme="majorBidi" w:cstheme="majorBidi"/>
        </w:rPr>
        <w:t>of the process. Different applications are</w:t>
      </w:r>
      <w:r w:rsidR="005B2B65" w:rsidRPr="00A35149">
        <w:rPr>
          <w:rFonts w:asciiTheme="majorBidi" w:hAnsiTheme="majorBidi" w:cstheme="majorBidi"/>
        </w:rPr>
        <w:t>, to various degrees</w:t>
      </w:r>
      <w:r w:rsidRPr="00A35149">
        <w:rPr>
          <w:rFonts w:asciiTheme="majorBidi" w:hAnsiTheme="majorBidi" w:cstheme="majorBidi"/>
        </w:rPr>
        <w:t xml:space="preserve">, affected by a bias in the estimates of an effect, which </w:t>
      </w:r>
      <w:r w:rsidR="005B2B65" w:rsidRPr="00A35149">
        <w:rPr>
          <w:rFonts w:asciiTheme="majorBidi" w:hAnsiTheme="majorBidi" w:cstheme="majorBidi"/>
        </w:rPr>
        <w:t xml:space="preserve">is </w:t>
      </w:r>
      <w:r w:rsidRPr="00A35149">
        <w:rPr>
          <w:rFonts w:asciiTheme="majorBidi" w:hAnsiTheme="majorBidi" w:cstheme="majorBidi"/>
        </w:rPr>
        <w:t>typically subject</w:t>
      </w:r>
      <w:r w:rsidR="005B2B65" w:rsidRPr="00A35149">
        <w:rPr>
          <w:rFonts w:asciiTheme="majorBidi" w:hAnsiTheme="majorBidi" w:cstheme="majorBidi"/>
        </w:rPr>
        <w:t>ed</w:t>
      </w:r>
      <w:r w:rsidRPr="00A35149">
        <w:rPr>
          <w:rFonts w:asciiTheme="majorBidi" w:hAnsiTheme="majorBidi" w:cstheme="majorBidi"/>
        </w:rPr>
        <w:t xml:space="preserve"> to very large variance for all but the strongest associations.</w:t>
      </w:r>
    </w:p>
    <w:p w14:paraId="00000069" w14:textId="724E399E" w:rsidR="007F6EEB" w:rsidRPr="00A35149" w:rsidRDefault="00430C7C">
      <w:pPr>
        <w:widowControl w:val="0"/>
        <w:spacing w:before="240" w:after="240"/>
        <w:ind w:firstLine="720"/>
        <w:rPr>
          <w:rFonts w:asciiTheme="majorBidi" w:hAnsiTheme="majorBidi" w:cstheme="majorBidi"/>
        </w:rPr>
      </w:pPr>
      <w:r w:rsidRPr="00A35149">
        <w:rPr>
          <w:rFonts w:asciiTheme="majorBidi" w:hAnsiTheme="majorBidi" w:cstheme="majorBidi"/>
        </w:rPr>
        <w:t xml:space="preserve">The assessment of lifestyle factors (e.g., smoking and alcohol intake) on health is the most elementary aspect of health research. Currently, the National Institute for Clinical Excellence (NICE) and other bodies responsible for changing health care practice require Randomised Controlled Trials (RCT) evidence to demonstrate causality between risk factors and disease before putting out findings into practice. RCTs are thereby the “gold standard” </w:t>
      </w:r>
      <w:r w:rsidRPr="00A35149">
        <w:rPr>
          <w:rFonts w:asciiTheme="majorBidi" w:hAnsiTheme="majorBidi" w:cstheme="majorBidi"/>
          <w:highlight w:val="white"/>
        </w:rPr>
        <w:t>for testing a new treatment or identifying causal risk factors for disease</w:t>
      </w:r>
      <w:r w:rsidRPr="00A35149">
        <w:rPr>
          <w:rFonts w:asciiTheme="majorBidi" w:hAnsiTheme="majorBidi" w:cstheme="majorBidi"/>
        </w:rPr>
        <w:t>. In such trials, participants are randomly exposed either to an exposure (e.g., treatment) or a placebo, to assess the effect of the exposure on disease. However, RCTs may be too costly, time consuming, unfeasible, or unethical to carry-out, which requires alternative solutions.</w:t>
      </w:r>
    </w:p>
    <w:p w14:paraId="3E055CD5" w14:textId="0CF7194D" w:rsidR="000B5C53" w:rsidRPr="00A35149" w:rsidRDefault="00C104C3" w:rsidP="001F7075">
      <w:pPr>
        <w:pStyle w:val="Heading2"/>
        <w:rPr>
          <w:rFonts w:asciiTheme="majorBidi" w:hAnsiTheme="majorBidi"/>
          <w:color w:val="4472C4" w:themeColor="accent1"/>
        </w:rPr>
      </w:pPr>
      <w:r w:rsidRPr="00A35149">
        <w:rPr>
          <w:rFonts w:asciiTheme="majorBidi" w:hAnsiTheme="majorBidi"/>
          <w:color w:val="4472C4" w:themeColor="accent1"/>
        </w:rPr>
        <w:t>Causal analysis using Mendelian Randomisation</w:t>
      </w:r>
    </w:p>
    <w:p w14:paraId="1EC4C475" w14:textId="46B796CE" w:rsidR="00F97042" w:rsidRPr="00A35149" w:rsidRDefault="00F97042" w:rsidP="00B73AD3">
      <w:pPr>
        <w:widowControl w:val="0"/>
        <w:spacing w:before="240" w:after="240"/>
        <w:ind w:firstLine="720"/>
        <w:rPr>
          <w:rFonts w:asciiTheme="majorBidi" w:hAnsiTheme="majorBidi" w:cstheme="majorBidi"/>
        </w:rPr>
      </w:pPr>
      <w:r w:rsidRPr="00A35149">
        <w:rPr>
          <w:rFonts w:asciiTheme="majorBidi" w:hAnsiTheme="majorBidi" w:cstheme="majorBidi"/>
        </w:rPr>
        <w:t>First</w:t>
      </w:r>
      <w:r w:rsidRPr="00A35149">
        <w:rPr>
          <w:rFonts w:asciiTheme="majorBidi" w:hAnsiTheme="majorBidi" w:cstheme="majorBidi"/>
          <w:b/>
        </w:rPr>
        <w:t xml:space="preserve"> </w:t>
      </w:r>
      <w:r w:rsidRPr="00A35149">
        <w:rPr>
          <w:rFonts w:asciiTheme="majorBidi" w:hAnsiTheme="majorBidi" w:cstheme="majorBidi"/>
        </w:rPr>
        <w:t xml:space="preserve">outlined by Katan </w:t>
      </w:r>
      <w:r w:rsidRPr="00A35149">
        <w:rPr>
          <w:rFonts w:asciiTheme="majorBidi" w:hAnsiTheme="majorBidi" w:cstheme="majorBidi"/>
        </w:rPr>
        <w:fldChar w:fldCharType="begin" w:fldLock="1"/>
      </w:r>
      <w:r w:rsidR="002E3CC8" w:rsidRPr="00A35149">
        <w:rPr>
          <w:rFonts w:asciiTheme="majorBidi" w:hAnsiTheme="majorBidi" w:cstheme="majorBidi"/>
        </w:rPr>
        <w:instrText>ADDIN CSL_CITATION {"citationItems":[{"id":"ITEM-1","itemData":{"DOI":"10.1093/ije/dyh312","ISSN":"03005771","PMID":"2869248","abstract":"SIR,—It is unclear whether the relation between low serum cholesterol levels and cancer1 is causal. In many studies occult tumour may have depressed cholesterol levels though in others the relation was found when serum cholesterol had been measured many years before the cancer was diagnosed. The relation is probably not explained by diet, because in the Seven Countries Study cohorts with widely different diets and corresponding differences in mean cholesterol levels experienced similar mean cancer rates.23 On the other hand, within each region cancer incidence was higher in men with a serum cholesterol in the lowest part of the cholesterol distribution for that country.3 Thus, naturally low cholesterol levels are sometimes associated with increased cancer risk.13","author":[{"dropping-particle":"","family":"Katan","given":"Martjin B.","non-dropping-particle":"","parse-names":false,"suffix":""}],"container-title":"International Journal of Epidemiology","id":"ITEM-1","issue":"1","issued":{"date-parts":[["2004"]]},"page":"9","title":"Apolipoprotein E isoforms, serum cholesterol, and cancer","type":"article-journal","volume":"33"},"uris":["http://www.mendeley.com/documents/?uuid=f42c9a61-ff23-4f72-892f-b424218a008c"]}],"mendeley":{"formattedCitation":"(Katan, 2004)","manualFormatting":"(1986)","plainTextFormattedCitation":"(Katan, 2004)","previouslyFormattedCitation":"(Katan, 2004)"},"properties":{"noteIndex":0},"schema":"https://github.com/citation-style-language/schema/raw/master/csl-citation.json"}</w:instrText>
      </w:r>
      <w:r w:rsidRPr="00A35149">
        <w:rPr>
          <w:rFonts w:asciiTheme="majorBidi" w:hAnsiTheme="majorBidi" w:cstheme="majorBidi"/>
        </w:rPr>
        <w:fldChar w:fldCharType="separate"/>
      </w:r>
      <w:r w:rsidRPr="00A35149">
        <w:rPr>
          <w:rFonts w:asciiTheme="majorBidi" w:hAnsiTheme="majorBidi" w:cstheme="majorBidi"/>
          <w:noProof/>
        </w:rPr>
        <w:t>(</w:t>
      </w:r>
      <w:r w:rsidR="00DF2379">
        <w:rPr>
          <w:rFonts w:asciiTheme="majorBidi" w:hAnsiTheme="majorBidi" w:cstheme="majorBidi"/>
          <w:noProof/>
        </w:rPr>
        <w:t>2004</w:t>
      </w:r>
      <w:r w:rsidRPr="00A35149">
        <w:rPr>
          <w:rFonts w:asciiTheme="majorBidi" w:hAnsiTheme="majorBidi" w:cstheme="majorBidi"/>
          <w:noProof/>
        </w:rPr>
        <w:t>)</w:t>
      </w:r>
      <w:r w:rsidRPr="00A35149">
        <w:rPr>
          <w:rFonts w:asciiTheme="majorBidi" w:hAnsiTheme="majorBidi" w:cstheme="majorBidi"/>
        </w:rPr>
        <w:fldChar w:fldCharType="end"/>
      </w:r>
      <w:r w:rsidRPr="00A35149">
        <w:rPr>
          <w:rFonts w:asciiTheme="majorBidi" w:hAnsiTheme="majorBidi" w:cstheme="majorBidi"/>
        </w:rPr>
        <w:t xml:space="preserve"> and further developed by </w:t>
      </w:r>
      <w:r w:rsidR="00DB6329" w:rsidRPr="00A35149">
        <w:rPr>
          <w:rFonts w:asciiTheme="majorBidi" w:hAnsiTheme="majorBidi" w:cstheme="majorBidi"/>
          <w:color w:val="4472C4" w:themeColor="accent1"/>
        </w:rPr>
        <w:fldChar w:fldCharType="begin" w:fldLock="1"/>
      </w:r>
      <w:r w:rsidR="00DB6329" w:rsidRPr="00A35149">
        <w:rPr>
          <w:rFonts w:asciiTheme="majorBidi" w:hAnsiTheme="majorBidi" w:cstheme="majorBidi"/>
          <w:color w:val="4472C4" w:themeColor="accent1"/>
        </w:rPr>
        <w:instrText>ADDIN CSL_CITATION {"citationItems":[{"id":"ITEM-1","itemData":{"DOI":"10.1093/ije/dyg070","ISSN":"03005771","PMID":"12689998","abstract":"Associations between modifiable exposures and disease seen in observational epidemiology are sometimes confounded and thus misleading, despite our best efforts to improve the design and analysis of studies. Mendelian randomization - the random assortment of genes from parents to offspring that occurs during gamete formation and conception - provides one method for assessing the causal nature of some environmental exposures. The association between a disease and a polymorphism that mimics the biological link between a proposed exposure and disease is not generally susceptible to the reverse causation or confounding that may distort interpretations of conventional observational studies. Several examples where the phenotypic effects of polymorphisms are well documented provide encouraging evidence of the explanatory power of Mendelian randomization and are described. The limitations of the approach include confounding by polymorphisms in linkage disequilibrium with the polymorphism under study, that polymorphisms may have several phenotypic effects associated with disease, the lack of suitable polymorphisms for studying modifiable exposures of interest, and canalization - the buffering of the effects of genetic variation during development. Nevertheless, Mendelian randomization provides new opportunities to test causality and demonstrates how investment in the human genome project may contribute to understanding and preventing the adverse effects on human health of modifiable exposures.","author":[{"dropping-particle":"","family":"Davey-Smith","given":"George D.","non-dropping-particle":"","parse-names":false,"suffix":""},{"dropping-particle":"","family":"Ebrahim","given":"Shah","non-dropping-particle":"","parse-names":false,"suffix":""}],"container-title":"International Journal of Epidemiology","id":"ITEM-1","issue":"1","issued":{"date-parts":[["2003"]]},"page":"1-22","title":"'Mendelian randomization': Can genetic epidemiology contribute to understanding environmental determinants of disease?","type":"article-journal","volume":"32"},"uris":["http://www.mendeley.com/documents/?uuid=ecb13944-13d1-48e6-ae28-5ab1da4cdd9c"]}],"mendeley":{"formattedCitation":"(Davey-Smith and Ebrahim, 2003)","plainTextFormattedCitation":"(Davey-Smith and Ebrahim, 2003)","previouslyFormattedCitation":"(Davey-Smith and Ebrahim, 2003)"},"properties":{"noteIndex":0},"schema":"https://github.com/citation-style-language/schema/raw/master/csl-citation.json"}</w:instrText>
      </w:r>
      <w:r w:rsidR="00DB6329" w:rsidRPr="00A35149">
        <w:rPr>
          <w:rFonts w:asciiTheme="majorBidi" w:hAnsiTheme="majorBidi" w:cstheme="majorBidi"/>
          <w:color w:val="4472C4" w:themeColor="accent1"/>
        </w:rPr>
        <w:fldChar w:fldCharType="separate"/>
      </w:r>
      <w:r w:rsidR="00DB6329" w:rsidRPr="00A35149">
        <w:rPr>
          <w:rFonts w:asciiTheme="majorBidi" w:hAnsiTheme="majorBidi" w:cstheme="majorBidi"/>
          <w:noProof/>
          <w:color w:val="4472C4" w:themeColor="accent1"/>
        </w:rPr>
        <w:t xml:space="preserve">Davey-Smith and Ebrahim, </w:t>
      </w:r>
      <w:r w:rsidR="0084413D" w:rsidRPr="009A7745">
        <w:rPr>
          <w:rFonts w:asciiTheme="majorBidi" w:hAnsiTheme="majorBidi" w:cstheme="majorBidi"/>
          <w:noProof/>
          <w:color w:val="4472C4" w:themeColor="accent1"/>
          <w:u w:val="single"/>
        </w:rPr>
        <w:t>(</w:t>
      </w:r>
      <w:r w:rsidR="00DB6329" w:rsidRPr="00A35149">
        <w:rPr>
          <w:rFonts w:asciiTheme="majorBidi" w:hAnsiTheme="majorBidi" w:cstheme="majorBidi"/>
          <w:noProof/>
          <w:color w:val="4472C4" w:themeColor="accent1"/>
        </w:rPr>
        <w:t>2003)</w:t>
      </w:r>
      <w:r w:rsidR="00DB6329" w:rsidRPr="00A35149">
        <w:rPr>
          <w:rFonts w:asciiTheme="majorBidi" w:hAnsiTheme="majorBidi" w:cstheme="majorBidi"/>
          <w:color w:val="4472C4" w:themeColor="accent1"/>
        </w:rPr>
        <w:fldChar w:fldCharType="end"/>
      </w:r>
      <w:r w:rsidR="00DB6329" w:rsidRPr="00A35149">
        <w:rPr>
          <w:rFonts w:asciiTheme="majorBidi" w:hAnsiTheme="majorBidi" w:cstheme="majorBidi"/>
        </w:rPr>
        <w:t>,</w:t>
      </w:r>
      <w:r w:rsidRPr="00A35149">
        <w:rPr>
          <w:rFonts w:asciiTheme="majorBidi" w:hAnsiTheme="majorBidi" w:cstheme="majorBidi"/>
        </w:rPr>
        <w:t xml:space="preserve"> </w:t>
      </w:r>
      <w:r w:rsidR="005B2B65" w:rsidRPr="00A35149">
        <w:rPr>
          <w:rFonts w:asciiTheme="majorBidi" w:hAnsiTheme="majorBidi" w:cstheme="majorBidi"/>
        </w:rPr>
        <w:t xml:space="preserve">Mendelian Randomisation (MR) </w:t>
      </w:r>
      <w:r w:rsidRPr="00A35149">
        <w:rPr>
          <w:rFonts w:asciiTheme="majorBidi" w:hAnsiTheme="majorBidi" w:cstheme="majorBidi"/>
        </w:rPr>
        <w:t>is a statistical approach in which genetic variants associated with an exposure of interest are used to examine the causal effect of said exposure on disease. Because genotype is assigned at conception and common genetic variants are typically not associated with other lifestyle factors</w:t>
      </w:r>
      <w:r w:rsidR="00FC1232" w:rsidRPr="00A35149">
        <w:rPr>
          <w:rFonts w:asciiTheme="majorBidi" w:hAnsiTheme="majorBidi" w:cstheme="majorBidi"/>
        </w:rPr>
        <w:t>,</w:t>
      </w:r>
      <w:r w:rsidRPr="00A35149">
        <w:rPr>
          <w:rFonts w:asciiTheme="majorBidi" w:hAnsiTheme="majorBidi" w:cstheme="majorBidi"/>
        </w:rPr>
        <w:t xml:space="preserve"> </w:t>
      </w:r>
      <w:r w:rsidR="00FC1232" w:rsidRPr="00A35149">
        <w:rPr>
          <w:rFonts w:asciiTheme="majorBidi" w:hAnsiTheme="majorBidi" w:cstheme="majorBidi"/>
        </w:rPr>
        <w:t>these variants can be used as “instruments” for causal inference,</w:t>
      </w:r>
      <w:r w:rsidRPr="00A35149">
        <w:rPr>
          <w:rFonts w:asciiTheme="majorBidi" w:hAnsiTheme="majorBidi" w:cstheme="majorBidi"/>
        </w:rPr>
        <w:t xml:space="preserve"> </w:t>
      </w:r>
      <w:r w:rsidR="00FC1232" w:rsidRPr="00A35149">
        <w:rPr>
          <w:rFonts w:asciiTheme="majorBidi" w:hAnsiTheme="majorBidi" w:cstheme="majorBidi"/>
        </w:rPr>
        <w:t xml:space="preserve">limiting the </w:t>
      </w:r>
      <w:r w:rsidRPr="00A35149">
        <w:rPr>
          <w:rFonts w:asciiTheme="majorBidi" w:hAnsiTheme="majorBidi" w:cstheme="majorBidi"/>
        </w:rPr>
        <w:t>problems of confounding and reverse causality</w:t>
      </w:r>
      <w:r w:rsidR="00FC1232" w:rsidRPr="00A35149">
        <w:rPr>
          <w:rFonts w:asciiTheme="majorBidi" w:hAnsiTheme="majorBidi" w:cstheme="majorBidi"/>
        </w:rPr>
        <w:t xml:space="preserve"> that otherwise </w:t>
      </w:r>
      <w:r w:rsidR="00FC1232" w:rsidRPr="00A35149">
        <w:rPr>
          <w:rFonts w:asciiTheme="majorBidi" w:hAnsiTheme="majorBidi" w:cstheme="majorBidi"/>
        </w:rPr>
        <w:lastRenderedPageBreak/>
        <w:t>plague</w:t>
      </w:r>
      <w:r w:rsidRPr="00A35149">
        <w:rPr>
          <w:rFonts w:asciiTheme="majorBidi" w:hAnsiTheme="majorBidi" w:cstheme="majorBidi"/>
        </w:rPr>
        <w:t xml:space="preserve"> observational epidemiology. MR may</w:t>
      </w:r>
      <w:r w:rsidR="00F315A4" w:rsidRPr="00A35149">
        <w:rPr>
          <w:rFonts w:asciiTheme="majorBidi" w:hAnsiTheme="majorBidi" w:cstheme="majorBidi"/>
        </w:rPr>
        <w:t>,</w:t>
      </w:r>
      <w:r w:rsidRPr="00A35149">
        <w:rPr>
          <w:rFonts w:asciiTheme="majorBidi" w:hAnsiTheme="majorBidi" w:cstheme="majorBidi"/>
        </w:rPr>
        <w:t xml:space="preserve"> therefore</w:t>
      </w:r>
      <w:r w:rsidR="00F315A4" w:rsidRPr="00A35149">
        <w:rPr>
          <w:rFonts w:asciiTheme="majorBidi" w:hAnsiTheme="majorBidi" w:cstheme="majorBidi"/>
        </w:rPr>
        <w:t>,</w:t>
      </w:r>
      <w:r w:rsidRPr="00A35149">
        <w:rPr>
          <w:rFonts w:asciiTheme="majorBidi" w:hAnsiTheme="majorBidi" w:cstheme="majorBidi"/>
        </w:rPr>
        <w:t xml:space="preserve"> offer an affordable and faster alternative to traditional RCTs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{"citationItems":[{"id":"ITEM-1","itemData":{"DOI":"10.1001/jama.2008.864","ISSN":"00987484","abstract":"Context: Secondary analyses of 2 randomized controlled trials and supportive epidemiologic and preclinical data indicated the potential of selenium and vitamin E for preventing prostate cancer. Objective: To determine whether selenium, vitamin E, or both could prevent prostate cancer and other diseases with little or no toxicity in relatively healthy men. Design, Setting, and Participants: A randomized, placebo-controlled trial (Selenium and Vitamin E Cancer Prevention Trial [SELECT]) of 35 533 men from 427 participating sites in the United States, Canada, and Puerto Rico randomly assigned to 4 groups (selenium, vitamin E, selenium + vitamin E, and placebo) in a double-blind fashion between August 22, 2001, and June 24, 2004. Baseline eligibility included age 50 years or older (African American men) or 55 years or older (all other men), a serum prostate-specific antigen level of 4 ng/mL or less, and a digital rectal examination not suspicious for prostate cancer. Interventions: Oral selenium (200 μg/d from L-selenomethionine) and matched vitamin E placebo, vitamin E (400 IU/d of all rac-α-tocopheryl acetate) and matched selenium placebo, selenium + vitamin E, or placebo + placebo for a planned follow-up of minimum of 7 years and a maximum of 12 years. Main Outcome Measures: Prostate cancer and prespecified secondary outcomes, including lung, colorectal, and overall primary cancer. Results: As of October 23, 2008, median overall follow-up was 5.46 years (range, 4.17-7.33 years). Hazard ratios (99% confidence intervals [CIs]) for prostate cancer were 1.13 (99% CI, 0.95-1.35; n = 473) for vitamin E, 1.04 (99% CI, 0.87-1.24; n = 432) for selenium, and 1.05 (99% CI, 0.88-1.25; n = 437) for selenium + vitamin E vs 1.00 (n = 416) for placebo. There were no significant differences (all P&gt;.15) in any other prespecified cancer end points. There were statistically nonsignificant increased risks of prostate cancer in the vitamin E group (P = .06) and type 2 diabetes mellitus in the selenium group (relative risk, 1.07; 99% CI, 0.94-1.22; P = .16) but not in the selenium + vitamin E group. Conclusion: Selenium or vitamin E, alone or in combination at the doses and formulations used, did not prevent prostate cancer in this population of relatively healthy men. Trial Registration: clinicaltrials.gov identifier: NCT00006392. ©2009 American Medical Association. All rights reserved.","author":[{"dropping-particle":"","family":"Lippman","given":"Scott M.","non-dropping-particle":"","parse-names":false,"suffix":""},{"dropping-particle":"","family":"Klein","given":"Eric A.","non-dropping-particle":"","parse-names":false,"suffix":""},{"dropping-particle":"","family":"Goodman","given":"Phyllis J.","non-dropping-particle":"","parse-names":false,"suffix":""},{"dropping-particle":"","family":"Lucia","given":"M. Scott","non-dropping-particle":"","parse-names":false,"suffix":""},{"dropping-particle":"","family":"Thompson","given":"Ian M.","non-dropping-particle":"","parse-names":false,"suffix":""},{"dropping-particle":"","family":"Ford","given":"Leslie G.","non-dropping-particle":"","parse-names":false,"suffix":""},{"dropping-particle":"","family":"Parnes","given":"Howard L.","non-dropping-particle":"","parse-names":false,"suffix":""},{"dropping-particle":"","family":"Minasian","given":"Lori M.","non-dropping-particle":"","parse-names":false,"suffix":""},{"dropping-particle":"","family":"Gaziano","given":"J. Michael","non-dropping-particle":"","parse-names":false,"suffix":""},{"dropping-particle":"","family":"Hartline","given":"Jo Ann","non-dropping-particle":"","parse-names":false,"suffix":""},{"dropping-particle":"","family":"Parsons","given":"J. Kellogg","non-dropping-particle":"","parse-names":false,"suffix":""},{"dropping-particle":"","family":"Bearden","given":"James D.","non-dropping-particle":"","parse-names":false,"suffix":""},{"dropping-particle":"","family":"Crawford","given":"E. David","non-dropping-particle":"","parse-names":false,"suffix":""},{"dropping-particle":"","family":"Goodman","given":"Gary E.","non-dropping-particle":"","parse-names":false,"suffix":""},{"dropping-particle":"","family":"Claudio","given":"Jaime","non-dropping-particle":"","parse-names":false,"suffix":""},{"dropping-particle":"","family":"Winquist","given":"Eric","non-dropping-particle":"","parse-names":false,"suffix":""},{"dropping-particle":"","family":"Cook","given":"Elise D.","non-dropping-particle":"","parse-names":false,"suffix":""},{"dropping-particle":"","family":"Karp","given":"Daniel D.","non-dropping-particle":"","parse-names":false,"suffix":""},{"dropping-particle":"","family":"Walther","given":"Philip","non-dropping-particle":"","parse-names":false,"suffix":""},{"dropping-particle":"","family":"Lieber","given":"Michael M.","non-dropping-particle":"","parse-names":false,"suffix":""},{"dropping-particle":"","family":"Kristal","given":"Alan R.","non-dropping-particle":"","parse-names":false,"suffix":""},{"dropping-particle":"","family":"Darke","given":"Amy K.","non-dropping-particle":"","parse-names":false,"suffix":""},{"dropping-particle":"","family":"Arnold","given":"Kathryn B.","non-dropping-particle":"","parse-names":false,"suffix":""},{"dropping-particle":"","family":"Ganz","given":"Patricia A.","non-dropping-particle":"","parse-names":false,"suffix":""},{"dropping-particle":"","family":"Santella","given":"Regina M.","non-dropping-particle":"","parse-names":false,"suffix":""},{"dropping-particle":"","family":"Albanes","given":"Demetrius","non-dropping-particle":"","parse-names":false,"suffix":""},{"dropping-particle":"","family":"Taylor","given":"Philip R.","non-dropping-particle":"","parse-names":false,"suffix":""},{"dropping-particle":"","family":"Probstfield","given":"Jeffrey L.","non-dropping-particle":"","parse-names":false,"suffix":""},{"dropping-particle":"","family":"Jagpal","given":"T. J.","non-dropping-particle":"","parse-names":false,"suffix":""},{"dropping-particle":"","family":"Crowley","given":"John J.","non-dropping-particle":"","parse-names":false,"suffix":""},{"dropping-particle":"","family":"Meyskens","given":"Frank L.","non-dropping-particle":"","parse-names":false,"suffix":""},{"dropping-particle":"","family":"Baker","given":"Laurence H.","non-dropping-particle":"","parse-names":false,"suffix":""},{"dropping-particle":"","family":"Coltman","given":"Charles A.","non-dropping-particle":"","parse-names":false,"suffix":""}],"container-title":"JAMA - Journal of the American Medical Association","id":"ITEM-1","issue":"1","issued":{"date-parts":[["2009"]]},"page":"39-51","title":"Effect of selenium and vitamin E on risk of prostate cancer and other cancers: The selenium and vitamin E cancer prevention trial (SELECT)","type":"article-journal","volume":"301"},"uris":["http://www.mendeley.com/documents/?uuid=45a8c90a-94c5-4275-b12c-ce6197787f38"]},{"id":"ITEM-2","itemData":{"DOI":"10.1136/jmedgenet-2014-102438","ISSN":"14686244","abstract":"Despite increased expenditure, productivity of the pharmaceutical industry has decreased and currently 90% of developed molecules entering phase II and phase III clinical trials fail to gain regulatory approval. Most of these failures are due to lack of therapeutic efficacy rather than lack of safety, suggesting that drug development failures may often be due to poor drug target validation. Currently, drug targets are largely validated using in vitro assays and animal models which may not translate well to human disease. Emerging methods from human genetics, such as Mendelian randomisation (MR), can enable the validation of putative biomarker drug targets in humans prior to the initiation of clinical trials. MR studies can provide evidence as to whether genetically determined levels of a biomarker influence disease aetiology, enabling investigators to infer whether the biomarker is causal. We review the extent to which MR techniques may be helpful in biomarker validation by assessing the concordance between the results from MR studies and phase III clinical trials for lipid therapy in cardiovascular disease. Our findings show that concordance is highest when MR provides evidence suggesting that a biomarker is not causal. In contrast, there are many examples of clinical trials that still failed despite targeting confirmed causal biomarkers. We discuss why such trials may not succeed, despite evidence for causality in MR studies, and outline important limitations when using MR for biomarker validation in drug development. Nonetheless, given the current inefficiencies in drug development, MR methods have potential to improve the success rate of drug development and ultimately the delivery of new molecules to clinical care.","author":[{"dropping-particle":"","family":"Mokry","given":"Lauren E.","non-dropping-particle":"","parse-names":false,"suffix":""},{"dropping-particle":"","family":"Ahmad","given":"Omar","non-dropping-particle":"","parse-names":false,"suffix":""},{"dropping-particle":"","family":"Forgetta","given":"Vincenzo","non-dropping-particle":"","parse-names":false,"suffix":""},{"dropping-particle":"","family":"Thanassoulis","given":"George","non-dropping-particle":"","parse-names":false,"suffix":""},{"dropping-particle":"","family":"Richards","given":"J. Brent","non-dropping-particle":"","parse-names":false,"suffix":""}],"container-title":"Journal of Medical Genetics","id":"ITEM-2","issue":"2","issued":{"date-parts":[["2015"]]},"page":"71-79","title":"Mendelian randomisation applied to drug development in cardiovascular disease: A review","type":"article-journal","volume":"52"},"uris":["http://www.mendeley.com/documents/?uuid=f42e50f9-0ecd-43df-8df0-08a0dde723ff"]}],"mendeley":{"formattedCitation":"(Lippman &lt;i&gt;et al.&lt;/i&gt;, 2009; Mokry &lt;i&gt;et al.&lt;/i&gt;, 2015)","plainTextFormattedCitation":"(Lippman et al., 2009; Mokry et al., 2015)","previouslyFormattedCitation":"(Lippman &lt;i&gt;et al.&lt;/i&gt;, 2009; Mokry &lt;i&gt;et al.&lt;/i&gt;, 2015)"},"properties":{"noteIndex":0},"schema":"https://github.com/citation-style-language/schema/raw/master/csl-citation.json"}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(Lippman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xml:space="preserve">, 2009; Mokry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2015)</w:t>
      </w:r>
      <w:r w:rsidRPr="00A35149">
        <w:rPr>
          <w:rFonts w:asciiTheme="majorBidi" w:hAnsiTheme="majorBidi" w:cstheme="majorBidi"/>
          <w:color w:val="4472C4" w:themeColor="accent1"/>
        </w:rPr>
        <w:fldChar w:fldCharType="end"/>
      </w:r>
      <w:r w:rsidRPr="00A35149">
        <w:rPr>
          <w:rFonts w:asciiTheme="majorBidi" w:hAnsiTheme="majorBidi" w:cstheme="majorBidi"/>
        </w:rPr>
        <w:t>. However, MR assumes that there is no confounding between the genetic polymorphism (which is a proxy for the exposure) and the disease outcome. If population stratification occurs due to mismatched ancestries, then this assumption will be violated, and any estimates will be biased. For instance, common genetic polymorphism</w:t>
      </w:r>
      <w:r w:rsidR="00B73AD3" w:rsidRPr="00A35149">
        <w:rPr>
          <w:rFonts w:asciiTheme="majorBidi" w:hAnsiTheme="majorBidi" w:cstheme="majorBidi"/>
        </w:rPr>
        <w:t xml:space="preserve"> in the CHRNA5-A3-B4 gene cluster that is related to nicotine dependence</w:t>
      </w:r>
      <w:r w:rsidR="00711110" w:rsidRPr="00A35149">
        <w:rPr>
          <w:rFonts w:asciiTheme="majorBidi" w:hAnsiTheme="majorBidi" w:cstheme="majorBidi"/>
        </w:rPr>
        <w:t>,</w:t>
      </w:r>
      <w:r w:rsidRPr="00A35149">
        <w:rPr>
          <w:rFonts w:asciiTheme="majorBidi" w:hAnsiTheme="majorBidi" w:cstheme="majorBidi"/>
        </w:rPr>
        <w:t xml:space="preserve"> </w:t>
      </w:r>
      <w:r w:rsidR="00B73AD3" w:rsidRPr="00A35149">
        <w:rPr>
          <w:rFonts w:asciiTheme="majorBidi" w:hAnsiTheme="majorBidi" w:cstheme="majorBidi"/>
        </w:rPr>
        <w:t xml:space="preserve">are </w:t>
      </w:r>
      <w:r w:rsidRPr="00A35149">
        <w:rPr>
          <w:rFonts w:asciiTheme="majorBidi" w:hAnsiTheme="majorBidi" w:cstheme="majorBidi"/>
        </w:rPr>
        <w:t>often used as an instrument for tobacco smoke exposure</w:t>
      </w:r>
      <w:r w:rsidR="0067225B" w:rsidRPr="00A35149">
        <w:rPr>
          <w:rFonts w:asciiTheme="majorBidi" w:hAnsiTheme="majorBidi" w:cstheme="majorBidi"/>
        </w:rPr>
        <w:t xml:space="preserve"> </w:t>
      </w:r>
      <w:r w:rsidR="0067225B" w:rsidRPr="00A35149">
        <w:rPr>
          <w:rFonts w:asciiTheme="majorBidi" w:hAnsiTheme="majorBidi" w:cstheme="majorBidi"/>
          <w:color w:val="4472C4" w:themeColor="accent1"/>
        </w:rPr>
        <w:fldChar w:fldCharType="begin" w:fldLock="1"/>
      </w:r>
      <w:r w:rsidR="00DA074A" w:rsidRPr="00A35149">
        <w:rPr>
          <w:rFonts w:asciiTheme="majorBidi" w:hAnsiTheme="majorBidi" w:cstheme="majorBidi"/>
          <w:color w:val="4472C4" w:themeColor="accent1"/>
        </w:rPr>
        <w:instrText>ADDIN CSL_CITATION {"citationItems":[{"id":"ITEM-1","itemData":{"DOI":"10.1371/journal.pgen.1006977","ISSN":"15537404","abstract":"Previous genome-wide association studies (GWAS) have identified hundreds of genetic loci to be associated with body mass index (BMI) and risk of obesity. Genetic effects can differ between individuals depending on lifestyle or environmental factors due to gene-environment interactions. In this study, we examine gene-environment interactions in 362,496 unrelated participants with Caucasian ancestry from the UK Biobank resource. A total of 94 BMI-associated SNPs, selected from a previous GWAS on BMI, were used to construct weighted genetic scores for BMI (GSBMI). Linear regression modeling was used to estimate the effect of gene-environment interactions on BMI for 131 lifestyle factors related to: dietary habits, smoking and alcohol consumption, physical activity, socioeconomic status, mental health, sleeping patterns, as well as female-specific factors such as menopause and childbirth. In total, 15 lifestyle factors were observed to interact with GSBMI, of which alcohol intake frequency, usual walking pace, and Townsend deprivation index, a measure of socioeconomic status, were all highly significant (p = 1.45*10−29, p = 3.83*10−26, p = 4.66*10−11, respectively). Interestingly, the frequency of alcohol consumption, rather than the total weekly amount resulted in a significant interaction. The FTO locus was the strongest single locus interacting with any of the lifestyle factors. However, 13 significant interactions were also observed after omitting the FTO locus from the genetic score. Our analyses indicate that many lifestyle factors modify the genetic effects on BMI with some groups of individuals having more than double the effect of the genetic score. However, the underlying causal mechanisms of gene-environmental interactions are difficult to deduce from cross-sectional data alone and controlled experiments are required to fully characterise the causal factors.","author":[{"dropping-particle":"","family":"Rask-Andersen","given":"Mathias","non-dropping-particle":"","parse-names":false,"suffix":""},{"dropping-particle":"","family":"Karlsson","given":"Torgny","non-dropping-particle":"","parse-names":false,"suffix":""},{"dropping-particle":"","family":"Ek","given":"Weronica E.","non-dropping-particle":"","parse-names":false,"suffix":""},{"dropping-particle":"","family":"Johansson","given":"Åsa","non-dropping-particle":"","parse-names":false,"suffix":""}],"container-title":"PLoS Genetics","id":"ITEM-1","issue":"9","issued":{"date-parts":[["2017"]]},"title":"Gene-environment interaction study for BMI reveals interactions between genetic factors and physical activity, alcohol consumption and socioeconomic status","type":"article-journal","volume":"13"},"uris":["http://www.mendeley.com/documents/?uuid=13ae07e8-d4a5-4254-8686-14871a4cea6b"]}],"mendeley":{"formattedCitation":"(Rask-Andersen &lt;i&gt;et al.&lt;/i&gt;, 2017)","plainTextFormattedCitation":"(Rask-Andersen et al., 2017)","previouslyFormattedCitation":"(Rask-Andersen &lt;i&gt;et al.&lt;/i&gt;, 2017)"},"properties":{"noteIndex":0},"schema":"https://github.com/citation-style-language/schema/raw/master/csl-citation.json"}</w:instrText>
      </w:r>
      <w:r w:rsidR="0067225B" w:rsidRPr="00A35149">
        <w:rPr>
          <w:rFonts w:asciiTheme="majorBidi" w:hAnsiTheme="majorBidi" w:cstheme="majorBidi"/>
          <w:color w:val="4472C4" w:themeColor="accent1"/>
        </w:rPr>
        <w:fldChar w:fldCharType="separate"/>
      </w:r>
      <w:r w:rsidR="0067225B" w:rsidRPr="00A35149">
        <w:rPr>
          <w:rFonts w:asciiTheme="majorBidi" w:hAnsiTheme="majorBidi" w:cstheme="majorBidi"/>
          <w:noProof/>
          <w:color w:val="4472C4" w:themeColor="accent1"/>
        </w:rPr>
        <w:t xml:space="preserve">(Rask-Andersen </w:t>
      </w:r>
      <w:r w:rsidR="0067225B" w:rsidRPr="00A35149">
        <w:rPr>
          <w:rFonts w:asciiTheme="majorBidi" w:hAnsiTheme="majorBidi" w:cstheme="majorBidi"/>
          <w:i/>
          <w:noProof/>
          <w:color w:val="4472C4" w:themeColor="accent1"/>
        </w:rPr>
        <w:t>et al.</w:t>
      </w:r>
      <w:r w:rsidR="0067225B" w:rsidRPr="00A35149">
        <w:rPr>
          <w:rFonts w:asciiTheme="majorBidi" w:hAnsiTheme="majorBidi" w:cstheme="majorBidi"/>
          <w:noProof/>
          <w:color w:val="4472C4" w:themeColor="accent1"/>
        </w:rPr>
        <w:t>, 2017)</w:t>
      </w:r>
      <w:r w:rsidR="0067225B" w:rsidRPr="00A35149">
        <w:rPr>
          <w:rFonts w:asciiTheme="majorBidi" w:hAnsiTheme="majorBidi" w:cstheme="majorBidi"/>
          <w:color w:val="4472C4" w:themeColor="accent1"/>
        </w:rPr>
        <w:fldChar w:fldCharType="end"/>
      </w:r>
      <w:r w:rsidR="0067225B" w:rsidRPr="00A35149">
        <w:rPr>
          <w:rFonts w:asciiTheme="majorBidi" w:hAnsiTheme="majorBidi" w:cstheme="majorBidi"/>
        </w:rPr>
        <w:t>.</w:t>
      </w:r>
      <w:r w:rsidRPr="00A35149">
        <w:rPr>
          <w:rFonts w:asciiTheme="majorBidi" w:hAnsiTheme="majorBidi" w:cstheme="majorBidi"/>
        </w:rPr>
        <w:t xml:space="preserve"> </w:t>
      </w:r>
      <w:r w:rsidR="00B73AD3" w:rsidRPr="00A35149">
        <w:rPr>
          <w:rFonts w:asciiTheme="majorBidi" w:hAnsiTheme="majorBidi" w:cstheme="majorBidi"/>
        </w:rPr>
        <w:t>Assume that t</w:t>
      </w:r>
      <w:r w:rsidRPr="00A35149">
        <w:rPr>
          <w:rFonts w:asciiTheme="majorBidi" w:hAnsiTheme="majorBidi" w:cstheme="majorBidi"/>
        </w:rPr>
        <w:t>wo alleles</w:t>
      </w:r>
      <w:r w:rsidR="00E06A40" w:rsidRPr="00A35149">
        <w:rPr>
          <w:rFonts w:asciiTheme="majorBidi" w:hAnsiTheme="majorBidi" w:cstheme="majorBidi"/>
        </w:rPr>
        <w:t xml:space="preserve">, </w:t>
      </w:r>
      <w:r w:rsidR="00E06A40" w:rsidRPr="00A35149">
        <w:rPr>
          <w:rFonts w:asciiTheme="majorBidi" w:hAnsiTheme="majorBidi" w:cstheme="majorBidi"/>
          <w:i/>
          <w:iCs/>
        </w:rPr>
        <w:t>A</w:t>
      </w:r>
      <w:r w:rsidR="00E06A40" w:rsidRPr="00A35149">
        <w:rPr>
          <w:rFonts w:asciiTheme="majorBidi" w:hAnsiTheme="majorBidi" w:cstheme="majorBidi"/>
        </w:rPr>
        <w:t xml:space="preserve"> and </w:t>
      </w:r>
      <w:r w:rsidR="004C49D8" w:rsidRPr="00A35149">
        <w:rPr>
          <w:rFonts w:asciiTheme="majorBidi" w:hAnsiTheme="majorBidi" w:cstheme="majorBidi"/>
          <w:i/>
          <w:iCs/>
        </w:rPr>
        <w:t>C</w:t>
      </w:r>
      <w:r w:rsidR="004C49D8" w:rsidRPr="00A35149">
        <w:rPr>
          <w:rFonts w:asciiTheme="majorBidi" w:hAnsiTheme="majorBidi" w:cstheme="majorBidi"/>
        </w:rPr>
        <w:t>, exist</w:t>
      </w:r>
      <w:r w:rsidRPr="00A35149">
        <w:rPr>
          <w:rFonts w:asciiTheme="majorBidi" w:hAnsiTheme="majorBidi" w:cstheme="majorBidi"/>
        </w:rPr>
        <w:t xml:space="preserve"> at this polymorphic site, with those carrying the </w:t>
      </w:r>
      <w:r w:rsidRPr="00A35149">
        <w:rPr>
          <w:rFonts w:asciiTheme="majorBidi" w:hAnsiTheme="majorBidi" w:cstheme="majorBidi"/>
          <w:i/>
          <w:iCs/>
        </w:rPr>
        <w:t>A</w:t>
      </w:r>
      <w:r w:rsidRPr="00A35149">
        <w:rPr>
          <w:rFonts w:asciiTheme="majorBidi" w:hAnsiTheme="majorBidi" w:cstheme="majorBidi"/>
        </w:rPr>
        <w:t xml:space="preserve"> allele exhibiting a tendency to smoke more cigarettes. Europeans with</w:t>
      </w:r>
      <w:r w:rsidR="0025600A" w:rsidRPr="00A35149">
        <w:rPr>
          <w:rFonts w:asciiTheme="majorBidi" w:hAnsiTheme="majorBidi" w:cstheme="majorBidi"/>
        </w:rPr>
        <w:t>out</w:t>
      </w:r>
      <w:r w:rsidRPr="00A35149">
        <w:rPr>
          <w:rFonts w:asciiTheme="majorBidi" w:hAnsiTheme="majorBidi" w:cstheme="majorBidi"/>
        </w:rPr>
        <w:t xml:space="preserve"> cryptic African/East Asian ancestry are unlikely to have the </w:t>
      </w:r>
      <w:r w:rsidRPr="00A35149">
        <w:rPr>
          <w:rFonts w:asciiTheme="majorBidi" w:hAnsiTheme="majorBidi" w:cstheme="majorBidi"/>
          <w:i/>
          <w:iCs/>
        </w:rPr>
        <w:t>A</w:t>
      </w:r>
      <w:r w:rsidRPr="00A35149">
        <w:rPr>
          <w:rFonts w:asciiTheme="majorBidi" w:hAnsiTheme="majorBidi" w:cstheme="majorBidi"/>
        </w:rPr>
        <w:t xml:space="preserve"> allele regardless of their smoking practices, which may bias the MR study if ancestry is not properly accounted for in the study design. Within single studies where researchers have access to individual level data, ancestry may be accounted for</w:t>
      </w:r>
      <w:r w:rsidR="009E4E88" w:rsidRPr="00A35149">
        <w:rPr>
          <w:rFonts w:asciiTheme="majorBidi" w:hAnsiTheme="majorBidi" w:cstheme="majorBidi"/>
        </w:rPr>
        <w:t>,</w:t>
      </w:r>
      <w:r w:rsidRPr="00A35149">
        <w:rPr>
          <w:rFonts w:asciiTheme="majorBidi" w:hAnsiTheme="majorBidi" w:cstheme="majorBidi"/>
        </w:rPr>
        <w:t xml:space="preserve"> to some extent</w:t>
      </w:r>
      <w:r w:rsidR="009E4E88" w:rsidRPr="00A35149">
        <w:rPr>
          <w:rFonts w:asciiTheme="majorBidi" w:hAnsiTheme="majorBidi" w:cstheme="majorBidi"/>
        </w:rPr>
        <w:t>,</w:t>
      </w:r>
      <w:r w:rsidRPr="00A35149">
        <w:rPr>
          <w:rFonts w:asciiTheme="majorBidi" w:hAnsiTheme="majorBidi" w:cstheme="majorBidi"/>
        </w:rPr>
        <w:t xml:space="preserve"> by adjusting for principle components. However, MR requires very large sample sizes which necessitates collaboration across studies and meta-analysis, which may introduce genetic heterogeneity. MR’s susceptibility to population stratification is a well-recognised bias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{"citationItems":[{"id":"ITEM-1","itemData":{"DOI":"10.1016/j.ajhg.2015.03.004","ISSN":"15376605","abstract":"We introduce a liability-threshold mixed linear model (LTMLM) association statistic for case-control studies and show that it has a well-controlled false-positive rate and more power than existing mixed-model methods for diseases with low prevalence. Existing mixed-model methods suffer a loss in power under case-control ascertainment, but no solution has been proposed. Here, we solve this problem by using a χ 2 score statistic computed from posterior mean liabilities (PMLs) under the liability-threshold model. Each individual's PML is conditional not only on that individual's case-control status but also on every individual's case-control status and the genetic relationship matrix (GRM) obtained from the data. The PMLs are estimated with a multivariate Gibbs sampler; the liability-scale phenotypic covariance matrix is based on the GRM, and a heritability parameter is estimated via Haseman-Elston regression on case-control phenotypes and then transformed to the liability scale. In simulations of unrelated individuals, the LTMLM statistic was correctly calibrated and achieved higher power than existing mixed-model methods for diseases with low prevalence, and the magnitude of the improvement depended on sample size and severity of case-control ascertainment. In a Wellcome Trust Case Control Consortium 2 multiple sclerosis dataset with &gt;10,000 samples, LTMLM was correctly calibrated and attained a 4.3% improvement (p = 0.005) in χ 2 statistics over existing mixed-model methods at 75 known associated SNPs, consistent with simulations. Larger increases in power are expected at larger sample sizes. In conclusion, case-control studies of diseases with low prevalence can achieve power higher than that in existing mixed-model methods.","author":[{"dropping-particle":"","family":"Hayeck","given":"Tristan J.","non-dropping-particle":"","parse-names":false,"suffix":""},{"dropping-particle":"","family":"Zaitlen","given":"Noah A.","non-dropping-particle":"","parse-names":false,"suffix":""},{"dropping-particle":"","family":"Loh","given":"Po Ru","non-dropping-particle":"","parse-names":false,"suffix":""},{"dropping-particle":"","family":"Vilhjalmsson","given":"Bjarni","non-dropping-particle":"","parse-names":false,"suffix":""},{"dropping-particle":"","family":"Pollack","given":"Samuela","non-dropping-particle":"","parse-names":false,"suffix":""},{"dropping-particle":"","family":"Gusev","given":"Alexander","non-dropping-particle":"","parse-names":false,"suffix":""},{"dropping-particle":"","family":"Yang","given":"Jian","non-dropping-particle":"","parse-names":false,"suffix":""},{"dropping-particle":"","family":"Chen","given":"Guo Bo","non-dropping-particle":"","parse-names":false,"suffix":""},{"dropping-particle":"","family":"Goddard","given":"Michael E.","non-dropping-particle":"","parse-names":false,"suffix":""},{"dropping-particle":"","family":"Visscher","given":"Peter M.","non-dropping-particle":"","parse-names":false,"suffix":""},{"dropping-particle":"","family":"Patterson","given":"Nick","non-dropping-particle":"","parse-names":false,"suffix":""},{"dropping-particle":"","family":"Price","given":"Alkes L.","non-dropping-particle":"","parse-names":false,"suffix":""}],"container-title":"American Journal of Human Genetics","id":"ITEM-1","issue":"5","issued":{"date-parts":[["2015"]]},"page":"720-730","title":"Mixed model with correction for case-control ascertainment increases association power","type":"article-journal","volume":"96"},"uris":["http://www.mendeley.com/documents/?uuid=222c6835-e91b-47a8-9482-6afc3a6b5ec7"]},{"id":"ITEM-2","itemData":{"DOI":"10.1177/1745691610383505","ISSN":"17456916","abstract":"Identification of environmentally modifiable factors causally influencing disease risk is fundamental to public-health improvement strategies. Unfortunately, observational epidemiological studies are limited in their ability to reliably identify such causal associations, reflected in the many cases in which conventional epidemiological studies have apparently identified such associations that randomized controlled trials have failed to verify. The use of genetic variants as proxy measures of exposure -an application of the Mendelian randomization principle-can contribute to strengthening causal inference. Genetic variants are not subject to bias due to reverse causation (disease processes influencing exposure, rather than vice versa) or recall bias, and if simple precautions are applied, they are not influenced by confounding or attenuation by errors. The principles of Mendelian randomization are illustrated with specific reference to studies of the effects of alcohol intake on various healthrelated outcomes through the utilization of genetic variants related to alcohol metabolism (in ALDH2 and ADH1B). Ways of incorporating Gene × Environment interactions into the Mendelian randomization framework are developed, and the strengths and limitations of the approach discussed. © The Author(s) 2010.","author":[{"dropping-particle":"","family":"Smith","given":"George Davey","non-dropping-particle":"","parse-names":false,"suffix":""}],"container-title":"Perspectives on Psychological Science","id":"ITEM-2","issue":"5","issued":{"date-parts":[["2010"]]},"page":"527-545","title":"Mendelian randomization for strengthening causal inference in observational studies: Application to gene × environment interactions","type":"article-journal","volume":"5"},"uris":["http://www.mendeley.com/documents/?uuid=1aaac1d6-4d1e-43ce-898d-2a90928f309f"]}],"mendeley":{"formattedCitation":"(Smith, 2010; Hayeck &lt;i&gt;et al.&lt;/i&gt;, 2015)","plainTextFormattedCitation":"(Smith, 2010; Hayeck et al., 2015)","previouslyFormattedCitation":"(Smith, 2010; Hayeck &lt;i&gt;et al.&lt;/i&gt;, 2015)"},"properties":{"noteIndex":0},"schema":"https://github.com/citation-style-language/schema/raw/master/csl-citation.json"}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(Smith, 2010; Hayeck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2015)</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in case-control pharmacogenetics studies where differences in ancestry affect the results (e.g., weekly warfarin dose requirement to maintain a therapeutic effect varies by ancestry, likely due to genetic variation). Other MR limitations include a reliance on large GWAS,</w:t>
      </w:r>
      <w:r w:rsidR="00CD0F54" w:rsidRPr="00A35149">
        <w:rPr>
          <w:rFonts w:asciiTheme="majorBidi" w:hAnsiTheme="majorBidi" w:cstheme="majorBidi"/>
        </w:rPr>
        <w:t xml:space="preserve"> horizontal</w:t>
      </w:r>
      <w:r w:rsidRPr="00A35149">
        <w:rPr>
          <w:rFonts w:asciiTheme="majorBidi" w:hAnsiTheme="majorBidi" w:cstheme="majorBidi"/>
        </w:rPr>
        <w:t xml:space="preserve"> pleiotropy</w:t>
      </w:r>
      <w:r w:rsidR="00CD0F54" w:rsidRPr="00A35149">
        <w:rPr>
          <w:rFonts w:asciiTheme="majorBidi" w:hAnsiTheme="majorBidi" w:cstheme="majorBidi"/>
        </w:rPr>
        <w:t>,</w:t>
      </w:r>
      <w:r w:rsidRPr="00A35149">
        <w:rPr>
          <w:rFonts w:asciiTheme="majorBidi" w:hAnsiTheme="majorBidi" w:cstheme="majorBidi"/>
        </w:rPr>
        <w:t xml:space="preserve"> and canalisation</w:t>
      </w:r>
      <w:bookmarkStart w:id="2" w:name="_Hlk27573211"/>
      <w:r w:rsidR="005941F8" w:rsidRPr="00A35149">
        <w:rPr>
          <w:rFonts w:asciiTheme="majorBidi" w:hAnsiTheme="majorBidi" w:cstheme="majorBidi"/>
        </w:rPr>
        <w:t xml:space="preserve"> </w:t>
      </w:r>
      <w:r w:rsidR="005941F8" w:rsidRPr="00A35149">
        <w:rPr>
          <w:rFonts w:asciiTheme="majorBidi" w:hAnsiTheme="majorBidi" w:cstheme="majorBidi"/>
          <w:color w:val="4472C4" w:themeColor="accent1"/>
        </w:rPr>
        <w:fldChar w:fldCharType="begin" w:fldLock="1"/>
      </w:r>
      <w:r w:rsidR="008B2FD8" w:rsidRPr="00A35149">
        <w:rPr>
          <w:rFonts w:asciiTheme="majorBidi" w:hAnsiTheme="majorBidi" w:cstheme="majorBidi"/>
          <w:color w:val="4472C4" w:themeColor="accent1"/>
        </w:rPr>
        <w:instrText>ADDIN CSL_CITATION {"citationItems":[{"id":"ITEM-1","itemData":{"DOI":"10.1038/nrg.2017.101","ISSN":"14710064","abstract":"Genetic architecture describes the characteristics of genetic variation that are responsible for heritable phenotypic variability. It depends on the number of genetic variants affecting a trait, their frequencies in the population, the magnitude of their effects and their interactions with each other and the environment. Defining the genetic architecture of a complex trait or disease is central to the scientific and clinical goals of human genetics, which are to understand disease aetiology and aid in disease screening, diagnosis, prognosis and therapy. Recent technological advances have enabled genome-wide association studies and emerging next-generation sequencing studies to begin to decipher the nature of the heritable contribution to traits and disease. Here, we describe the types of genetic architecture that have been observed, how architecture can be measured and why an improved understanding of genetic architecture is central to future advances in the field.","author":[{"dropping-particle":"","family":"Timpson","given":"Nicholas J.","non-dropping-particle":"","parse-names":false,"suffix":""},{"dropping-particle":"","family":"Greenwood","given":"Celia M.T.","non-dropping-particle":"","parse-names":false,"suffix":""},{"dropping-particle":"","family":"Soranzo","given":"Nicole","non-dropping-particle":"","parse-names":false,"suffix":""},{"dropping-particle":"","family":"Lawson","given":"Daniel J.","non-dropping-particle":"","parse-names":false,"suffix":""},{"dropping-particle":"","family":"Richards","given":"J. Brent","non-dropping-particle":"","parse-names":false,"suffix":""}],"container-title":"Nature Reviews Genetics","id":"ITEM-1","issue":"2","issued":{"date-parts":[["2018"]]},"page":"110-124","title":"Genetic architecture: The shape of the genetic contribution to human traits and disease","type":"article-journal","volume":"19"},"uris":["http://www.mendeley.com/documents/?uuid=85cf82f7-a97b-40ca-8323-b77b396bf18f"]}],"mendeley":{"formattedCitation":"(Timpson &lt;i&gt;et al.&lt;/i&gt;, 2018)","plainTextFormattedCitation":"(Timpson et al., 2018)","previouslyFormattedCitation":"(Timpson &lt;i&gt;et al.&lt;/i&gt;, 2018)"},"properties":{"noteIndex":0},"schema":"https://github.com/citation-style-language/schema/raw/master/csl-citation.json"}</w:instrText>
      </w:r>
      <w:r w:rsidR="005941F8" w:rsidRPr="00A35149">
        <w:rPr>
          <w:rFonts w:asciiTheme="majorBidi" w:hAnsiTheme="majorBidi" w:cstheme="majorBidi"/>
          <w:color w:val="4472C4" w:themeColor="accent1"/>
        </w:rPr>
        <w:fldChar w:fldCharType="separate"/>
      </w:r>
      <w:r w:rsidR="005941F8" w:rsidRPr="00A35149">
        <w:rPr>
          <w:rFonts w:asciiTheme="majorBidi" w:hAnsiTheme="majorBidi" w:cstheme="majorBidi"/>
          <w:noProof/>
          <w:color w:val="4472C4" w:themeColor="accent1"/>
        </w:rPr>
        <w:t xml:space="preserve">(Timpson </w:t>
      </w:r>
      <w:r w:rsidR="005941F8" w:rsidRPr="00A35149">
        <w:rPr>
          <w:rFonts w:asciiTheme="majorBidi" w:hAnsiTheme="majorBidi" w:cstheme="majorBidi"/>
          <w:i/>
          <w:noProof/>
          <w:color w:val="4472C4" w:themeColor="accent1"/>
        </w:rPr>
        <w:t>et al.</w:t>
      </w:r>
      <w:r w:rsidR="005941F8" w:rsidRPr="00A35149">
        <w:rPr>
          <w:rFonts w:asciiTheme="majorBidi" w:hAnsiTheme="majorBidi" w:cstheme="majorBidi"/>
          <w:noProof/>
          <w:color w:val="4472C4" w:themeColor="accent1"/>
        </w:rPr>
        <w:t>, 2018)</w:t>
      </w:r>
      <w:r w:rsidR="005941F8" w:rsidRPr="00A35149">
        <w:rPr>
          <w:rFonts w:asciiTheme="majorBidi" w:hAnsiTheme="majorBidi" w:cstheme="majorBidi"/>
          <w:color w:val="4472C4" w:themeColor="accent1"/>
        </w:rPr>
        <w:fldChar w:fldCharType="end"/>
      </w:r>
      <w:r w:rsidRPr="00A35149">
        <w:rPr>
          <w:rFonts w:asciiTheme="majorBidi" w:hAnsiTheme="majorBidi" w:cstheme="majorBidi"/>
        </w:rPr>
        <w:t>.</w:t>
      </w:r>
      <w:bookmarkEnd w:id="2"/>
      <w:r w:rsidRPr="00A35149">
        <w:rPr>
          <w:rFonts w:asciiTheme="majorBidi" w:hAnsiTheme="majorBidi" w:cstheme="majorBidi"/>
        </w:rPr>
        <w:t xml:space="preserve"> </w:t>
      </w:r>
    </w:p>
    <w:p w14:paraId="10BD0972" w14:textId="3759237A" w:rsidR="000B5C53" w:rsidRPr="00A35149" w:rsidRDefault="0072147B" w:rsidP="00AE763B">
      <w:pPr>
        <w:widowControl w:val="0"/>
        <w:spacing w:before="240" w:after="240"/>
        <w:ind w:firstLine="720"/>
        <w:rPr>
          <w:rFonts w:asciiTheme="majorBidi" w:hAnsiTheme="majorBidi" w:cstheme="majorBidi"/>
        </w:rPr>
      </w:pPr>
      <w:r w:rsidRPr="00A35149">
        <w:rPr>
          <w:rFonts w:asciiTheme="majorBidi" w:hAnsiTheme="majorBidi" w:cstheme="majorBidi"/>
        </w:rPr>
        <w:t>T</w:t>
      </w:r>
      <w:r w:rsidR="00392E7D" w:rsidRPr="00A35149">
        <w:rPr>
          <w:rFonts w:asciiTheme="majorBidi" w:hAnsiTheme="majorBidi" w:cstheme="majorBidi"/>
        </w:rPr>
        <w:t xml:space="preserve">wo-sample </w:t>
      </w:r>
      <w:r w:rsidR="00546D68" w:rsidRPr="00A35149">
        <w:rPr>
          <w:rFonts w:asciiTheme="majorBidi" w:hAnsiTheme="majorBidi" w:cstheme="majorBidi"/>
        </w:rPr>
        <w:t>Mendelian Randomisation (</w:t>
      </w:r>
      <w:r w:rsidR="00392E7D" w:rsidRPr="00A35149">
        <w:rPr>
          <w:rFonts w:asciiTheme="majorBidi" w:hAnsiTheme="majorBidi" w:cstheme="majorBidi"/>
        </w:rPr>
        <w:t>MR</w:t>
      </w:r>
      <w:r w:rsidR="00546D68" w:rsidRPr="00A35149">
        <w:rPr>
          <w:rFonts w:asciiTheme="majorBidi" w:hAnsiTheme="majorBidi" w:cstheme="majorBidi"/>
        </w:rPr>
        <w:t>)</w:t>
      </w:r>
      <w:r w:rsidR="00392E7D" w:rsidRPr="00A35149">
        <w:rPr>
          <w:rFonts w:asciiTheme="majorBidi" w:hAnsiTheme="majorBidi" w:cstheme="majorBidi"/>
        </w:rPr>
        <w:t>, in which the SNP-exposure association is estimated in one study and the SNP-outcome association is estimated in another</w:t>
      </w:r>
      <w:r w:rsidRPr="00A35149">
        <w:rPr>
          <w:rFonts w:asciiTheme="majorBidi" w:hAnsiTheme="majorBidi" w:cstheme="majorBidi"/>
        </w:rPr>
        <w:t>, is important because it allows sharable summary statistics to be used for causal inference</w:t>
      </w:r>
      <w:r w:rsidR="00392E7D" w:rsidRPr="00A35149">
        <w:rPr>
          <w:rFonts w:asciiTheme="majorBidi" w:hAnsiTheme="majorBidi" w:cstheme="majorBidi"/>
        </w:rPr>
        <w:t xml:space="preserve">. Often one or both associations </w:t>
      </w:r>
      <w:r w:rsidR="009E4E88" w:rsidRPr="00A35149">
        <w:rPr>
          <w:rFonts w:asciiTheme="majorBidi" w:hAnsiTheme="majorBidi" w:cstheme="majorBidi"/>
        </w:rPr>
        <w:t xml:space="preserve">are </w:t>
      </w:r>
      <w:r w:rsidR="00392E7D" w:rsidRPr="00A35149">
        <w:rPr>
          <w:rFonts w:asciiTheme="majorBidi" w:hAnsiTheme="majorBidi" w:cstheme="majorBidi"/>
        </w:rPr>
        <w:t xml:space="preserve">determined using summary statistics and the researcher does not access the primary data </w:t>
      </w:r>
      <w:r w:rsidR="00392E7D" w:rsidRPr="00A35149">
        <w:rPr>
          <w:rFonts w:asciiTheme="majorBidi" w:hAnsiTheme="majorBidi" w:cstheme="majorBidi"/>
          <w:color w:val="4472C4" w:themeColor="accent1"/>
        </w:rPr>
        <w:fldChar w:fldCharType="begin" w:fldLock="1"/>
      </w:r>
      <w:r w:rsidR="002E3CC8" w:rsidRPr="00A35149">
        <w:rPr>
          <w:rFonts w:asciiTheme="majorBidi" w:hAnsiTheme="majorBidi" w:cstheme="majorBidi"/>
          <w:color w:val="4472C4" w:themeColor="accent1"/>
        </w:rPr>
        <w:instrText>ADDIN CSL_CITATION {"citationItems":[{"id":"ITEM-1","itemData":{"DOI":"10.1201/b18084","ISBN":"9781466573185","abstract":"Presents the Terminology and Methods of Mendelian Randomization for Epidemiological Studies Mendelian randomization uses genetic instrumental variables to make inferences about causal effects based on observational data. It, therefore, can be a reliable way of assessing the causal nature of risk factors, such as biomarkers, for a wide range of disease outcomes. Mendelian Randomization: Methods for Using Genetic Variants in Causal Estimation provides thorough coverage of the methods and practical elements of Mendelian randomization analysis. It brings together diverse aspects of Mendelian randomization spanning epidemiology, statistics, genetics, and econometrics. Although the book mainly focuses on epidemiology, much of the material can be applied to other areas of research. Through several examples, the first part of the book shows how to perform simple applied Mendelian randomization analyses and interpret their results. The second part addresses specific methodological issues, such as weak instruments, multiple instruments, power calculations, and meta-analysis, relevant to practical applications of Mendelian randomization. In this part, the authors draw on data from the C-reactive protein Coronary heart disease Genetics Collaboration (CCGC) to illustrate the analyses. They present the mathematics in an easy-to-understand way by using nontechnical language and reinforcing key points at the end of each chapter. The last part of the book examines the potential of Mendelian randomization in the future, exploring both methodological and applied developments. This book gives statisticians, epidemiologists, and geneticists the foundation to understand issues concerning the use of genetic variants as instrumental variables. It will get them up to speed in undertaking and interpreting Mendelian randomization analyses. Chapter summaries, paper summaries, web-based applications, and software code for implementing the statistical techniques are available on a supplementary website.","author":[{"dropping-particle":"","family":"Burgess","given":"Stephen","non-dropping-particle":"","parse-names":false,"suffix":""},{"dropping-particle":"","family":"Thompson","given":"Simon G.","non-dropping-particle":"","parse-names":false,"suffix":""}],"container-title":"CRC Press","id":"ITEM-1","issued":{"date-parts":[["2015"]]},"number-of-pages":"1-207","title":"Mendelian randomization: Methods for using genetic variants in causal estimation","type":"book"},"uris":["http://www.mendeley.com/documents/?uuid=5c27acfe-158e-4f2c-b999-c81a5e59fe33"]}],"mendeley":{"formattedCitation":"(Burgess and Thompson, 2015)","plainTextFormattedCitation":"(Burgess and Thompson, 2015)","previouslyFormattedCitation":"(Burgess and Thompson, 2015)"},"properties":{"noteIndex":0},"schema":"https://github.com/citation-style-language/schema/raw/master/csl-citation.json"}</w:instrText>
      </w:r>
      <w:r w:rsidR="00392E7D" w:rsidRPr="00A35149">
        <w:rPr>
          <w:rFonts w:asciiTheme="majorBidi" w:hAnsiTheme="majorBidi" w:cstheme="majorBidi"/>
          <w:color w:val="4472C4" w:themeColor="accent1"/>
        </w:rPr>
        <w:fldChar w:fldCharType="separate"/>
      </w:r>
      <w:r w:rsidR="00392E7D" w:rsidRPr="00A35149">
        <w:rPr>
          <w:rFonts w:asciiTheme="majorBidi" w:hAnsiTheme="majorBidi" w:cstheme="majorBidi"/>
          <w:noProof/>
          <w:color w:val="4472C4" w:themeColor="accent1"/>
        </w:rPr>
        <w:t>(Burgess and Thompson, 2015)</w:t>
      </w:r>
      <w:r w:rsidR="00392E7D" w:rsidRPr="00A35149">
        <w:rPr>
          <w:rFonts w:asciiTheme="majorBidi" w:hAnsiTheme="majorBidi" w:cstheme="majorBidi"/>
          <w:color w:val="4472C4" w:themeColor="accent1"/>
        </w:rPr>
        <w:fldChar w:fldCharType="end"/>
      </w:r>
      <w:r w:rsidR="00392E7D" w:rsidRPr="00A35149">
        <w:rPr>
          <w:rFonts w:asciiTheme="majorBidi" w:hAnsiTheme="majorBidi" w:cstheme="majorBidi"/>
        </w:rPr>
        <w:t xml:space="preserve">. Importantly, summary statistics are usually meta-analysed to determine an “average” SNP-exposure estimate across studies, and similarly further studies are meta-analysed to determine the SNP-outcome estimate. </w:t>
      </w:r>
      <w:r w:rsidR="00702F01" w:rsidRPr="00A35149">
        <w:rPr>
          <w:rFonts w:asciiTheme="majorBidi" w:hAnsiTheme="majorBidi" w:cstheme="majorBidi"/>
        </w:rPr>
        <w:t>Whilst</w:t>
      </w:r>
      <w:r w:rsidR="00AE763B" w:rsidRPr="00A35149">
        <w:rPr>
          <w:rFonts w:asciiTheme="majorBidi" w:hAnsiTheme="majorBidi" w:cstheme="majorBidi"/>
        </w:rPr>
        <w:t xml:space="preserve"> in </w:t>
      </w:r>
      <w:r w:rsidR="00392E7D" w:rsidRPr="00A35149">
        <w:rPr>
          <w:rFonts w:asciiTheme="majorBidi" w:hAnsiTheme="majorBidi" w:cstheme="majorBidi"/>
        </w:rPr>
        <w:t>one step MR, there is an assumption that the effect of the SNP on the outcome and the effect of the SNP on the exposure is uniform across the populations included in any meta-analyses</w:t>
      </w:r>
      <w:r w:rsidR="00AE763B" w:rsidRPr="00A35149">
        <w:rPr>
          <w:rFonts w:asciiTheme="majorBidi" w:hAnsiTheme="majorBidi" w:cstheme="majorBidi"/>
        </w:rPr>
        <w:t xml:space="preserve"> – </w:t>
      </w:r>
      <w:r w:rsidR="000B5C53" w:rsidRPr="00A35149">
        <w:rPr>
          <w:rFonts w:asciiTheme="majorBidi" w:hAnsiTheme="majorBidi" w:cstheme="majorBidi"/>
        </w:rPr>
        <w:t>T</w:t>
      </w:r>
      <w:r w:rsidR="00392E7D" w:rsidRPr="00A35149">
        <w:rPr>
          <w:rFonts w:asciiTheme="majorBidi" w:hAnsiTheme="majorBidi" w:cstheme="majorBidi"/>
        </w:rPr>
        <w:t>wo-</w:t>
      </w:r>
      <w:r w:rsidR="000B5C53" w:rsidRPr="00A35149">
        <w:rPr>
          <w:rFonts w:asciiTheme="majorBidi" w:hAnsiTheme="majorBidi" w:cstheme="majorBidi"/>
        </w:rPr>
        <w:t xml:space="preserve">sample </w:t>
      </w:r>
      <w:r w:rsidR="00392E7D" w:rsidRPr="00A35149">
        <w:rPr>
          <w:rFonts w:asciiTheme="majorBidi" w:hAnsiTheme="majorBidi" w:cstheme="majorBidi"/>
        </w:rPr>
        <w:t xml:space="preserve">MR makes a further assumption that the population in which the SNP-exposure estimate is determined is representative of the population in which the SNP-outcome association is determined </w:t>
      </w:r>
      <w:r w:rsidR="000B5C53" w:rsidRPr="00A35149">
        <w:rPr>
          <w:rFonts w:asciiTheme="majorBidi" w:hAnsiTheme="majorBidi" w:cstheme="majorBidi"/>
        </w:rPr>
        <w:t>(</w:t>
      </w:r>
      <w:r w:rsidR="00392E7D" w:rsidRPr="00A35149">
        <w:rPr>
          <w:rFonts w:asciiTheme="majorBidi" w:hAnsiTheme="majorBidi" w:cstheme="majorBidi"/>
        </w:rPr>
        <w:t>or that any differences are negligible</w:t>
      </w:r>
      <w:r w:rsidR="000B5C53" w:rsidRPr="00A35149">
        <w:rPr>
          <w:rFonts w:asciiTheme="majorBidi" w:hAnsiTheme="majorBidi" w:cstheme="majorBidi"/>
        </w:rPr>
        <w:t>)</w:t>
      </w:r>
      <w:r w:rsidR="00392E7D" w:rsidRPr="00A35149">
        <w:rPr>
          <w:rFonts w:asciiTheme="majorBidi" w:hAnsiTheme="majorBidi" w:cstheme="majorBidi"/>
        </w:rPr>
        <w:t xml:space="preserve">. </w:t>
      </w:r>
      <w:r w:rsidR="00AE763B" w:rsidRPr="00A35149">
        <w:rPr>
          <w:rFonts w:asciiTheme="majorBidi" w:hAnsiTheme="majorBidi" w:cstheme="majorBidi"/>
        </w:rPr>
        <w:t xml:space="preserve">This assumption is </w:t>
      </w:r>
      <w:r w:rsidR="00005A3F" w:rsidRPr="00A35149">
        <w:rPr>
          <w:rFonts w:asciiTheme="majorBidi" w:hAnsiTheme="majorBidi" w:cstheme="majorBidi"/>
        </w:rPr>
        <w:t>questionable when</w:t>
      </w:r>
      <w:r w:rsidR="00AE763B" w:rsidRPr="00A35149">
        <w:rPr>
          <w:rFonts w:asciiTheme="majorBidi" w:hAnsiTheme="majorBidi" w:cstheme="majorBidi"/>
        </w:rPr>
        <w:t xml:space="preserve"> </w:t>
      </w:r>
      <w:r w:rsidR="00AF221E" w:rsidRPr="00A35149">
        <w:rPr>
          <w:rFonts w:asciiTheme="majorBidi" w:hAnsiTheme="majorBidi" w:cstheme="majorBidi"/>
        </w:rPr>
        <w:t xml:space="preserve">combining </w:t>
      </w:r>
      <w:r w:rsidR="00392E7D" w:rsidRPr="00A35149">
        <w:rPr>
          <w:rFonts w:asciiTheme="majorBidi" w:hAnsiTheme="majorBidi" w:cstheme="majorBidi"/>
        </w:rPr>
        <w:t xml:space="preserve">an exposure GWAS from Han Chinese and an outcome </w:t>
      </w:r>
      <w:r w:rsidR="00005A3F" w:rsidRPr="00A35149">
        <w:rPr>
          <w:rFonts w:asciiTheme="majorBidi" w:hAnsiTheme="majorBidi" w:cstheme="majorBidi"/>
        </w:rPr>
        <w:t xml:space="preserve">GWAS from </w:t>
      </w:r>
      <w:r w:rsidR="00392E7D" w:rsidRPr="00A35149">
        <w:rPr>
          <w:rFonts w:asciiTheme="majorBidi" w:hAnsiTheme="majorBidi" w:cstheme="majorBidi"/>
        </w:rPr>
        <w:t>a Caucasian population</w:t>
      </w:r>
      <w:r w:rsidR="001711E5" w:rsidRPr="00A35149">
        <w:rPr>
          <w:rFonts w:asciiTheme="majorBidi" w:hAnsiTheme="majorBidi" w:cstheme="majorBidi"/>
        </w:rPr>
        <w:t>, from which</w:t>
      </w:r>
      <w:r w:rsidR="00392E7D" w:rsidRPr="00A35149">
        <w:rPr>
          <w:rFonts w:asciiTheme="majorBidi" w:hAnsiTheme="majorBidi" w:cstheme="majorBidi"/>
        </w:rPr>
        <w:t xml:space="preserve"> MR </w:t>
      </w:r>
      <w:r w:rsidR="00AE763B" w:rsidRPr="00A35149">
        <w:rPr>
          <w:rFonts w:asciiTheme="majorBidi" w:hAnsiTheme="majorBidi" w:cstheme="majorBidi"/>
        </w:rPr>
        <w:t xml:space="preserve">may </w:t>
      </w:r>
      <w:r w:rsidR="00392E7D" w:rsidRPr="00A35149">
        <w:rPr>
          <w:rFonts w:asciiTheme="majorBidi" w:hAnsiTheme="majorBidi" w:cstheme="majorBidi"/>
        </w:rPr>
        <w:t>produce biased results</w:t>
      </w:r>
      <w:r w:rsidR="008B2FD8" w:rsidRPr="00A35149">
        <w:rPr>
          <w:rFonts w:asciiTheme="majorBidi" w:hAnsiTheme="majorBidi" w:cstheme="majorBidi"/>
        </w:rPr>
        <w:t xml:space="preserve"> </w:t>
      </w:r>
      <w:r w:rsidR="008B2FD8" w:rsidRPr="00A35149">
        <w:rPr>
          <w:rFonts w:asciiTheme="majorBidi" w:hAnsiTheme="majorBidi" w:cstheme="majorBidi"/>
          <w:color w:val="4472C4" w:themeColor="accent1"/>
        </w:rPr>
        <w:fldChar w:fldCharType="begin" w:fldLock="1"/>
      </w:r>
      <w:r w:rsidR="004C5C24" w:rsidRPr="00A35149">
        <w:rPr>
          <w:rFonts w:asciiTheme="majorBidi" w:hAnsiTheme="majorBidi" w:cstheme="majorBidi"/>
          <w:color w:val="4472C4" w:themeColor="accent1"/>
        </w:rPr>
        <w:instrText>ADDIN CSL_CITATION {"citationItems":[{"id":"ITEM-1","itemData":{"DOI":"10.1093/ije/dyz138","ISSN":"14643685","author":[{"dropping-particle":"","family":"Koellinger","given":"Philipp D.","non-dropping-particle":"","parse-names":false,"suffix":""},{"dropping-particle":"","family":"Vlaming","given":"Ronald","non-dropping-particle":"De","parse-names":false,"suffix":""}],"container-title":"International Journal of Epidemiology","id":"ITEM-1","issue":"3","issued":{"date-parts":[["2019"]]},"page":"665-671","title":"Mendelian randomization: The challenge of unobserved environmental confounds","type":"article-journal","volume":"48"},"uris":["http://www.mendeley.com/documents/?uuid=9fee5010-5fcf-443e-8ab6-6f85643a1e0b"]},{"id":"ITEM-2","itemData":{"DOI":"10.3390/ijms17081267","ISSN":"14220067","abstract":"Clinical genetic testing for Mendelian disorders is standard of care in many cases; however, it is less clear to what extent and in which situations clinical genetic testing may improve preventive efforts, diagnosis and/or prognosis of complex disease. One challenge is that much of the reported research relies on tag single nucleotide polymorphisms (SNPs) to act as proxies for assumed underlying functional variants that are not yet known. Here we use coronary artery disease and melanoma as case studies to evaluate how well reported genetic risk variants tag surrounding variants across population samples in the 1000 Genomes Project Phase 3 data. We performed a simulation study where we randomly assigned a “functional” variant and evaluated how often this simulated functional variant was correctly tagged in diverse population samples. Our results indicate a relatively large error rate when generalizing increased genetic risk of complex disease across diverse population samples, even when generalizing within geographic regions. Our results further highlight the importance of including diverse populations in genome-wide association studies. Future work focused on identifying functional variants will eliminate the need for tag SNPs; however, until functional variants are known, caution should be used in the interpretation of genetic risk for complex disease using tag SNPs.","author":[{"dropping-particle":"","family":"Scheinfeldt","given":"Laura B.","non-dropping-particle":"","parse-names":false,"suffix":""},{"dropping-particle":"","family":"Schmidlen","given":"Tara J.","non-dropping-particle":"","parse-names":false,"suffix":""},{"dropping-particle":"","family":"Gerry","given":"Norman P.","non-dropping-particle":"","parse-names":false,"suffix":""},{"dropping-particle":"","family":"Christman","given":"Michael F.","non-dropping-particle":"","parse-names":false,"suffix":""}],"container-title":"International Journal of Molecular Sciences","id":"ITEM-2","issue":"8","issued":{"date-parts":[["2016"]]},"title":"Challenges in translating GWAS results to clinical care","type":"article-journal","volume":"17"},"uris":["http://www.mendeley.com/documents/?uuid=cd8228d7-3502-4b22-85df-647c834b4b20"]}],"mendeley":{"formattedCitation":"(Scheinfeldt &lt;i&gt;et al.&lt;/i&gt;, 2016; Koellinger and De Vlaming, 2019)","plainTextFormattedCitation":"(Scheinfeldt et al., 2016; Koellinger and De Vlaming, 2019)","previouslyFormattedCitation":"(Scheinfeldt &lt;i&gt;et al.&lt;/i&gt;, 2016; Koellinger and De Vlaming, 2019)"},"properties":{"noteIndex":0},"schema":"https://github.com/citation-style-language/schema/raw/master/csl-citation.json"}</w:instrText>
      </w:r>
      <w:r w:rsidR="008B2FD8" w:rsidRPr="00A35149">
        <w:rPr>
          <w:rFonts w:asciiTheme="majorBidi" w:hAnsiTheme="majorBidi" w:cstheme="majorBidi"/>
          <w:color w:val="4472C4" w:themeColor="accent1"/>
        </w:rPr>
        <w:fldChar w:fldCharType="separate"/>
      </w:r>
      <w:r w:rsidR="008B2FD8" w:rsidRPr="00A35149">
        <w:rPr>
          <w:rFonts w:asciiTheme="majorBidi" w:hAnsiTheme="majorBidi" w:cstheme="majorBidi"/>
          <w:noProof/>
          <w:color w:val="4472C4" w:themeColor="accent1"/>
        </w:rPr>
        <w:t xml:space="preserve">(Scheinfeldt </w:t>
      </w:r>
      <w:r w:rsidR="008B2FD8" w:rsidRPr="00A35149">
        <w:rPr>
          <w:rFonts w:asciiTheme="majorBidi" w:hAnsiTheme="majorBidi" w:cstheme="majorBidi"/>
          <w:i/>
          <w:noProof/>
          <w:color w:val="4472C4" w:themeColor="accent1"/>
        </w:rPr>
        <w:t>et al.</w:t>
      </w:r>
      <w:r w:rsidR="008B2FD8" w:rsidRPr="00A35149">
        <w:rPr>
          <w:rFonts w:asciiTheme="majorBidi" w:hAnsiTheme="majorBidi" w:cstheme="majorBidi"/>
          <w:noProof/>
          <w:color w:val="4472C4" w:themeColor="accent1"/>
        </w:rPr>
        <w:t>, 2016; Koellinger and De Vlaming, 2019)</w:t>
      </w:r>
      <w:r w:rsidR="008B2FD8" w:rsidRPr="00A35149">
        <w:rPr>
          <w:rFonts w:asciiTheme="majorBidi" w:hAnsiTheme="majorBidi" w:cstheme="majorBidi"/>
          <w:color w:val="4472C4" w:themeColor="accent1"/>
        </w:rPr>
        <w:fldChar w:fldCharType="end"/>
      </w:r>
      <w:r w:rsidR="008B2FD8" w:rsidRPr="00A35149">
        <w:rPr>
          <w:rFonts w:asciiTheme="majorBidi" w:hAnsiTheme="majorBidi" w:cstheme="majorBidi"/>
        </w:rPr>
        <w:t>.</w:t>
      </w:r>
      <w:r w:rsidR="00392E7D" w:rsidRPr="00A35149">
        <w:rPr>
          <w:rFonts w:asciiTheme="majorBidi" w:hAnsiTheme="majorBidi" w:cstheme="majorBidi"/>
        </w:rPr>
        <w:t xml:space="preserve"> </w:t>
      </w:r>
      <w:r w:rsidR="00137778" w:rsidRPr="00A35149">
        <w:rPr>
          <w:rFonts w:asciiTheme="majorBidi" w:hAnsiTheme="majorBidi" w:cstheme="majorBidi"/>
        </w:rPr>
        <w:t xml:space="preserve">Even </w:t>
      </w:r>
      <w:r w:rsidR="00392E7D" w:rsidRPr="00A35149">
        <w:rPr>
          <w:rFonts w:asciiTheme="majorBidi" w:hAnsiTheme="majorBidi" w:cstheme="majorBidi"/>
        </w:rPr>
        <w:t xml:space="preserve">the </w:t>
      </w:r>
      <w:r w:rsidR="000B5C53" w:rsidRPr="00A35149">
        <w:rPr>
          <w:rFonts w:asciiTheme="majorBidi" w:hAnsiTheme="majorBidi" w:cstheme="majorBidi"/>
        </w:rPr>
        <w:t xml:space="preserve">induced bias </w:t>
      </w:r>
      <w:r w:rsidR="00392E7D" w:rsidRPr="00A35149">
        <w:rPr>
          <w:rFonts w:asciiTheme="majorBidi" w:hAnsiTheme="majorBidi" w:cstheme="majorBidi"/>
        </w:rPr>
        <w:t xml:space="preserve">of using two different Caucasian populations (e.g., an exposure GWAS in a Scandinavian population and an outcome measured in a southern England population), is largely unknown. That bias would be most severe for </w:t>
      </w:r>
      <w:r w:rsidR="000B5C53" w:rsidRPr="00A35149">
        <w:rPr>
          <w:rFonts w:asciiTheme="majorBidi" w:hAnsiTheme="majorBidi" w:cstheme="majorBidi"/>
        </w:rPr>
        <w:t xml:space="preserve">rare conditions and </w:t>
      </w:r>
      <w:r w:rsidR="00392E7D" w:rsidRPr="00A35149">
        <w:rPr>
          <w:rFonts w:asciiTheme="majorBidi" w:hAnsiTheme="majorBidi" w:cstheme="majorBidi"/>
        </w:rPr>
        <w:t>small cohorts that include diverse individuals</w:t>
      </w:r>
      <w:r w:rsidR="000B5C53" w:rsidRPr="00A35149">
        <w:rPr>
          <w:rFonts w:asciiTheme="majorBidi" w:hAnsiTheme="majorBidi" w:cstheme="majorBidi"/>
        </w:rPr>
        <w:t>.</w:t>
      </w:r>
    </w:p>
    <w:p w14:paraId="77BE40BA" w14:textId="71B2D629" w:rsidR="00392E7D" w:rsidRPr="00A35149" w:rsidRDefault="004E017D" w:rsidP="000A1E0A">
      <w:pPr>
        <w:widowControl w:val="0"/>
        <w:spacing w:before="240" w:after="240"/>
        <w:ind w:firstLine="720"/>
        <w:rPr>
          <w:rFonts w:asciiTheme="majorBidi" w:hAnsiTheme="majorBidi" w:cstheme="majorBidi"/>
        </w:rPr>
      </w:pPr>
      <w:r w:rsidRPr="00A35149">
        <w:rPr>
          <w:rFonts w:asciiTheme="majorBidi" w:hAnsiTheme="majorBidi" w:cstheme="majorBidi"/>
        </w:rPr>
        <w:t>Recently</w:t>
      </w:r>
      <w:r w:rsidR="00392E7D" w:rsidRPr="00A35149">
        <w:rPr>
          <w:rFonts w:asciiTheme="majorBidi" w:hAnsiTheme="majorBidi" w:cstheme="majorBidi"/>
        </w:rPr>
        <w:t xml:space="preserve"> MR studies using a two-sample approach </w:t>
      </w:r>
      <w:r w:rsidR="00392E7D" w:rsidRPr="00A35149">
        <w:rPr>
          <w:rFonts w:asciiTheme="majorBidi" w:hAnsiTheme="majorBidi" w:cstheme="majorBidi"/>
          <w:color w:val="4472C4" w:themeColor="accent1"/>
          <w:vertAlign w:val="superscript"/>
        </w:rPr>
        <w:fldChar w:fldCharType="begin" w:fldLock="1"/>
      </w:r>
      <w:r w:rsidR="00392E7D" w:rsidRPr="00A35149">
        <w:rPr>
          <w:rFonts w:asciiTheme="majorBidi" w:hAnsiTheme="majorBidi" w:cstheme="majorBidi"/>
          <w:color w:val="4472C4" w:themeColor="accent1"/>
          <w:vertAlign w:val="superscript"/>
        </w:rPr>
        <w:instrText>ADDIN CSL_CITATION {"citationItems":[{"id":"ITEM-1","itemData":{"DOI":"10.3945/ajcn.114.105049","ISSN":"19383207","abstract":"Background: High dairy/milk intake has been associated with a low risk of type 2 diabetes observationally, but whether this represents a causal association is unknown. Objective: We tested the hypothesis that high milk intake is associated with a low risk of type 2 diabetes and of overweight-obesity, observationally and genetically. Design: In 97,811 individuals from the Danish general population, we examined the risk of incident type 2 diabetes and of overweightobesity by milk intake observationally and by LCT-13910 C/T genotype [polymorphism (rs4988235) upstream from the lactase (LCT) gene], where TT and TC genotypes are associated with lactase persistence and CC with nonpersistence. Results: Observationally for any compared with no milk intake, the HR for type 2 diabetes was 1.10 (95% CI: 0.98, 1.24; P = 0.11), whereas the OR for overweight-obesity was 1.06 (1.02, 1.09; P = 0.002). Median milk intake was 5 glasses/wk (IQR: 0-10) for lactase TT/TC persistence and 3 (0-7) for CC nonpersistence. Genetically for lactase TT/TC persistence compared with CC nonpersistence, the OR was 0.96 (0.86, 1.08; P = 0.50) for type 2 diabetes and 1.06 (1.00, 1.12; P = 0.04) for overweight-obesity. In a stratified analysis for type 2 diabetes, corresponding values in those with and without milk intake were 0.88 (0.76, 1.03; P = 0.11) and 1.35 (1.07, 1.70; P = 0.01) (P-interaction: 0.002), whereas no gene-milk interaction on overweight-obesity was found. For a 1-glass/wk higher milk intake, the genetic risk ratio for type 2 diabetes was 0.99 (0.93, 1.06), and the corresponding observational risk was 1.01 (1.00, 1.01). For overweight-obesity, the corresponding values were 1.01 (1.00, 1.02) genetically and 1.00 (1.00, 1.01) observationally. Conclusions: High milk intake is not associated with a low risk of type 2 diabetes or overweight-obesity, observationally or genetically via lactase persistence. The higher risk of type 2 diabetes in lactasepersistent individuals without milk intake likely is explained by collider stratification bias.","author":[{"dropping-particle":"","family":"Bergholdt","given":"Helle K.M.","non-dropping-particle":"","parse-names":false,"suffix":""},{"dropping-particle":"","family":"Nordestgaard","given":"Børge G.","non-dropping-particle":"","parse-names":false,"suffix":""},{"dropping-particle":"","family":"Ellervik","given":"Christina","non-dropping-particle":"","parse-names":false,"suffix":""}],"container-title":"American Journal of Clinical Nutrition","id":"ITEM-1","issue":"2","issued":{"date-parts":[["2015"]]},"page":"487-496","title":"Milk intake is not associated with low risk of diabetes or overweight-obesity: A Mendelian randomization study in 97,811 Danish individuals","type":"article-journal","volume":"102"},"uris":["http://www.mendeley.com/documents/?uuid=4c5e1b2f-e95b-4a67-ac81-88c6cfb6612b"]}],"mendeley":{"formattedCitation":"(Bergholdt, Nordestgaard and Ellervik, 2015)","manualFormatting":"(Bergholdt et al., 2015)","plainTextFormattedCitation":"(Bergholdt, Nordestgaard and Ellervik, 2015)","previouslyFormattedCitation":"(Bergholdt, Nordestgaard and Ellervik, 2015)"},"properties":{"noteIndex":0},"schema":"https://github.com/citation-style-language/schema/raw/master/csl-citation.json"}</w:instrText>
      </w:r>
      <w:r w:rsidR="00392E7D" w:rsidRPr="00A35149">
        <w:rPr>
          <w:rFonts w:asciiTheme="majorBidi" w:hAnsiTheme="majorBidi" w:cstheme="majorBidi"/>
          <w:color w:val="4472C4" w:themeColor="accent1"/>
          <w:vertAlign w:val="superscript"/>
        </w:rPr>
        <w:fldChar w:fldCharType="separate"/>
      </w:r>
      <w:r w:rsidR="00392E7D" w:rsidRPr="00A35149">
        <w:rPr>
          <w:rFonts w:asciiTheme="majorBidi" w:hAnsiTheme="majorBidi" w:cstheme="majorBidi"/>
          <w:noProof/>
          <w:color w:val="4472C4" w:themeColor="accent1"/>
        </w:rPr>
        <w:t xml:space="preserve">(Bergholdt </w:t>
      </w:r>
      <w:r w:rsidR="00392E7D" w:rsidRPr="00A35149">
        <w:rPr>
          <w:rFonts w:asciiTheme="majorBidi" w:hAnsiTheme="majorBidi" w:cstheme="majorBidi"/>
          <w:i/>
          <w:iCs/>
          <w:noProof/>
          <w:color w:val="4472C4" w:themeColor="accent1"/>
        </w:rPr>
        <w:t>et al.</w:t>
      </w:r>
      <w:r w:rsidR="00392E7D" w:rsidRPr="00A35149">
        <w:rPr>
          <w:rFonts w:asciiTheme="majorBidi" w:hAnsiTheme="majorBidi" w:cstheme="majorBidi"/>
          <w:noProof/>
          <w:color w:val="4472C4" w:themeColor="accent1"/>
        </w:rPr>
        <w:t>, 2015)</w:t>
      </w:r>
      <w:r w:rsidR="00392E7D" w:rsidRPr="00A35149">
        <w:rPr>
          <w:rFonts w:asciiTheme="majorBidi" w:hAnsiTheme="majorBidi" w:cstheme="majorBidi"/>
          <w:color w:val="4472C4" w:themeColor="accent1"/>
          <w:vertAlign w:val="superscript"/>
        </w:rPr>
        <w:fldChar w:fldCharType="end"/>
      </w:r>
      <w:r w:rsidRPr="00A35149">
        <w:rPr>
          <w:rFonts w:asciiTheme="majorBidi" w:hAnsiTheme="majorBidi" w:cstheme="majorBidi"/>
        </w:rPr>
        <w:t xml:space="preserve"> have been </w:t>
      </w:r>
      <w:r w:rsidR="00392E7D" w:rsidRPr="00A35149">
        <w:rPr>
          <w:rFonts w:asciiTheme="majorBidi" w:hAnsiTheme="majorBidi" w:cstheme="majorBidi"/>
        </w:rPr>
        <w:t xml:space="preserve">automated using online platforms </w:t>
      </w:r>
      <w:r w:rsidR="00392E7D" w:rsidRPr="00A35149">
        <w:rPr>
          <w:rFonts w:asciiTheme="majorBidi" w:hAnsiTheme="majorBidi" w:cstheme="majorBidi"/>
          <w:color w:val="4472C4" w:themeColor="accent1"/>
        </w:rPr>
        <w:fldChar w:fldCharType="begin" w:fldLock="1"/>
      </w:r>
      <w:r w:rsidR="00392E7D" w:rsidRPr="00A35149">
        <w:rPr>
          <w:rFonts w:asciiTheme="majorBidi" w:hAnsiTheme="majorBidi" w:cstheme="majorBidi"/>
          <w:color w:val="4472C4" w:themeColor="accent1"/>
        </w:rPr>
        <w:instrText>ADDIN CSL_CITATION {"citationItems":[{"id":"ITEM-1","itemData":{"DOI":"10.1101/078972","abstract":"Published genetic associations can be used to infer causal relationships between phenotypes, bypassing the need for individual-level genotype or phenotype data. We have curated complete summary data from 1094 genome-wide association studies (GWAS) on diseases and other complex traits into a centralised database, and developed an analytical platform that uses these data to perform Mendelian randomization (MR) tests and sensitivity analyses (MR-Base, http://www.mrbase.org). Combined with curated data of published GWAS hits for phenomic measures, the MR-Base platform enables millions of potential causal relationships to be evaluated. We use the platform to predict the impact of lipid lowering on human health. While our analysis provides evidence that reducing LDL-cholesterol, lipoprotein(a) or triglyceride levels reduce coronary disease risk, it also suggests causal effects on a number of other non-vascular outcomes, indicating potential for adverse-effects or drug repositioning of lipid-lowering therapies.","author":[{"dropping-particle":"","family":"Hemani","given":"Gibran","non-dropping-particle":"","parse-names":false,"suffix":""},{"dropping-particle":"","family":"Zheng","given":"Jie","non-dropping-particle":"","parse-names":false,"suffix":""},{"dropping-particle":"","family":"Wade","given":"Kaitlin H","non-dropping-particle":"","parse-names":false,"suffix":""},{"dropping-particle":"","family":"Laurin","given":"Charles","non-dropping-particle":"","parse-names":false,"suffix":""},{"dropping-particle":"","family":"Elsworth","given":"Benjamin","non-dropping-particle":"","parse-names":false,"suffix":""},{"dropping-particle":"","family":"Burgess","given":"Stephen","non-dropping-particle":"","parse-names":false,"suffix":""},{"dropping-particle":"","family":"Bowden","given":"Jack","non-dropping-particle":"","parse-names":false,"suffix":""},{"dropping-particle":"","family":"Langdon","given":"Ryan","non-dropping-particle":"","parse-names":false,"suffix":""},{"dropping-particle":"","family":"Tan","given":"Vanessa","non-dropping-particle":"","parse-names":false,"suffix":""},{"dropping-particle":"","family":"Yarmolinsky","given":"James","non-dropping-particle":"","parse-names":false,"suffix":""},{"dropping-particle":"","family":"Shihab","given":"Hashem A.","non-dropping-particle":"","parse-names":false,"suffix":""},{"dropping-particle":"","family":"Timpson","given":"Nicholas","non-dropping-particle":"","parse-names":false,"suffix":""},{"dropping-particle":"","family":"Evans","given":"David M","non-dropping-particle":"","parse-names":false,"suffix":""},{"dropping-particle":"","family":"Relton","given":"Caroline","non-dropping-particle":"","parse-names":false,"suffix":""},{"dropping-particle":"","family":"Martin","given":"Richard M","non-dropping-particle":"","parse-names":false,"suffix":""},{"dropping-particle":"","family":"Smith","given":"George Davey","non-dropping-particle":"","parse-names":false,"suffix":""},{"dropping-particle":"","family":"Gaunt","given":"Tom R","non-dropping-particle":"","parse-names":false,"suffix":""},{"dropping-particle":"","family":"Haycock","given":"Philip C","non-dropping-particle":"","parse-names":false,"suffix":""},{"dropping-particle":"","family":"Collaboration","given":"The MR-Base","non-dropping-particle":"","parse-names":false,"suffix":""}],"container-title":"bioRxiv","id":"ITEM-1","issued":{"date-parts":[["2016"]]},"page":"078972","title":"MR-Base: a platform for systematic causal inference across the phenome using billions of genetic associations","type":"article-journal"},"uris":["http://www.mendeley.com/documents/?uuid=5ca9595a-2216-44a1-b321-9755fc6a1007"]}],"mendeley":{"formattedCitation":"(Hemani &lt;i&gt;et al.&lt;/i&gt;, 2016)","plainTextFormattedCitation":"(Hemani et al., 2016)","previouslyFormattedCitation":"(Hemani &lt;i&gt;et al.&lt;/i&gt;, 2016)"},"properties":{"noteIndex":0},"schema":"https://github.com/citation-style-language/schema/raw/master/csl-citation.json"}</w:instrText>
      </w:r>
      <w:r w:rsidR="00392E7D" w:rsidRPr="00A35149">
        <w:rPr>
          <w:rFonts w:asciiTheme="majorBidi" w:hAnsiTheme="majorBidi" w:cstheme="majorBidi"/>
          <w:color w:val="4472C4" w:themeColor="accent1"/>
        </w:rPr>
        <w:fldChar w:fldCharType="separate"/>
      </w:r>
      <w:r w:rsidR="00392E7D" w:rsidRPr="00A35149">
        <w:rPr>
          <w:rFonts w:asciiTheme="majorBidi" w:hAnsiTheme="majorBidi" w:cstheme="majorBidi"/>
          <w:noProof/>
          <w:color w:val="4472C4" w:themeColor="accent1"/>
        </w:rPr>
        <w:t xml:space="preserve">(Hemani </w:t>
      </w:r>
      <w:r w:rsidR="00392E7D" w:rsidRPr="00A35149">
        <w:rPr>
          <w:rFonts w:asciiTheme="majorBidi" w:hAnsiTheme="majorBidi" w:cstheme="majorBidi"/>
          <w:i/>
          <w:noProof/>
          <w:color w:val="4472C4" w:themeColor="accent1"/>
        </w:rPr>
        <w:t>et al.</w:t>
      </w:r>
      <w:r w:rsidR="00392E7D" w:rsidRPr="00A35149">
        <w:rPr>
          <w:rFonts w:asciiTheme="majorBidi" w:hAnsiTheme="majorBidi" w:cstheme="majorBidi"/>
          <w:noProof/>
          <w:color w:val="4472C4" w:themeColor="accent1"/>
        </w:rPr>
        <w:t>, 2016)</w:t>
      </w:r>
      <w:r w:rsidR="00392E7D" w:rsidRPr="00A35149">
        <w:rPr>
          <w:rFonts w:asciiTheme="majorBidi" w:hAnsiTheme="majorBidi" w:cstheme="majorBidi"/>
          <w:color w:val="4472C4" w:themeColor="accent1"/>
        </w:rPr>
        <w:fldChar w:fldCharType="end"/>
      </w:r>
      <w:r w:rsidR="00392E7D" w:rsidRPr="00A35149">
        <w:rPr>
          <w:rFonts w:asciiTheme="majorBidi" w:hAnsiTheme="majorBidi" w:cstheme="majorBidi"/>
        </w:rPr>
        <w:t xml:space="preserve">. In an analysis which is limited to summary data (e.g. </w:t>
      </w:r>
      <w:r w:rsidR="00392E7D" w:rsidRPr="00A35149">
        <w:rPr>
          <w:rFonts w:asciiTheme="majorBidi" w:hAnsiTheme="majorBidi" w:cstheme="majorBidi"/>
        </w:rPr>
        <w:fldChar w:fldCharType="begin" w:fldLock="1"/>
      </w:r>
      <w:r w:rsidR="00392E7D" w:rsidRPr="00A35149">
        <w:rPr>
          <w:rFonts w:asciiTheme="majorBidi" w:hAnsiTheme="majorBidi" w:cstheme="majorBidi"/>
        </w:rPr>
        <w:instrText>ADDIN CSL_CITATION {"citationItems":[{"id":"ITEM-1","itemData":{"DOI":"10.1093/ije/dyz124","ISSN":"0300-5771","abstract":"© The Author(s) 2019. Published by Oxford University Press on behalf of the International Epidemiological Association. BACKGROUND: Evidence linking breast size to breast cancer risk has been inconsistent, and its interpretation is often hampered by confounding factors such as body mass index (BMI). Here, we used linkage disequilibrium score regression and two-sample Mendelian randomization (MR) to examine the genetic associations between BMI, breast size and breast cancer risk. METHODS: Summary-level genotype data from 23andMe, Inc (breast size, n = 33 790), the Breast Cancer Association Consortium (breast cancer risk, n = 228 951) and the Genetic Investigation of ANthropometric Traits (BMI, n = 183 507) were used for our analyses. In assessing causal relationships, four complementary MR techniques [inverse variance weighted (IVW), weighted median, weighted mode and MR-Egger regression] were used to test the robustness of the results. RESULTS: The genetic correlation (rg) estimated between BMI and breast size was high (rg = 0.50, P = 3.89x10-43). All MR methods provided consistent evidence that higher genetically predicted BMI was associated with larger breast size [odds ratio (ORIVW): 2.06 (1.80-2.35), P = 1.38x10-26] and lower overall breast cancer risk [ORIVW: 0.81 (0.74-0.89), P = 9.44x10-6]. No evidence of a relationship between genetically predicted breast size and breast cancer risk was found except when using the weighted median and weighted mode methods, and only with oestrogen receptor (ER)-negative risk. There was no evidence of reverse causality in any of the analyses conducted (P &gt; 0.050). CONCLUSION: Our findings indicate a potential positive causal association between BMI and breast size and a potential negative causal association between BMI and breast cancer risk. We found no clear evidence for a direct relationship between breast size and breast cancer risk.","author":[{"dropping-particle":"","family":"Ooi","given":"Brandon Nick Sern","non-dropping-particle":"","parse-names":false,"suffix":""},{"dropping-particle":"","family":"Loh","given":"Huiwen","non-dropping-particle":"","parse-names":false,"suffix":""},{"dropping-particle":"","family":"Ho","given":"Peh Joo","non-dropping-particle":"","parse-names":false,"suffix":""},{"dropping-particle":"","family":"Milne","given":"Roger L","non-dropping-particle":"","parse-names":false,"suffix":""},{"dropping-particle":"","family":"Giles","given":"Graham","non-dropping-particle":"","parse-names":false,"suffix":""},{"dropping-particle":"","family":"Gao","given":"Chi","non-dropping-particle":"","parse-names":false,"suffix":""},{"dropping-particle":"","family":"Kraft","given":"Peter","non-dropping-particle":"","parse-names":false,"suffix":""},{"dropping-particle":"","family":"John","given":"Esther M","non-dropping-particle":"","parse-names":false,"suffix":""},{"dropping-particle":"","family":"Swerdlow","given":"Anthony","non-dropping-particle":"","parse-names":false,"suffix":""},{"dropping-particle":"","family":"Brenner","given":"Hermann","non-dropping-particle":"","parse-names":false,"suffix":""},{"dropping-particle":"","family":"Wu","given":"Anna H","non-dropping-particle":"","parse-names":false,"suffix":""},{"dropping-particle":"","family":"Haiman","given":"Christopher","non-dropping-particle":"","parse-names":false,"suffix":""},{"dropping-particle":"","family":"Evans","given":"D Gareth","non-dropping-particle":"","parse-names":false,"suffix":""},{"dropping-particle":"","family":"Zheng","given":"Wei","non-dropping-particle":"","parse-names":false,"suffix":""},{"dropping-particle":"","family":"Fasching","given":"Peter A","non-dropping-particle":"","parse-names":false,"suffix":""},{"dropping-particle":"","family":"Castelao","given":"Jose Esteban","non-dropping-particle":"","parse-names":false,"suffix":""},{"dropping-particle":"","family":"Kwong","given":"Ava","non-dropping-particle":"","parse-names":false,"suffix":""},{"dropping-particle":"","family":"Shen","given":"Xia","non-dropping-particle":"","parse-names":false,"suffix":""},{"dropping-particle":"","family":"Czene","given":"Kamila","non-dropping-particle":"","parse-names":false,"suffix":""},{"dropping-particle":"","family":"Hall","given":"Per","non-dropping-particle":"","parse-names":false,"suffix":""},{"dropping-particle":"","family":"Dunning","given":"Alison","non-dropping-particle":"","parse-names":false,"suffix":""},{"dropping-particle":"","family":"Easton","given":"Douglas","non-dropping-particle":"","parse-names":false,"suffix":""},{"dropping-particle":"","family":"Hartman","given":"Mikael","non-dropping-particle":"","parse-names":false,"suffix":""},{"dropping-particle":"","family":"Li","given":"Jingmei","non-dropping-particle":"","parse-names":false,"suffix":""}],"container-title":"International Journal of Epidemiology","id":"ITEM-1","issue":"3","issued":{"date-parts":[["2019"]]},"page":"781-794","title":"The genetic interplay between body mass index, breast size and breast cancer risk: a Mendelian randomization analysis","type":"article-journal","volume":"48"},"uris":["http://www.mendeley.com/documents/?uuid=0af33228-081f-4062-9b97-bb7716e18ccb"]}],"mendeley":{"formattedCitation":"(Ooi &lt;i&gt;et al.&lt;/i&gt;, 2019)","manualFormatting":"Ooi et al., 2019)","plainTextFormattedCitation":"(Ooi et al., 2019)","previouslyFormattedCitation":"(Ooi &lt;i&gt;et al.&lt;/i&gt;, 2019)"},"properties":{"noteIndex":0},"schema":"https://github.com/citation-style-language/schema/raw/master/csl-citation.json"}</w:instrText>
      </w:r>
      <w:r w:rsidR="00392E7D" w:rsidRPr="00A35149">
        <w:rPr>
          <w:rFonts w:asciiTheme="majorBidi" w:hAnsiTheme="majorBidi" w:cstheme="majorBidi"/>
        </w:rPr>
        <w:fldChar w:fldCharType="separate"/>
      </w:r>
      <w:r w:rsidR="00392E7D" w:rsidRPr="00A35149">
        <w:rPr>
          <w:rFonts w:asciiTheme="majorBidi" w:hAnsiTheme="majorBidi" w:cstheme="majorBidi"/>
          <w:noProof/>
          <w:color w:val="4472C4" w:themeColor="accent1"/>
        </w:rPr>
        <w:t xml:space="preserve">Ooi </w:t>
      </w:r>
      <w:r w:rsidR="00392E7D" w:rsidRPr="00A35149">
        <w:rPr>
          <w:rFonts w:asciiTheme="majorBidi" w:hAnsiTheme="majorBidi" w:cstheme="majorBidi"/>
          <w:i/>
          <w:noProof/>
          <w:color w:val="4472C4" w:themeColor="accent1"/>
        </w:rPr>
        <w:t>et al.</w:t>
      </w:r>
      <w:r w:rsidR="00392E7D" w:rsidRPr="00A35149">
        <w:rPr>
          <w:rFonts w:asciiTheme="majorBidi" w:hAnsiTheme="majorBidi" w:cstheme="majorBidi"/>
          <w:noProof/>
          <w:color w:val="4472C4" w:themeColor="accent1"/>
        </w:rPr>
        <w:t>, 2019</w:t>
      </w:r>
      <w:r w:rsidR="00392E7D" w:rsidRPr="00A35149">
        <w:rPr>
          <w:rFonts w:asciiTheme="majorBidi" w:hAnsiTheme="majorBidi" w:cstheme="majorBidi"/>
          <w:noProof/>
        </w:rPr>
        <w:t>)</w:t>
      </w:r>
      <w:r w:rsidR="00392E7D" w:rsidRPr="00A35149">
        <w:rPr>
          <w:rFonts w:asciiTheme="majorBidi" w:hAnsiTheme="majorBidi" w:cstheme="majorBidi"/>
        </w:rPr>
        <w:fldChar w:fldCharType="end"/>
      </w:r>
      <w:r w:rsidR="00392E7D" w:rsidRPr="00A35149">
        <w:rPr>
          <w:rFonts w:asciiTheme="majorBidi" w:hAnsiTheme="majorBidi" w:cstheme="majorBidi"/>
        </w:rPr>
        <w:t xml:space="preserve">, </w:t>
      </w:r>
      <w:r w:rsidR="00392E7D" w:rsidRPr="00A35149">
        <w:rPr>
          <w:rFonts w:asciiTheme="majorBidi" w:hAnsiTheme="majorBidi" w:cstheme="majorBidi"/>
          <w:iCs/>
        </w:rPr>
        <w:t>population stratification</w:t>
      </w:r>
      <w:r w:rsidR="00392E7D" w:rsidRPr="00A35149">
        <w:rPr>
          <w:rFonts w:asciiTheme="majorBidi" w:hAnsiTheme="majorBidi" w:cstheme="majorBidi"/>
        </w:rPr>
        <w:t xml:space="preserve"> bias is difficult to identify, and the analysis is often run without adjustment for possible population differences. Sometimes, the homogeneity of the dataset is assumed due to the continental affiliation of the cohort (e.g., in the case of</w:t>
      </w:r>
      <w:r w:rsidR="004E5E01" w:rsidRPr="00A35149">
        <w:rPr>
          <w:rFonts w:asciiTheme="majorBidi" w:hAnsiTheme="majorBidi" w:cstheme="majorBidi"/>
        </w:rPr>
        <w:t xml:space="preserve"> </w:t>
      </w:r>
      <w:r w:rsidR="004C5C24" w:rsidRPr="00A35149">
        <w:rPr>
          <w:rFonts w:asciiTheme="majorBidi" w:hAnsiTheme="majorBidi" w:cstheme="majorBidi"/>
          <w:color w:val="4472C4" w:themeColor="accent1"/>
        </w:rPr>
        <w:fldChar w:fldCharType="begin" w:fldLock="1"/>
      </w:r>
      <w:r w:rsidR="004C5C24" w:rsidRPr="00A35149">
        <w:rPr>
          <w:rFonts w:asciiTheme="majorBidi" w:hAnsiTheme="majorBidi" w:cstheme="majorBidi"/>
          <w:color w:val="4472C4" w:themeColor="accent1"/>
        </w:rPr>
        <w:instrText>ADDIN CSL_CITATION {"citationItems":[{"id":"ITEM-1","itemData":{"DOI":"10.1093/ije/dyz124","ISSN":"0300-5771","abstract":"© The Author(s) 2019. Published by Oxford University Press on behalf of the International Epidemiological Association. BACKGROUND: Evidence linking breast size to breast cancer risk has been inconsistent, and its interpretation is often hampered by confounding factors such as body mass index (BMI). Here, we used linkage disequilibrium score regression and two-sample Mendelian randomization (MR) to examine the genetic associations between BMI, breast size and breast cancer risk. METHODS: Summary-level genotype data from 23andMe, Inc (breast size, n = 33 790), the Breast Cancer Association Consortium (breast cancer risk, n = 228 951) and the Genetic Investigation of ANthropometric Traits (BMI, n = 183 507) were used for our analyses. In assessing causal relationships, four complementary MR techniques [inverse variance weighted (IVW), weighted median, weighted mode and MR-Egger regression] were used to test the robustness of the results. RESULTS: The genetic correlation (rg) estimated between BMI and breast size was high (rg = 0.50, P = 3.89x10-43). All MR methods provided consistent evidence that higher genetically predicted BMI was associated with larger breast size [odds ratio (ORIVW): 2.06 (1.80-2.35), P = 1.38x10-26] and lower overall breast cancer risk [ORIVW: 0.81 (0.74-0.89), P = 9.44x10-6]. No evidence of a relationship between genetically predicted breast size and breast cancer risk was found except when using the weighted median and weighted mode methods, and only with oestrogen receptor (ER)-negative risk. There was no evidence of reverse causality in any of the analyses conducted (P &gt; 0.050). CONCLUSION: Our findings indicate a potential positive causal association between BMI and breast size and a potential negative causal association between BMI and breast cancer risk. We found no clear evidence for a direct relationship between breast size and breast cancer risk.","author":[{"dropping-particle":"","family":"Ooi","given":"Brandon Nick Sern","non-dropping-particle":"","parse-names":false,"suffix":""},{"dropping-particle":"","family":"Loh","given":"Huiwen","non-dropping-particle":"","parse-names":false,"suffix":""},{"dropping-particle":"","family":"Ho","given":"Peh Joo","non-dropping-particle":"","parse-names":false,"suffix":""},{"dropping-particle":"","family":"Milne","given":"Roger L","non-dropping-particle":"","parse-names":false,"suffix":""},{"dropping-particle":"","family":"Giles","given":"Graham","non-dropping-particle":"","parse-names":false,"suffix":""},{"dropping-particle":"","family":"Gao","given":"Chi","non-dropping-particle":"","parse-names":false,"suffix":""},{"dropping-particle":"","family":"Kraft","given":"Peter","non-dropping-particle":"","parse-names":false,"suffix":""},{"dropping-particle":"","family":"John","given":"Esther M","non-dropping-particle":"","parse-names":false,"suffix":""},{"dropping-particle":"","family":"Swerdlow","given":"Anthony","non-dropping-particle":"","parse-names":false,"suffix":""},{"dropping-particle":"","family":"Brenner","given":"Hermann","non-dropping-particle":"","parse-names":false,"suffix":""},{"dropping-particle":"","family":"Wu","given":"Anna H","non-dropping-particle":"","parse-names":false,"suffix":""},{"dropping-particle":"","family":"Haiman","given":"Christopher","non-dropping-particle":"","parse-names":false,"suffix":""},{"dropping-particle":"","family":"Evans","given":"D Gareth","non-dropping-particle":"","parse-names":false,"suffix":""},{"dropping-particle":"","family":"Zheng","given":"Wei","non-dropping-particle":"","parse-names":false,"suffix":""},{"dropping-particle":"","family":"Fasching","given":"Peter A","non-dropping-particle":"","parse-names":false,"suffix":""},{"dropping-particle":"","family":"Castelao","given":"Jose Esteban","non-dropping-particle":"","parse-names":false,"suffix":""},{"dropping-particle":"","family":"Kwong","given":"Ava","non-dropping-particle":"","parse-names":false,"suffix":""},{"drop</w:instrText>
      </w:r>
      <w:r w:rsidR="004C5C24" w:rsidRPr="00A35149">
        <w:rPr>
          <w:rFonts w:asciiTheme="majorBidi" w:hAnsiTheme="majorBidi" w:cstheme="majorBidi"/>
          <w:color w:val="4472C4" w:themeColor="accent1"/>
          <w:lang w:val="sv-SE"/>
        </w:rPr>
        <w:instrText>ping-particle":"","family":"Shen","given":"Xia","non-dropping-particle":"","parse-names":false,"suffix":""},{"dropping-particle":"","family":"Czene","given":"Kamila","non-dropping-particle":"","parse-names":false,"suffix":""},{"dropping-particle":"","family":"Hall","given":"Per","non-dropping-particle":"","parse-names":false,"suffix":""},{"dropping-particle":"","family":"Dunning","given":"Alison","non-dropping-particle":"","parse-names":false,"suffix":""},{"dropping-particle":"","family":"Easton","given":"Douglas","non-dropping-particle":"","parse-names":false,"suffix":""},{"dropping-particle":"","family":"Hartman","given":"Mikael","non-dropping-particle":"","parse-names":false,"suffix":""},{"dropping-particle":"","family":"Li","given":"Jingmei","non-dropping-particle":"","parse-names":false,"suffix":""}],"container-title":"International Journal of Epidemiology","id":"ITEM-1","issue":"3","issued":{"date-parts":[["2019"]]},"page":"781-794","title":"The genetic interplay between body mass index, breast size and breast cancer risk: a Mendelian randomization analysis","type":"article-journal","volume":"48"},"uris":["http://www.mendeley.com/documents/?uuid=0af33228-081f-4062-9b97-bb7716e18ccb"]}],"mendeley":{"formattedCitation":"(Ooi &lt;i&gt;et al.&lt;/i&gt;, 2019)","plainTextFormattedCitation":"(Ooi et al., 2019)","previouslyFormattedCitation":"(Ooi &lt;i&gt;et al.&lt;/i&gt;, 2019)"},"properties":{"noteIndex":0},"schema":"https://github.com/citation-style-language/schema/raw/master/csl-citation.json"}</w:instrText>
      </w:r>
      <w:r w:rsidR="004C5C24" w:rsidRPr="00A35149">
        <w:rPr>
          <w:rFonts w:asciiTheme="majorBidi" w:hAnsiTheme="majorBidi" w:cstheme="majorBidi"/>
          <w:color w:val="4472C4" w:themeColor="accent1"/>
        </w:rPr>
        <w:fldChar w:fldCharType="separate"/>
      </w:r>
      <w:r w:rsidR="004C5C24" w:rsidRPr="00A35149">
        <w:rPr>
          <w:rFonts w:asciiTheme="majorBidi" w:hAnsiTheme="majorBidi" w:cstheme="majorBidi"/>
          <w:noProof/>
          <w:color w:val="4472C4" w:themeColor="accent1"/>
          <w:lang w:val="sv-SE"/>
        </w:rPr>
        <w:t xml:space="preserve">(Ooi </w:t>
      </w:r>
      <w:r w:rsidR="004C5C24" w:rsidRPr="00A35149">
        <w:rPr>
          <w:rFonts w:asciiTheme="majorBidi" w:hAnsiTheme="majorBidi" w:cstheme="majorBidi"/>
          <w:i/>
          <w:noProof/>
          <w:color w:val="4472C4" w:themeColor="accent1"/>
          <w:lang w:val="sv-SE"/>
        </w:rPr>
        <w:t>et al.</w:t>
      </w:r>
      <w:r w:rsidR="004C5C24" w:rsidRPr="00A35149">
        <w:rPr>
          <w:rFonts w:asciiTheme="majorBidi" w:hAnsiTheme="majorBidi" w:cstheme="majorBidi"/>
          <w:noProof/>
          <w:color w:val="4472C4" w:themeColor="accent1"/>
          <w:lang w:val="sv-SE"/>
        </w:rPr>
        <w:t>, 2019)</w:t>
      </w:r>
      <w:r w:rsidR="004C5C24" w:rsidRPr="00A35149">
        <w:rPr>
          <w:rFonts w:asciiTheme="majorBidi" w:hAnsiTheme="majorBidi" w:cstheme="majorBidi"/>
          <w:color w:val="4472C4" w:themeColor="accent1"/>
        </w:rPr>
        <w:fldChar w:fldCharType="end"/>
      </w:r>
      <w:r w:rsidR="00392E7D" w:rsidRPr="00A35149">
        <w:rPr>
          <w:rFonts w:asciiTheme="majorBidi" w:hAnsiTheme="majorBidi" w:cstheme="majorBidi"/>
          <w:lang w:val="sv-SE"/>
        </w:rPr>
        <w:t xml:space="preserve">, </w:t>
      </w:r>
      <w:r w:rsidR="004C5C24" w:rsidRPr="00A35149">
        <w:rPr>
          <w:rFonts w:asciiTheme="majorBidi" w:hAnsiTheme="majorBidi" w:cstheme="majorBidi"/>
          <w:color w:val="4472C4" w:themeColor="accent1"/>
        </w:rPr>
        <w:fldChar w:fldCharType="begin" w:fldLock="1"/>
      </w:r>
      <w:r w:rsidR="004C5C24" w:rsidRPr="00A35149">
        <w:rPr>
          <w:rFonts w:asciiTheme="majorBidi" w:hAnsiTheme="majorBidi" w:cstheme="majorBidi"/>
          <w:color w:val="4472C4" w:themeColor="accent1"/>
          <w:lang w:val="sv-SE"/>
        </w:rPr>
        <w:instrText>ADDIN CSL_CITATION {"citationItems":[{"id":"ITEM-1","itemData":{"DOI":"10.1038/ng.3570","ISSN":"15461718","PMID":"27182965","abstract":"We performed a scan for genetic variants associated with multiple phenotypes by comparing large genome-wide association studies (GWAS) of 42 traits or diseases. We identified 341 loci (at a false discovery rate of 10%) associated with multiple traits. Several loci are associated with multiple phenotypes; for example, a nonsynonymous variant in the zinc transporter SLC39A8 influences seven of the traits, including risk of schizophrenia (rs13107325: log-transformed odds ratio (log OR) = 0.15, P = 2 × 10 â '12) and Parkinson disease (log OR = â '0.15, P = 1.6 × 10 â '7), among others. Second, we used these loci to identify traits that have multiple genetic causes in common. For example, variants associated with increased risk of schizophrenia also tended to be associated with increased risk of inflammatory bowel disease. Finally, we developed a method to identify pairs of traits that show evidence of a causal relationship. For example, we show evidence that increased body mass index causally increases triglyceride levels.","author":[{"dropping-particle":"","family":"Pickrell","given":"Joseph K.","non-dropping-particle":"","parse-names":false,"suffix":""},{"dropping-particle":"","family":"Berisa","given":"Tomaz","non-dropping-particle":"","parse-names":false,"suffix":""},{"dropping-particle":"","family":"Liu","given":"Jimmy Z.","non-dropping-particle":"","parse-names":false,"suffix":""},{"dropping-particle":"","family":"Ségurel","given":"Laure","non-dropping-particle":"","parse-names":false,"suffix":""},{"dropping-particle":"","family":"Tung","given":"Joyce Y.","non-dropping-particle":"","parse-names":false,"suffix":""},{"dropping-particle":"","family":"Hinds","given":"David A.","non-dropping-particle":"","parse-names":false,"suffix":""}],"container-title":"Nature Genetics","id":"ITEM-1","issue":"7","issued":{"date-parts":[["2016"]]},"page":"709-717","title":"Detection and interpretation of shared genetic influences on 42 human traits","type":"article-journal","volume":"48"},"uris":["http://www.mendeley.com/documents/?uuid=e8102fa3-7546-4c9f-82eb-d2c9dc09ecca"]}],"mendeley":{"formattedCitation":"(Pickrell &lt;i&gt;et al.&lt;/i&gt;, 2016)","plainTextFormattedCitation":"(Pickrell et al., 2016)","previouslyFormattedCitation":"(Pickrell &lt;i&gt;et al.&lt;/i&gt;, 2016)"},"properties":{"noteIndex":0},"schema":"https://github.com/citation-style-language/schema/raw/master/csl-citation.json"}</w:instrText>
      </w:r>
      <w:r w:rsidR="004C5C24" w:rsidRPr="00A35149">
        <w:rPr>
          <w:rFonts w:asciiTheme="majorBidi" w:hAnsiTheme="majorBidi" w:cstheme="majorBidi"/>
          <w:color w:val="4472C4" w:themeColor="accent1"/>
        </w:rPr>
        <w:fldChar w:fldCharType="separate"/>
      </w:r>
      <w:r w:rsidR="004C5C24" w:rsidRPr="00A35149">
        <w:rPr>
          <w:rFonts w:asciiTheme="majorBidi" w:hAnsiTheme="majorBidi" w:cstheme="majorBidi"/>
          <w:noProof/>
          <w:color w:val="4472C4" w:themeColor="accent1"/>
          <w:lang w:val="sv-SE"/>
        </w:rPr>
        <w:t xml:space="preserve">(Pickrell </w:t>
      </w:r>
      <w:r w:rsidR="004C5C24" w:rsidRPr="00A35149">
        <w:rPr>
          <w:rFonts w:asciiTheme="majorBidi" w:hAnsiTheme="majorBidi" w:cstheme="majorBidi"/>
          <w:i/>
          <w:noProof/>
          <w:color w:val="4472C4" w:themeColor="accent1"/>
          <w:lang w:val="sv-SE"/>
        </w:rPr>
        <w:t>et al.</w:t>
      </w:r>
      <w:r w:rsidR="004C5C24" w:rsidRPr="00A35149">
        <w:rPr>
          <w:rFonts w:asciiTheme="majorBidi" w:hAnsiTheme="majorBidi" w:cstheme="majorBidi"/>
          <w:noProof/>
          <w:color w:val="4472C4" w:themeColor="accent1"/>
          <w:lang w:val="sv-SE"/>
        </w:rPr>
        <w:t>, 2016)</w:t>
      </w:r>
      <w:r w:rsidR="004C5C24" w:rsidRPr="00A35149">
        <w:rPr>
          <w:rFonts w:asciiTheme="majorBidi" w:hAnsiTheme="majorBidi" w:cstheme="majorBidi"/>
          <w:color w:val="4472C4" w:themeColor="accent1"/>
        </w:rPr>
        <w:fldChar w:fldCharType="end"/>
      </w:r>
      <w:r w:rsidR="004C5C24" w:rsidRPr="00A35149">
        <w:rPr>
          <w:rFonts w:asciiTheme="majorBidi" w:hAnsiTheme="majorBidi" w:cstheme="majorBidi"/>
          <w:lang w:val="sv-SE"/>
        </w:rPr>
        <w:t xml:space="preserve"> </w:t>
      </w:r>
      <w:r w:rsidR="00392E7D" w:rsidRPr="00A35149">
        <w:rPr>
          <w:rFonts w:asciiTheme="majorBidi" w:hAnsiTheme="majorBidi" w:cstheme="majorBidi"/>
        </w:rPr>
        <w:fldChar w:fldCharType="begin" w:fldLock="1"/>
      </w:r>
      <w:r w:rsidR="004C5C24" w:rsidRPr="00A35149">
        <w:rPr>
          <w:rFonts w:asciiTheme="majorBidi" w:hAnsiTheme="majorBidi" w:cstheme="majorBidi"/>
          <w:lang w:val="sv-SE"/>
        </w:rPr>
        <w:instrText>ADDIN CSL_CITATION {"citationItems":[{"id":"ITEM-1","itemData":{"DOI":"10.1038/ng.3570","ISSN":"15461718","PMID":"27182965","abstract":"We performed a scan for genetic variants associated with multiple phenotypes by comparing large genome-wide association studies (GWAS) of 42 traits or diseases. We identified 341 loci (at a false discovery rate of 10%) associated with multiple traits. Several loci are associated with multiple phenotypes; for example, a nonsynonymous variant in the zinc transporter SLC39A8 influences seven of the traits, including risk of schizophrenia (rs13107325: log-transformed odds ratio (log OR) = 0.15, P = 2 × 10 â '12) and Parkinson disease (log OR = â '0.15, P = 1.6 × 10 â '7), among others. Second, we used these loci to identify traits that have multiple genetic causes in common. For example, variants associated with increased risk of schizophrenia also tended to be associated with increased risk of inflammatory bowel disease. Finally, we developed a method to identify pairs of traits that show evidence of a causal relationship. For example, we show evidence that increased body mass index causally increases triglyceride levels.","author":[{"dropping-particle":"","family":"Pickrell","given":"Joseph K.","non-dropping-particle":"","parse-names":false,"suffix":""},{"dropping-particle":"","family":"Berisa","given":"Tomaz","non-dropping-particle":"","parse-names":false,"suffix":""},{"dropping-particle":"","family":"Liu","given":"Jimmy Z.","non-dropping-particle":"","parse-names":false,"suffix":""},{"dropping-particle":"","family":"Ségurel","given":"Laure","non-dropping-particle":"","parse-names":false,"suffix":""},{"dropping-particle":"","family":"Tung","given":"Joyce Y.","non-dropping-particle":"","parse-names":false,"suffix":""},{"dropping-particle":"","family":"Hinds","given":"David A.","non-dropping-particle":"","parse-names":false,"suffix":""}],"container-title":"Nature Genetics","id":"ITEM-1","issue":"7","issued":{"date-parts":[["2016"]]},"page":"709-717","title":"Detection and interpretation of shared genetic influences on 42 human traits","type":"article-journal","volume":"48"},"uris":["http://www.mendeley.com/documents/?uuid=e8102fa3-7546-4c9f-82eb-d2c9dc09ecca"]}],"mendeley":{"formattedCitation":"(Pickrell &lt;i&gt;et al.&lt;/i&gt;, 2016)","manualFormatting":"analysed third party summary statistics calculated for \"Europeans\")","plainTextFormattedCitation":"(Pickrell et al., 2016)","previouslyFormattedCitation":"(Pickrell &lt;i&gt;et al.&lt;/i&gt;, 2016)"},"properties":{"noteIndex":0},"schema":"https://github.com/citation-style-language/schema/raw/master/csl-citation.json"}</w:instrText>
      </w:r>
      <w:r w:rsidR="00392E7D" w:rsidRPr="00A35149">
        <w:rPr>
          <w:rFonts w:asciiTheme="majorBidi" w:hAnsiTheme="majorBidi" w:cstheme="majorBidi"/>
        </w:rPr>
        <w:fldChar w:fldCharType="separate"/>
      </w:r>
      <w:r w:rsidR="00392E7D" w:rsidRPr="00A35149">
        <w:rPr>
          <w:rFonts w:asciiTheme="majorBidi" w:hAnsiTheme="majorBidi" w:cstheme="majorBidi"/>
          <w:noProof/>
          <w:lang w:val="sv-SE"/>
        </w:rPr>
        <w:t>analysed third party summary statistics calculated for "Europeans")</w:t>
      </w:r>
      <w:r w:rsidR="00392E7D" w:rsidRPr="00A35149">
        <w:rPr>
          <w:rFonts w:asciiTheme="majorBidi" w:hAnsiTheme="majorBidi" w:cstheme="majorBidi"/>
        </w:rPr>
        <w:fldChar w:fldCharType="end"/>
      </w:r>
      <w:r w:rsidR="00392E7D" w:rsidRPr="00A35149">
        <w:rPr>
          <w:rFonts w:asciiTheme="majorBidi" w:hAnsiTheme="majorBidi" w:cstheme="majorBidi"/>
          <w:lang w:val="sv-SE"/>
        </w:rPr>
        <w:t>.</w:t>
      </w:r>
      <w:r w:rsidR="001B4643" w:rsidRPr="00A35149">
        <w:rPr>
          <w:rFonts w:asciiTheme="majorBidi" w:hAnsiTheme="majorBidi" w:cstheme="majorBidi"/>
          <w:lang w:val="sv-SE"/>
        </w:rPr>
        <w:t xml:space="preserve"> Linkage Disequilibrium</w:t>
      </w:r>
      <w:r w:rsidR="00392E7D" w:rsidRPr="00A35149">
        <w:rPr>
          <w:rFonts w:asciiTheme="majorBidi" w:hAnsiTheme="majorBidi" w:cstheme="majorBidi"/>
          <w:lang w:val="sv-SE"/>
        </w:rPr>
        <w:t xml:space="preserve"> </w:t>
      </w:r>
      <w:r w:rsidR="001B4643" w:rsidRPr="00A35149">
        <w:rPr>
          <w:rFonts w:asciiTheme="majorBidi" w:hAnsiTheme="majorBidi" w:cstheme="majorBidi"/>
          <w:lang w:val="sv-SE"/>
        </w:rPr>
        <w:t>(</w:t>
      </w:r>
      <w:r w:rsidR="00392E7D" w:rsidRPr="00A35149">
        <w:rPr>
          <w:rFonts w:asciiTheme="majorBidi" w:hAnsiTheme="majorBidi" w:cstheme="majorBidi"/>
          <w:lang w:val="sv-SE"/>
        </w:rPr>
        <w:t>LD</w:t>
      </w:r>
      <w:r w:rsidR="001B4643" w:rsidRPr="00A35149">
        <w:rPr>
          <w:rFonts w:asciiTheme="majorBidi" w:hAnsiTheme="majorBidi" w:cstheme="majorBidi"/>
          <w:lang w:val="sv-SE"/>
        </w:rPr>
        <w:t>)</w:t>
      </w:r>
      <w:r w:rsidR="00392E7D" w:rsidRPr="00A35149">
        <w:rPr>
          <w:rFonts w:asciiTheme="majorBidi" w:hAnsiTheme="majorBidi" w:cstheme="majorBidi"/>
          <w:lang w:val="sv-SE"/>
        </w:rPr>
        <w:t xml:space="preserve"> score regression </w:t>
      </w:r>
      <w:r w:rsidR="00392E7D" w:rsidRPr="00A35149">
        <w:rPr>
          <w:rFonts w:asciiTheme="majorBidi" w:hAnsiTheme="majorBidi" w:cstheme="majorBidi"/>
          <w:color w:val="4472C4" w:themeColor="accent1"/>
        </w:rPr>
        <w:fldChar w:fldCharType="begin" w:fldLock="1"/>
      </w:r>
      <w:r w:rsidR="00392E7D" w:rsidRPr="00A35149">
        <w:rPr>
          <w:rFonts w:asciiTheme="majorBidi" w:hAnsiTheme="majorBidi" w:cstheme="majorBidi"/>
          <w:color w:val="4472C4" w:themeColor="accent1"/>
          <w:lang w:val="sv-SE"/>
        </w:rPr>
        <w:instrText>ADDIN CSL_CITATION {"citationItems":[{"id":"ITEM-1","itemData":{"DOI":"10.1038/ng.3190","ISSN":"15461718","abstract":"Linear mixed models are a powerful statistical tool for identifying genetic associations and avoiding confounding. However, existing methods are computationally intractable in large cohorts and may not optimize power. All existing methods require time cost O(MN 2) (where N is the number of samples and M is the number of SNPs) and implicitly assume an infinitesimal genetic architecture in which effect sizes are normally distributed, which can limit power. Here we present a far more efficient mixed-model association method, BOLT-LMM, which requires only a small number of O(MN) time iterations and increases power by modeling more realistic, non-infinitesimal genetic architectures via a Bayesian mixture prior on marker effect sizes. We applied BOLT-LMM to 9 quantitative traits in 23,294 samples from the Women's Genome Health Study (WGHS) and observed significant increases in power, consistent with simulations. Theory and simulations show that the boost in power increases with cohort size, making BOLT-LMM appealing for genome-wide association studies in large cohorts.","author":[{"dropping-particle":"","family":"Loh","given":"Po Ru","non-dropping-particle":"","parse-names":false,"suffix":""},{"dropping-particle":"","family":"Tucker","given":"George","non-dropping-particle":"","parse-names":false,"suffix":""},{"dropping-</w:instrText>
      </w:r>
      <w:r w:rsidR="00392E7D" w:rsidRPr="00A35149">
        <w:rPr>
          <w:rFonts w:asciiTheme="majorBidi" w:hAnsiTheme="majorBidi" w:cstheme="majorBidi"/>
          <w:color w:val="4472C4" w:themeColor="accent1"/>
        </w:rPr>
        <w:instrText>particle":"","family":"Bulik-Sullivan","given":"Brendan K.","non-dropping-particle":"","parse-names":false,"suffix":""},{"dropping-particle":"","family":"Vilhjálmsson","given":"Bjarni J.","non-dropping-particle":"","parse-names":false,"suffix":""},{"dropping-particle":"","family":"Finucane","given":"Hilary K.","non-dropping-particle":"","parse-names":false,"suffix":""},{"dropping-particle":"","family":"Salem","given":"Rany M.","non-dropping-particle":"","parse-names":false,"suffix":""},{"dropping-particle":"","family":"Chasman","given":"Daniel I.","non-dropping-particle":"","parse-names":false,"suffix":""},{"dropping-particle":"","family":"Ridker","given":"Paul M.","non-dropping-particle":"","parse-names":false,"suffix":""},{"dropping-particle":"","family":"Neale","given":"Benjamin M.","non-dropping-particle":"","parse-names":false,"suffix":""},{"dropping-particle":"","family":"Berger","given":"Bonnie","non-dropping-particle":"","parse-names":false,"suffix":""},{"dropping-particle":"","family":"Patterson","given":"Nick","non-dropping-particle":"","parse-names":false,"suffix":""},{"dropping-particle":"","family":"Price","given":"Alkes L.","non-dropping-particle":"","parse-names":false,"suffix":""}],"container-title":"Nature Genetics","id":"ITEM-1","issue":"3","issued":{"date-parts":[["2015"]]},"page":"284-290","title":"Efficient Bayesian mixed-model analysis increases association power in large cohorts","type":"article-journal","volume":"47"},"uris":["http://www.mendeley.com/documents/?uuid=11c822bc-567c-40c2-9ec4-80dd66c0b53b"]}],"mendeley":{"formattedCitation":"(Loh &lt;i&gt;et al.&lt;/i&gt;, 2015)","plainTextFormattedCitation":"(Loh et al., 2015)","previouslyFormattedCitation":"(Loh &lt;i&gt;et al.&lt;/i&gt;, 2015)"},"properties":{"noteIndex":0},"schema":"https://github.com/citation-style-language/schema/raw/master/csl-citation.json"}</w:instrText>
      </w:r>
      <w:r w:rsidR="00392E7D" w:rsidRPr="00A35149">
        <w:rPr>
          <w:rFonts w:asciiTheme="majorBidi" w:hAnsiTheme="majorBidi" w:cstheme="majorBidi"/>
          <w:color w:val="4472C4" w:themeColor="accent1"/>
        </w:rPr>
        <w:fldChar w:fldCharType="separate"/>
      </w:r>
      <w:r w:rsidR="00392E7D" w:rsidRPr="00A35149">
        <w:rPr>
          <w:rFonts w:asciiTheme="majorBidi" w:hAnsiTheme="majorBidi" w:cstheme="majorBidi"/>
          <w:noProof/>
          <w:color w:val="4472C4" w:themeColor="accent1"/>
        </w:rPr>
        <w:t xml:space="preserve">(Loh </w:t>
      </w:r>
      <w:r w:rsidR="00392E7D" w:rsidRPr="00A35149">
        <w:rPr>
          <w:rFonts w:asciiTheme="majorBidi" w:hAnsiTheme="majorBidi" w:cstheme="majorBidi"/>
          <w:i/>
          <w:noProof/>
          <w:color w:val="4472C4" w:themeColor="accent1"/>
        </w:rPr>
        <w:t>et al.</w:t>
      </w:r>
      <w:r w:rsidR="00392E7D" w:rsidRPr="00A35149">
        <w:rPr>
          <w:rFonts w:asciiTheme="majorBidi" w:hAnsiTheme="majorBidi" w:cstheme="majorBidi"/>
          <w:noProof/>
          <w:color w:val="4472C4" w:themeColor="accent1"/>
        </w:rPr>
        <w:t>, 2015)</w:t>
      </w:r>
      <w:r w:rsidR="00392E7D" w:rsidRPr="00A35149">
        <w:rPr>
          <w:rFonts w:asciiTheme="majorBidi" w:hAnsiTheme="majorBidi" w:cstheme="majorBidi"/>
          <w:color w:val="4472C4" w:themeColor="accent1"/>
        </w:rPr>
        <w:fldChar w:fldCharType="end"/>
      </w:r>
      <w:r w:rsidR="00392E7D" w:rsidRPr="00A35149">
        <w:rPr>
          <w:rFonts w:asciiTheme="majorBidi" w:hAnsiTheme="majorBidi" w:cstheme="majorBidi"/>
        </w:rPr>
        <w:t xml:space="preserve"> can estimate the sample overlap between summary statistics, but this is reliant on relatively large samples and often not used in MR pipelines. </w:t>
      </w:r>
      <w:r w:rsidRPr="00A35149">
        <w:rPr>
          <w:rFonts w:asciiTheme="majorBidi" w:hAnsiTheme="majorBidi" w:cstheme="majorBidi"/>
        </w:rPr>
        <w:t>MR assumptions, and their consequent estimates, would undoubtedly be more trustable if the underlying GWAS estimates were more universal and less population</w:t>
      </w:r>
      <w:r w:rsidR="00137778" w:rsidRPr="00A35149">
        <w:rPr>
          <w:rFonts w:asciiTheme="majorBidi" w:hAnsiTheme="majorBidi" w:cstheme="majorBidi"/>
        </w:rPr>
        <w:t xml:space="preserve"> </w:t>
      </w:r>
      <w:r w:rsidRPr="00A35149">
        <w:rPr>
          <w:rFonts w:asciiTheme="majorBidi" w:hAnsiTheme="majorBidi" w:cstheme="majorBidi"/>
        </w:rPr>
        <w:t>specific.</w:t>
      </w:r>
    </w:p>
    <w:p w14:paraId="361FDA26" w14:textId="4E7D56EE" w:rsidR="00962855" w:rsidRPr="00A35149" w:rsidRDefault="00C104C3" w:rsidP="000A1E0A">
      <w:pPr>
        <w:pStyle w:val="Heading2"/>
        <w:rPr>
          <w:rFonts w:asciiTheme="majorBidi" w:hAnsiTheme="majorBidi"/>
          <w:color w:val="4472C4" w:themeColor="accent1"/>
        </w:rPr>
      </w:pPr>
      <w:r w:rsidRPr="00A35149">
        <w:rPr>
          <w:rFonts w:asciiTheme="majorBidi" w:hAnsiTheme="majorBidi"/>
          <w:color w:val="4472C4" w:themeColor="accent1"/>
        </w:rPr>
        <w:lastRenderedPageBreak/>
        <w:t>Polygenic scores</w:t>
      </w:r>
    </w:p>
    <w:p w14:paraId="5B9DF14E" w14:textId="77777777" w:rsidR="000A1E0A" w:rsidRPr="00A35149" w:rsidRDefault="000A1E0A" w:rsidP="00546D68">
      <w:pPr>
        <w:rPr>
          <w:rFonts w:asciiTheme="majorBidi" w:hAnsiTheme="majorBidi" w:cstheme="majorBidi"/>
        </w:rPr>
      </w:pPr>
    </w:p>
    <w:p w14:paraId="39345B34" w14:textId="2E96F979" w:rsidR="000A1E0A" w:rsidRPr="00A35149" w:rsidRDefault="00EE7F66" w:rsidP="00EE7F66">
      <w:pPr>
        <w:ind w:firstLine="720"/>
        <w:rPr>
          <w:rFonts w:asciiTheme="majorBidi" w:hAnsiTheme="majorBidi" w:cstheme="majorBidi"/>
        </w:rPr>
      </w:pPr>
      <w:r w:rsidRPr="00A35149">
        <w:rPr>
          <w:rFonts w:asciiTheme="majorBidi" w:hAnsiTheme="majorBidi" w:cstheme="majorBidi"/>
        </w:rPr>
        <w:t xml:space="preserve">Similar concerns were raised </w:t>
      </w:r>
      <w:r w:rsidR="008E7771" w:rsidRPr="00A35149">
        <w:rPr>
          <w:rFonts w:asciiTheme="majorBidi" w:hAnsiTheme="majorBidi" w:cstheme="majorBidi"/>
        </w:rPr>
        <w:t xml:space="preserve">by multiple groups </w:t>
      </w:r>
      <w:r w:rsidRPr="00A35149">
        <w:rPr>
          <w:rFonts w:asciiTheme="majorBidi" w:hAnsiTheme="majorBidi" w:cstheme="majorBidi"/>
        </w:rPr>
        <w:t xml:space="preserve">concerning polygenic scores. </w:t>
      </w:r>
      <w:proofErr w:type="spellStart"/>
      <w:r w:rsidRPr="00A35149">
        <w:rPr>
          <w:rFonts w:asciiTheme="majorBidi" w:hAnsiTheme="majorBidi" w:cstheme="majorBidi"/>
          <w:color w:val="4472C4" w:themeColor="accent1"/>
        </w:rPr>
        <w:t>Sohail</w:t>
      </w:r>
      <w:proofErr w:type="spellEnd"/>
      <w:r w:rsidRPr="00A35149">
        <w:rPr>
          <w:rFonts w:asciiTheme="majorBidi" w:hAnsiTheme="majorBidi" w:cstheme="majorBidi"/>
          <w:color w:val="4472C4" w:themeColor="accent1"/>
        </w:rPr>
        <w:t xml:space="preserve"> et al.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{"citationItems":[{"id":"ITEM-1","itemData":{"DOI":"10.7554/eLife.39702","ISSN":"2050084X","abstract":"Genetic predictions of height differ among human populations and these differences have been interpreted as evidence of polygenic adaptation. These differences were first detected using SNPs genome-wide significantly associated with height, and shown to grow stronger when large numbers of sub-significant SNPs were included, leading to excitement about the prospect of analyzing large fractions of the genome to detect polygenic adaptation for multiple traits. Previous studies of height have been based on SNP effect size measurements in the GIANT Consortium meta-analysis. Here we repeat the analyses in the UK Biobank, a much more homogeneously designed study. We show that polygenic adaptation signals based on large numbers of SNPs below genome-wide significance are extremely sensitive to biases due to uncorrected population stratification. More generally, our results imply that typical constructions of polygenic scores are sensitive to population stratification and that population-level differences should be interpreted with caution. Editorial note: This article has been through an editorial process in which the authors decide how to respond to the issues raised during peer review. The Reviewing Editor’s assessment is that all the issues have been addressed (see decision letter).","author":[{"dropping-particle":"","family":"Sohail","given":"Mashaal","non-dropping-particle":"","parse-names":false,"suffix":""},{"dropping-particle":"","family":"Maier","given":"Robert M.","non-dropping-particle":"","parse-names":false,"suffix":""},{"dropping-particle":"","family":"Ganna","given":"Andrea","non-dropping-particle":"","parse-names":false,"suffix":""},{"dropping-particle":"","family":"Bloemendal","given":"Alex","non-dropping-particle":"","parse-names":false,"suffix":""},{"dropping-particle":"","family":"Martin","given":"Alicia R.","non-dropping-particle":"","parse-names":false,"suffix":""},{"dropping-particle":"","family":"Turchin","given":"Michael C.","non-dropping-particle":"","parse-names":false,"suffix":""},{"dropping-particle":"","family":"Chiang","given":"Charleston W.K.","non-dropping-particle":"","parse-names":false,"suffix":""},{"dropping-particle":"","family":"Hirschhorn","given":"Joel","non-dropping-particle":"","parse-names":false,"suffix":""},{"dropping-particle":"","family":"Daly","given":"Mark J.","non-dropping-particle":"","parse-names":false,"suffix":""},{"dropping-particle":"","family":"Patterson","given":"Nick","non-dropping-particle":"","parse-names":false,"suffix":""},{"dropping-particle":"","family":"Neale","given":"Benjamin","non-dropping-particle":"","parse-names":false,"suffix":""},{"dropping-particle":"","family":"Mathieson","given":"Iain","non-dropping-particle":"","parse-names":false,"suffix":""},{"dropping-particle":"","family":"Reich","given":"David","non-dropping-particle":"","parse-names":false,"suffix":""},{"dropping-particle":"","family":"Sunyaev","given":"Shamil R.","non-dropping-particle":"","parse-names":false,"suffix":""}],"container-title":"eLife","id":"ITEM-1","issued":{"date-parts":[["2019"]]},"title":"Polygenic adaptation on height is overestimated due to uncorrected stratification in genome-wide association studies","type":"article-journal","volume":"8"},"uris":["http://www.mendeley.com/documents/?uuid=6a082935-e899-4aad-bc93-618dcdd23b96"]}],"mendeley":{"formattedCitation":"(Sohail &lt;i&gt;et al.&lt;/i&gt;, 2019)","manualFormatting":"(2019)","plainTextFormattedCitation":"(Sohail et al., 2019)","previouslyFormattedCitation":"(Sohail &lt;i&gt;et al.&lt;/i&gt;, 2019)"},"properties":{"noteIndex":0},"schema":"https://github.com/citation-style-language/schema/raw/master/csl-citation.json"}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(2019)</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reported that polygenic adaptation signals based on large numbers of SNPs below genome-wide significance were found to be extremely sensitive to biases due to uncorrected population stratification. </w:t>
      </w:r>
      <w:r w:rsidRPr="00A35149">
        <w:rPr>
          <w:rFonts w:asciiTheme="majorBidi" w:hAnsiTheme="majorBidi" w:cstheme="majorBidi"/>
          <w:color w:val="4472C4" w:themeColor="accent1"/>
        </w:rPr>
        <w:t xml:space="preserve">Berg et al.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{"citationItems":[{"id":"ITEM-1","itemData":{"DOI":"10.7554/eLife.39725","ISSN":"2050084X","abstract":"Several recent papers have reported strong signals of selection on European polygenic height scores. These analyses used height effect estimates from the GIANT consortium and replication studies. Here, we describe a new analysis based on the the UK Biobank (UKB), a large, independent dataset. We find that the signals of selection using UKB effect estimates are strongly attenuated or absent. We also provide evidence that previous analyses were confounded by population stratification. Therefore, the conclusion of strong polygenic adaptation now lacks support. Moreover, these discrepancies highlight (1) that methods for correcting for population stratification in GWAS may not always be sufficient for polygenic trait analyses, and (2) that claims of differences in polygenic scores between populations should be treated with caution until these issues are better understood. Editorial note: This article has been through an editorial process in which the authors decide how to respond to the issues raised during peer review. The Reviewing Editor’s assessment is that all the issues have been addressed (see decision letter).","author":[{"dropping-particle":"","family":"Berg","given":"Jeremy J.","non-dropping-particle":"","parse-names":false,"suffix":""},{"dropping-particle":"","family":"Harpak","given":"Arbel","non-dropping-particle":"","parse-names":false,"suffix":""},{"dropping-particle":"","family":"Sinnott-Armstrong","given":"Nasa","non-dropping-particle":"","parse-names":false,"suffix":""},{"dropping-particle":"","family":"Joergensen","given":"Anja Moltke","non-dropping-particle":"","parse-names":false,"suffix":""},{"dropping-particle":"","family":"Mostafavi","given":"Hakhamanesh","non-dropping-particle":"","parse-names":false,"suffix":""},{"dropping-particle":"","family":"Field","given":"Yair","non-dropping-particle":"","parse-names":false,"suffix":""},{"dropping-particle":"","family":"Boyle","given":"Evan August","non-dropping-particle":"","parse-names":false,"suffix":""},{"dropping-particle":"","family":"Zhang","given":"Xinjun","non-dropping-particle":"","parse-names":false,"suffix":""},{"dropping-particle":"","family":"Racimo","given":"Fernando","non-dropping-particle":"","parse-names":false,"suffix":""},{"dropping-particle":"","family":"Pritchard","given":"Jonathan K.","non-dropping-particle":"","parse-names":false,"suffix":""},{"dropping-particle":"","family":"Coop","given":"Graham","non-dropping-particle":"","parse-names":false,"suffix":""}],"container-title":"eLife","id":"ITEM-1","issued":{"date-parts":[["2019"]]},"title":"Reduced signal for polygenic adaptation of height in UK biobank","type":"article-journal","volume":"8"},"uris":["http://www.mendeley.com/documents/?uuid=e5d5ad95-1649-4f2d-8d1a-1b12f9370a94"]}],"mendeley":{"formattedCitation":"(Berg &lt;i&gt;et al.&lt;/i&gt;, 2019)","manualFormatting":"(2019)","plainTextFormattedCitation":"(Berg et al., 2019)","previouslyFormattedCitation":"(Berg &lt;i&gt;et al.&lt;/i&gt;, 2019)"},"properties":{"noteIndex":0},"schema":"https://github.com/citation-style-language/schema/raw/master/csl-citation.json"}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(2019)</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analysed </w:t>
      </w:r>
      <w:r w:rsidRPr="00A35149">
        <w:rPr>
          <w:rFonts w:asciiTheme="majorBidi" w:hAnsiTheme="majorBidi" w:cstheme="majorBidi"/>
          <w:shd w:val="clear" w:color="auto" w:fill="FFFFFF"/>
        </w:rPr>
        <w:t xml:space="preserve">the UK Biobank and showed that previously reported signals of selection were strongly attenuated or absent and were due to population stratification. </w:t>
      </w:r>
      <w:r w:rsidRPr="00A35149">
        <w:rPr>
          <w:rFonts w:asciiTheme="majorBidi" w:hAnsiTheme="majorBidi" w:cstheme="majorBidi"/>
          <w:highlight w:val="white"/>
        </w:rPr>
        <w:t xml:space="preserve">Both papers found that methods for correcting for population stratification in GWAS were not always sufficient for polygenic trait analyses and doubted the strength of the conclusions </w:t>
      </w:r>
      <w:r w:rsidRPr="00A35149">
        <w:rPr>
          <w:rFonts w:asciiTheme="majorBidi" w:hAnsiTheme="majorBidi" w:cstheme="majorBidi"/>
        </w:rPr>
        <w:t>based on polygenic and advised caution in their interpretation</w:t>
      </w:r>
      <w:r w:rsidR="00DB6329" w:rsidRPr="00A35149">
        <w:rPr>
          <w:rFonts w:asciiTheme="majorBidi" w:hAnsiTheme="majorBidi" w:cstheme="majorBidi"/>
        </w:rPr>
        <w:t>.</w:t>
      </w:r>
      <w:r w:rsidR="008E7771" w:rsidRPr="00A35149">
        <w:rPr>
          <w:rFonts w:asciiTheme="majorBidi" w:hAnsiTheme="majorBidi" w:cstheme="majorBidi"/>
        </w:rPr>
        <w:t xml:space="preserve"> </w:t>
      </w:r>
      <w:r w:rsidR="00061AD5" w:rsidRPr="00A35149">
        <w:rPr>
          <w:rFonts w:asciiTheme="majorBidi" w:hAnsiTheme="majorBidi" w:cstheme="majorBidi"/>
        </w:rPr>
        <w:t xml:space="preserve">Further </w:t>
      </w:r>
      <w:r w:rsidR="008E7771" w:rsidRPr="00A35149">
        <w:rPr>
          <w:rFonts w:asciiTheme="majorBidi" w:hAnsiTheme="majorBidi" w:cstheme="majorBidi"/>
        </w:rPr>
        <w:t xml:space="preserve">concerns </w:t>
      </w:r>
      <w:r w:rsidR="00061AD5" w:rsidRPr="00A35149">
        <w:rPr>
          <w:rFonts w:asciiTheme="majorBidi" w:hAnsiTheme="majorBidi" w:cstheme="majorBidi"/>
        </w:rPr>
        <w:t xml:space="preserve">about polygenetic scores </w:t>
      </w:r>
      <w:r w:rsidR="008E7771" w:rsidRPr="00A35149">
        <w:rPr>
          <w:rFonts w:asciiTheme="majorBidi" w:hAnsiTheme="majorBidi" w:cstheme="majorBidi"/>
        </w:rPr>
        <w:t xml:space="preserve">were raised by other groups </w:t>
      </w:r>
      <w:r w:rsidR="004C5C24" w:rsidRPr="00A35149">
        <w:rPr>
          <w:rFonts w:asciiTheme="majorBidi" w:hAnsiTheme="majorBidi" w:cstheme="majorBidi"/>
          <w:color w:val="4472C4" w:themeColor="accent1"/>
        </w:rPr>
        <w:fldChar w:fldCharType="begin" w:fldLock="1"/>
      </w:r>
      <w:r w:rsidR="00DB2708" w:rsidRPr="00A35149">
        <w:rPr>
          <w:rFonts w:asciiTheme="majorBidi" w:hAnsiTheme="majorBidi" w:cstheme="majorBidi"/>
          <w:color w:val="4472C4" w:themeColor="accent1"/>
        </w:rPr>
        <w:instrText>ADDIN CSL_CITATION {"citationItems":[{"id":"ITEM-1","itemData":{"DOI":"10.1016/j.tig.2015.12.004","ISSN":"13624555","abstract":"Unraveling the genetic basis of organismal form and function remains one of the major goals of evolutionary biology. Theory has long supported a model of polygenic evolution in which quantitative traits are underpinned by many genes of small effect, but empirical methods have lacked the power to detect causative loci when effect sizes are small or moderate. We (i) review traditional approaches used for identifying the molecular basis of phenotypic traits, to highlight the inherent problems and pitfalls that bias them towards the detection of large-effect loci. We then (ii) outline the promises of recent statistical frameworks to detect polygenic signatures of trait evolution, and discuss some of the first studies in evolutionary biology employing these approaches. Lastly, we (iii) outline future directions and point to areas that still need development.","author":[{"dropping-particle":"","family":"Wellenreuther","given":"Maren","non-dropping-particle":"","parse-names":false,"suffix":""},{"dropping-particle":"","family":"Hansson","given":"Bengt","non-dropping-particle":"","parse-names":false,"suffix":""}],"container-title":"Trends in Genetics","id":"ITEM-1","issue":"3","issued":{"date-parts":[["2016"]]},"page":"155-164","title":"Detecting Polygenic Evolution: Problems, Pitfalls, and Promises","type":"article-journal","volume":"32"},"uris":["http://www.mendeley.com/documents/?uuid=a5eeffd4-8af6-4201-976c-3cdba59b5d6a"]},{"id":"ITEM-2","itemData":{"DOI":"10.1038/ng.3211","ISSN":"15461718","PMID":"25642630","abstract":"Both polygenicity (many small genetic effects) and confounding biases, such as cryptic relatedness and population stratification, can yield an inflated distribution of test statistics in genome-wide association studies (GWAS). However, current methods cannot distinguish between inflation from a true polygenic signal and bias. We have developed an approach, LD Score regression, that quantifies the contribution of each by examining the relationship between test statistics and linkage disequilibrium (LD). The LD Score regression intercept can be used to estimate a more powerful and accurate correction factor than genomic control. We find strong evidence that polygenicity accounts for the majority of the inflation in test statistics in many GWAS of large sample size.","author":[{"dropping-particle":"","family":"Bulik-Sullivan","given":"Brendan","non-dropping-particle":"","parse-names":false,"suffix":""},{"dropping-particle":"","family":"Loh","given":"Po Ru","non-dropping-particle":"","parse-names":false,"suffix":""},{"dropping-particle":"","family":"Finucane","given":"Hilary K.","non-dropping-particle":"","parse-names":false,"suffix":""},{"dropping-particle":"","family":"Ripke","given":"Stephan","non-dropping-particle":"","parse-names":false,"suffix":""},{"dropping-particle":"","family":"Yang","given":"Jian","non-dropping-particle":"","parse-names":false,"suffix":""},{"dropping-particle":"","family":"Patterson","given":"Nick","non-dropping-particle":"","parse-names":false,"suffix":""},{"dropping-particle":"","family":"Daly","given":"Mark J.","non-dropping-particle":"","parse-names":false,"suffix":""},{"dropping-particle":"","family":"Price","given":"Alkes L.","non-dropping-particle":"","parse-names":false,"suffix":""},{"dropping-particle":"","family":"Neale","given":"Benjamin M.","non-dropping-particle":"","parse-names":false,"suffix":""},{"dropping-particle":"","family":"Corvin","given":"Aiden","non-dropping-particle":"","parse-names":false,"suffix":""},{"dropping-particle":"","family":"Walters","given":"James T.R.","non-dropping-particle":"","parse-names":false,"suffix":""},{"dropping-particle":"","family":"Farh","given":"Kai How","non-dropping-particle":"","parse-names":false,"suffix":""},{"dropping-particle":"","family":"Holmans","given":"Peter A.","non-dropping-particle":"","parse-names":false,"suffix":""},{"dropping-particle":"","family":"Lee","given":"Phil","non-dropping-particle":"","parse-names":false,"suffix":""},{"dropping-particle":"","family":"Collier","given":"David A.","non-dropping-particle":"","parse-names":false,"suffix":""},{"dropping-particle":"","family":"Huang","given":"Hailiang","non-dropping-particle":"","parse-names":false,"suffix":""},{"dropping-particle":"","family":"Pers","given":"Tune H.","non-dropping-particle":"","parse-names":false,"suffix":""},{"dropping-particle":"","family":"Agartz","given":"Ingrid","non-dropping-particle":"","parse-names":false,"suffix":""},{"dropping-particle":"","family":"Agerbo","given":"Esben","non-dropping-particle":"","parse-names":false,"suffix":""},{"dropping-particle":"","family":"Albus","given":"Margot","non-dropping-particle":"","parse-names":false,"suffix":""},{"dropping-particle":"","family":"Alexander","given":"Madeline","non-dropping-particle":"","parse-names":false,"suffix":""},{"dropping-particle":"","family":"Amin","given":"Farooq","non-dropping-particle":"","parse-names":false,"suffix":""},{"dropping-particle":"","family":"Bacanu","given":"Silviu A.","non-dropping-particle":"","parse-names":false,"suffix":""},{"dropping-particle":"","family":"Begemann","given":"Martin","non-dropping-particle":"","parse-names":false,"suffix":""},{"dropping-particle":"","family":"Belliveau","given":"Richard A.","non-dropping-particle":"","parse-names":false,"suffix":""},{"dropping-particle":"","family":"Bene","given":"Judit","non-dropping-particle":"","parse-names":false,"suffix":""},{"dropping-particle":"","family":"Bergen","given":"Sarah E.","non-dropping-particle":"","parse-names":false,"suffix":""},{"dropping-particle":"","family":"Bevilacqua","given":"Elizabeth","non-dropping-particle":"","parse-names":false,"suffix":""},{"dropping-particle":"","family":"Bigdeli","given":"Tim B.","non-dropping-particle":"","parse-names":false,"suffix":""},{"dropping-particle":"","family":"Black","given":"Donald W.","non-dropping-particle":"","parse-names":false,"suffix":""},{"dropping-particle":"","family":"Bruggeman","given":"Richard","non-dropping-particle":"","parse-names":false,"suffix":""},{"dropping-particle":"","family":"Buccola","given":"Nancy G.","non-dropping-particle":"","parse-names":false,"suffix":""},{"dropping-particle":"","family":"Buckner","given":"Randy L.","non-dropping-particle":"","parse-names":false,"suffix":""},{"dropping-particle":"","family":"Byerley","given":"William","non-dropping-particle":"","parse-names":false,"suffix":""},{"dropping-particle":"","family":"Cahn","given":"Wiepke","non-dropping-particle":"","parse-names":false,"suffix":""},{"dropping-particle":"","family":"Cai","given":"Guiqing","non-dropping-particle":"","parse-names":false,"suffix":""},{"dropping-particle":"","family":"Cairns","given":"Murray J.","non-dropping-particle":"","parse-names":false,"suffix":""},{"dropping-particle":"","family":"Campion","given":"Dominique","non-dropping-particle":"","parse-names":false,"suffix":""},{"dropping-particle":"","family":"Cantor","given":"Rita M.","non-dropping-particle":"","parse-names":false,"suffix":""},{"dropping-particle":"","family":"Carr","given":"Vaughan J.","non-dropping-particle":"","parse-names":false,"suffix":""},{"dropping-particle":"","family":"Carrera","given":"Noa","non-dropping-particle":"","parse-names":false,"suffix":""},{"dropping-particle":"V.","family":"Catts","given":"Stanley","non-dropping-particle":"","parse-names":false,"suffix":""},{"dropping-particle":"","family":"Chambert","given":"Kimberly D.","non-dropping-particle":"","parse-names":false,"suffix":""},{"dropping-particle":"","family":"Chan","given":"Raymond C.K.","non-dropping-particle":"","parse-names":false,"suffix":""},{"dropping-particle":"","family":"Chen","given":"Ronald Y.L.","non-dropping-particle":"","parse-names":false,"suffix":""},{"dropping-particle":"","family":"Chen","given":"Eric Y.H.","non-dropping-particle":"","parse-names":false,"suffix":""},{"dropping-particle":"","family":"Cheng","given":"Wei","non-dropping-particle":"","parse-names":false,"suffix":""},{"dropping-particle":"","family":"Cheung","given":"Eric F.C.","non-dropping-particle":"","parse-names":false,"suffix":""},{"dropping-particle":"","family":"Chong","given":"Siow Ann","non-dropping-particle":"","parse-names":false,"suffix":""},{"dropping-particle":"","family":"Cloninger","given":"C. Robert","non-dropping-particle":"","parse-names":false,"suffix":""},{"dropping-particle":"","family":"Cohen","given":"David","non-dropping-particle":"","parse-names":false,"suffix":""},{"dropping-particle":"","family":"Cohen","given":"Nadine","non-dropping-particle":"","parse-names":false,"suffix":""},{"dropping-particle":"","family":"Cormican","given":"Paul","non-dropping-particle":"","parse-names":false,"suffix":""},{"dropping-particle":"","family":"Craddock","given":"Nick","non-dropping-particle":"","parse-names":false,"suffix":""},{"dropping-particle":"","family":"Crespo-Facorro","given":"Benedicto","non-dropping-particle":"","parse-names":false,"suffix":""},{"dropping-particle":"","family":"Crowley","given":"James J.","non-dropping-particle":"","parse-names":false,"suffix":""},{"dropping-particle":"","family":"Curtis","given":"David","non-dropping-particle":"","parse-names":false,"suffix":""},{"dropping-particle":"","family":"Davidson","given":"Michael","non-dropping-particle":"","parse-names":false,"suffix":""},{"dropping-particle":"","family":"Davis","given":"Kenneth L.","non-dropping-particle":"","parse-names":false,"suffix":""},{"dropping-particle":"","family":"Degenhardt","given":"Franziska","non-dropping-particle":"","parse-names":false,"suffix":""},{"dropping-particle":"","family":"Favero","given":"Jurgen","non-dropping-particle":"Del","parse-names":false,"suffix":""},{"dropping-particle":"","family":"DeLisi","given":"Lynn E.","non-dropping-particle":"","parse-names":false,"suffix":""},{"dropping-particle":"","family":"Demontis","given":"Ditte","non-dropping-particle":"","parse-names":false,"suffix":""},{"dropping-particle":"","family":"Dikeos","given":"Dimitris","non-dropping-particle":"","parse-names":false,"suffix":""},{"dropping-particle":"","family":"Dinan","given":"Timothy","non-dropping-particle":"","parse-names":false,"suffix":""},{"dropping-particle":"","family":"Djurovic","given":"Srdjan","non-dropping-particle":"","parse-names":false,"suffix":""},{"dropping-particle":"","family":"Donohoe","given":"Gary","non-dropping-particle":"","parse-names":false,"suffix":""},{"dropping-particle":"","family":"Drapeau","given":"Elodie","non-dropping-particle":"","parse-names":false,"suffix":""},{"dropping-particle":"","family":"Duan","given":"Jubao","non-dropping-particle":"","parse-names":false,"suffix":""},{"dropping-particle":"","family":"Dudbridge","given":"Frank","non-dropping-particle":"","parse-names":false,"suffix":""},{"dropping-particle":"","family":"Durmishi","given":"Naser","non-dropping-particle":"","parse-names":false,"suffix":""},{"dropping-particle":"","family":"Eichhammer","given":"Peter","non-dropping-particle":"","parse-names":false,"suffix":""},{"dropping-particle":"","family":"Eriksson","given":"Johan","non-dropping-particle":"","parse-names":false,"suffix":""},{"dropping-particle":"","family":"Escott-Price","given":"Valentina","non-dropping-particle":"","parse-names":false,"suffix":""},{"dropping-particle":"","family":"Essioux","given":"Laurent","non-dropping-particle":"","parse-names":false,"suffix":""},{"dropping-particle":"","family":"Fanous","given":"Ayman H.","non-dropping-particle":"","parse-names":false,"suffix":""},{"dropping-particle":"","family":"Farrell","given":"Martilias S.","non-dropping-particle":"","parse-names":false,"suffix":""},{"dropping-particle":"","family":"Frank","given":"Josef","non-dropping-particle":"","parse-names":false,"suffix":""},{"dropping-particle":"","family":"Franke","given":"Lude","non-dropping-particle":"","parse-names":false,"suffix":""},{"dropping-particle":"","family":"Freedman","given":"Robert","non-dropping-particle":"","parse-names":false,"suffix":""},{"dropping-particle":"","family":"Freimer","given":"Nelson B.","non-dropping-particle":"","parse-names":false,"suffix":""},{"dropping-particle":"","family":"Friedl","given":"Marion","non-dropping-particle":"","parse-names":false,"suffix":""},{"dropping-particle":"","family":"Friedman","given":"Joseph I.","non-dropping-particle":"","parse-names":false,"suffix":""},{"dropping-particle":"","family":"Fromer","given":"Menachem","non-dropping-particle":"","parse-names":false,"suffix":""},{"dropping-particle":"","family":"Genovese","given":"Giulio","non-dropping-particle":"","parse-names":false,"suffix":""},{"dropping-particle":"","family":"Georgieva","given":"Lyudmila","non-dropping-particle":"","parse-names":false,"suffix":""},{"dropping-particle":"","family":"Gershon","given":"Elliot S.","non-dropping-particle":"","parse-names":false,"suffix":""},{"dropping-particle":"","family":"Giegling","given":"Ina","non-dropping-particle":"","parse-names":false,"suffix":""},{"dropping-particle":"","family":"Giusti-Rodríguez","given":"Paola","non-dropping-particle":"","parse-names":false,"suffix":""},{"dropping-particle":"","family":"Godard","given":"Stephanie","non-dropping-particle":"","parse-names":false,"suffix":""},{"dropping-particle":"","family":"Goldstein","given":"Jacqueline I.","non-dropping-particle":"","parse-names":false,"suffix":""},{"dropping-particle":"","family":"Golimbet","given":"Vera","non-dropping-particle":"","parse-names":false,"suffix":""},{"dropping-particle":"","family":"Gopal","given":"Srihari","non-dropping-particle":"","parse-names":false,"suffix":""},{"dropping-particle":"","family":"Gratten","given":"Jacob","non-dropping-particle":"","parse-names":false,"suffix":""},{"dropping-particle":"","family":"Haan","given":"Lieuwe","non-dropping-particle":"De","parse-names":false,"suffix":""},{"dropping-particle":"","family":"Hammer","given":"Christian","non-dropping-particle":"","parse-names":false,"suffix":""},{"dropping-particle":"","family":"Hamshere","given":"Marian L.","non-dropping-particle":"","parse-names":false,"suffix":""},{"dropping-particle":"","family":"Hansen","given":"Mark","non-dropping-particle":"","parse-names":false,"suffix":""},{"dropping-particle":"","family":"Hansen","given":"Thomas","non-dropping-particle":"","parse-names":false,"suffix":""},{"dropping-particle":"","family":"Haroutunian","given":"Vahram","non-dropping-particle":"","parse-names":false,"suffix":""},{"dropping-particle":"","family":"Hartmann","given":"Annette M.","non-dropping-particle":"","parse-names":false,"suffix":""},{"dropping-particle":"","family":"Henskens","given":"Frans A.","non-dropping-particle":"","parse-names":false,"suffix":""},{"dropping-particle":"","family":"Herms","given":"Stefan","non-dropping-particle":"","parse-names":false,"suffix":""},{"dropping-particle":"","family":"Hirschhorn","given":"Joel N.","non-dropping-particle":"","parse-names":false,"suffix":""},{"dropping-particle":"","family":"Hoffmann","given":"Per","non-dropping-particle":"","parse-names":false,"suffix":""},{"dropping-particle":"","family":"Hofman","given":"Andrea","non-dropping-particle":"","parse-names":false,"suffix":""},{"dropping-particle":"V.","family":"Hollegaard","given":"Mads","non-dropping-particle":"","parse-names":false,"suffix":""},{"dropping-particle":"","family":"Hougaard","given":"David M.","non-dropping-particle":"","parse-names":false,"suffix":""},{"dropping-particle":"","family":"Ikeda","given":"Masashi","non-dropping-particle":"","parse-names":false,"suffix":""},{"dropping-particle":"","family":"Joa","given":"Inge","non-dropping-particle":"","parse-names":false,"suffix":""},{"dropping-particle":"","family":"Juliá","given":"Antonio","non-dropping-particle":"","parse-names":false,"suffix":""},{"dropping-particle":"","family":"Kahn","given":"René S.","non-dropping-particle":"","parse-names":false,"suffix":""},{"dropping-particle":"","family":"Kalaydjieva","given":"Luba","non-dropping-particle":"","parse-names":false,"suffix":""},{"dropping-particle":"","family":"Karachanak-Yankova","given":"Sena","non-dropping-particle":"","parse-names":false,"suffix":""},{"dropping-particle":"","family":"Karjalainen","given":"Juha","non-dropping-particle":"","parse-names":false,"suffix":""},{"dropping-particle":"","family":"Kavanagh","given":"David","non-dropping-particle":"","parse-names":false,"suffix":""},{"dropping-particle":"","family":"Keller","given":"Matthew C.","non-dropping-particle":"","parse-names":false,"suffix":""},{"dropping-particle":"","family":"Kelly","given":"Brian J.","non-dropping-particle":"","parse-names":false,"suffix":""},{"dropping-particle":"","family":"Kennedy","given":"James L.","non-dropping-particle":"","parse-names":false,"suffix":""},{"dropping-particle":"","family":"Khrunin","given":"Andrey","non-dropping-particle":"","parse-names":false,"suffix":""},{"dropping-particle":"","family":"Kim","given":"Yunjung","non-dropping-particle":"","parse-names":false,"suffix":""},{"dropping-particle":"","family":"Klovins","given":"Janis","non-dropping-particle":"","parse-names":false,"suffix":""},{"dropping-particle":"","family":"Knowles","given":"James A.","non-dropping-particle":"","parse-names":false,"suffix":""},{"dropping-particle":"","family":"Konte","given":"Bettina","non-dropping-particle":"","parse-names":false,"suffix":""},{"dropping-particle":"","family":"Kucinskas","given":"Vaidutis","non-dropping-particle":"","parse-names":false,"suffix":""},{"dropping-particle":"","family":"Kucinskiene","given":"Zita Ausrele","non-dropping-particle":"","parse-names":false,"suffix":""},{"dropping-particle":"","family":"Kuzelova-Ptackova","given":"Hana","non-dropping-particle":"","parse-names":false,"suffix":""},{"dropping-particle":"","family":"Kähler","given":"Anna K.","non-dropping-particle":"","parse-names":false,"suffix":""},{"dropping-particle":"","family":"Laurent","given":"Claudine","non-dropping-particle":"","parse-names":false,"suffix":""},{"dropping-particle":"","family":"Keong","given":"Jimmy Lee Chee","non-dropping-particle":"","parse-names":false,"suffix":""},{"dropping-particle":"","family":"Lee","given":"S. Hong","non-dropping-particle":"","parse-names":false,"suffix":""},{"dropping-particle":"","family":"Legge","given":"Sophie E.","non-dropping-particle":"","parse-names":false,"suffix":""},{"dropping-particle":"","family":"Lerer","given":"Bernard","non-dropping-particle":"","parse-names":false,"suffix":""},{"dropping-particle":"","family":"Li","given":"Miaoxin","non-dropping-particle":"","parse-names":false,"suffix":""},{"dropping-particle":"","family":"Li","given":"Tao","non-dropping-particle":"","parse-names":false,"suffix":""},{"dropping-particle":"","family":"Liang","given":"Kung Yee","non-dropping-particle":"","parse-names":false,"suffix":""},{"dropping-particle":"","family":"Lieberman","given":"Jeffrey","non-dropping-particle":"","parse-names":false,"suffix":""},{"dropping-particle":"","family":"Limborska","given":"Svetlana","non-dropping-particle":"","parse-names":false,"suffix":""},{"dropping-particle":"","family":"Loughland","given":"Carmel M.","non-dropping-particle":"","parse-names":false,"suffix":""},{"dropping-particle":"","family":"Lubinski","given":"Jan","non-dropping-particle":"","parse-names":false,"suffix":""},{"dropping-particle":"","family":"Lönnqvist","given":"Jouko","non-dropping-particle":"","parse-names":false,"suffix":""},{"dropping-particle":"","family":"Macek","given":"Milan","non-dropping-particle":"","parse-names":false,"suffix":""},{"dropping-particle":"","family":"Magnusson","given":"Patrik K.E.","non-dropping-particle":"","parse-names":false,"suffix":""},{"dropping-particle":"","family":"Maher","given":"Brion S.","non-dropping-particle":"","parse-names":false,"suffix":""},{"dropping-particle":"","family":"Maier","given":"Wolfgang","non-dropping-particle":"","parse-names":false,"suffix":""},{"dropping-particle":"","family":"Mallet","given":"Jacques","non-dropping-particle":"","parse-names":false,"suffix":""},{"dropping-particle":"","family":"Marsal","given":"Sara","non-dropping-particle":"","parse-names":false,"suffix":""},{"dropping-particle":"","family":"Mattheisen","given":"Manuel","non-dropping-particle":"","parse-names":false,"suffix":""},{"dropping-particle":"","family":"Mattingsdal","given":"Morten","non-dropping-particle":"","parse-names":false,"suffix":""},{"dropping-particle":"","family":"McCarley","given":"Robert W.","non-dropping-particle":"","parse-names":false,"suffix":""},{"dropping-particle":"","family":"McDonald","given":"Colm","non-dropping-particle":"","parse-names":false,"suffix":""},{"dropping-particle":"","family":"McIntosh","given":"Andrew M.","non-dropping-particle":"","parse-names":false,"suffix":""},{"dropping-particle":"","family":"Meier","given":"Sandra","non-dropping-particle":"","parse-names":false,"suffix":""},{"dropping-particle":"","family":"Meijer","given":"Carin J.","non-dropping-particle":"","parse-names":false,"suffix":""},{"dropping-particle":"","family":"Melegh","given":"Bela","non-dropping-particle":"","parse-names":false,"suffix":""},{"dropping-particle":"","family":"Melle","given":"Ingrid","non-dropping-particle":"","parse-names":false,"suffix":""},{"dropping-particle":"","family":"Mesholam-Gately","given":"Raquelle I.","non-dropping-particle":"","parse-names":false,"suffix":""},{"dropping-particle":"","family":"Metspalu","given":"Andres","non-dropping-particle":"","parse-names":false,"suffix":""},{"dropping-particle":"","family":"Michie","given":"Patricia T.","non-dropping-particle":"","parse-names":false,"suffix":""},{"dropping-particle":"","family":"Milani","given":"Lili","non-dropping-particle":"","parse-names":false,"suffix":""},{"dropping-particle":"","family":"Milanova","given":"Vihra","non-dropping-particle":"","parse-names":false,"suffix":""},{"dropping-particle":"","family":"Mokrab","given":"Younes","non-dropping-particle":"","parse-names":false,"suffix":""},{"dropping-particle":"","family":"Morris","given":"Derek W.","non-dropping-particle":"","parse-names":false,"suffix":""},{"dropping-particle":"","family":"Mors","given":"Ole","non-dropping-particle":"","parse-names":false,"suffix":""},{"dropping-particle":"","family":"Murphy","given":"Kieran C.","non-dropping-particle":"","parse-names":false,"suffix":""},{"dropping-particle":"","family":"Murray","given":"Robin M.","non-dropping-particle":"","parse-names":false,"suffix":""},{"dropping-particle":"","family":"Myin-Germeys","given":"Inez","non-dropping-particle":"","parse-names":false,"suffix":""},{"dropping-particle":"","family":"Müller-Myhsok","given":"Bertram","non-dropping-particle":"","parse-names":false,"suffix":""},{"dropping-particle":"","family":"Nelis","given":"Mari","non-dropping-particle":"","parse-names":false,"suffix":""},{"dropping-particle":"","family":"Nenadic","given":"Igor","non-dropping-particle":"","parse-names":false,"suffix":""},{"dropping-particle":"","family":"Nertney","given":"Deborah A.","non-dropping-particle":"","parse-names":false,"suffix":""},{"dropping-particle":"","family":"Nestadt","given":"Gerald","non-dropping-particle":"","parse-names":false,"suffix":""},{"dropping-particle":"","family":"Nicodemus","given":"Kristin K.","non-dropping-particle":"","parse-names":false,"suffix":""},{"dropping-particle":"","family":"Nikitina-Zake","given":"Liene","non-dropping-particle":"","parse-names":false,"suffix":""},{"dropping-particle":"","family":"Nisenbaum","given":"Laura","non-dropping-particle":"","parse-names":false,"suffix":""},{"dropping-particle":"","family":"Nordin","given":"Annelie","non-dropping-particle":"","parse-names":false,"suffix":""},{"dropping-particle":"","family":"O'Callaghan","given":"Eadbhard","non-dropping-particle":"","parse-names":false,"suffix":""},{"dropping-particle":"","family":"O'Dushlaine","given":"Colm","non-dropping-particle":"","parse-names":false,"suffix":""},{"dropping-particle":"","family":"O'Neill","given":"F. Anthony","non-dropping-particle":"","parse-names":false,"suffix":""},{"dropping-particle":"","family":"Oh","given":"Sang Yun","non-dropping-particle":"","parse-names":false,"suffix":""},{"dropping-particle":"","family":"Olincy","given":"Ann","non-dropping-particle":"","parse-names":false,"suffix":""},{"dropping-particle":"","family":"Olsen","given":"Line","non-dropping-particle":"","parse-names":false,"suffix":""},{"dropping-particle":"","family":"Os","given":"Jim","non-dropping-particle":"Van","parse-names":false,"suffix":""},{"dropping-particle":"","family":"Pantelis","given":"Christos","non-dropping-particle":"","parse-names":false,"suffix":""},{"dropping-particle":"","family":"Papadimitriou","given":"George N.","non-dropping-particle":"","parse-names":false,"suffix":""},{"dropping-particle":"","family":"Papiol","given":"Sergi","non-dropping-particle":"","parse-names":false,"suffix":""},{"dropping-particle":"","family":"Parkhomenko","given":"Elena","non-dropping-particle":"","parse-names":false,"suffix":""},{"dropping-particle":"","family":"Pato","given":"Michele T.","non-dropping-particle":"","parse-names":false,"suffix":""},{"dropping-particle":"","family":"Paunio","given":"Tiina","non-dropping-particle":"","parse-names":false,"suffix":""},{"dropping-particle":"","family":"Pejovic-Milovancevic","given":"Milica","non-dropping-particle":"","parse-names":false,"suffix":""},{"dropping-particle":"","family":"Perkins","given":"Diana O.","non-dropping-particle":"","parse-names":false,"suffix":""},{"dropping-particle":"","family":"Pietiläinen","given":"Olli","non-dropping-particle":"","parse-names":false,"suffix":""},{"dropping-particle":"","family":"Pimm","given":"Jonathan","non-dropping-particle":"","parse-names":false,"suffix":""},{"dropping-particle":"","family":"Pocklington","given":"Andrew J.","non-dropping-particle":"","parse-names":false,"suffix":""},{"dropping-particle":"","family":"Powell","given":"John","non-dropping-particle":"","parse-names":false,"suffix":""},{"dropping-particle":"","family":"Pulver","given":"Ann E.","non-dropping-particle":"","parse-names":false,"suffix":""},{"dropping-particle":"","family":"Purcell","given":"Shaun M.","non-dropping-particle":"","parse-names":false,"suffix":""},{"dropping-particle":"","family":"Quested","given":"Digby","non-dropping-particle":"","parse-names":false,"suffix":""},{"dropping-particle":"","family":"Rasmussen","given":"Henrik B.","non-dropping-particle":"","parse-names":false,"suffix":""},{"dropping-particle":"","family":"Reichenberg","given":"Abraham","non-dropping-particle":"","parse-names":false,"suffix":""},{"dropping-particle":"","family":"Reimers","given":"Mark A.","non-dropping-particle":"","parse-names":false,"suffix":""},{"dropping-particle":"","family":"Richards","given":"Alexander L.","non-dropping-particle":"","parse-names":false,"suffix":""},{"dropping-particle":"","family":"Roffman","given":"Joshua L.","non-dropping-particle":"","parse-names":false,"suffix":""},{"dropping-particle":"","family":"Roussos","given":"Panos","non-dropping-particle":"","parse-names":false,"suffix":""},{"dropping-particle":"","family":"Ruderfer","given":"Douglas M.","non-dropping-particle":"","parse-names":false,"suffix":""},{"dropping-particle":"","family":"Salomaa","given":"Veikko","non-dropping-particle":"","parse-names":false,"suffix":""},{"dropping-particle":"","family":"Sanders","given":"Alan R.","non-dropping-particle":"","parse-names":false,"suffix":""},{"dropping-particle":"","family":"Schall","given":"Ulrich","non-dropping-particle":"","parse-names":false,"suffix":""},{"dropping-particle":"","family":"Schubert","given":"Christian R.","non-dropping-particle":"","parse-names":false,"suffix":""},{"dropping-particle":"","family":"Schulze","given":"Thomas G.","non-dropping-particle":"","parse-names":false,"suffix":""},{"dropping-particle":"","family":"Schwab","given":"Sibylle G.","non-dropping-particle":"","parse-names":false,"suffix":""},{"dropping-particle":"","family":"Scolnick","given":"Edward M.","non-dropping-particle":"","parse-names":false,"suffix":""},{"dropping-particle":"","family":"Scott","given":"Rodney J.","non-dropping-particle":"","parse-names":false,"suffix":""},{"dropping-particle":"","family":"Seidman","given":"Larry J.","non-dropping-particle":"","parse-names":false,"suffix":""},{"dropping-particle":"","family":"Shi","given":"Jianxin","non-dropping-particle":"","parse-names":false,"suffix":""},{"dropping-particle":"","family":"Sigurdsson","given":"Engilbert","non-dropping-particle":"","parse-names":false,"suffix":""},{"dropping-particle":"","family":"Silagadze","given":"Teimuraz","non-dropping-particle":"","parse-names":false,"suffix":""},{"dropping-particle":"","family":"Silverman","given":"Jeremy M.","non-dropping-particle":"","parse-names":false,"suffix":""},{"dropping-particle":"","family":"Sim","given":"Kang","non-dropping-particle":"","parse-names":false,"suffix":""},{"dropping-particle":"","family":"Slominsky","given":"Petr","non-dropping-particle":"","parse-names":false,"suffix":""},{"dropping-particle":"","family":"Smoller","given":"Jordan W.","non-dropping-particle":"","parse-names":false,"suffix":""},{"dropping-particle":"","family":"So","given":"Hon Cheong","non-dropping-particle":"","parse-names":false,"suffix":""},{"dropping-particle":"","family":"Spencer","given":"Chris C.A.","non-dropping-particle":"","parse-names":false,"suffix":""},{"dropping-particle":"","family":"Stahl","given":"Eli A.","non-dropping-particle":"","parse-names":false,"suffix":""},{"dropping-particle":"","family":"Stefansson","given":"Hreinn","non-dropping-particle":"","parse-names":false,"suffix":""},{"dropping-particle":"","family":"Steinberg","given":"Stacy","non-dropping-particle":"","parse-names":false,"suffix":""},{"dropping-particle":"","family":"Stogmann","given":"Elisabeth","non-dropping-particle":"","parse-names":false,"suffix":""},{"dropping-particle":"","family":"Straub","given":"Richard E.","non-dropping-particle":"","parse-names":false,"suffix":""},{"dropping-particle":"","family":"Strengman","given":"Eric","non-dropping-particle":"","parse-names":false,"suffix":""},{"dropping-particle":"","family":"Strohmaier","given":"Jana","non-dropping-particle":"","parse-names":false,"suffix":""},{"dropping-particle":"","family":"Stroup","given":"T. Scott","non-dropping-particle":"","parse-names":false,"suffix":""},{"dropping-particle":"","family":"Subramaniam","given":"Mythily","non-dropping-particle":"","parse-names":false,"suffix":""},{"dropping-particle":"","family":"Suvisaari","given":"Jaana","non-dropping-particle":"","parse-names":false,"suffix":""},{"dropping-particle":"","family":"Svrakic","given":"Dragan M.","non-dropping-particle":"","parse-names":false,"suffix":""},{"dropping-particle":"","family":"Szatkiewicz","given":"Jin P.","non-dropping-particle":"","parse-names":false,"suffix":""},{"dropping-particle":"","family":"Söderman","given":"Erik","non-dropping-particle":"","parse-names":false,"suffix":""},{"dropping-particle":"","family":"Thirumalai","given":"Srinivas","non-dropping-particle":"","parse-names":false,"suffix":""},{"dropping-particle":"","family":"Toncheva","given":"Draga","non-dropping-particle":"","parse-names":false,"suffix":""},{"dropping-particle":"","family":"Tooney","given":"Paul A.","non-dropping-particle":"","parse-names":false,"suffix":""},{"dropping-particle":"","family":"Tosato","given":"Sarah","non-dropping-particle":"","parse-names":false,"suffix":""},{"dropping-particle":"","family":"Veijola","given":"Juha","non-dropping-particle":"","parse-names":false,"suffix":""},{"dropping-particle":"","family":"Waddington","given":"John","non-dropping-particle":"","parse-names":false,"suffix":""},{"dropping-particle":"","family":"Walsh","given":"Dermot","non-dropping-particle":"","parse-names":false,"suffix":""},{"dropping-particle":"","family":"Wang","given":"Dai","non-dropping-particle":"","parse-names":false,"suffix":""},{"dropping-particle":"","family":"Wang","given":"Qiang","non-dropping-particle":"","parse-names":false,"suffix":""},{"dropping-particle":"","family":"Webb","given":"Bradley T.","non-dropping-particle":"","parse-names":false,"suffix":""},{"dropping-particle":"","family":"Weiser","given":"Mark","non-dropping-particle":"","parse-names":false,"suffix":""},{"dropping-particle":"","family":"Wildenauer","given":"Dieter B.","non-dropping-particle":"","parse-names":false,"suffix":""},{"dropping-particle":"","family":"Williams","given":"Nigel M.","non-dropping-particle":"","parse-names":false,"suffix":""},{"dropping-particle":"","family":"Williams","given":"Stephanie","non-dropping-particle":"","parse-names":false,"suffix":""},{"dropping-particle":"","family":"Witt","given":"Stephanie H.","non-dropping-particle":"","parse-names":false,"suffix":""},{"dropping-particle":"","family":"Wolen","given":"Aaron R.","non-dropping-particle":"","parse-names":false,"suffix":""},{"dropping-particle":"","family":"Wong","given":"Emily H.M.","non-dropping-particle":"","parse-names":false,"suffix":""},{"dropping-particle":"","family":"Wormley","given":"Brandon K.","non-dropping-particle":"","parse-names":false,"suffix":""},{"dropping-particle":"","family":"Wu","given":"Jing Qin","non-dropping-particle":"","parse-names":false,"suffix":""},{"dropping-particle":"","family":"Xi","given":"Hualin Simon","non-dropping-particle":"","parse-names":false,"suffix":""},{"dropping-particle":"","family":"Zai","given":"Clement C.","non-dropping-particle":"","parse-names":false,"suffix":""},{"dropping-particle":"","family":"Zheng","given":"Xuebin","non-dropping-particle":"","parse-names":false,"suffix":""},{"dropping-particle":"","family":"Zimprich","given":"Fritz","non-dropping-particle":"","parse-names":false,"suffix":""},{"dropping-particle":"","family":"Wray","given":"Naomi R.","non-dropping-particle":"","parse-names":false,"suffix":""},{"dropping-particle":"","family":"Stefansson","given":"Kari","non-dropping-particle":"","parse-names":false,"suffix":""},{"dropping-particle":"","family":"Visscher","given":"Peter M.","non-dropping-particle":"","parse-names":false,"suffix":""},{"dropping-particle":"","family":"Adolfsson","given":"Rolf","non-dropping-particle":"","parse-names":false,"suffix":""},{"dropping-particle":"","family":"Andreassen","given":"Ole A.","non-dropping-particle":"","parse-names":false,"suffix":""},{"dropping-particle":"","family":"Blackwood","given":"Douglas H.R.","non-dropping-particle":"","parse-names":false,"suffix":""},{"dropping-particle":"","family":"Bramon","given":"Elvira","non-dropping-particle":"","parse-names":false,"suffix":""},{"dropping-particle":"","family":"Buxbaum","given":"Joseph D.","non-dropping-particle":"","parse-names":false,"suffix":""},{"dropping-particle":"","family":"Børglum","given":"Anders D.","non-dropping-particle":"","parse-names":false,"suffix":""},{"dropping-particle":"","family":"Cichon","given":"Sven","non-dropping-particle":"","parse-names":false,"suffix":""},{"dropping-particle":"","family":"Darvasi","given":"Ariel","non-dropping-particle":"","parse-names":false,"suffix":""},{"dropping-particle":"","family":"Domenici","given":"Enrico","non-dropping-particle":"","parse-names":false,"suffix":""},{"dropping-particle":"","family":"Ehrenreich","given":"Hannelore","non-dropping-particle":"","parse-names":false,"suffix":""},{"dropping-particle":"","family":"Esko","given":"Tõnu","non-dropping-particle":"","parse-names":false,"suffix":""},{"dropping-particle":"V.","family":"Gejman","given":"Pablo","non-dropping-particle":"","parse-names":false,"suffix":""},{"dropping-particle":"","family":"Gill","given":"Michael","non-dropping-particle":"","parse-names":false,"suffix":""},{"dropping-particle":"","family":"Gurling","given":"Hugh","non-dropping-particle":"","parse-names":false,"suffix":""},{"dropping-particle":"","family":"Hultman","given":"Christina M.","non-dropping-particle":"","parse-names":false,"suffix":""},{"dropping-particle":"","family":"Iwata","given":"Nakao","non-dropping-particle":"","parse-names":false,"suffix":""},{"dropping-particle":"V.","family":"Jablensky","given":"Assen","non-dropping-particle":"","parse-names":false,"suffix":""},{"dropping-particle":"","family":"Jönsson","given":"Erik G.","non-dropping-particle":"","parse-names":false,"suffix":""},{"dropping-particle":"","family":"Kendler","given":"Kenneth S.","non-dropping-particle":"","parse-names":false,"suffix":""},{"dropping-particle":"","family":"Kirov","given":"George","non-dropping-particle":"","parse-names":false,"suffix":""},{"dropping-particle":"","family":"Knight","given":"Jo","non-dropping-particle":"","parse-names":false,"suffix":""},{"dropping-particle":"","family":"Lencz","given":"Todd","non-dropping-particle":"","parse-names":false,"suffix":""},{"dropping-particle":"","family":"Levinson","given":"Douglas F.","non-dropping-particle":"","parse-names":false,"suffix":""},{"dropping-particle":"","family":"Li","given":"Qingqin S.","non-dropping-particle":"","parse-names":false,"suffix":""},{"dropping-particle":"","family":"Liu","given":"Jianjun","non-dropping-particle":"","parse-names":false,"suffix":""},{"dropping-particle":"","family":"Malhotra","given":"Anil K.","non-dropping-particle":"","parse-names":false,"suffix":""},{"dropping-particle":"","family":"McCarroll","given":"Steven A.","non-dropping-particle":"","parse-names":false,"suffix":""},{"dropping-particle":"","family":"McQuillin","given":"Andrew","non-dropping-particle":"","parse-names":false,"suffix":""},{"dropping-particle":"","family":"Moran","given":"Jennifer L.","non-dropping-particle":"","parse-names":false,"suffix":""},{"dropping-particle":"","family":"Mortensen","given":"Preben B.","non-dropping-particle":"","parse-names":false,"suffix":""},{"dropping-particle":"","family":"Mowry","given":"Bryan J.","non-dropping-particle":"","parse-names":false,"suffix":""},{"dropping-particle":"","family":"Nöthen","given":"Markus M.","non-dropping-particle":"","parse-names":false,"suffix":""},{"dropping-particle":"","family":"Ophoff","given":"Roel A.","non-dropping-particle":"","parse-names":false,"suffix":""},{"dropping-particle":"","family":"Owen","given":"Michael J.","non-dropping-particle":"","parse-names":false,"suffix":""},{"dropping-particle":"","family":"Palotie","given":"Aarno","non-dropping-particle":"","parse-names":false,"suffix":""},{"dropping-particle":"","family":"Pato","given":"Carlos N.","non-dropping-particle":"","parse-names":false,"suffix":""},{"dropping-particle":"","family":"Petryshen","given":"Tracey L.","non-dropping-particle":"","parse-names":false,"suffix":""},{"dropping-particle":"","family":"Posthuma","given":"Danielle","non-dropping-particle":"","parse-names":false,"suffix":""},{"dropping-particle":"","family":"Rietschel","given":"Marcella","non-dropping-particle":"","parse-names":false,"suffix":""},{"dropping-particle":"","family":"Riley","given":"Brien P.","non-dropping-particle":"","parse-names":false,"suffix":""},{"dropping-particle":"","family":"Rujescu","given":"Dan","non-dropping-particle":"","parse-names":false,"suffix":""},{"dropping-particle":"","family":"Sham","given":"Pak C.","non-dropping-particle":"","parse-names":false,"suffix":""},{"dropping-particle":"","family":"Sklar","given":"Pamela","non-dropping-particle":"","parse-names":false,"suffix":""},{"dropping-particle":"","family":"St Clair","given":"David","non-dropping-particle":"","parse-names":false,"suffix":""},{"dropping-particle":"","family":"Weinberger","given":"Daniel R.","non-dropping-particle":"","parse-names":false,"suffix":""},{"dropping-particle":"","family":"Wendland","given":"Jens R.","non-dropping-particle":"","parse-names":false,"suffix":""},{"dropping-particle":"","family":"Werge","given":"Thomas","non-dropping-particle":"","parse-names":false,"suffix":""},{"dropping-particle":"","family":"Sullivan","given":"Patrick F.","non-dropping-particle":"","parse-names":false,"suffix":""},{"dropping-particle":"","family":"O'Donovan","given":"Michael C.","non-dropping-particle":"","parse-names":false,"suffix":""}],"container-title":"Nature Genetics","id":"ITEM-2","issue":"3","issued":{"date-parts":[["2015"]]},"page":"291-295","title":"LD score regression distinguishes confounding from polygenicity in genome-wide association studies","type":"article-journal","volume":"47"},"uris":["http://www.mendeley.com/documents/?uuid=658e6cb5-0845-4076-b1d1-354ba25c8693"]},{"id":"ITEM-3","itemData":{"DOI":"10.1001/jama.2019.21667","ISSN":"15383598","author":[{"dropping-particle":"","family":"Khan","given":"Sadiya S.","non-dropping-particle":"","parse-names":false,"suffix":""},{"dropping-particle":"","family":"Cooper","given":"Richard","non-dropping-particle":"","parse-names":false,"suffix":""},{"dropping-particle":"","family":"Greenland","given":"Philip","non-dropping-particle":"","parse-names":false,"suffix":""}],"container-title":"JAMA - Journal of the American Medical Association","id":"ITEM-3","issue":"7","issued":{"date-parts":[["2020"]]},"page":"614-615","title":"Do Polygenic Risk Scores Improve Patient Selection for Prevention of Coronary Artery Disease?","type":"article-journal","volume":"323"},"uris":["http://www.mendeley.com/documents/?uuid=bd8e0b19-457e-490f-bca2-18c86383d6d9"]}],"mendeley":{"formattedCitation":"(Bulik-Sullivan &lt;i&gt;et al.&lt;/i&gt;, 2015; Wellenreuther and Hansson, 2016; Khan, Cooper and Greenland, 2020)","plainTextFormattedCitation":"(Bulik-Sullivan et al., 2015; Wellenreuther and Hansson, 2016; Khan, Cooper and Greenland, 2020)","previouslyFormattedCitation":"(Bulik-Sullivan &lt;i&gt;et al.&lt;/i&gt;, 2015; Wellenreuther and Hansson, 2016; Khan, Cooper and Greenland, 2020)"},"properties":{"noteIndex":0},"schema":"https://github.com/citation-style-language/schema/raw/master/csl-citation.json"}</w:instrText>
      </w:r>
      <w:r w:rsidR="004C5C24" w:rsidRPr="00A35149">
        <w:rPr>
          <w:rFonts w:asciiTheme="majorBidi" w:hAnsiTheme="majorBidi" w:cstheme="majorBidi"/>
          <w:color w:val="4472C4" w:themeColor="accent1"/>
        </w:rPr>
        <w:fldChar w:fldCharType="separate"/>
      </w:r>
      <w:r w:rsidR="004C5C24" w:rsidRPr="00A35149">
        <w:rPr>
          <w:rFonts w:asciiTheme="majorBidi" w:hAnsiTheme="majorBidi" w:cstheme="majorBidi"/>
          <w:noProof/>
          <w:color w:val="4472C4" w:themeColor="accent1"/>
        </w:rPr>
        <w:t xml:space="preserve">(Bulik-Sullivan </w:t>
      </w:r>
      <w:r w:rsidR="004C5C24" w:rsidRPr="00A35149">
        <w:rPr>
          <w:rFonts w:asciiTheme="majorBidi" w:hAnsiTheme="majorBidi" w:cstheme="majorBidi"/>
          <w:i/>
          <w:noProof/>
          <w:color w:val="4472C4" w:themeColor="accent1"/>
        </w:rPr>
        <w:t>et al.</w:t>
      </w:r>
      <w:r w:rsidR="004C5C24" w:rsidRPr="00A35149">
        <w:rPr>
          <w:rFonts w:asciiTheme="majorBidi" w:hAnsiTheme="majorBidi" w:cstheme="majorBidi"/>
          <w:noProof/>
          <w:color w:val="4472C4" w:themeColor="accent1"/>
        </w:rPr>
        <w:t>, 2015; Wellenreuther and Hansson, 2016; Khan, Cooper and Greenland, 2020)</w:t>
      </w:r>
      <w:r w:rsidR="004C5C24" w:rsidRPr="00A35149">
        <w:rPr>
          <w:rFonts w:asciiTheme="majorBidi" w:hAnsiTheme="majorBidi" w:cstheme="majorBidi"/>
          <w:color w:val="4472C4" w:themeColor="accent1"/>
        </w:rPr>
        <w:fldChar w:fldCharType="end"/>
      </w:r>
      <w:r w:rsidR="004C5C24" w:rsidRPr="00A35149">
        <w:rPr>
          <w:rFonts w:asciiTheme="majorBidi" w:hAnsiTheme="majorBidi" w:cstheme="majorBidi"/>
        </w:rPr>
        <w:t>.</w:t>
      </w:r>
    </w:p>
    <w:p w14:paraId="5720B19B" w14:textId="77777777" w:rsidR="00E62AF3" w:rsidRPr="00A35149" w:rsidRDefault="00E62AF3" w:rsidP="00546D68">
      <w:pPr>
        <w:ind w:firstLine="720"/>
        <w:rPr>
          <w:rFonts w:asciiTheme="majorBidi" w:hAnsiTheme="majorBidi" w:cstheme="majorBidi"/>
        </w:rPr>
      </w:pPr>
    </w:p>
    <w:p w14:paraId="30B9A081" w14:textId="0572B067" w:rsidR="0090466A" w:rsidRPr="00A35149" w:rsidRDefault="00C104C3" w:rsidP="00546D68">
      <w:pPr>
        <w:pStyle w:val="Heading2"/>
        <w:rPr>
          <w:rFonts w:asciiTheme="majorBidi" w:hAnsiTheme="majorBidi"/>
          <w:color w:val="4472C4" w:themeColor="accent1"/>
        </w:rPr>
      </w:pPr>
      <w:r w:rsidRPr="00A35149">
        <w:rPr>
          <w:rFonts w:asciiTheme="majorBidi" w:hAnsiTheme="majorBidi"/>
          <w:color w:val="4472C4" w:themeColor="accent1"/>
        </w:rPr>
        <w:t>Drug discovery</w:t>
      </w:r>
    </w:p>
    <w:p w14:paraId="31940B62" w14:textId="3D2AC797" w:rsidR="00FE6763" w:rsidRPr="00A35149" w:rsidRDefault="009B45B8" w:rsidP="00422D88">
      <w:pPr>
        <w:widowControl w:val="0"/>
        <w:spacing w:before="240" w:after="240"/>
        <w:ind w:firstLine="720"/>
        <w:rPr>
          <w:rFonts w:asciiTheme="majorBidi" w:hAnsiTheme="majorBidi" w:cstheme="majorBidi"/>
        </w:rPr>
      </w:pPr>
      <w:r w:rsidRPr="00A35149">
        <w:rPr>
          <w:rFonts w:asciiTheme="majorBidi" w:hAnsiTheme="majorBidi" w:cstheme="majorBidi"/>
        </w:rPr>
        <w:t>A</w:t>
      </w:r>
      <w:r w:rsidR="00A33D21" w:rsidRPr="00A35149">
        <w:rPr>
          <w:rFonts w:asciiTheme="majorBidi" w:hAnsiTheme="majorBidi" w:cstheme="majorBidi"/>
        </w:rPr>
        <w:t xml:space="preserve">ssociation tests </w:t>
      </w:r>
      <w:r w:rsidRPr="00A35149">
        <w:rPr>
          <w:rFonts w:asciiTheme="majorBidi" w:hAnsiTheme="majorBidi" w:cstheme="majorBidi"/>
        </w:rPr>
        <w:t xml:space="preserve">are </w:t>
      </w:r>
      <w:r w:rsidR="00061AD5" w:rsidRPr="00A35149">
        <w:rPr>
          <w:rFonts w:asciiTheme="majorBidi" w:hAnsiTheme="majorBidi" w:cstheme="majorBidi"/>
        </w:rPr>
        <w:t xml:space="preserve">also </w:t>
      </w:r>
      <w:r w:rsidRPr="00A35149">
        <w:rPr>
          <w:rFonts w:asciiTheme="majorBidi" w:hAnsiTheme="majorBidi" w:cstheme="majorBidi"/>
        </w:rPr>
        <w:t>used</w:t>
      </w:r>
      <w:r w:rsidR="00A33D21" w:rsidRPr="00A35149">
        <w:rPr>
          <w:rFonts w:asciiTheme="majorBidi" w:hAnsiTheme="majorBidi" w:cstheme="majorBidi"/>
        </w:rPr>
        <w:t xml:space="preserve"> to identify drug targets </w:t>
      </w:r>
      <w:r w:rsidR="00DB6329" w:rsidRPr="00A35149">
        <w:rPr>
          <w:rFonts w:asciiTheme="majorBidi" w:hAnsiTheme="majorBidi" w:cstheme="majorBidi"/>
          <w:color w:val="4472C4" w:themeColor="accent1"/>
        </w:rPr>
        <w:fldChar w:fldCharType="begin" w:fldLock="1"/>
      </w:r>
      <w:r w:rsidR="00E9774B" w:rsidRPr="00A35149">
        <w:rPr>
          <w:rFonts w:asciiTheme="majorBidi" w:hAnsiTheme="majorBidi" w:cstheme="majorBidi"/>
          <w:color w:val="4472C4" w:themeColor="accent1"/>
        </w:rPr>
        <w:instrText>ADDIN CSL_CITATION {"citationItems":[{"id":"ITEM-1","itemData":{"DOI":"10.1126/scitranslmed.aag1166","ISSN":"19466242","abstract":"Target identification (determining the correct drug targets for a disease) and target validation (demonstrating an effect of target perturbation on disease biomarkers and disease end points) are important steps in drug development. Clinically relevant associations of variants in genes encoding drug targets model the effect of modifying the same targets pharmacologically. To delineate drug development (including repurposing) opportunities arising fromthis paradigm, we connected complex disease- and biomarker-associated loci from genome-wide association studies to an updated set of genes encoding druggable human proteins, to agents with bioactivity against these targets, and, where there were licensed drugs, to clinical indications.We used this set of genes to inform the design of a new genotyping array, which will enable association studies of druggable genes for drug target selection and validation in human disease. 2017","author":[{"dropping-particle":"","family":"Finan","given":"Chris","non-dropping-particle":"","parse-names":false,"suffix":""},{"dropping-particle":"","family":"Gaulton","given":"Anna","non-dropping-particle":"","parse-names":false,"suffix":""},{"dropping-particle":"","family":"Kruger","given":"Felix A.","non-dropping-particle":"","parse-names":false,"suffix":""},{"dropping-particle":"","family":"Lumbers","given":"R. Thomas","non-dropping-particle":"","parse-names":false,"suffix":""},{"dropping-particle":"","family":"Shah","given":"Tina","non-dropping-particle":"","parse-names":false,"suffix":""},{"dropping-particle":"","family":"Engmann","given":"Jorgen","non-dropping-particle":"","parse-names":false,"suffix":""},{"dropping-particle":"","family":"Galver","given":"Luana","non-dropping-particle":"","parse-names":false,"suffix":""},{"dropping-particle":"","family":"Kelley","given":"Ryan","non-dropping-particle":"","parse-names":false,"suffix":""},{"dropping-particle":"","family":"Karlsson","given":"Anneli","non-dropping-particle":"","parse-names":false,"suffix":""},{"dropping-particle":"","family":"Santos","given":"Rita","non-dropping-particle":"","parse-names":false,"suffix":""},{"dropping-particle":"","family":"Overington","given":"John P.","non-dropping-particle":"","parse-names":false,"suffix":""},{"dropping-particle":"","family":"Hingorani","given":"Aroon D.","non-dropping-particle":"","parse-names":false,"suffix":""},{"dropping-particle":"","family":"Casas","given":"Juan P.","non-dropping-particle":"","parse-names":false,"suffix":""}],"container-title":"Science Translational Medicine","id":"ITEM-1","issue":"383","issued":{"date-parts":[["2017"]]},"title":"The druggable genome and support for target identification and validation in drug development","type":"article-journal","volume":"9"},"uris":["http://www.mendeley.com/documents/?uuid=adf694c9-b1c2-48c4-8584-2837b50b4550"]}],"mendeley":{"formattedCitation":"(Finan &lt;i&gt;et al.&lt;/i&gt;, 2017)","plainTextFormattedCitation":"(Finan et al., 2017)","previouslyFormattedCitation":"(Finan &lt;i&gt;et al.&lt;/i&gt;, 2017)"},"properties":{"noteIndex":0},"schema":"https://github.com/citation-style-language/schema/raw/master/csl-citation.json"}</w:instrText>
      </w:r>
      <w:r w:rsidR="00DB6329" w:rsidRPr="00A35149">
        <w:rPr>
          <w:rFonts w:asciiTheme="majorBidi" w:hAnsiTheme="majorBidi" w:cstheme="majorBidi"/>
          <w:color w:val="4472C4" w:themeColor="accent1"/>
        </w:rPr>
        <w:fldChar w:fldCharType="separate"/>
      </w:r>
      <w:r w:rsidR="00DB6329" w:rsidRPr="00A35149">
        <w:rPr>
          <w:rFonts w:asciiTheme="majorBidi" w:hAnsiTheme="majorBidi" w:cstheme="majorBidi"/>
          <w:noProof/>
          <w:color w:val="4472C4" w:themeColor="accent1"/>
        </w:rPr>
        <w:t xml:space="preserve">(Finan </w:t>
      </w:r>
      <w:r w:rsidR="00DB6329" w:rsidRPr="00A35149">
        <w:rPr>
          <w:rFonts w:asciiTheme="majorBidi" w:hAnsiTheme="majorBidi" w:cstheme="majorBidi"/>
          <w:i/>
          <w:noProof/>
          <w:color w:val="4472C4" w:themeColor="accent1"/>
        </w:rPr>
        <w:t>et al.</w:t>
      </w:r>
      <w:r w:rsidR="00DB6329" w:rsidRPr="00A35149">
        <w:rPr>
          <w:rFonts w:asciiTheme="majorBidi" w:hAnsiTheme="majorBidi" w:cstheme="majorBidi"/>
          <w:noProof/>
          <w:color w:val="4472C4" w:themeColor="accent1"/>
        </w:rPr>
        <w:t>, 2017)</w:t>
      </w:r>
      <w:r w:rsidR="00DB6329" w:rsidRPr="00A35149">
        <w:rPr>
          <w:rFonts w:asciiTheme="majorBidi" w:hAnsiTheme="majorBidi" w:cstheme="majorBidi"/>
          <w:color w:val="4472C4" w:themeColor="accent1"/>
        </w:rPr>
        <w:fldChar w:fldCharType="end"/>
      </w:r>
      <w:r w:rsidR="00DB6329" w:rsidRPr="00A35149">
        <w:rPr>
          <w:rFonts w:asciiTheme="majorBidi" w:hAnsiTheme="majorBidi" w:cstheme="majorBidi"/>
        </w:rPr>
        <w:t>.</w:t>
      </w:r>
      <w:r w:rsidR="00A33D21" w:rsidRPr="00A35149">
        <w:rPr>
          <w:rFonts w:asciiTheme="majorBidi" w:hAnsiTheme="majorBidi" w:cstheme="majorBidi"/>
        </w:rPr>
        <w:t xml:space="preserve"> </w:t>
      </w:r>
      <w:r w:rsidR="00F3137D" w:rsidRPr="00A35149">
        <w:rPr>
          <w:rFonts w:asciiTheme="majorBidi" w:hAnsiTheme="majorBidi" w:cstheme="majorBidi"/>
        </w:rPr>
        <w:t>Whilst it is not</w:t>
      </w:r>
      <w:r w:rsidR="00A33D21" w:rsidRPr="00A35149">
        <w:rPr>
          <w:rFonts w:asciiTheme="majorBidi" w:hAnsiTheme="majorBidi" w:cstheme="majorBidi"/>
        </w:rPr>
        <w:t xml:space="preserve"> required that the effect sizes are large</w:t>
      </w:r>
      <w:r w:rsidR="00F3137D" w:rsidRPr="00A35149">
        <w:rPr>
          <w:rFonts w:asciiTheme="majorBidi" w:hAnsiTheme="majorBidi" w:cstheme="majorBidi"/>
        </w:rPr>
        <w:t>,</w:t>
      </w:r>
      <w:r w:rsidR="00A33D21" w:rsidRPr="00A35149">
        <w:rPr>
          <w:rFonts w:asciiTheme="majorBidi" w:hAnsiTheme="majorBidi" w:cstheme="majorBidi"/>
        </w:rPr>
        <w:t xml:space="preserve"> </w:t>
      </w:r>
      <w:r w:rsidR="00F3137D" w:rsidRPr="00A35149">
        <w:rPr>
          <w:rFonts w:asciiTheme="majorBidi" w:hAnsiTheme="majorBidi" w:cstheme="majorBidi"/>
        </w:rPr>
        <w:t>they must be</w:t>
      </w:r>
      <w:r w:rsidR="00A33D21" w:rsidRPr="00A35149">
        <w:rPr>
          <w:rFonts w:asciiTheme="majorBidi" w:hAnsiTheme="majorBidi" w:cstheme="majorBidi"/>
        </w:rPr>
        <w:t xml:space="preserve"> associated with an underlying biological pathway</w:t>
      </w:r>
      <w:r w:rsidR="00F3137D" w:rsidRPr="00A35149">
        <w:rPr>
          <w:rFonts w:asciiTheme="majorBidi" w:hAnsiTheme="majorBidi" w:cstheme="majorBidi"/>
        </w:rPr>
        <w:t xml:space="preserve"> </w:t>
      </w:r>
      <w:r w:rsidR="00E9774B" w:rsidRPr="00A35149">
        <w:rPr>
          <w:rFonts w:asciiTheme="majorBidi" w:hAnsiTheme="majorBidi" w:cstheme="majorBidi"/>
          <w:color w:val="4472C4" w:themeColor="accent1"/>
        </w:rPr>
        <w:fldChar w:fldCharType="begin" w:fldLock="1"/>
      </w:r>
      <w:r w:rsidR="00E9774B" w:rsidRPr="00A35149">
        <w:rPr>
          <w:rFonts w:asciiTheme="majorBidi" w:hAnsiTheme="majorBidi" w:cstheme="majorBidi"/>
          <w:color w:val="4472C4" w:themeColor="accent1"/>
        </w:rPr>
        <w:instrText>ADDIN CSL_CITATION {"citationItems":[{"id":"ITEM-1","itemData":{"DOI":"10.1038/s41576-019-0127-1","ISSN":"14710064","abstract":"Genome-wide association studies (GWAS) involve testing genetic variants across the genomes of many individuals to identify genotype–phenotype associations. GWAS have revolutionized the field of complex disease genetics over the past decade, providing numerous compelling associations for human complex traits and diseases. Despite clear successes in identifying novel disease susceptibility genes and biological pathways and in translating these findings into clinical care, GWAS have not been without controversy. Prominent criticisms include concerns that GWAS will eventually implicate the entire genome in disease predisposition and that most association signals reflect variants and genes with no direct biological relevance to disease. In this Review, we comprehensively assess the benefits and limitations of GWAS in human populations and discuss the relevance of performing more GWAS.","author":[{"dropping-particle":"","family":"Tam","given":"Vivian","non-dropping-particle":"","parse-names":false,"suffix":""},{"dropping-particle":"","family":"Patel","given":"Nikunj","non-dropping-particle":"","parse-names":false,"suffix":""},{"dropping-particle":"","family":"Turcotte","given":"Michelle","non-dropping-particle":"","parse-names":false,"suffix":""},{"dropping-particle":"","family":"Bossé","given":"Yohan","non-dropping-particle":"","parse-names":false,"suffix":""},{"dropping-particle":"","family":"Paré","given":"Guillaume","non-dropping-particle":"","parse-names":false,"suffix":""},{"dropping-particle":"","family":"Meyre","given":"David","non-dropping-particle":"","parse-names":false,"suffix":""}],"container-title":"Nature Reviews Genetics","id":"ITEM-1","issue":"8","issued":{"date-parts":[["2019"]]},"page":"467-484","title":"Benefits and limitations of genome-wide association studies","type":"article-journal","volume":"20"},"uris":["http://www.mendeley.com/documents/?uuid=bc3624f6-5c58-4f98-aac4-a4158b787c4a"]}],"mendeley":{"formattedCitation":"(Tam &lt;i&gt;et al.&lt;/i&gt;, 2019)","plainTextFormattedCitation":"(Tam et al., 2019)","previouslyFormattedCitation":"(Tam &lt;i&gt;et al.&lt;/i&gt;, 2019)"},"properties":{"noteIndex":0},"schema":"https://github.com/citation-style-language/schema/raw/master/csl-citation.json"}</w:instrText>
      </w:r>
      <w:r w:rsidR="00E9774B" w:rsidRPr="00A35149">
        <w:rPr>
          <w:rFonts w:asciiTheme="majorBidi" w:hAnsiTheme="majorBidi" w:cstheme="majorBidi"/>
          <w:color w:val="4472C4" w:themeColor="accent1"/>
        </w:rPr>
        <w:fldChar w:fldCharType="separate"/>
      </w:r>
      <w:r w:rsidR="00E9774B" w:rsidRPr="00A35149">
        <w:rPr>
          <w:rFonts w:asciiTheme="majorBidi" w:hAnsiTheme="majorBidi" w:cstheme="majorBidi"/>
          <w:noProof/>
          <w:color w:val="4472C4" w:themeColor="accent1"/>
        </w:rPr>
        <w:t xml:space="preserve">(Tam </w:t>
      </w:r>
      <w:r w:rsidR="00E9774B" w:rsidRPr="00A35149">
        <w:rPr>
          <w:rFonts w:asciiTheme="majorBidi" w:hAnsiTheme="majorBidi" w:cstheme="majorBidi"/>
          <w:i/>
          <w:noProof/>
          <w:color w:val="4472C4" w:themeColor="accent1"/>
        </w:rPr>
        <w:t>et al.</w:t>
      </w:r>
      <w:r w:rsidR="00E9774B" w:rsidRPr="00A35149">
        <w:rPr>
          <w:rFonts w:asciiTheme="majorBidi" w:hAnsiTheme="majorBidi" w:cstheme="majorBidi"/>
          <w:noProof/>
          <w:color w:val="4472C4" w:themeColor="accent1"/>
        </w:rPr>
        <w:t>, 2019)</w:t>
      </w:r>
      <w:r w:rsidR="00E9774B" w:rsidRPr="00A35149">
        <w:rPr>
          <w:rFonts w:asciiTheme="majorBidi" w:hAnsiTheme="majorBidi" w:cstheme="majorBidi"/>
          <w:color w:val="4472C4" w:themeColor="accent1"/>
        </w:rPr>
        <w:fldChar w:fldCharType="end"/>
      </w:r>
      <w:r w:rsidR="00E9774B" w:rsidRPr="00A35149">
        <w:rPr>
          <w:rFonts w:asciiTheme="majorBidi" w:hAnsiTheme="majorBidi" w:cstheme="majorBidi"/>
        </w:rPr>
        <w:t>.</w:t>
      </w:r>
      <w:r w:rsidR="00F3137D" w:rsidRPr="00A35149">
        <w:rPr>
          <w:rFonts w:asciiTheme="majorBidi" w:hAnsiTheme="majorBidi" w:cstheme="majorBidi"/>
        </w:rPr>
        <w:t xml:space="preserve"> Other reasons for an association with a trait of interest</w:t>
      </w:r>
      <w:r w:rsidR="008734F2" w:rsidRPr="00A35149">
        <w:rPr>
          <w:rFonts w:asciiTheme="majorBidi" w:hAnsiTheme="majorBidi" w:cstheme="majorBidi"/>
        </w:rPr>
        <w:t xml:space="preserve"> limit the utility of biobanks for discovery; these include </w:t>
      </w:r>
      <w:r w:rsidR="00F3137D" w:rsidRPr="00A35149">
        <w:rPr>
          <w:rFonts w:asciiTheme="majorBidi" w:hAnsiTheme="majorBidi" w:cstheme="majorBidi"/>
        </w:rPr>
        <w:t>differences in lifestyle between populations, genetic interactions</w:t>
      </w:r>
      <w:r w:rsidR="00061AD5" w:rsidRPr="00A35149">
        <w:rPr>
          <w:rFonts w:asciiTheme="majorBidi" w:hAnsiTheme="majorBidi" w:cstheme="majorBidi"/>
        </w:rPr>
        <w:t xml:space="preserve"> and</w:t>
      </w:r>
      <w:r w:rsidR="00F3137D" w:rsidRPr="00A35149">
        <w:rPr>
          <w:rFonts w:asciiTheme="majorBidi" w:hAnsiTheme="majorBidi" w:cstheme="majorBidi"/>
        </w:rPr>
        <w:t xml:space="preserve"> linkage. </w:t>
      </w:r>
      <w:r w:rsidR="00137778" w:rsidRPr="00A35149">
        <w:rPr>
          <w:rFonts w:asciiTheme="majorBidi" w:hAnsiTheme="majorBidi" w:cstheme="majorBidi"/>
        </w:rPr>
        <w:t>The p</w:t>
      </w:r>
      <w:r w:rsidR="008734F2" w:rsidRPr="00A35149">
        <w:rPr>
          <w:rFonts w:asciiTheme="majorBidi" w:hAnsiTheme="majorBidi" w:cstheme="majorBidi"/>
        </w:rPr>
        <w:t xml:space="preserve">ower to detect these unintended associations is set to grow with biobank size, and therefore </w:t>
      </w:r>
      <w:r w:rsidR="00F3137D" w:rsidRPr="00A35149">
        <w:rPr>
          <w:rFonts w:asciiTheme="majorBidi" w:hAnsiTheme="majorBidi" w:cstheme="majorBidi"/>
        </w:rPr>
        <w:t>correcting for population stratification will aid in the reduction of false-positive drug target leads.</w:t>
      </w:r>
      <w:r w:rsidR="00586998" w:rsidRPr="00A35149">
        <w:rPr>
          <w:rFonts w:asciiTheme="majorBidi" w:hAnsiTheme="majorBidi" w:cstheme="majorBidi"/>
        </w:rPr>
        <w:t xml:space="preserve"> </w:t>
      </w:r>
      <w:r w:rsidR="009B5272" w:rsidRPr="00A35149">
        <w:rPr>
          <w:rFonts w:asciiTheme="majorBidi" w:hAnsiTheme="majorBidi" w:cstheme="majorBidi"/>
        </w:rPr>
        <w:t>Since genetic variation is partly geographically differentiated, the frequencies of variants that affect risk</w:t>
      </w:r>
      <w:r w:rsidR="00137778" w:rsidRPr="00A35149">
        <w:rPr>
          <w:rFonts w:asciiTheme="majorBidi" w:hAnsiTheme="majorBidi" w:cstheme="majorBidi"/>
        </w:rPr>
        <w:t xml:space="preserve"> and </w:t>
      </w:r>
      <w:r w:rsidR="009B5272" w:rsidRPr="00A35149">
        <w:rPr>
          <w:rFonts w:asciiTheme="majorBidi" w:hAnsiTheme="majorBidi" w:cstheme="majorBidi"/>
        </w:rPr>
        <w:t xml:space="preserve">progression or drug response may differ based on geographic location </w:t>
      </w:r>
      <w:r w:rsidR="009B5272" w:rsidRPr="00A35149">
        <w:rPr>
          <w:rFonts w:asciiTheme="majorBidi" w:hAnsiTheme="majorBidi" w:cstheme="majorBidi"/>
          <w:color w:val="4472C4" w:themeColor="accent1"/>
        </w:rPr>
        <w:fldChar w:fldCharType="begin" w:fldLock="1"/>
      </w:r>
      <w:r w:rsidR="009B5272" w:rsidRPr="00A35149">
        <w:rPr>
          <w:rFonts w:asciiTheme="majorBidi" w:hAnsiTheme="majorBidi" w:cstheme="majorBidi"/>
          <w:color w:val="4472C4" w:themeColor="accent1"/>
        </w:rPr>
        <w:instrText>ADDIN CSL_CITATION {"citationItems":[{"id":"ITEM-1","itemData":{"DOI":"10.1038/ng1474","ISSN":"10614036","abstract":"'Racial' differences are frequently debated in clinical, epidemiological and molecular research and beyond. In particular, there is considerable controversy regarding the existence and importance of 'racial' differences in genetic effects for complex diseases influenced by a large number of genes. An important question is whether ancestry influences the impact of each gene variant on the disease risk. Here, we addressed this question by examining the genetic effects for 43 validated gene-disease associations across 697 study populations of various descents. The frequencies of the genetic marker of interest in the control populations often (58%) showed large heterogeneity (statistical variability) between 'races'. Conversely, we saw large heterogeneity in the genetic effects (odds ratios) between 'races' in only 14% of cases. Genetic markers for proposed gene-disease associations vary in frequency across populations, but their biological impact on the risk for common diseases may usually be consistent across traditional 'racial' boundaries.","author":[{"dropping-particle":"","family":"Ioannidis","given":"John P A","non-dropping-particle":"","parse-names":false,"suffix":""},{"dropping-particle":"","family":"Ntzani","given":"Evangelia E.","non-dropping-particle":"","parse-names":false,"suffix":""},{"dropping-particle":"","family":"Trikalinos","given":"Thomas A.","non-dropping-particle":"","parse-names":false,"suffix":""}],"container-title":"Nature Genetics","id":"ITEM-1","issue":"12","issued":{"date-parts":[["2004"]]},"page":"1312-1318","title":"'Racial' differences in genetic effects for complex diseases","type":"article-journal","volume":"36"},"uris":["http://www.mendeley.com/documents/?uuid=b17354c7-0213-431b-bee7-d86aa78e53fe"]},{"id":"ITEM-2","itemData":{"DOI":"10.1038/nrg1559","ISSN":"14710056","abstract":"Understanding and harnessing genomic variation will contribute significantly to improving the health of people in developing countries. We need to explore the nexus between pharmacogenetics, genotyping projects in developing countries, and the evolution of the pharmaceutical industry in both the developed and developing worlds. Here, we argue that, for the foreseeable future, we should focus not on boutique 'personalized' medicine, but on carefully defined differences between populations and ethical ways of using emerging genomics knowledge to develop drugs and improve health.","author":[{"dropping-particle":"","family":"Daar","given":"Abdallah S.","non-dropping-particle":"","parse-names":false,"suffix":""},{"dropping-particle":"","family":"Singer","given":"Peter A.","non-dropping-particle":"","parse-names":false,"suffix":""}],"container-title":"Nature Reviews Genetics","id":"ITEM-2","issue":"3","issued":{"date-parts":[["2005"]]},"page":"241-246","title":"Pharmacogenetics and geographical ancestry: Implications for drug development and global health","type":"article","volume":"6"},"uris":["http://www.mendeley.com/documents/?uuid=c1db1d5a-bb9b-4e48-8baf-9ab3bf9fbfb9"]},{"id":"ITEM-3","itemData":{"DOI":"10.1159/000218711","ISSN":"16624246","abstract":"The wide use of genome wide association studies (GWAS) has led to the successful identification of multiple genetic susceptibility variants to several complex human diseases. Given the limited amount of data on genetic variation at these loci in populations of non-European origin, we investigated population variation among 11 population groups for loci showing strong and consistent association from GWAS with several complex human diseases.","author":[{"dropping-particle":"","family":"Adeyemo","given":"A.","non-dropping-particle":"","parse-names":false,"suffix":""},{"dropping-particle":"","family":"Rotimi","given":"C.","non-dropping-particle":"","parse-names":false,"suffix":""}],"container-title":"Public Health Genomics","id":"ITEM-3","issue":"2","issued":{"date-parts":[["2009"]]},"page":"72-79","title":"Genetic variants associated with complex human diseases show wide variation across multiple populations","type":"article-journal","volume":"13"},"uris":["http://www.mendeley.com/documents/?uuid=325c7bde-8778-47fc-a35b-71a246d103ff"]},{"id":"ITEM-4","itemData":{"DOI":"10.1186/s13073-017-0502-5","ISSN":"1756994X","abstract":"Variability in drug efficacy and adverse effects are observed in clinical practice. While the extent of genetic variability in classic pharmacokinetic genes is rather well understood, the role of genetic variation in drug targets is typically less studied. Based on 60,706 human exomes from the ExAC dataset, we performed an in-depth computational analysis of the prevalence of functional variants in 806 drug-related genes, including 628 known drug targets. We further computed the likelihood of 1236 FDA-approved drugs to be affected by functional variants in their targets in the whole ExAC population as well as different geographic sub-populations. We find that most genetic variants in drug-related genes are very rare (f &lt; 0.1%) and thus will likely not be observed in clinical trials. Furthermore, we show that patient risk varies for many drugs and with respect to geographic ancestry. A focused analysis of oncological drug targets indicates that the probability of a patient carrying germline variants in oncological drug targets is, at 44%, high enough to suggest that not only somatic alterations but also germline variants carried over into the tumor genome could affect the response to antineoplastic agents. This study indicates that even though many variants are very rare and thus likely not observed in clinical trials, four in five patients are likely to carry a variant with possibly functional effects in a target for commonly prescribed drugs. Such variants could potentially alter drug efficacy.","author":[{"dropping-particle":"","family":"Schärfe","given":"Charlotta Pauline Irmgard","non-dropping-particle":"","parse-names":false,"suffix":""},{"dropping-particle":"","family":"Tremmel","given":"Roman","non-dropping-particle":"","parse-names":false,"suffix":""},{"dropping-particle":"","family":"Schwab","given":"Matthias","non-dropping-particle":"","parse-names":false,"suffix":""},{"dropping-particle":"","family":"Kohlbacher","given":"Oliver","non-dropping-particle":"","parse-names":false,"suffix":""},{"dropping-particle":"","family":"Marks","given":"Debora Susan","non-dropping-particle":"","parse-names":false,"suffix":""}],"container-title":"Genome Medicine","id":"ITEM-4","issue":"1","issued":{"date-parts":[["2017"]]},"title":"Genetic variation in human drug-related genes","type":"article-journal","volume":"9"},"uris":["http://www.mendeley.com/documents/?uuid=b917dbff-acdd-4a70-8e46-1e435cd97ce6"]}],"mendeley":{"formattedCitation":"(Ioannidis, Ntzani and Trikalinos, 2004; Daar and Singer, 2005; Adeyemo and Rotimi, 2009; Schärfe &lt;i&gt;et al.&lt;/i&gt;, 2017)","plainTextFormattedCitation":"(Ioannidis, Ntzani and Trikalinos, 2004; Daar and Singer, 2005; Adeyemo and Rotimi, 2009; Schärfe et al., 2017)","previouslyFormattedCitation":"(Ioannidis, Ntzani and Trikalinos, 2004; Daar and Singer, 2005; Adeyemo and Rotimi, 2009; Schärfe &lt;i&gt;et al.&lt;/i&gt;, 2017)"},"properties":{"noteIndex":0},"schema":"https://github.com/citation-style-language/schema/raw/master/csl-citation.json"}</w:instrText>
      </w:r>
      <w:r w:rsidR="009B5272" w:rsidRPr="00A35149">
        <w:rPr>
          <w:rFonts w:asciiTheme="majorBidi" w:hAnsiTheme="majorBidi" w:cstheme="majorBidi"/>
          <w:color w:val="4472C4" w:themeColor="accent1"/>
        </w:rPr>
        <w:fldChar w:fldCharType="separate"/>
      </w:r>
      <w:r w:rsidR="009B5272" w:rsidRPr="00A35149">
        <w:rPr>
          <w:rFonts w:asciiTheme="majorBidi" w:hAnsiTheme="majorBidi" w:cstheme="majorBidi"/>
          <w:noProof/>
          <w:color w:val="4472C4" w:themeColor="accent1"/>
        </w:rPr>
        <w:t xml:space="preserve">(Ioannidis, Ntzani and Trikalinos, 2004; Daar and Singer, 2005; Adeyemo and Rotimi, 2009; Schärfe </w:t>
      </w:r>
      <w:r w:rsidR="009B5272" w:rsidRPr="00A35149">
        <w:rPr>
          <w:rFonts w:asciiTheme="majorBidi" w:hAnsiTheme="majorBidi" w:cstheme="majorBidi"/>
          <w:i/>
          <w:noProof/>
          <w:color w:val="4472C4" w:themeColor="accent1"/>
        </w:rPr>
        <w:t>et al.</w:t>
      </w:r>
      <w:r w:rsidR="009B5272" w:rsidRPr="00A35149">
        <w:rPr>
          <w:rFonts w:asciiTheme="majorBidi" w:hAnsiTheme="majorBidi" w:cstheme="majorBidi"/>
          <w:noProof/>
          <w:color w:val="4472C4" w:themeColor="accent1"/>
        </w:rPr>
        <w:t>, 2017)</w:t>
      </w:r>
      <w:r w:rsidR="009B5272" w:rsidRPr="00A35149">
        <w:rPr>
          <w:rFonts w:asciiTheme="majorBidi" w:hAnsiTheme="majorBidi" w:cstheme="majorBidi"/>
          <w:color w:val="4472C4" w:themeColor="accent1"/>
        </w:rPr>
        <w:fldChar w:fldCharType="end"/>
      </w:r>
      <w:r w:rsidR="009B5272" w:rsidRPr="00A35149">
        <w:rPr>
          <w:rFonts w:asciiTheme="majorBidi" w:hAnsiTheme="majorBidi" w:cstheme="majorBidi"/>
        </w:rPr>
        <w:t xml:space="preserve">. For pharmacogenetics to propel the practice of individualized drug therapy to become the standard of care </w:t>
      </w:r>
      <w:r w:rsidR="009B5272" w:rsidRPr="00A35149">
        <w:rPr>
          <w:rFonts w:asciiTheme="majorBidi" w:hAnsiTheme="majorBidi" w:cstheme="majorBidi"/>
          <w:color w:val="4472C4" w:themeColor="accent1"/>
        </w:rPr>
        <w:fldChar w:fldCharType="begin" w:fldLock="1"/>
      </w:r>
      <w:r w:rsidR="009B5272" w:rsidRPr="00A35149">
        <w:rPr>
          <w:rFonts w:asciiTheme="majorBidi" w:hAnsiTheme="majorBidi" w:cstheme="majorBidi"/>
          <w:color w:val="4472C4" w:themeColor="accent1"/>
        </w:rPr>
        <w:instrText>ADDIN CSL_CITATION {"citationItems":[{"id":"ITEM-1","itemData":{"DOI":"10.1111/j.1365-2125.2005.02457.x","ISSN":"03065251","author":[{"dropping-particle":"","family":"Lewis","given":"Lionel D.","non-dropping-particle":"","parse-names":false,"suffix":""}],"container-title":"British Journal of Clinical Pharmacology","id":"ITEM-1","issue":"1","issued":{"date-parts":[["2005"]]},"page":"1-4","title":"Personalized drug therapy; the genome, the chip and the physician","type":"article-journal","volume":"60"},"uris":["http://www.mendeley.com/documents/?uuid=06c299ca-098a-4300-a883-2954cf3544ba"]}],"mendeley":{"formattedCitation":"(Lewis, 2005)","plainTextFormattedCitation":"(Lewis, 2005)","previouslyFormattedCitation":"(Lewis, 2005)"},"properties":{"noteIndex":0},"schema":"https://github.com/citation-style-language/schema/raw/master/csl-citation.json"}</w:instrText>
      </w:r>
      <w:r w:rsidR="009B5272" w:rsidRPr="00A35149">
        <w:rPr>
          <w:rFonts w:asciiTheme="majorBidi" w:hAnsiTheme="majorBidi" w:cstheme="majorBidi"/>
          <w:color w:val="4472C4" w:themeColor="accent1"/>
        </w:rPr>
        <w:fldChar w:fldCharType="separate"/>
      </w:r>
      <w:r w:rsidR="009B5272" w:rsidRPr="00A35149">
        <w:rPr>
          <w:rFonts w:asciiTheme="majorBidi" w:hAnsiTheme="majorBidi" w:cstheme="majorBidi"/>
          <w:noProof/>
          <w:color w:val="4472C4" w:themeColor="accent1"/>
        </w:rPr>
        <w:t>(Lewis, 2005)</w:t>
      </w:r>
      <w:r w:rsidR="009B5272" w:rsidRPr="00A35149">
        <w:rPr>
          <w:rFonts w:asciiTheme="majorBidi" w:hAnsiTheme="majorBidi" w:cstheme="majorBidi"/>
          <w:color w:val="4472C4" w:themeColor="accent1"/>
        </w:rPr>
        <w:fldChar w:fldCharType="end"/>
      </w:r>
      <w:r w:rsidR="009B5272" w:rsidRPr="00A35149">
        <w:rPr>
          <w:rFonts w:asciiTheme="majorBidi" w:hAnsiTheme="majorBidi" w:cstheme="majorBidi"/>
        </w:rPr>
        <w:t xml:space="preserve"> accurate genetic profiles should be constructed </w:t>
      </w:r>
      <w:r w:rsidR="009B5272" w:rsidRPr="00A35149">
        <w:rPr>
          <w:rFonts w:asciiTheme="majorBidi" w:hAnsiTheme="majorBidi" w:cstheme="majorBidi"/>
          <w:color w:val="4472C4" w:themeColor="accent1"/>
        </w:rPr>
        <w:fldChar w:fldCharType="begin" w:fldLock="1"/>
      </w:r>
      <w:r w:rsidR="009B5272" w:rsidRPr="00A35149">
        <w:rPr>
          <w:rFonts w:asciiTheme="majorBidi" w:hAnsiTheme="majorBidi" w:cstheme="majorBidi"/>
          <w:color w:val="4472C4" w:themeColor="accent1"/>
        </w:rPr>
        <w:instrText>ADDIN CSL_CITATION {"citationItems":[{"id":"ITEM-1","itemData":{"DOI":"10.1016/j.jaci.2013.10.040","ISSN":"10976825","abstract":"Pharmacogenetics is being used to develop personalized therapies specific to subjects from different ethnic or racial groups. To date, pharmacogenetic studies have been primarily performed in trial cohorts consisting of non-Hispanic white subjects of European descent. A \"bottleneck\" or collapse of genetic diversity associated with the first human colonization of Europe during the Upper Paleolithic period, followed by the recent mixing of African, European, and Native American ancestries, has resulted in different ethnic groups with varying degrees of genetic diversity. Differences in genetic ancestry might introduce genetic variation, which has the potential to alter the therapeutic efficacy of commonly used asthma therapies, such as β2-adrenergic receptor agonists (β-agonists). Pharmacogenetic studies of admixed ethnic groups have been limited to small candidate gene association studies, of which the best example is the gene coding for the receptor target of β-agonist therapy, the β2- adrenergic receptor (ADRB2). Large consortium-based sequencing studies are using next-generation whole-genome sequencing to provide a diverse genome map of different admixed populations, which can be used for future pharmacogenetic studies. These studies will include candidate gene studies, genome-wide association studies, and whole-genome admixture-based approaches that account for ancestral genetic structure, complex haplotypes, gene-gene interactions, and rare variants to detect and replicate novel pharmacogenetic loci. © 2013 American Academy of Allergy, Asthma &amp; Immunology.","author":[{"dropping-particle":"","family":"Ortega","given":"Victor E.","non-dropping-particle":"","parse-names":false,"suffix":""},{"dropping-particle":"","family":"Meyers","given":"Deborah A.","non-dropping-particle":"","parse-names":false,"suffix":""}],"container-title":"Journal of Allergy and Clinical Immunology","id":"ITEM-1","issue":"1","issued":{"date-parts":[["2014"]]},"page":"16-26","title":"Pharmacogenetics: Implications of race and ethnicity on defining genetic profiles for personalized medicine","type":"article-journal","volume":"133"},"uris":["http://www.mendeley.com/documents/?uuid=906e830e-870b-436b-8b70-288db3213e95"]},{"id":"ITEM-2","itemData":{"DOI":"10.1056/nejmra1510065","ISSN":"0028-4793","abstract":"Conslusions: Although most variations in results among countries are probably due to chance, variations can occasionally reflect important differences among countries in either the true benefits of an intervention or its true harms. When a randomized, clinical trial shows marked variations in results among countries, one should seek supporting evidence to understand whether the observed results are likely to be real, an artifact of the design analysis or implementation of the trial, or simply due to chance.","author":[{"dropping-particle":"","family":"Yusuf","given":"Salim","non-dropping-particle":"","parse-names":false,"suffix":""},{"dropping-particle":"","family":"Wittes","given":"Janet","non-dropping-particle":"","parse-names":false,"suffix":""}],"container-title":"New England Journal of Medicine","id":"ITEM-2","issue":"23","issued":{"date-parts":[["2016"]]},"page":"2263-2271","title":"Interpreting Geographic Variations in Results of Randomized, Controlled Trials","type":"article-journal","volume":"375"},"uris":["http://www.mendeley.com/documents/?uuid=8a80d4d0-2c54-497c-9d5a-916e3e9aaa41"]}],"mendeley":{"formattedCitation":"(Ortega and Meyers, 2014; Yusuf and Wittes, 2016)","plainTextFormattedCitation":"(Ortega and Meyers, 2014; Yusuf and Wittes, 2016)","previouslyFormattedCitation":"(Ortega and Meyers, 2014; Yusuf and Wittes, 2016)"},"properties":{"noteIndex":0},"schema":"https://github.com/citation-style-language/schema/raw/master/csl-citation.json"}</w:instrText>
      </w:r>
      <w:r w:rsidR="009B5272" w:rsidRPr="00A35149">
        <w:rPr>
          <w:rFonts w:asciiTheme="majorBidi" w:hAnsiTheme="majorBidi" w:cstheme="majorBidi"/>
          <w:color w:val="4472C4" w:themeColor="accent1"/>
        </w:rPr>
        <w:fldChar w:fldCharType="separate"/>
      </w:r>
      <w:r w:rsidR="009B5272" w:rsidRPr="00A35149">
        <w:rPr>
          <w:rFonts w:asciiTheme="majorBidi" w:hAnsiTheme="majorBidi" w:cstheme="majorBidi"/>
          <w:noProof/>
          <w:color w:val="4472C4" w:themeColor="accent1"/>
        </w:rPr>
        <w:t>(Ortega and Meyers, 2014; Yusuf and Wittes, 2016)</w:t>
      </w:r>
      <w:r w:rsidR="009B5272" w:rsidRPr="00A35149">
        <w:rPr>
          <w:rFonts w:asciiTheme="majorBidi" w:hAnsiTheme="majorBidi" w:cstheme="majorBidi"/>
          <w:color w:val="4472C4" w:themeColor="accent1"/>
        </w:rPr>
        <w:fldChar w:fldCharType="end"/>
      </w:r>
      <w:r w:rsidR="009B5272" w:rsidRPr="00A35149">
        <w:rPr>
          <w:rFonts w:asciiTheme="majorBidi" w:hAnsiTheme="majorBidi" w:cstheme="majorBidi"/>
        </w:rPr>
        <w:t xml:space="preserve"> and genetic tools must be developed and verified that account for confounding effects using DNA sequencing analysis. </w:t>
      </w:r>
    </w:p>
    <w:p w14:paraId="00000074" w14:textId="7F87C0DD" w:rsidR="007F6EEB" w:rsidRPr="00A35149" w:rsidRDefault="00A96FA7" w:rsidP="00546D68">
      <w:pPr>
        <w:pStyle w:val="Heading1"/>
        <w:rPr>
          <w:rFonts w:asciiTheme="majorBidi" w:hAnsiTheme="majorBidi"/>
          <w:color w:val="4472C4" w:themeColor="accent1"/>
        </w:rPr>
      </w:pPr>
      <w:r w:rsidRPr="00A35149">
        <w:rPr>
          <w:rFonts w:asciiTheme="majorBidi" w:hAnsiTheme="majorBidi"/>
          <w:color w:val="4472C4" w:themeColor="accent1"/>
        </w:rPr>
        <w:t xml:space="preserve">MODELS FOR </w:t>
      </w:r>
      <w:r w:rsidR="00430C7C" w:rsidRPr="00A35149">
        <w:rPr>
          <w:rFonts w:asciiTheme="majorBidi" w:hAnsiTheme="majorBidi"/>
          <w:color w:val="4472C4" w:themeColor="accent1"/>
        </w:rPr>
        <w:t>POPULATION STRUCTURE</w:t>
      </w:r>
    </w:p>
    <w:p w14:paraId="6FB20DE6" w14:textId="08D54800" w:rsidR="00F3137D"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6F8FBBE5" w14:textId="6119FD06" w:rsidR="00B05C26" w:rsidRPr="00A35149" w:rsidRDefault="008734F2" w:rsidP="00FE6763">
      <w:pPr>
        <w:widowControl w:val="0"/>
        <w:ind w:firstLine="720"/>
        <w:rPr>
          <w:rFonts w:asciiTheme="majorBidi" w:hAnsiTheme="majorBidi" w:cstheme="majorBidi"/>
        </w:rPr>
      </w:pPr>
      <w:r w:rsidRPr="00A35149">
        <w:rPr>
          <w:rFonts w:asciiTheme="majorBidi" w:hAnsiTheme="majorBidi" w:cstheme="majorBidi"/>
        </w:rPr>
        <w:t xml:space="preserve">There are two cases to consider for modelling population structure: when the individual data for all populations </w:t>
      </w:r>
      <w:r w:rsidR="00E9694F" w:rsidRPr="00A35149">
        <w:rPr>
          <w:rFonts w:asciiTheme="majorBidi" w:hAnsiTheme="majorBidi" w:cstheme="majorBidi"/>
        </w:rPr>
        <w:t xml:space="preserve">are </w:t>
      </w:r>
      <w:r w:rsidRPr="00A35149">
        <w:rPr>
          <w:rFonts w:asciiTheme="majorBidi" w:hAnsiTheme="majorBidi" w:cstheme="majorBidi"/>
        </w:rPr>
        <w:t xml:space="preserve">available and when </w:t>
      </w:r>
      <w:r w:rsidR="00E9694F" w:rsidRPr="00A35149">
        <w:rPr>
          <w:rFonts w:asciiTheme="majorBidi" w:hAnsiTheme="majorBidi" w:cstheme="majorBidi"/>
        </w:rPr>
        <w:t xml:space="preserve">they are </w:t>
      </w:r>
      <w:r w:rsidRPr="00A35149">
        <w:rPr>
          <w:rFonts w:asciiTheme="majorBidi" w:hAnsiTheme="majorBidi" w:cstheme="majorBidi"/>
        </w:rPr>
        <w:t>not. With</w:t>
      </w:r>
      <w:r w:rsidR="00F3137D" w:rsidRPr="00A35149">
        <w:rPr>
          <w:rFonts w:asciiTheme="majorBidi" w:hAnsiTheme="majorBidi" w:cstheme="majorBidi"/>
        </w:rPr>
        <w:t xml:space="preserve"> access</w:t>
      </w:r>
      <w:r w:rsidRPr="00A35149">
        <w:rPr>
          <w:rFonts w:asciiTheme="majorBidi" w:hAnsiTheme="majorBidi" w:cstheme="majorBidi"/>
        </w:rPr>
        <w:t xml:space="preserve"> to</w:t>
      </w:r>
      <w:r w:rsidR="00F3137D" w:rsidRPr="00A35149">
        <w:rPr>
          <w:rFonts w:asciiTheme="majorBidi" w:hAnsiTheme="majorBidi" w:cstheme="majorBidi"/>
        </w:rPr>
        <w:t xml:space="preserve"> the individual</w:t>
      </w:r>
      <w:r w:rsidRPr="00A35149">
        <w:rPr>
          <w:rFonts w:asciiTheme="majorBidi" w:hAnsiTheme="majorBidi" w:cstheme="majorBidi"/>
        </w:rPr>
        <w:t xml:space="preserve"> data</w:t>
      </w:r>
      <w:r w:rsidR="00F3137D" w:rsidRPr="00A35149">
        <w:rPr>
          <w:rFonts w:asciiTheme="majorBidi" w:hAnsiTheme="majorBidi" w:cstheme="majorBidi"/>
        </w:rPr>
        <w:t>, a wide range of options exist</w:t>
      </w:r>
      <w:r w:rsidR="00362901" w:rsidRPr="00A35149">
        <w:rPr>
          <w:rFonts w:asciiTheme="majorBidi" w:hAnsiTheme="majorBidi" w:cstheme="majorBidi"/>
        </w:rPr>
        <w:t xml:space="preserve">, </w:t>
      </w:r>
      <w:r w:rsidR="002B6537" w:rsidRPr="00A35149">
        <w:rPr>
          <w:rFonts w:asciiTheme="majorBidi" w:hAnsiTheme="majorBidi" w:cstheme="majorBidi"/>
        </w:rPr>
        <w:t xml:space="preserve">which </w:t>
      </w:r>
      <w:r w:rsidR="00362901" w:rsidRPr="00A35149">
        <w:rPr>
          <w:rFonts w:asciiTheme="majorBidi" w:hAnsiTheme="majorBidi" w:cstheme="majorBidi"/>
        </w:rPr>
        <w:t>can be broadly split again to</w:t>
      </w:r>
      <w:r w:rsidR="00F3137D" w:rsidRPr="00A35149">
        <w:rPr>
          <w:rFonts w:asciiTheme="majorBidi" w:hAnsiTheme="majorBidi" w:cstheme="majorBidi"/>
        </w:rPr>
        <w:t xml:space="preserve"> within-</w:t>
      </w:r>
      <w:r w:rsidR="00334CB9" w:rsidRPr="00A35149">
        <w:rPr>
          <w:rFonts w:asciiTheme="majorBidi" w:hAnsiTheme="majorBidi" w:cstheme="majorBidi"/>
        </w:rPr>
        <w:t>dataset and</w:t>
      </w:r>
      <w:r w:rsidR="00F333A6" w:rsidRPr="00A35149">
        <w:rPr>
          <w:rFonts w:asciiTheme="majorBidi" w:hAnsiTheme="majorBidi" w:cstheme="majorBidi"/>
        </w:rPr>
        <w:t xml:space="preserve"> cross-data</w:t>
      </w:r>
      <w:r w:rsidR="00362901" w:rsidRPr="00A35149">
        <w:rPr>
          <w:rFonts w:asciiTheme="majorBidi" w:hAnsiTheme="majorBidi" w:cstheme="majorBidi"/>
        </w:rPr>
        <w:t>set</w:t>
      </w:r>
      <w:r w:rsidR="00F333A6" w:rsidRPr="00A35149">
        <w:rPr>
          <w:rFonts w:asciiTheme="majorBidi" w:hAnsiTheme="majorBidi" w:cstheme="majorBidi"/>
        </w:rPr>
        <w:t xml:space="preserve"> analysis</w:t>
      </w:r>
      <w:r w:rsidR="00B05C26" w:rsidRPr="00A35149">
        <w:rPr>
          <w:rFonts w:asciiTheme="majorBidi" w:hAnsiTheme="majorBidi" w:cstheme="majorBidi"/>
        </w:rPr>
        <w:t>.</w:t>
      </w:r>
      <w:r w:rsidR="009B45B8" w:rsidRPr="00A35149">
        <w:rPr>
          <w:rFonts w:asciiTheme="majorBidi" w:hAnsiTheme="majorBidi" w:cstheme="majorBidi"/>
        </w:rPr>
        <w:t xml:space="preserve"> Within-data</w:t>
      </w:r>
      <w:r w:rsidR="00362901" w:rsidRPr="00A35149">
        <w:rPr>
          <w:rFonts w:asciiTheme="majorBidi" w:hAnsiTheme="majorBidi" w:cstheme="majorBidi"/>
        </w:rPr>
        <w:t>set</w:t>
      </w:r>
      <w:r w:rsidR="009B45B8" w:rsidRPr="00A35149">
        <w:rPr>
          <w:rFonts w:asciiTheme="majorBidi" w:hAnsiTheme="majorBidi" w:cstheme="majorBidi"/>
        </w:rPr>
        <w:t xml:space="preserve"> analys</w:t>
      </w:r>
      <w:r w:rsidR="00362901" w:rsidRPr="00A35149">
        <w:rPr>
          <w:rFonts w:asciiTheme="majorBidi" w:hAnsiTheme="majorBidi" w:cstheme="majorBidi"/>
        </w:rPr>
        <w:t>i</w:t>
      </w:r>
      <w:r w:rsidR="009B45B8" w:rsidRPr="00A35149">
        <w:rPr>
          <w:rFonts w:asciiTheme="majorBidi" w:hAnsiTheme="majorBidi" w:cstheme="majorBidi"/>
        </w:rPr>
        <w:t>s</w:t>
      </w:r>
      <w:r w:rsidR="00362901" w:rsidRPr="00A35149">
        <w:rPr>
          <w:rFonts w:asciiTheme="majorBidi" w:hAnsiTheme="majorBidi" w:cstheme="majorBidi"/>
        </w:rPr>
        <w:t xml:space="preserve"> for biobanks</w:t>
      </w:r>
      <w:r w:rsidR="009B45B8" w:rsidRPr="00A35149">
        <w:rPr>
          <w:rFonts w:asciiTheme="majorBidi" w:hAnsiTheme="majorBidi" w:cstheme="majorBidi"/>
        </w:rPr>
        <w:t xml:space="preserve"> must scale to hundreds of thousands of samples, though </w:t>
      </w:r>
      <w:r w:rsidR="00362901" w:rsidRPr="00A35149">
        <w:rPr>
          <w:rFonts w:asciiTheme="majorBidi" w:hAnsiTheme="majorBidi" w:cstheme="majorBidi"/>
        </w:rPr>
        <w:t xml:space="preserve">need </w:t>
      </w:r>
      <w:r w:rsidR="009B45B8" w:rsidRPr="00A35149">
        <w:rPr>
          <w:rFonts w:asciiTheme="majorBidi" w:hAnsiTheme="majorBidi" w:cstheme="majorBidi"/>
        </w:rPr>
        <w:t>not naturally be comparable.</w:t>
      </w:r>
      <w:r w:rsidR="00B05C26" w:rsidRPr="00A35149">
        <w:rPr>
          <w:rFonts w:asciiTheme="majorBidi" w:hAnsiTheme="majorBidi" w:cstheme="majorBidi"/>
        </w:rPr>
        <w:t xml:space="preserve"> </w:t>
      </w:r>
      <w:r w:rsidR="009B45B8" w:rsidRPr="00A35149">
        <w:rPr>
          <w:rFonts w:asciiTheme="majorBidi" w:hAnsiTheme="majorBidi" w:cstheme="majorBidi"/>
        </w:rPr>
        <w:t>Cross-data</w:t>
      </w:r>
      <w:r w:rsidR="00362901" w:rsidRPr="00A35149">
        <w:rPr>
          <w:rFonts w:asciiTheme="majorBidi" w:hAnsiTheme="majorBidi" w:cstheme="majorBidi"/>
        </w:rPr>
        <w:t>set</w:t>
      </w:r>
      <w:r w:rsidR="009B45B8" w:rsidRPr="00A35149">
        <w:rPr>
          <w:rFonts w:asciiTheme="majorBidi" w:hAnsiTheme="majorBidi" w:cstheme="majorBidi"/>
        </w:rPr>
        <w:t xml:space="preserve"> analyses would typically reference standard datasets, creating a comparable statistic for each individual. Depending on the us</w:t>
      </w:r>
      <w:r w:rsidR="00ED6CAC" w:rsidRPr="00A35149">
        <w:rPr>
          <w:rFonts w:asciiTheme="majorBidi" w:hAnsiTheme="majorBidi" w:cstheme="majorBidi"/>
        </w:rPr>
        <w:t>age</w:t>
      </w:r>
      <w:r w:rsidR="009B45B8" w:rsidRPr="00A35149">
        <w:rPr>
          <w:rFonts w:asciiTheme="majorBidi" w:hAnsiTheme="majorBidi" w:cstheme="majorBidi"/>
        </w:rPr>
        <w:t>, these references may not</w:t>
      </w:r>
      <w:r w:rsidR="00362901" w:rsidRPr="00A35149">
        <w:rPr>
          <w:rFonts w:asciiTheme="majorBidi" w:hAnsiTheme="majorBidi" w:cstheme="majorBidi"/>
        </w:rPr>
        <w:t xml:space="preserve"> themselves</w:t>
      </w:r>
      <w:r w:rsidR="009B45B8" w:rsidRPr="00A35149">
        <w:rPr>
          <w:rFonts w:asciiTheme="majorBidi" w:hAnsiTheme="majorBidi" w:cstheme="majorBidi"/>
        </w:rPr>
        <w:t xml:space="preserve"> be</w:t>
      </w:r>
      <w:r w:rsidR="00ED6CAC" w:rsidRPr="00A35149">
        <w:rPr>
          <w:rFonts w:asciiTheme="majorBidi" w:hAnsiTheme="majorBidi" w:cstheme="majorBidi"/>
        </w:rPr>
        <w:t xml:space="preserve"> </w:t>
      </w:r>
      <w:r w:rsidR="00362901" w:rsidRPr="00A35149">
        <w:rPr>
          <w:rFonts w:asciiTheme="majorBidi" w:hAnsiTheme="majorBidi" w:cstheme="majorBidi"/>
        </w:rPr>
        <w:t>biobank scale</w:t>
      </w:r>
      <w:r w:rsidR="009B45B8" w:rsidRPr="00A35149">
        <w:rPr>
          <w:rFonts w:asciiTheme="majorBidi" w:hAnsiTheme="majorBidi" w:cstheme="majorBidi"/>
        </w:rPr>
        <w:t xml:space="preserve">. </w:t>
      </w:r>
      <w:r w:rsidR="00362901" w:rsidRPr="00A35149">
        <w:rPr>
          <w:rFonts w:asciiTheme="majorBidi" w:hAnsiTheme="majorBidi" w:cstheme="majorBidi"/>
        </w:rPr>
        <w:t>M</w:t>
      </w:r>
      <w:r w:rsidR="00B05C26" w:rsidRPr="00A35149">
        <w:rPr>
          <w:rFonts w:asciiTheme="majorBidi" w:hAnsiTheme="majorBidi" w:cstheme="majorBidi"/>
        </w:rPr>
        <w:t xml:space="preserve">eta-analysis using summary statistics </w:t>
      </w:r>
      <w:r w:rsidR="00362901" w:rsidRPr="00A35149">
        <w:rPr>
          <w:rFonts w:asciiTheme="majorBidi" w:hAnsiTheme="majorBidi" w:cstheme="majorBidi"/>
        </w:rPr>
        <w:t>resembles a cross-dataset analysis with the further requirement of the creation</w:t>
      </w:r>
      <w:r w:rsidR="00ED6CAC" w:rsidRPr="00A35149">
        <w:rPr>
          <w:rFonts w:asciiTheme="majorBidi" w:hAnsiTheme="majorBidi" w:cstheme="majorBidi"/>
        </w:rPr>
        <w:t xml:space="preserve"> </w:t>
      </w:r>
      <w:r w:rsidR="009B45B8" w:rsidRPr="00A35149">
        <w:rPr>
          <w:rFonts w:asciiTheme="majorBidi" w:hAnsiTheme="majorBidi" w:cstheme="majorBidi"/>
        </w:rPr>
        <w:t xml:space="preserve">of </w:t>
      </w:r>
      <w:r w:rsidR="00362901" w:rsidRPr="00A35149">
        <w:rPr>
          <w:rFonts w:asciiTheme="majorBidi" w:hAnsiTheme="majorBidi" w:cstheme="majorBidi"/>
        </w:rPr>
        <w:t xml:space="preserve">sharable </w:t>
      </w:r>
      <w:r w:rsidR="009B45B8" w:rsidRPr="00A35149">
        <w:rPr>
          <w:rFonts w:asciiTheme="majorBidi" w:hAnsiTheme="majorBidi" w:cstheme="majorBidi"/>
        </w:rPr>
        <w:t xml:space="preserve">summary statistics </w:t>
      </w:r>
      <w:r w:rsidR="00362901" w:rsidRPr="00A35149">
        <w:rPr>
          <w:rFonts w:asciiTheme="majorBidi" w:hAnsiTheme="majorBidi" w:cstheme="majorBidi"/>
        </w:rPr>
        <w:t>that</w:t>
      </w:r>
      <w:r w:rsidR="009B45B8" w:rsidRPr="00A35149">
        <w:rPr>
          <w:rFonts w:asciiTheme="majorBidi" w:hAnsiTheme="majorBidi" w:cstheme="majorBidi"/>
        </w:rPr>
        <w:t xml:space="preserve"> </w:t>
      </w:r>
      <w:r w:rsidR="00362901" w:rsidRPr="00A35149">
        <w:rPr>
          <w:rFonts w:asciiTheme="majorBidi" w:hAnsiTheme="majorBidi" w:cstheme="majorBidi"/>
        </w:rPr>
        <w:t xml:space="preserve">remains </w:t>
      </w:r>
      <w:r w:rsidR="009B45B8" w:rsidRPr="00A35149">
        <w:rPr>
          <w:rFonts w:asciiTheme="majorBidi" w:hAnsiTheme="majorBidi" w:cstheme="majorBidi"/>
        </w:rPr>
        <w:t>meaningful without individual-level data.</w:t>
      </w:r>
    </w:p>
    <w:p w14:paraId="127D4E81" w14:textId="77777777" w:rsidR="003A7CF4" w:rsidRPr="00A35149" w:rsidRDefault="003A7CF4" w:rsidP="00FE6763">
      <w:pPr>
        <w:widowControl w:val="0"/>
        <w:ind w:firstLine="720"/>
        <w:rPr>
          <w:rFonts w:asciiTheme="majorBidi" w:hAnsiTheme="majorBidi" w:cstheme="majorBidi"/>
        </w:rPr>
      </w:pPr>
    </w:p>
    <w:p w14:paraId="21BC3387" w14:textId="6A846826" w:rsidR="0048790C" w:rsidRPr="00A35149" w:rsidRDefault="0048790C" w:rsidP="00FE6763">
      <w:pPr>
        <w:widowControl w:val="0"/>
        <w:ind w:firstLine="720"/>
        <w:rPr>
          <w:rFonts w:asciiTheme="majorBidi" w:hAnsiTheme="majorBidi" w:cstheme="majorBidi"/>
        </w:rPr>
      </w:pPr>
      <w:r w:rsidRPr="00A35149">
        <w:rPr>
          <w:rFonts w:asciiTheme="majorBidi" w:hAnsiTheme="majorBidi" w:cstheme="majorBidi"/>
        </w:rPr>
        <w:t xml:space="preserve">This section summarises the current state of these </w:t>
      </w:r>
      <w:r w:rsidR="00E9694F" w:rsidRPr="00A35149">
        <w:rPr>
          <w:rFonts w:asciiTheme="majorBidi" w:hAnsiTheme="majorBidi" w:cstheme="majorBidi"/>
        </w:rPr>
        <w:t>methods</w:t>
      </w:r>
      <w:r w:rsidRPr="00A35149">
        <w:rPr>
          <w:rFonts w:asciiTheme="majorBidi" w:hAnsiTheme="majorBidi" w:cstheme="majorBidi"/>
        </w:rPr>
        <w:t xml:space="preserve">, whilst the </w:t>
      </w:r>
      <w:r w:rsidR="0084413D">
        <w:rPr>
          <w:rFonts w:asciiTheme="majorBidi" w:hAnsiTheme="majorBidi" w:cstheme="majorBidi"/>
        </w:rPr>
        <w:fldChar w:fldCharType="begin"/>
      </w:r>
      <w:r w:rsidR="0084413D">
        <w:rPr>
          <w:rFonts w:asciiTheme="majorBidi" w:hAnsiTheme="majorBidi" w:cstheme="majorBidi"/>
        </w:rPr>
        <w:instrText xml:space="preserve"> REF _Ref38286821 \h </w:instrText>
      </w:r>
      <w:r w:rsidR="0084413D">
        <w:rPr>
          <w:rFonts w:asciiTheme="majorBidi" w:hAnsiTheme="majorBidi" w:cstheme="majorBidi"/>
        </w:rPr>
      </w:r>
      <w:r w:rsidR="0084413D">
        <w:rPr>
          <w:rFonts w:asciiTheme="majorBidi" w:hAnsiTheme="majorBidi" w:cstheme="majorBidi"/>
        </w:rPr>
        <w:fldChar w:fldCharType="separate"/>
      </w:r>
      <w:r w:rsidR="00137B43" w:rsidRPr="00A35149">
        <w:rPr>
          <w:rFonts w:asciiTheme="majorBidi" w:hAnsiTheme="majorBidi"/>
          <w:color w:val="4472C4" w:themeColor="accent1"/>
        </w:rPr>
        <w:t>USAGE</w:t>
      </w:r>
      <w:r w:rsidR="0084413D">
        <w:rPr>
          <w:rFonts w:asciiTheme="majorBidi" w:hAnsiTheme="majorBidi" w:cstheme="majorBidi"/>
        </w:rPr>
        <w:fldChar w:fldCharType="end"/>
      </w:r>
      <w:r w:rsidR="0084413D">
        <w:rPr>
          <w:rFonts w:asciiTheme="majorBidi" w:hAnsiTheme="majorBidi" w:cstheme="majorBidi"/>
        </w:rPr>
        <w:t xml:space="preserve"> </w:t>
      </w:r>
      <w:r w:rsidRPr="00A35149">
        <w:rPr>
          <w:rFonts w:asciiTheme="majorBidi" w:hAnsiTheme="majorBidi" w:cstheme="majorBidi"/>
        </w:rPr>
        <w:t>section describes the challenges and benefits of the various tools that are available for each function.</w:t>
      </w:r>
    </w:p>
    <w:p w14:paraId="2F34B072" w14:textId="1361DC8F" w:rsidR="00F333A6" w:rsidRPr="00A35149" w:rsidRDefault="00F333A6">
      <w:pPr>
        <w:widowControl w:val="0"/>
        <w:rPr>
          <w:rFonts w:asciiTheme="majorBidi" w:hAnsiTheme="majorBidi" w:cstheme="majorBidi"/>
        </w:rPr>
      </w:pPr>
    </w:p>
    <w:p w14:paraId="5B5CBE16" w14:textId="77777777" w:rsidR="00A1250D" w:rsidRDefault="00A1250D">
      <w:pPr>
        <w:rPr>
          <w:rFonts w:asciiTheme="majorBidi" w:eastAsiaTheme="majorEastAsia" w:hAnsiTheme="majorBidi" w:cstheme="majorBidi"/>
          <w:color w:val="4472C4" w:themeColor="accent1"/>
          <w:sz w:val="26"/>
          <w:szCs w:val="26"/>
        </w:rPr>
      </w:pPr>
      <w:r>
        <w:rPr>
          <w:rFonts w:asciiTheme="majorBidi" w:hAnsiTheme="majorBidi"/>
          <w:color w:val="4472C4" w:themeColor="accent1"/>
        </w:rPr>
        <w:br w:type="page"/>
      </w:r>
    </w:p>
    <w:p w14:paraId="2C5716F1" w14:textId="27895A5F" w:rsidR="00F333A6" w:rsidRPr="00A35149" w:rsidRDefault="00A96FA7" w:rsidP="00546D68">
      <w:pPr>
        <w:pStyle w:val="Heading2"/>
        <w:rPr>
          <w:rFonts w:asciiTheme="majorBidi" w:hAnsiTheme="majorBidi"/>
          <w:color w:val="4472C4" w:themeColor="accent1"/>
        </w:rPr>
      </w:pPr>
      <w:r w:rsidRPr="00A35149">
        <w:rPr>
          <w:rFonts w:asciiTheme="majorBidi" w:hAnsiTheme="majorBidi"/>
          <w:color w:val="4472C4" w:themeColor="accent1"/>
        </w:rPr>
        <w:lastRenderedPageBreak/>
        <w:t>DESCRIBING</w:t>
      </w:r>
      <w:r w:rsidR="00F333A6" w:rsidRPr="00A35149">
        <w:rPr>
          <w:rFonts w:asciiTheme="majorBidi" w:hAnsiTheme="majorBidi"/>
          <w:color w:val="4472C4" w:themeColor="accent1"/>
        </w:rPr>
        <w:t xml:space="preserve"> GENETIC VARIATION WITHIN A SINGLE DATASET</w:t>
      </w:r>
    </w:p>
    <w:p w14:paraId="46410C1F" w14:textId="4DAFDB7E" w:rsidR="00F3137D" w:rsidRPr="00A35149" w:rsidRDefault="00F3137D" w:rsidP="00F3137D">
      <w:pPr>
        <w:widowControl w:val="0"/>
        <w:rPr>
          <w:rFonts w:asciiTheme="majorBidi" w:hAnsiTheme="majorBidi" w:cstheme="majorBidi"/>
          <w:color w:val="4472C4" w:themeColor="accent1"/>
        </w:rPr>
      </w:pPr>
    </w:p>
    <w:p w14:paraId="6476F62F" w14:textId="77777777" w:rsidR="00201A9C" w:rsidRPr="00A35149" w:rsidRDefault="00201A9C" w:rsidP="00201A9C">
      <w:pPr>
        <w:pStyle w:val="Heading3"/>
        <w:rPr>
          <w:rFonts w:asciiTheme="majorBidi" w:hAnsiTheme="majorBidi"/>
          <w:color w:val="4472C4" w:themeColor="accent1"/>
        </w:rPr>
      </w:pPr>
      <w:r w:rsidRPr="00A35149">
        <w:rPr>
          <w:rFonts w:asciiTheme="majorBidi" w:hAnsiTheme="majorBidi"/>
          <w:color w:val="4472C4" w:themeColor="accent1"/>
        </w:rPr>
        <w:t xml:space="preserve">Markers for Ancestry </w:t>
      </w:r>
    </w:p>
    <w:p w14:paraId="42CF539F" w14:textId="77777777" w:rsidR="00201A9C" w:rsidRPr="00A35149" w:rsidRDefault="00201A9C" w:rsidP="00201A9C">
      <w:pPr>
        <w:rPr>
          <w:rFonts w:asciiTheme="majorBidi" w:hAnsiTheme="majorBidi" w:cstheme="majorBidi"/>
        </w:rPr>
      </w:pPr>
    </w:p>
    <w:p w14:paraId="26C7DFD8" w14:textId="159AE4C8" w:rsidR="00201A9C" w:rsidRPr="00A35149" w:rsidRDefault="00201A9C" w:rsidP="00201A9C">
      <w:pPr>
        <w:rPr>
          <w:rFonts w:asciiTheme="majorBidi" w:hAnsiTheme="majorBidi" w:cstheme="majorBidi"/>
        </w:rPr>
      </w:pPr>
      <w:r w:rsidRPr="00A35149">
        <w:rPr>
          <w:rFonts w:asciiTheme="majorBidi" w:hAnsiTheme="majorBidi" w:cstheme="majorBidi"/>
        </w:rPr>
        <w:t>Genomic ancestry inference may employ specialized markers, such as ancestry informative markers (AIMs), which have significant differences in allele frequencies between populations.  For instance, the T allele of the SNP rs316598 is very rare in Africans (3.3%) but common elsewhere and can be used to differentiate Africans from non-Africans. AIMs, combined with other methods, can thereby be used to identify the origins of samples provided that the genomes of worldwide reference populations are available</w:t>
      </w:r>
      <w:r w:rsidR="00494156" w:rsidRPr="00A35149">
        <w:rPr>
          <w:rFonts w:asciiTheme="majorBidi" w:hAnsiTheme="majorBidi" w:cstheme="majorBidi"/>
          <w:color w:val="4472C4" w:themeColor="accent1"/>
        </w:rPr>
        <w:t xml:space="preserve"> </w:t>
      </w:r>
      <w:r w:rsidR="00494156" w:rsidRPr="00A35149">
        <w:rPr>
          <w:rFonts w:asciiTheme="majorBidi" w:hAnsiTheme="majorBidi" w:cstheme="majorBidi"/>
          <w:color w:val="4472C4" w:themeColor="accent1"/>
        </w:rPr>
        <w:fldChar w:fldCharType="begin" w:fldLock="1"/>
      </w:r>
      <w:r w:rsidR="000D4981" w:rsidRPr="00A35149">
        <w:rPr>
          <w:rFonts w:asciiTheme="majorBidi" w:hAnsiTheme="majorBidi" w:cstheme="majorBidi"/>
          <w:color w:val="4472C4" w:themeColor="accent1"/>
        </w:rPr>
        <w:instrText>ADDIN CSL_CITATION {"citationItems":[{"id":"ITEM-1","itemData":{"DOI":"10.1093/gbe/evt066","ISSN":"17596653","abstract":"The Genographic Project is an international effort aimed at charting human migratory history. The project is nonprofit and nonmedical, and, through its Legacy Fund, supports locally led efforts to preserve indigenous and traditional cultures. Although the first phase of the project was focused on uniparentally inherited markers on the Y-chromosome and mitochondrial DNA (mtDNA), the current phase focuses on markers from across the entire genome to obtain a more complete understanding of human genetic variation. Although many commercial arrays exist for genome-wide single-nucleotide polymorphism (SNP) genotyping, they were designed for medical genetic studies and contain medically related markers that are inappropriate for global population genetic studies. GenoChip, the Genographic Project's new genotyping array, was designed to resolve these issues and enable higher resolution research into outstanding questions in genetic anthropology. The GenoChip includes ancestry informative markers obtained for over 450 human populations, an ancient human (Saqqaq), and two archaic hominins (Neanderthal and Denisovan) and was designed to identify all known Y-chromosome and mtDNA haplogroups. The chip was carefully vetted to avoid inclusion of medically relevant markers. To demonstrate its capabilities, we compared the FST distributions of GenoChip SNPs to those of two commercial arrays. Although all arrays yielded similarly shaped (inverse J) FST distributions, the GenoChip autosomal and X-chromosomal distributions had the highest mean FST, attesting to its ability to discern subpopulations. The chip performances are illustrated in a principal component analysis for 14 worldwide populations. In summary, the GenoChip is a dedicated genotyping platform for genetic anthropology. With an unprecedented number of approximately 12,000 Y-chromosomal and approximately 3,300 mtDNA SNPs and over 130,000 autosomal and X-chromosomal SNPs without any known health, medical, or phenotypic relevance, the GenoChip is a useful tool for genetic anthropology and population genetics. © The Author(s) 2013. Published by Oxford University Press on behalf of the Society for Molecular Biology and Evolution.","author":[{"dropping-particle":"","family":"Elhaik","given":"Eran","non-dropping-particle":"","parse-names":false,"suffix":""},{"dropping-particle":"","family":"Greenspan","given":"Elliott","non-dropping-particle":"","parse-names":false,"suffix":""},{"dropping-particle":"","family":"Staats","given":"Sean","non-dropping-particle":"","parse-names":false,"suffix":""},{"dropping-particle":"","family":"Krahn","given":"Thomas","non-dropping-particle":"","parse-names":false,"suffix":""},{"dropping-particle":"","family":"Tyler-Smith","given":"Chris","non-dropping-particle":"","parse-names":false,"suffix":""},{"dropping-particle":"","family":"Xue","given":"Yali","non-dropping-particle":"","parse-names":false,"suffix":""},{"dropping-particle":"","family":"Tofanelli","given":"Sergio","non-dropping-particle":"","parse-names":false,"suffix":""},{"dropping-particle":"","family":"Francalacci","given":"Paolo","non-dropping-particle":"","parse-names":false,"suffix":""},{"dropping-particle":"","family":"Cucca","given":"Francesco","non-dropping-particle":"","parse-names":false,"suffix":""},{"dropping-particle":"","family":"Pagani","given":"Luca","non-dropping-particle":"","parse-names":false,"suffix":""},{"dropping-particle":"","family":"Jin","given":"Li","non-dropping-particle":"","parse-names":false,"suffix":""},{"dropping-particle":"","family":"Li","given":"Hui","non-dropping-particle":"","parse-names":false,"suffix":""},{"dropping-particle":"","family":"Schurr","given":"Theodore G.","non-dropping-particle":"","parse-names":false,"suffix":""},{"dropping-particle":"","family":"Greenspan","given":"Bennett","non-dropping-particle":"","parse-names":false,"suffix":""},{"dropping-particle":"","family":"Spencer Wells","given":"R.","non-dropping-particle":"","parse-names":false,"suffix":""},{"dropping-particle":"","family":"Acosta","given":"Oscar","non-dropping-particle":"","parse-names":false,"suffix":""},{"dropping-particle":"","family":"Adhikarla","given":"Syama","non-dropping-particle":"","parse-names":false,"suffix":""},{"dropping-particle":"","family":"Adler","given":"Christina J.","non-dropping-particle":"","parse-names":false,"suffix":""},{"dropping-particle":"","family":"Balanovska","given":"Elena","non-dropping-particle":"","parse-names":false,"suffix":""},{"dropping-particle":"","family":"Balanovsky","given":"Oleg","non-dropping-particle":"","parse-names":false,"suffix":""},{"dropping-particle":"","family":"Bertranpetit","given":"Jaume","non-dropping-particle":"","parse-names":false,"suffix":""},{"dropping-particle":"","family":"Clarke","given":"Andrew C.","non-dropping-particle":"","parse-names":false,"suffix":""},{"dropping-particle":"","family":"Comas","given":"David","non-dropping-particle":"","parse-names":false,"suffix":""},{"dropping-particle":"","family":"Cooper","given":"Alan","non-dropping-particle":"","parse-names":false,"suffix":""},{"dropping-particle":"","family":"Dulik","given":"Matthew C.","non-dropping-particle":"","parse-names":false,"suffix":""},{"dropping-particle":"","family":"Gaieski","given":"Jill B.","non-dropping-particle":"","parse-names":false,"suffix":""},{"dropping-particle":"","family":"Ganesh Prasad","given":"Arun Kumar","non-dropping-particle":"","parse-names":false,"suffix":""},{"dropping-particle":"","family":"Haak","given":"Wolfgang","non-dropping-particle":"","parse-names":false,"suffix":""},{"dropping-particle":"","family":"Haber","given":"Marc","non-dropping-particle":"","parse-names":false,"suffix":""},{"dropping-particle":"","family":"Kaplan","given":"Matthew E.","non-dropping-particle":"","parse-names":false,"suffix":""},{"dropping-particle":"","family":"Lacerda","given":"Daniela R.","non-dropping-particle":"","parse-names":false,"suffix":""},{"dropping-particle":"","family":"Li","given":"Shilin","non-dropping-particle":"","parse-names":false,"suffix":""},{"dropping-particle":"","family":"Martinez-Cruz","given":"Begona","non-dropping-particle":"","parse-names":false,"suffix":""},{"dropping-particle":"","family":"Matisoo-Smith","given":"Elizabeth A.","non-dropping-particle":"","parse-names":false,"suffix":""},{"dropping-particle":"","family":"Merchant","given":"Nirav C.","non-dropping-particle":"","parse-names":false,"suffix":""},{"dropping-particle":"","family":"Mitchell","given":"John R.","non-dropping-particle":"","parse-names":false,"suffix":""},{"dropping-particle":"","family":"Owings","given":"Amanda C.","non-dropping-particle":"","parse-names":false,"suffix":""},{"dropping-particle":"","family":"Parida","given":"Laxmi","non-dropping-particle":"","parse-names":false,"suffix":""},{"dropping-particle":"","family":"Pitchappan","given":"Ramasamy","non-dropping-particle":"","parse-names":false,"suffix":""},{"dropping-particle":"","family":"Platt","given":"Daniel E.","non-dropping-particle":"","parse-names":false,"suffix":""},{"dropping-particle":"","family":"Quintana-Murci","given":"Lluis","non-dropping-particle":"","parse-names":false,"suffix":""},{"dropping-particle":"","family":"Renfrew","given":"Colin","non-dropping-particle":"","parse-names":false,"suffix":""},{"dropping-particle":"","family":"Royyuru","given":"A. K.","non-dropping-particle":"","parse-names":false,"suffix":""},{"dropping-particle":"","family":"Sandoval","given":"Jose Raul","non-dropping-particle":"","parse-names":false,"suffix":""},{"dropping-particle":"","family":"Santhakumari","given":"Arun Varatharajan","non-dropping-particle":"","parse-names":false,"suffix":""},{"dropping-particle":"","family":"Santos","given":"Fabrıcio R.","non-dropping-particle":"","parse-names":false,"suffix":""},{"dropping-particle":"","family":"Sarkissian","given":"Clio S.I.","non-dropping-particle":"Der","parse-names":false,"suffix":""},{"dropping-particle":"","family":"Soodyall","given":"Himla","non-dropping-particle":"","parse-names":false,"suffix":""},{"dropping-particle":"","family":"Soria Hernanz","given":"David F.","non-dropping-particle":"","parse-names":false,"suffix":""},{"dropping-particle":"","family":"Swamikrishnan","given":"Pandikumar","non-dropping-particle":"","parse-names":false,"suffix":""},{"dropping-particle":"","family":"Vieira","given":"Pedro Paulo","non-dropping-particle":"","parse-names":false,"suffix":""},{"dropping-particle":"","family":"Vilar","given":"Miguel G.","non-dropping-particle":"","parse-names":false,"suffix":""},{"dropping-particle":"","family":"Zalloua","given":"Pierre A.","non-dropping-particle":"","parse-names":false,"suffix":""},{"dropping-particle":"","family":"Ziegle","given":"Janet S.","non-dropping-particle":"","parse-names":false,"suffix":""}],"container-title":"Genome Biology and Evolution","id":"ITEM-1","issue":"5","issued":{"date-parts":[["2013"]]},"page":"1021-1031","title":"The GenoChip: A new tool for genetic anthropology","type":"article-journal","volume":"5"},"uris":["http://www.mendeley.com/documents/?uuid=da808163-c6a9-4104-9b28-1686a2ab507e"]},{"id":"ITEM-2","itemData":{"DOI":"10.1038/ncomms4513","ISSN":"20411723","abstract":"The search for a method that utilizes biological information to predict humans' place of origin has occupied scientists for millennia. Over the past four decades, scientists have employed genetic data in an effort to achieve this goal but with limited success. While biogeographical algorithms using next-generation sequencing data have achieved an accuracy of 700km in Europe, they were inaccurate elsewhere. Here we describe the Geographic Population Structure (GPS) algorithm and demonstrate its accuracy with three data sets using 40,000-130,000 SNPs. GPS placed 83% of worldwide individuals in their country of origin. Applied to over 200 Sardinians villagers, GPS placed a quarter of them in their villages and most of the rest within 50km of their villages. GPS's accuracy and power to infer the biogeography of worldwide individuals down to their country or, in some cases, village, of origin, underscores the promise of admixture-based methods for biogeography and has ramifications for genetic ancestry testing. © 2014 Macmillan Publishers Limited. All rights reserved.","author":[{"dropping-particle":"","family":"Elhaik","given":"Eran","non-dropping-particle":"","parse-names":false,"suffix":""},{"dropping-particle":"","family":"Tatarinova","given":"Tatiana","non-dropping-particle":"","parse-names":false,"suffix":""},{"dropping-particle":"","family":"Chebotarev","given":"Dmitri","non-dropping-particle":"","parse-names":false,"suffix":""},{"dropping-particle":"","family":"Piras","given":"Ignazio S.","non-dropping-particle":"","parse-names":false,"suffix":""},{"dropping-particle":"","family":"Calò","given":"Carla Maria","non-dropping-particle":"","parse-names":false,"suffix":""},{"dropping-particle":"","family":"Montis","given":"Antonella","non-dropping-particle":"De","parse-names":false,"suffix":""},{"dropping-particle":"","family":"Atzori","given":"Manuela","non-dropping-particle":"","parse-names":false,"suffix":""},{"dropping-particle":"","family":"Marini","given":"Monica","non-dropping-particle":"","parse-names":false,"suffix":""},{"dropping-particle":"","family":"Tofanelli","given":"Sergio","non-dropping-particle":"","parse-names":false,"suffix":""},{"dropping-particle":"","family":"Francalacci","given":"Paolo","non-dropping-particle":"","parse-names":false,"suffix":""},{"dropping-particle":"","family":"Pagani","given":"Luca","non-dropping-particle":"","parse-names":false,"suffix":""},{"dropping-particle":"","family":"Tyler-Smith","given":"Chris","non-dropping-particle":"","parse-names":false,"suffix":""},{"dropping-particle":"","family":"Xue","given":"Yali","non-dropping-particle":"","parse-names":false,"suffix":""},{"dropping-particle":"","family":"Cucca","given":"Francesco","non-dropping-particle":"","parse-names":false,"suffix":""},{"dropping-particle":"","family":"Schurr","given":"Theodore G.","non-dropping-particle":"","parse-names":false,"suffix":""},{"dropping-particle":"","family":"Gaieski","given":"Jill B.","non-dropping-particle":"","parse-names":false,"suffix":""},{"dropping-particle":"","family":"Melendez","given":"Carlalynne","non-dropping-particle":"","parse-names":false,"suffix":""},{"dropping-particle":"","family":"Vilar","given":"Miguel G.","non-dropping-particle":"","parse-names":false,"suffix":""},{"dropping-particle":"","family":"Owings","given":"Amanda C.","non-dropping-particle":"","parse-names":false,"suffix":""},{"dropping-particle":"","family":"Gómez","given":"Rocío","non-dropping-particle":"","parse-names":false,"suffix":""},{"dropping-particle":"","family":"Fujita","given":"Ricardo","non-dropping-particle":"","parse-names":false,"suffix":""},{"dropping-particle":"","family":"Santos","given":"Fabrício R.","non-dropping-particle":"","parse-names":false,"suffix":""},{"dropping-particle":"","family":"Comas","given":"David","non-dropping-particle":"","parse-names":false,"suffix":""},{"dropping-particle":"","family":"Balanovsky","given":"Oleg","non-dropping-particle":"","parse-names":false,"suffix":""},{"dropping-particle":"","family":"Balanovska","given":"Elena","non-dropping-particle":"","parse-names":false,"suffix":""},{"dropping-particle":"","family":"Zalloua","given":"Pierre","non-dropping-particle":"","parse-names":false,"suffix":""},{"dropping-particle":"","family":"Soodyall","given":"Himla","non-dropping-particle":"","parse-names":false,"suffix":""},{"dropping-particle":"","family":"Pitchappan","given":"Ramasamy","non-dropping-particle":"","parse-names":false,"suffix":""},{"dropping-particle":"","family":"Prasad","given":"Arun Kumar Ganesh","non-dropping-particle":"","parse-names":false,"suffix":""},{"dropping-particle":"","family":"Hammer","given":"Michael","non-dropping-particle":"","parse-names":false,"suffix":""},{"dropping-particle":"","family":"Matisoo-Smith","given":"Lisa","non-dropping-particle":"","parse-names":false,"suffix":""},{"dropping-particle":"","family":"Wells","given":"R. Spencer","non-dropping-particle":"","parse-names":false,"suffix":""},{"dropping-particle":"","family":"Acosta","given":"Oscar","non-dropping-particle":"","parse-names":false,"suffix":""},{"dropping-particle":"","family":"Adhikarla","given":"Syama","non-dropping-particle":"","parse-names":false,"suffix":""},{"dropping-particle":"","family":"Adler","given":"Christina J.","non-dropping-particle":"","parse-names":false,"suffix":""},{"dropping-particle":"","family":"Bertranpetit","given":"Jaume","non-dropping-particle":"","parse-names":false,"suffix":""},{"dropping-particle":"","family":"Clarke","given":"Andrew C.","non-dropping-particle":"","parse-names":false,"suffix":""},{"dropping-particle":"","family":"Cooper","given":"Alan","non-dropping-particle":"","parse-names":false,"suffix":""},{"dropping-particle":"","family":"Sarkissian","given":"Clio S.I.","non-dropping-particle":"Der","parse-names":false,"suffix":""},{"dropping-particle":"","family":"Haak","given":"Wolfgang","non-dropping-particle":"","parse-names":false,"suffix":""},{"dropping-particle":"","family":"Haber","given":"Marc","non-dropping-particle":"","parse-names":false,"suffix":""},{"dropping-particle":"","family":"Jin","given":"Li","non-dropping-particle":"","parse-names":false,"suffix":""},{"dropping-particle":"","family":"Kaplan","given":"Matthew E.","non-dropping-particle":"","parse-names":false,"suffix":""},{"dropping-particle":"","family":"Li","given":"Hui","non-dropping-particle":"","parse-names":false,"suffix":""},{"dropping-particle":"","family":"Li","given":"Shilin","non-dropping-particle":"","parse-names":false,"suffix":""},{"dropping-particle":"","family":"Martínez-Cruz","given":"Begoña","non-dropping-particle":"","parse-names":false,"suffix":""},{"dropping-particle":"","family":"Merchant","given":"Nirav C.","non-dropping-particle":"","parse-names":false,"suffix":""},{"dropping-particle":"","family":"Mitchell","given":"John R.","non-dropping-particle":"","parse-names":false,"suffix":""},{"dropping-particle":"","family":"Parida","given":"Laxmi","non-dropping-particle":"","parse-names":false,"suffix":""},{"dropping-particle":"","family":"Platt","given":"Daniel E.","non-dropping-particle":"","parse-names":false,"suffix":""},{"dropping-particle":"","family":"Quintana-Murci","given":"Lluis","non-dropping-particle":"","parse-names":false,"suffix":""},{"dropping-particle":"","family":"Renfrew","given":"Colin","non-dropping-particle":"","parse-names":false,"suffix":""},{"dropping-particle":"","family":"Lacerda","given":"Daniela R.","non-dropping-particle":"","parse-names":false,"suffix":""},{"dropping-particle":"","family":"Royyuru","given":"Ajay K.","non-dropping-particle":"","parse-names":false,"suffix":""},{"dropping-particle":"","family":"Sandoval","given":"Jose Raul","non-dropping-particle":"","parse-names":false,"suffix":""},{"dropping-particle":"","family":"Santhakumari","given":"Arun Varatharajan","non-dropping-particle":"","parse-names":false,"suffix":""},{"dropping-particle":"","family":"Hernanz","given":"David F.Soria","non-dropping-particle":"","parse-names":false,"suffix":""},{"dropping-particle":"","family":"Swamikrishnan","given":"Pandikumar","non-dropping-particle":"","parse-names":false,"suffix":""},{"dropping-particle":"","family":"Ziegle","given":"Janet S.","non-dropping-particle":"","parse-names":false,"suffix":""}],"container-title":"Nature Communications","id":"ITEM-2","issued":{"date-parts":[["2014"]]},"title":"Geographic population structure analysis of worldwide human populations infers their biogeographical origins","type":"article-journal","volume":"5"},"uris":["http://www.mendeley.com/documents/?uuid=5563293a-ec5f-4e1c-b942-97b5ab2c0510"]},{"id":"ITEM-3","itemData":{"DOI":"10.1093/bioinformatics/bty946","ISSN":"1367-4803","abstract":"In clinical trials, individuals are matched using demographic criteria, paired, and then randomly assigned to treatment and control groups to determine a drug's efficacy. A chief cause for the irreproducibility of results across pilot to Phase III trials is population stratification bias caused by the uneven distribution of ancestries in the treatment and control groups.","author":[{"dropping-particle":"","family":"Elhaik","given":"Eran","non-dropping-particle":"","parse-names":false,"suffix":""},{"dropping-particle":"","family":"Ryan","given":"Desmond M","non-dropping-particle":"","parse-names":false,"suffix":""}],"container-title":"Bioinformatics","id":"ITEM-3","issue":"13","issued":{"date-parts":[["2019"]]},"page":"2243-2250","title":"Pair Matcher (PaM): fast model-based optimization of treatment/case-control matches","type":"article-journal","volume":"35"},"uris":["http://www.mendeley.com/documents/?uuid=e800fe6d-36c6-4211-9f97-8d81fb3a4bc9"]}],"mendeley":{"formattedCitation":"(Elhaik &lt;i&gt;et al.&lt;/i&gt;, 2013, 2014; Elhaik and Ryan, 2019)","plainTextFormattedCitation":"(Elhaik et al., 2013, 2014; Elhaik and Ryan, 2019)","previouslyFormattedCitation":"(Elhaik &lt;i&gt;et al.&lt;/i&gt;, 2013, 2014; Elhaik and Ryan, 2019)"},"properties":{"noteIndex":0},"schema":"https://github.com/citation-style-language/schema/raw/master/csl-citation.json"}</w:instrText>
      </w:r>
      <w:r w:rsidR="00494156" w:rsidRPr="00A35149">
        <w:rPr>
          <w:rFonts w:asciiTheme="majorBidi" w:hAnsiTheme="majorBidi" w:cstheme="majorBidi"/>
          <w:color w:val="4472C4" w:themeColor="accent1"/>
        </w:rPr>
        <w:fldChar w:fldCharType="separate"/>
      </w:r>
      <w:r w:rsidR="00494156" w:rsidRPr="00A35149">
        <w:rPr>
          <w:rFonts w:asciiTheme="majorBidi" w:hAnsiTheme="majorBidi" w:cstheme="majorBidi"/>
          <w:noProof/>
          <w:color w:val="4472C4" w:themeColor="accent1"/>
        </w:rPr>
        <w:t xml:space="preserve">(Elhaik </w:t>
      </w:r>
      <w:r w:rsidR="00494156" w:rsidRPr="00A35149">
        <w:rPr>
          <w:rFonts w:asciiTheme="majorBidi" w:hAnsiTheme="majorBidi" w:cstheme="majorBidi"/>
          <w:i/>
          <w:noProof/>
          <w:color w:val="4472C4" w:themeColor="accent1"/>
        </w:rPr>
        <w:t>et al.</w:t>
      </w:r>
      <w:r w:rsidR="00494156" w:rsidRPr="00A35149">
        <w:rPr>
          <w:rFonts w:asciiTheme="majorBidi" w:hAnsiTheme="majorBidi" w:cstheme="majorBidi"/>
          <w:noProof/>
          <w:color w:val="4472C4" w:themeColor="accent1"/>
        </w:rPr>
        <w:t>, 2013, 2014; Elhaik and Ryan, 2019)</w:t>
      </w:r>
      <w:r w:rsidR="00494156" w:rsidRPr="00A35149">
        <w:rPr>
          <w:rFonts w:asciiTheme="majorBidi" w:hAnsiTheme="majorBidi" w:cstheme="majorBidi"/>
          <w:color w:val="4472C4" w:themeColor="accent1"/>
        </w:rPr>
        <w:fldChar w:fldCharType="end"/>
      </w:r>
      <w:r w:rsidR="00DB2708" w:rsidRPr="00A35149">
        <w:rPr>
          <w:rFonts w:asciiTheme="majorBidi" w:hAnsiTheme="majorBidi" w:cstheme="majorBidi"/>
        </w:rPr>
        <w:t>.</w:t>
      </w:r>
    </w:p>
    <w:p w14:paraId="5CE31638" w14:textId="77777777" w:rsidR="00201A9C" w:rsidRPr="00A35149" w:rsidRDefault="00201A9C" w:rsidP="00201A9C">
      <w:pPr>
        <w:rPr>
          <w:rFonts w:asciiTheme="majorBidi" w:hAnsiTheme="majorBidi" w:cstheme="majorBidi"/>
        </w:rPr>
      </w:pPr>
    </w:p>
    <w:p w14:paraId="0ED83764" w14:textId="2EC1DCAE" w:rsidR="00201A9C" w:rsidRPr="00A35149" w:rsidRDefault="00201A9C" w:rsidP="00201A9C">
      <w:pPr>
        <w:rPr>
          <w:rFonts w:asciiTheme="majorBidi" w:hAnsiTheme="majorBidi" w:cstheme="majorBidi"/>
        </w:rPr>
      </w:pPr>
      <w:r w:rsidRPr="00A35149">
        <w:rPr>
          <w:rFonts w:asciiTheme="majorBidi" w:hAnsiTheme="majorBidi" w:cstheme="majorBidi"/>
        </w:rPr>
        <w:t xml:space="preserve">One key advantage in using such markers </w:t>
      </w:r>
      <w:r w:rsidR="00E9694F" w:rsidRPr="00A35149">
        <w:rPr>
          <w:rFonts w:asciiTheme="majorBidi" w:hAnsiTheme="majorBidi" w:cstheme="majorBidi"/>
        </w:rPr>
        <w:t xml:space="preserve">to intensify the </w:t>
      </w:r>
      <w:r w:rsidRPr="00A35149">
        <w:rPr>
          <w:rFonts w:asciiTheme="majorBidi" w:hAnsiTheme="majorBidi" w:cstheme="majorBidi"/>
        </w:rPr>
        <w:t xml:space="preserve">ancestry </w:t>
      </w:r>
      <w:r w:rsidR="00E9694F" w:rsidRPr="00A35149">
        <w:rPr>
          <w:rFonts w:asciiTheme="majorBidi" w:hAnsiTheme="majorBidi" w:cstheme="majorBidi"/>
        </w:rPr>
        <w:t>information</w:t>
      </w:r>
      <w:r w:rsidR="00ED7886" w:rsidRPr="00A35149">
        <w:rPr>
          <w:rFonts w:asciiTheme="majorBidi" w:hAnsiTheme="majorBidi" w:cstheme="majorBidi"/>
        </w:rPr>
        <w:t>, which can lead to its identification using downstream tools,</w:t>
      </w:r>
      <w:r w:rsidR="00E9694F" w:rsidRPr="00A35149">
        <w:rPr>
          <w:rFonts w:asciiTheme="majorBidi" w:hAnsiTheme="majorBidi" w:cstheme="majorBidi"/>
        </w:rPr>
        <w:t xml:space="preserve"> </w:t>
      </w:r>
      <w:r w:rsidRPr="00A35149">
        <w:rPr>
          <w:rFonts w:asciiTheme="majorBidi" w:hAnsiTheme="majorBidi" w:cstheme="majorBidi"/>
        </w:rPr>
        <w:t xml:space="preserve">is that frequencies of a particular dataset are sometimes already available as summary statistics. If frequency information has been </w:t>
      </w:r>
      <w:r w:rsidR="00347B1A" w:rsidRPr="00A35149">
        <w:rPr>
          <w:rFonts w:asciiTheme="majorBidi" w:hAnsiTheme="majorBidi" w:cstheme="majorBidi"/>
        </w:rPr>
        <w:t>released,</w:t>
      </w:r>
      <w:r w:rsidRPr="00A35149">
        <w:rPr>
          <w:rFonts w:asciiTheme="majorBidi" w:hAnsiTheme="majorBidi" w:cstheme="majorBidi"/>
        </w:rPr>
        <w:t xml:space="preserve"> then useful ancestry summaries can be extracted. However, to perform such an analysis in practice </w:t>
      </w:r>
      <w:r w:rsidR="006C1E85" w:rsidRPr="00A35149">
        <w:rPr>
          <w:rFonts w:asciiTheme="majorBidi" w:hAnsiTheme="majorBidi" w:cstheme="majorBidi"/>
        </w:rPr>
        <w:t>requires a global model</w:t>
      </w:r>
      <w:r w:rsidR="008A739A" w:rsidRPr="00A35149">
        <w:rPr>
          <w:rFonts w:asciiTheme="majorBidi" w:hAnsiTheme="majorBidi" w:cstheme="majorBidi"/>
        </w:rPr>
        <w:t xml:space="preserve"> </w:t>
      </w:r>
      <w:r w:rsidRPr="00A35149">
        <w:rPr>
          <w:rFonts w:asciiTheme="majorBidi" w:hAnsiTheme="majorBidi" w:cstheme="majorBidi"/>
        </w:rPr>
        <w:t xml:space="preserve">to combine data together </w:t>
      </w:r>
      <w:r w:rsidR="006C1E85" w:rsidRPr="00A35149">
        <w:rPr>
          <w:rFonts w:asciiTheme="majorBidi" w:hAnsiTheme="majorBidi" w:cstheme="majorBidi"/>
        </w:rPr>
        <w:t xml:space="preserve">and </w:t>
      </w:r>
      <w:r w:rsidRPr="00A35149">
        <w:rPr>
          <w:rFonts w:asciiTheme="majorBidi" w:hAnsiTheme="majorBidi" w:cstheme="majorBidi"/>
        </w:rPr>
        <w:t xml:space="preserve">form a </w:t>
      </w:r>
      <w:r w:rsidR="008A739A" w:rsidRPr="00A35149">
        <w:rPr>
          <w:rFonts w:asciiTheme="majorBidi" w:hAnsiTheme="majorBidi" w:cstheme="majorBidi"/>
        </w:rPr>
        <w:t xml:space="preserve">meaningful and comparable </w:t>
      </w:r>
      <w:r w:rsidRPr="00A35149">
        <w:rPr>
          <w:rFonts w:asciiTheme="majorBidi" w:hAnsiTheme="majorBidi" w:cstheme="majorBidi"/>
        </w:rPr>
        <w:t>report on ancestry</w:t>
      </w:r>
      <w:r w:rsidR="008A739A" w:rsidRPr="00A35149">
        <w:rPr>
          <w:rFonts w:asciiTheme="majorBidi" w:hAnsiTheme="majorBidi" w:cstheme="majorBidi"/>
        </w:rPr>
        <w:t xml:space="preserve"> for each dataset</w:t>
      </w:r>
      <w:r w:rsidRPr="00A35149">
        <w:rPr>
          <w:rFonts w:asciiTheme="majorBidi" w:hAnsiTheme="majorBidi" w:cstheme="majorBidi"/>
        </w:rPr>
        <w:t>. This will typically require examination of the methods to follow.</w:t>
      </w:r>
    </w:p>
    <w:p w14:paraId="17D1B107" w14:textId="77777777" w:rsidR="00201A9C" w:rsidRPr="00A35149" w:rsidRDefault="00201A9C" w:rsidP="00201A9C">
      <w:pPr>
        <w:rPr>
          <w:rFonts w:asciiTheme="majorBidi" w:hAnsiTheme="majorBidi" w:cstheme="majorBidi"/>
        </w:rPr>
      </w:pPr>
    </w:p>
    <w:p w14:paraId="6F801FFF" w14:textId="11CACEB4" w:rsidR="00201A9C" w:rsidRPr="00A35149" w:rsidRDefault="00201A9C" w:rsidP="00201A9C">
      <w:pPr>
        <w:pStyle w:val="Heading3"/>
        <w:rPr>
          <w:rFonts w:asciiTheme="majorBidi" w:hAnsiTheme="majorBidi"/>
          <w:color w:val="4472C4" w:themeColor="accent1"/>
        </w:rPr>
      </w:pPr>
      <w:r w:rsidRPr="00A35149">
        <w:rPr>
          <w:rFonts w:asciiTheme="majorBidi" w:hAnsiTheme="majorBidi"/>
          <w:color w:val="4472C4" w:themeColor="accent1"/>
        </w:rPr>
        <w:t>Low dimensional representations</w:t>
      </w:r>
    </w:p>
    <w:p w14:paraId="31AC1C78" w14:textId="77777777" w:rsidR="00201A9C" w:rsidRPr="00A35149" w:rsidRDefault="00201A9C" w:rsidP="00FE6763">
      <w:pPr>
        <w:widowControl w:val="0"/>
        <w:ind w:firstLine="720"/>
        <w:rPr>
          <w:rFonts w:asciiTheme="majorBidi" w:hAnsiTheme="majorBidi" w:cstheme="majorBidi"/>
        </w:rPr>
      </w:pPr>
    </w:p>
    <w:p w14:paraId="04639C55" w14:textId="20381EC7" w:rsidR="00201A9C" w:rsidRPr="00A35149" w:rsidRDefault="00201A9C" w:rsidP="00201A9C">
      <w:pPr>
        <w:widowControl w:val="0"/>
        <w:ind w:firstLine="720"/>
        <w:rPr>
          <w:rFonts w:asciiTheme="majorBidi" w:hAnsiTheme="majorBidi" w:cstheme="majorBidi"/>
        </w:rPr>
      </w:pPr>
      <w:r w:rsidRPr="00A35149">
        <w:rPr>
          <w:rFonts w:asciiTheme="majorBidi" w:hAnsiTheme="majorBidi" w:cstheme="majorBidi"/>
        </w:rPr>
        <w:t xml:space="preserve">PCA aims to reduce the dimensionality of the SNP dataset by reducing the genetic markers into principal components (PCs)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{"citationItems":[{"id":"ITEM-1","itemData":{"DOI":"10.1186/s13742-015-0047-8","ISSN":"2047217X","PMID":"25722852","abstract":"Background: PLINK 1 is a widely used open-source C/C++ toolset for genome-wide association studies (GWAS) and research in population genetics. However, the steady accumulation of data from imputation and whole-genome sequencing studies has exposed a strong need for faster and scalable implementations of key functions, such as logistic regression, linkage disequilibrium estimation, and genomic distance evaluation. In addition, GWAS and population-genetic data now frequently contain genotype likelihoods, phase information, and/or multiallelic variants, none of which can be represented by PLINK 1's primary data format. Findings: To address these issues, we are developing a second-generation codebase for PLINK. The first major release from this codebase, PLINK 1.9, introduces extensive use of bit-level parallelism, O(√n)-time/constant-space Hardy-Weinberg equilibrium and Fisher's exact tests, and many other algorithmic improvements. In combination, these changes accelerate most operations by 1-4 orders of magnitude, and allow the program to handle datasets too large to fit in RAM. We have also developed an extension to the data format which adds low-overhead support for genotype likelihoods, phase, multiallelic variants, and reference vs. alternate alleles, which is the basis of our planned second release (PLINK 2.0). Conclusions: The second-generation versions of PLINK will offer dramatic improvements in performance and compatibility. For the first time, users without access to high-end computing resources can perform several essential analyses of the feature-rich and very large genetic datasets coming into use.","author":[{"dropping-particle":"","family":"Chang","given":"Christopher C.","non-dropping-particle":"","parse-names":false,"suffix":""},{"dropping-particle":"","family":"Chow","given":"Carson C.","non-dropping-particle":"","parse-names":false,"suffix":""},{"dropping-particle":"","family":"Tellier","given":"Laurent C.A.M.","non-dropping-particle":"","parse-names":false,"suffix":""},{"dropping-particle":"","family":"Vattikuti","given":"Shashaank","non-dropping-particle":"","parse-names":false,"suffix":""},{"dropping-particle":"","family":"Purcell","given":"Shaun M.","non-dropping-particle":"","parse-names":false,"suffix":""},{"dropping-particle":"","family":"Lee","given":"James J.","non-dropping-particle":"","parse-names":false,"suffix":""}],"container-title":"GigaScience","id":"ITEM-1","issue":"1","issued":{"date-parts":[["2015"]]},"title":"Second-generation PLINK: Rising to the challenge of larger and richer datasets","type":"article-journal","volume":"4"},"uris":["http://www.mendeley.com/documents/?uuid=a01c8ae9-aca7-4281-bae3-4cfb5568a213"]},{"id":"ITEM-2","itemData":{"DOI":"10.1038/ng1847","ISSN":"10614036","abstract":"Population stratification--allele frequency differences between cases and controls due to systematic ancestry differences-can cause spurious associations in disease studies. We describe a method that enables explicit detection and correction of population stratification on a genome-wide scale. Our method uses principal components analysis to explicitly model ancestry differences between cases and controls. The resulting correction is specific to a candidate marker's variation in frequency across ancestral populations, minimizing spurious associations while maximizing power to detect true associations. Our simple, efficient approach can easily be applied to disease studies with hundreds of thousands of markers.","author":[{"dropping-particle":"","family":"Price","given":"Alkes L.","non-dropping-particle":"","parse-names":false,"suffix":""},{"dropping-particle":"","family":"Patterson","given":"Nick J.","non-dropping-particle":"","parse-names":false,"suffix":""},{"dropping-particle":"","family":"Plenge","given":"Robert M.","non-dropping-particle":"","parse-names":false,"suffix":""},{"dropping-particle":"","family":"Weinblatt","given":"Michael E.","non-dropping-particle":"","parse-names":false,"suffix":""},{"dropping-particle":"","family":"Shadick","given":"Nancy A.","non-dropping-particle":"","parse-names":false,"suffix":""},{"dropping-particle":"","family":"Reich","given":"David","non-dropping-particle":"","parse-names":false,"suffix":""}],"container-title":"Nature Genetics","id":"ITEM-2","issued":{"date-parts":[["2006"]]},"page":"904-909","title":"Principal components analysis corrects for stratification in genome-wide association studies","type":"article-journal","volume":"38"},"uris":["http://www.mendeley.com/documents/?uuid=0fb17838-8eb1-482c-bd61-b7fd46bfd237"]}],"mendeley":{"formattedCitation":"(Price &lt;i&gt;et al.&lt;/i&gt;, 2006; Chang &lt;i&gt;et al.&lt;/i&gt;, 2015)","plainTextFormattedCitation":"(Price et al., 2006; Chang et al., 2015)","previouslyFormattedCitation":"(Price &lt;i&gt;et al.&lt;/i&gt;, 2006; Chang &lt;i&gt;et al.&lt;/i&gt;, 2015)"},"properties":{"noteIndex":0},"schema":"https://github.com/citation-style-language/schema/raw/master/csl-citation.json"}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(Price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xml:space="preserve">, 2006; Chang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2015)</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For population genetic inference, the results are hard to interpret as the PCs do not mean anything intrinsically and often require more than </w:t>
      </w:r>
      <w:r w:rsidR="00F53C9F" w:rsidRPr="00A35149">
        <w:rPr>
          <w:rFonts w:asciiTheme="majorBidi" w:hAnsiTheme="majorBidi" w:cstheme="majorBidi"/>
        </w:rPr>
        <w:t>two</w:t>
      </w:r>
      <w:r w:rsidRPr="00A35149">
        <w:rPr>
          <w:rFonts w:asciiTheme="majorBidi" w:hAnsiTheme="majorBidi" w:cstheme="majorBidi"/>
        </w:rPr>
        <w:t xml:space="preserve"> dimensions to correctly visualise. Important population structure is not always in the top PCs</w:t>
      </w:r>
      <w:r w:rsidR="008A739A" w:rsidRPr="00A35149">
        <w:rPr>
          <w:rFonts w:asciiTheme="majorBidi" w:hAnsiTheme="majorBidi" w:cstheme="majorBidi"/>
        </w:rPr>
        <w:t>, especially</w:t>
      </w:r>
      <w:r w:rsidRPr="00A35149">
        <w:rPr>
          <w:rFonts w:asciiTheme="majorBidi" w:hAnsiTheme="majorBidi" w:cstheme="majorBidi"/>
        </w:rPr>
        <w:t xml:space="preserve"> </w:t>
      </w:r>
      <w:r w:rsidR="006F4226" w:rsidRPr="00A35149">
        <w:rPr>
          <w:rFonts w:asciiTheme="majorBidi" w:hAnsiTheme="majorBidi" w:cstheme="majorBidi"/>
        </w:rPr>
        <w:t>under</w:t>
      </w:r>
      <w:r w:rsidRPr="00A35149">
        <w:rPr>
          <w:rFonts w:asciiTheme="majorBidi" w:hAnsiTheme="majorBidi" w:cstheme="majorBidi"/>
        </w:rPr>
        <w:t xml:space="preserve"> uneven sampling or genetic drift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{"citationItems":[{"id":"ITEM-1","itemData":{"DOI":"10.1093/bioinformatics/bty946","ISSN":"1367-4803","abstract":"In clinical trials, individuals are matched using demographic criteria, paired, and then randomly assigned to treatment and control groups to determine a drug's efficacy. A chief cause for the irreproducibility of results across pilot to Phase III trials is population stratification bias caused by the uneven distribution of ancestries in the treatment and control groups.","author":[{"dropping-particle":"","family":"Elhaik","given":"Eran","non-dropping-particle":"","parse-names":false,"suffix":""},{"dropping-particle":"","family":"Ryan","given":"Desmond M","non-dropping-particle":"","parse-names":false,"suffix":""}],"container-title":"Bioinformatics","id":"ITEM-1","issue":"13","issued":{"date-parts":[["2019"]]},"page":"2243-2250","title":"Pair Matcher (PaM): fast model-based optimization of treatment/case-control matches","type":"article-journal","volume":"35"},"uris":["http://www.mendeley.com/documents/?uuid=e800fe6d-36c6-4211-9f97-8d81fb3a4bc9"]},{"id":"ITEM-2","itemData":{"DOI":"10.1371/journal.pgen.1000686","ISSN":"15537390","abstract":"Principal components analysis, PCA, is a statistical method commonly used in population genetics to identify structure in the distribution of genetic variation across geographical location and ethnic background. However, while the method is often used to inform about historical demographic processes, little is known about the relationship between fundamental demographic parameters and the projection of samples onto the primary axes. Here I show that for SNP data the projection of samples onto the principal components can be obtained directly from considering the average coalescent times between pairs of haploid genomes. The result provides a framework for interpreting PCA projections in terms of underlying processes, including migration, geographical isolation, and admixture. I also demonstrate a link between PCA and Wright's f(st) and show that SNP ascertainment has a largely simple and predictable effect on the projection of samples. Using examples from human genetics, I discuss the application of these results to empirical data and the implications for inference.","author":[{"dropping-particle":"","family":"McVean","given":"Gil","non-dropping-particle":"","parse-names":false,"suffix":""}],"container-title":"PLoS Genetics","id":"ITEM-2","issue":"10","issued":{"date-parts":[["2009"]]},"title":"A genealogical interpretation of principal components analysis","type":"article-journal","volume":"5"},"uris":["http://www.mendeley.com/documents/?uuid=f651b85a-46b0-4ee1-8ffd-94a560378b55"]}],"mendeley":{"formattedCitation":"(McVean, 2009; Elhaik and Ryan, 2019)","plainTextFormattedCitation":"(McVean, 2009; Elhaik and Ryan, 2019)","previouslyFormattedCitation":"(McVean, 2009; Elhaik and Ryan, 2019)"},"properties":{"noteIndex":0},"schema":"https://github.com/citation-style-language/schema/raw/master/csl-citation.json"}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(McVean, 2009; Elhaik and Ryan, 2019)</w:t>
      </w:r>
      <w:r w:rsidRPr="00A35149">
        <w:rPr>
          <w:rFonts w:asciiTheme="majorBidi" w:hAnsiTheme="majorBidi" w:cstheme="majorBidi"/>
          <w:color w:val="4472C4" w:themeColor="accent1"/>
        </w:rPr>
        <w:fldChar w:fldCharType="end"/>
      </w:r>
      <w:r w:rsidRPr="00A35149">
        <w:rPr>
          <w:rFonts w:asciiTheme="majorBidi" w:hAnsiTheme="majorBidi" w:cstheme="majorBidi"/>
        </w:rPr>
        <w:t>. However, it is fast to compute</w:t>
      </w:r>
      <w:r w:rsidR="006F4226" w:rsidRPr="00A35149">
        <w:rPr>
          <w:rFonts w:asciiTheme="majorBidi" w:hAnsiTheme="majorBidi" w:cstheme="majorBidi"/>
        </w:rPr>
        <w:t xml:space="preserve">, </w:t>
      </w:r>
      <w:r w:rsidRPr="00A35149">
        <w:rPr>
          <w:rFonts w:asciiTheme="majorBidi" w:hAnsiTheme="majorBidi" w:cstheme="majorBidi"/>
        </w:rPr>
        <w:t>amenable to averaging across individuals</w:t>
      </w:r>
      <w:r w:rsidR="006F4226" w:rsidRPr="00A35149">
        <w:rPr>
          <w:rFonts w:asciiTheme="majorBidi" w:hAnsiTheme="majorBidi" w:cstheme="majorBidi"/>
        </w:rPr>
        <w:t>, and performed empirically well in stratification correction. These characteristics contributed to the popularity of PCA as a method of first choice. However, t</w:t>
      </w:r>
      <w:r w:rsidRPr="00A35149">
        <w:rPr>
          <w:rFonts w:asciiTheme="majorBidi" w:hAnsiTheme="majorBidi" w:cstheme="majorBidi"/>
        </w:rPr>
        <w:t>he results of PCA strongly depend on the choice of markers and samples</w:t>
      </w:r>
      <w:r w:rsidR="006F4226" w:rsidRPr="00A35149">
        <w:rPr>
          <w:rFonts w:asciiTheme="majorBidi" w:hAnsiTheme="majorBidi" w:cstheme="majorBidi"/>
        </w:rPr>
        <w:t xml:space="preserve">, and </w:t>
      </w:r>
      <w:r w:rsidRPr="00A35149">
        <w:rPr>
          <w:rFonts w:asciiTheme="majorBidi" w:hAnsiTheme="majorBidi" w:cstheme="majorBidi"/>
        </w:rPr>
        <w:t xml:space="preserve">interpretation is subjective without an actual measure of “close to” or “cluster with.” </w:t>
      </w:r>
      <w:r w:rsidR="00061F6B" w:rsidRPr="00A35149">
        <w:rPr>
          <w:rFonts w:asciiTheme="majorBidi" w:hAnsiTheme="majorBidi" w:cstheme="majorBidi"/>
        </w:rPr>
        <w:t>Since it has been suggested that PC</w:t>
      </w:r>
      <w:r w:rsidR="002B6537" w:rsidRPr="00A35149">
        <w:rPr>
          <w:rFonts w:asciiTheme="majorBidi" w:hAnsiTheme="majorBidi" w:cstheme="majorBidi"/>
        </w:rPr>
        <w:t>s</w:t>
      </w:r>
      <w:r w:rsidR="00430395" w:rsidRPr="00A35149">
        <w:rPr>
          <w:rFonts w:asciiTheme="majorBidi" w:hAnsiTheme="majorBidi" w:cstheme="majorBidi"/>
        </w:rPr>
        <w:t xml:space="preserve"> portray</w:t>
      </w:r>
      <w:r w:rsidR="00061F6B" w:rsidRPr="00A35149">
        <w:rPr>
          <w:rFonts w:asciiTheme="majorBidi" w:hAnsiTheme="majorBidi" w:cstheme="majorBidi"/>
        </w:rPr>
        <w:t xml:space="preserve"> </w:t>
      </w:r>
      <w:r w:rsidR="000F6B6C" w:rsidRPr="00A35149">
        <w:rPr>
          <w:rFonts w:asciiTheme="majorBidi" w:hAnsiTheme="majorBidi" w:cstheme="majorBidi"/>
        </w:rPr>
        <w:t xml:space="preserve">some geographic </w:t>
      </w:r>
      <w:r w:rsidR="00061F6B" w:rsidRPr="00A35149">
        <w:rPr>
          <w:rFonts w:asciiTheme="majorBidi" w:hAnsiTheme="majorBidi" w:cstheme="majorBidi"/>
        </w:rPr>
        <w:t>similarity with</w:t>
      </w:r>
      <w:r w:rsidR="000F6B6C" w:rsidRPr="00A35149">
        <w:rPr>
          <w:rFonts w:asciiTheme="majorBidi" w:hAnsiTheme="majorBidi" w:cstheme="majorBidi"/>
        </w:rPr>
        <w:t>in Europe</w:t>
      </w:r>
      <w:r w:rsidR="00DB2708" w:rsidRPr="00A35149">
        <w:rPr>
          <w:rFonts w:asciiTheme="majorBidi" w:hAnsiTheme="majorBidi" w:cstheme="majorBidi"/>
        </w:rPr>
        <w:t xml:space="preserve"> </w:t>
      </w:r>
      <w:r w:rsidR="00DB2708" w:rsidRPr="00A35149">
        <w:rPr>
          <w:rFonts w:asciiTheme="majorBidi" w:hAnsiTheme="majorBidi" w:cstheme="majorBidi"/>
          <w:color w:val="4472C4" w:themeColor="accent1"/>
        </w:rPr>
        <w:fldChar w:fldCharType="begin" w:fldLock="1"/>
      </w:r>
      <w:r w:rsidR="00DB2708" w:rsidRPr="00A35149">
        <w:rPr>
          <w:rFonts w:asciiTheme="majorBidi" w:hAnsiTheme="majorBidi" w:cstheme="majorBidi"/>
          <w:color w:val="4472C4" w:themeColor="accent1"/>
        </w:rPr>
        <w:instrText>ADDIN CSL_CITATION {"citationItems":[{"id":"ITEM-1","itemData":{"DOI":"10.1038/nature07331","ISSN":"00280836","abstract":"Understanding the genetic structure of human populations is of fundamental interest to medical, forensic and anthropological sciences. Advances in high-throughput genotyping technology have markedly improved our understanding of global patterns of human genetic variation and suggest the potential to use large samples to uncover variation among closely spaced populations. Here we characterize genetic variation in a sample of 3,000 European individuals genotyped at over half a million variable DNA sites in the human genome. Despite low average levels of genetic differentiation among Europeans, we find a close correspondence between genetic and geographic distances; indeed, a geographical map of Europe arises naturally as an efficient two-dimensional summary of genetic variation in Europeans. The results emphasize that when mapping the genetic basis of a disease phenotype, spurious associations can arise if genetic structure is not properly accounted for. In addition, the results are relevant to the prospects of genetic ancestry testing; an individual's DNA can be used to infer their geographic origin with surprising accuracy-often to within a few hundred kilometres. ©2008 Macmillan Publishers Limited. All rights reserved.","author":[{"dropping-particle":"","family":"Novembre","given":"John","non-dropping-particle":"","parse-names":false,"suffix":""},{"dropping-particle":"","family":"Johnson","given":"Toby","non-dropping-particle":"","parse-names":false,"suffix":""},{"dropping-particle":"","family":"Bryc","given":"Katarzyna","non-dropping-particle":"","parse-names":false,"suffix":""},{"dropping-particle":"","family":"Kutalik","given":"Zoltán","non-dropping-particle":"","parse-names":false,"suffix":""},{"dropping-particle":"","family":"Boyko","given":"Adam R.","non-dropping-particle":"","parse-names":false,"suffix":""},{"dropping-particle":"","family":"Auton","given":"Adam","non-dropping-particle":"","parse-names":false,"suffix":""},{"dropping-particle":"","family":"Indap","given":"Amit","non-dropping-particle":"","parse-names":false,"suffix":""},{"dropping-particle":"","family":"King","given":"Karen S.","non-dropping-particle":"","parse-names":false,"suffix":""},{"dropping-particle":"","family":"Bergmann","given":"Sven","non-dropping-particle":"","parse-names":false,"suffix":""},{"dropping-particle":"","family":"Nelson","given":"Matthew R.","non-dropping-particle":"","parse-names":false,"suffix":""},{"dropping-particle":"","family":"Stephens","given":"Matthew","non-dropping-particle":"","parse-names":false,"suffix":""},{"dropping-particle":"","family":"Bustamante","given":"Carlos D.","non-dropping-particle":"","parse-names":false,"suffix":""}],"container-title":"Nature","id":"ITEM-1","issue":"7218","issued":{"date-parts":[["2008"]]},"page":"98-101","title":"Genes mirror geography within Europe","type":"article-journal","volume":"456"},"uris":["http://www.mendeley.com/documents/?uuid=0acb27da-5903-4f69-98c5-9877e4d1a118"]}],"mendeley":{"formattedCitation":"(Novembre &lt;i&gt;et al.&lt;/i&gt;, 2008)","plainTextFormattedCitation":"(Novembre et al., 2008)","previouslyFormattedCitation":"(Novembre &lt;i&gt;et al.&lt;/i&gt;, 2008)"},"properties":{"noteIndex":0},"schema":"https://github.com/citation-style-language/schema/raw/master/csl-citation.json"}</w:instrText>
      </w:r>
      <w:r w:rsidR="00DB2708" w:rsidRPr="00A35149">
        <w:rPr>
          <w:rFonts w:asciiTheme="majorBidi" w:hAnsiTheme="majorBidi" w:cstheme="majorBidi"/>
          <w:color w:val="4472C4" w:themeColor="accent1"/>
        </w:rPr>
        <w:fldChar w:fldCharType="separate"/>
      </w:r>
      <w:r w:rsidR="00DB2708" w:rsidRPr="00A35149">
        <w:rPr>
          <w:rFonts w:asciiTheme="majorBidi" w:hAnsiTheme="majorBidi" w:cstheme="majorBidi"/>
          <w:noProof/>
          <w:color w:val="4472C4" w:themeColor="accent1"/>
        </w:rPr>
        <w:t xml:space="preserve">(Novembre </w:t>
      </w:r>
      <w:r w:rsidR="00DB2708" w:rsidRPr="00A35149">
        <w:rPr>
          <w:rFonts w:asciiTheme="majorBidi" w:hAnsiTheme="majorBidi" w:cstheme="majorBidi"/>
          <w:i/>
          <w:noProof/>
          <w:color w:val="4472C4" w:themeColor="accent1"/>
        </w:rPr>
        <w:t>et al.</w:t>
      </w:r>
      <w:r w:rsidR="00DB2708" w:rsidRPr="00A35149">
        <w:rPr>
          <w:rFonts w:asciiTheme="majorBidi" w:hAnsiTheme="majorBidi" w:cstheme="majorBidi"/>
          <w:noProof/>
          <w:color w:val="4472C4" w:themeColor="accent1"/>
        </w:rPr>
        <w:t>, 2008)</w:t>
      </w:r>
      <w:r w:rsidR="00DB2708" w:rsidRPr="00A35149">
        <w:rPr>
          <w:rFonts w:asciiTheme="majorBidi" w:hAnsiTheme="majorBidi" w:cstheme="majorBidi"/>
          <w:color w:val="4472C4" w:themeColor="accent1"/>
        </w:rPr>
        <w:fldChar w:fldCharType="end"/>
      </w:r>
      <w:r w:rsidR="00DB2708" w:rsidRPr="00A35149">
        <w:rPr>
          <w:rFonts w:asciiTheme="majorBidi" w:hAnsiTheme="majorBidi" w:cstheme="majorBidi"/>
        </w:rPr>
        <w:t>,</w:t>
      </w:r>
      <w:r w:rsidRPr="00A35149">
        <w:rPr>
          <w:rFonts w:asciiTheme="majorBidi" w:hAnsiTheme="majorBidi" w:cstheme="majorBidi"/>
        </w:rPr>
        <w:t xml:space="preserve"> modified methods have been proposed</w:t>
      </w:r>
      <w:r w:rsidR="000F6B6C" w:rsidRPr="00A35149">
        <w:rPr>
          <w:rFonts w:asciiTheme="majorBidi" w:hAnsiTheme="majorBidi" w:cstheme="majorBidi"/>
        </w:rPr>
        <w:t xml:space="preserve">, albeit with limited success. The </w:t>
      </w:r>
      <w:r w:rsidRPr="00A35149">
        <w:rPr>
          <w:rFonts w:asciiTheme="majorBidi" w:hAnsiTheme="majorBidi" w:cstheme="majorBidi"/>
        </w:rPr>
        <w:t>Spatial admixture analysis (SPA)</w:t>
      </w:r>
      <w:r w:rsidR="0005627D" w:rsidRPr="00A35149">
        <w:rPr>
          <w:rFonts w:asciiTheme="majorBidi" w:hAnsiTheme="majorBidi" w:cstheme="majorBidi"/>
        </w:rPr>
        <w:t xml:space="preserve"> </w:t>
      </w:r>
      <w:r w:rsidR="00DB2708" w:rsidRPr="00A35149">
        <w:rPr>
          <w:rFonts w:asciiTheme="majorBidi" w:hAnsiTheme="majorBidi" w:cstheme="majorBidi"/>
          <w:color w:val="4472C4" w:themeColor="accent1"/>
        </w:rPr>
        <w:fldChar w:fldCharType="begin" w:fldLock="1"/>
      </w:r>
      <w:r w:rsidR="00DB2708" w:rsidRPr="00A35149">
        <w:rPr>
          <w:rFonts w:asciiTheme="majorBidi" w:hAnsiTheme="majorBidi" w:cstheme="majorBidi"/>
          <w:color w:val="4472C4" w:themeColor="accent1"/>
        </w:rPr>
        <w:instrText>ADDIN CSL_CITATION {"citationItems":[{"id":"ITEM-1","itemData":{"DOI":"10.1038/ng.2285","ISSN":"10614036","PMID":"22610118","abstract":"Characterizing genetic diversity within and between populations has broad applications in studies of human disease and evolution. We propose a new approach, spatial ancestry analysis, for the modeling of genotypes in two-or three-dimensional space. In spatial ancestry analysis (SPA), we explicitly model the spatial distribution of each SNP by assigning an allele frequency as a continuous function in geographic space. We show that the explicit modeling of the allele frequency allows individuals to be localized on the map on the basis of their genetic information alone. We apply our SPA method to a European and a worldwide population genetic variation data set and identify SNPs showing large gradients in allele frequency, and we suggest these as candidate regions under selection. These regions include SNPs in the well-characterized LCT region, as well as at loci including FOXP2, OCA2 and LRP1B. © 2012 Nature America, Inc. All rights reserved.","author":[{"dropping-particle":"","family":"Yang","given":"Wen Yun","non-dropping-particle":"","parse-names":false,"suffix":""},{"dropping-particle":"","family":"Novembre","given":"John","non-dropping-particle":"","parse-names":false,"suffix":""},{"dropping-particle":"","family":"Eskin","given":"Eleazar","non-dropping-particle":"","parse-names":false,"suffix":""},{"dropping-particle":"","family":"Halperin","given":"Eran","non-dropping-particle":"","parse-names":false,"suffix":""}],"container-title":"Nature Genetics","id":"ITEM-1","issue":"6","issued":{"date-parts":[["2012"]]},"page":"725-731","title":"A model-based approach for analysis of spatial structure in genetic data","type":"article-journal","volume":"44"},"uris":["http://www.mendeley.com/documents/?uuid=0360d5d2-c892-456b-9748-3a7ee1f93dc5"]}],"mendeley":{"formattedCitation":"(Yang &lt;i&gt;et al.&lt;/i&gt;, 2012)","plainTextFormattedCitation":"(Yang et al., 2012)","previouslyFormattedCitation":"(Yang &lt;i&gt;et al.&lt;/i&gt;, 2012)"},"properties":{"noteIndex":0},"schema":"https://github.com/citation-style-language/schema/raw/master/csl-citation.json"}</w:instrText>
      </w:r>
      <w:r w:rsidR="00DB2708" w:rsidRPr="00A35149">
        <w:rPr>
          <w:rFonts w:asciiTheme="majorBidi" w:hAnsiTheme="majorBidi" w:cstheme="majorBidi"/>
          <w:color w:val="4472C4" w:themeColor="accent1"/>
        </w:rPr>
        <w:fldChar w:fldCharType="separate"/>
      </w:r>
      <w:r w:rsidR="00DB2708" w:rsidRPr="00A35149">
        <w:rPr>
          <w:rFonts w:asciiTheme="majorBidi" w:hAnsiTheme="majorBidi" w:cstheme="majorBidi"/>
          <w:noProof/>
          <w:color w:val="4472C4" w:themeColor="accent1"/>
        </w:rPr>
        <w:t xml:space="preserve">(Yang </w:t>
      </w:r>
      <w:r w:rsidR="00DB2708" w:rsidRPr="00A35149">
        <w:rPr>
          <w:rFonts w:asciiTheme="majorBidi" w:hAnsiTheme="majorBidi" w:cstheme="majorBidi"/>
          <w:i/>
          <w:noProof/>
          <w:color w:val="4472C4" w:themeColor="accent1"/>
        </w:rPr>
        <w:t>et al.</w:t>
      </w:r>
      <w:r w:rsidR="00DB2708" w:rsidRPr="00A35149">
        <w:rPr>
          <w:rFonts w:asciiTheme="majorBidi" w:hAnsiTheme="majorBidi" w:cstheme="majorBidi"/>
          <w:noProof/>
          <w:color w:val="4472C4" w:themeColor="accent1"/>
        </w:rPr>
        <w:t>, 2012)</w:t>
      </w:r>
      <w:r w:rsidR="00DB2708" w:rsidRPr="00A35149">
        <w:rPr>
          <w:rFonts w:asciiTheme="majorBidi" w:hAnsiTheme="majorBidi" w:cstheme="majorBidi"/>
          <w:color w:val="4472C4" w:themeColor="accent1"/>
        </w:rPr>
        <w:fldChar w:fldCharType="end"/>
      </w:r>
      <w:r w:rsidR="00DB2708" w:rsidRPr="00A35149">
        <w:rPr>
          <w:rFonts w:asciiTheme="majorBidi" w:hAnsiTheme="majorBidi" w:cstheme="majorBidi"/>
        </w:rPr>
        <w:t>,</w:t>
      </w:r>
      <w:r w:rsidR="006F4226" w:rsidRPr="00A35149">
        <w:rPr>
          <w:rFonts w:asciiTheme="majorBidi" w:hAnsiTheme="majorBidi" w:cstheme="majorBidi"/>
        </w:rPr>
        <w:t xml:space="preserve"> </w:t>
      </w:r>
      <w:r w:rsidR="000F6B6C" w:rsidRPr="00A35149">
        <w:rPr>
          <w:rFonts w:asciiTheme="majorBidi" w:hAnsiTheme="majorBidi" w:cstheme="majorBidi"/>
        </w:rPr>
        <w:t xml:space="preserve">for example, had </w:t>
      </w:r>
      <w:r w:rsidR="006F4226" w:rsidRPr="00A35149">
        <w:rPr>
          <w:rFonts w:asciiTheme="majorBidi" w:hAnsiTheme="majorBidi" w:cstheme="majorBidi"/>
        </w:rPr>
        <w:t xml:space="preserve">a biogeographical prediction accuracy of 2% at the country level </w:t>
      </w:r>
      <w:r w:rsidR="006F4226" w:rsidRPr="00A35149">
        <w:rPr>
          <w:rFonts w:asciiTheme="majorBidi" w:hAnsiTheme="majorBidi" w:cstheme="majorBidi"/>
          <w:color w:val="4472C4" w:themeColor="accent1"/>
        </w:rPr>
        <w:fldChar w:fldCharType="begin" w:fldLock="1"/>
      </w:r>
      <w:r w:rsidR="00ED2B44" w:rsidRPr="00A35149">
        <w:rPr>
          <w:rFonts w:asciiTheme="majorBidi" w:hAnsiTheme="majorBidi" w:cstheme="majorBidi"/>
          <w:color w:val="4472C4" w:themeColor="accent1"/>
        </w:rPr>
        <w:instrText>ADDIN CSL_CITATION {"citationItems":[{"id":"ITEM-1","itemData":{"DOI":"10.1038/ncomms4513","ISSN":"20411723","abstract":"The search for a method that utilizes biological information to predict humans' place of origin has occupied scientists for millennia. Over the past four decades, scientists have employed genetic data in an effort to achieve this goal but with limited success. While biogeographical algorithms using next-generation sequencing data have achieved an accuracy of 700km in Europe, they were inaccurate elsewhere. Here we describe the Geographic Population Structure (GPS) algorithm and demonstrate its accuracy with three data sets using 40,000-130,000 SNPs. GPS placed 83% of worldwide individuals in their country of origin. Applied to over 200 Sardinians villagers, GPS placed a quarter of them in their villages and most of the rest within 50km of their villages. GPS's accuracy and power to infer the biogeography of worldwide individuals down to their country or, in some cases, village, of origin, underscores the promise of admixture-based methods for biogeography and has ramifications for genetic ancestry testing. © 2014 Macmillan Publishers Limited. All rights reserved.","author":[{"dropping-particle":"","family":"Elhaik","given":"Eran","non-dropping-particle":"","parse-names":false,"suffix":""},{"dropping-particle":"","family":"Tatarinova","given":"Tatiana","non-dropping-particle":"","parse-names":false,"suffix":""},{"dropping-particle":"","family":"Chebotarev","given":"Dmitri","non-dropping-particle":"","parse-names":false,"suffix":""},{"dropping-particle":"","family":"Piras","given":"Ignazio S.","non-dropping-particle":"","parse-names":false,"suffix":""},{"dropping-particle":"","family":"Calò","given":"Carla Maria","non-dropping-particle":"","parse-names":false,"suffix":""},{"dropping-particle":"","family":"Montis","given":"Antonella","non-dropping-particle":"De","parse-names":false,"suffix":""},{"dropping-particle":"","family":"Atzori","given":"Manuela","non-dropping-particle":"","parse-names":false,"suffix":""},{"dropping-particle":"","family":"Marini","given":"Monica","non-dropping-particle":"","parse-names":false,"suffix":""},{"dropping-particle":"","family":"Tofanelli","given":"Sergio","non-dropping-particle":"","parse-names":false,"suffix":""},{"dropping-particle":"","family":"Francalacci","given":"Paolo","non-dropping-particle":"","parse-names":false,"suffix":""},{"dropping-particle":"","family":"Pagani","given":"Luca","non-dropping-particle":"","parse-names":false,"suffix":""},{"dropping-particle":"","family":"Tyler-Smith","given":"Chris","non-dropping-particle":"","parse-names":false,"suffix":""},{"dropping-particle":"","family":"Xue","given":"Yali","non-dropping-particle":"","parse-names":false,"suffix":""},{"dropping-particle":"","family":"Cucca","given":"Francesco","non-dropping-particle":"","parse-names":false,"suffix":""},{"dropping-particle":"","family":"Schurr","given":"Theodore G.","non-dropping-particle":"","parse-names":false,"suffix":""},{"dropping-particle":"","family":"Gaieski","given":"Jill B.","non-dropping-particle":"","parse-names":false,"suffix":""},{"dropping-particle":"","family":"Melendez","given":"Carlalynne","non-dropping-particle":"","parse-names":false,"suffix":""},{"dropping-particle":"","family":"Vilar","given":"Miguel G.","non-dropping-particle":"","parse-names":false,"suffix":""},{"dropping-particle":"","family":"Owings","given":"Amanda C.","non-dropping-particle":"","parse-names":false,"suffix":""},{"dropping-particle":"","family":"Gómez","given":"Rocío","non-dropping-particle":"","parse-names":false,"suffix":""},{"dropping-particle":"","family":"Fujita","given":"Ricardo","non-dropping-particle":"","parse-names":false,"suffix":""},{"dropping-particle":"","family":"Santos","given":"Fabrício R.","non-dropping-particle":"","parse-names":false,"suffix":""},{"dropping-particle":"","family":"Comas","given":"David","non-dropping-particle":"","parse-names":false,"suffix":""},{"dropping-particle":"","family":"Balanovsky","given":"Oleg","non-dropping-particle":"","parse-names":false,"suffix":""},{"dropping-particle":"","family":"Balanovska","given":"Elena","non-dropping-particle":"","parse-names":false,"suffix":""},{"dropping-particle":"","family":"Zalloua","given":"Pierre","non-dropping-particle":"","parse-names":false,"suffix":""},{"dropping-particle":"","family":"Soodyall","given":"Himla","non-dropping-particle":"","parse-names":false,"suffix":""},{"dropping-particle":"","family":"Pitchappan","given":"Ramasamy","non-dropping-particle":"","parse-names":false,"suffix":""},{"dropping-particle":"","family":"Prasad","given":"Arun Kumar Ganesh","non-dropping-particle":"","parse-names":false,"suffix":""},{"dropping-particle":"","family":"Hammer","given":"Michael","non-dropping-particle":"","parse-names":false,"suffix":""},{"dropping-particle":"","family":"Matisoo-Smith","given":"Lisa","non-dropping-particle":"","parse-names":false,"suffix":""},{"dropping-particle":"","family":"Wells","given":"R. Spencer","non-dropping-particle":"","parse-names":false,"suffix":""},{"dropping-particle":"","family":"Acosta","given":"Oscar","non-dropping-particle":"","parse-names":false,"suffix":""},{"dropping-particle":"","family":"Adhikarla","given":"Syama","non-dropping-particle":"","parse-names":false,"suffix":""},{"dropping-particle":"","family":"Adler","given":"Christina J.","non-dropping-particle":"","parse-names":false,"suffix":""},{"dropping-particle":"","family":"Bertranpetit","given":"Jaume","non-dropping-particle":"","parse-names":false,"suffix":""},{"dropping-particle":"","family":"Clarke","given":"Andrew C.","non-dropping-particle":"","parse-names":false,"suffix":""},{"dropping-particle":"","family":"Cooper","given":"Alan","non-dropping-particle":"","parse-names":false,"suffix":""},{"dropping-particle":"","family":"Sarkissian","given":"Clio S.I.","non-dropping-particle":"Der","parse-names":false,"suffix":""},{"dropping-particle":"","family":"Haak","given":"Wolfgang","non-dropping-particle":"","parse-names":false,"suffix":""},{"dropping-particle":"","family":"Haber","given":"Marc","non-dropping-particle":"","parse-names":false,"suffix":""},{"dropping-particle":"","family":"Jin","given":"Li","non-dropping-particle":"","parse-names":false,"suffix":""},{"dropping-particle":"","family":"Kaplan","given":"Matthew E.","non-dropping-particle":"","parse-names":false,"suffix":""},{"dropping-particle":"","family":"Li","given":"Hui","non-dropping-particle":"","parse-names":false,"suffix":""},{"dropping-particle":"","family":"Li","given":"Shilin","non-dropping-particle":"","parse-names":false,"suffix":""},{"dropping-particle":"","family":"Martínez-Cruz","given":"Begoña","non-dropping-particle":"","parse-names":false,"suffix":""},{"dropping-particle":"","family":"Merchant","given":"Nirav C.","non-dropping-particle":"","parse-names":false,"suffix":""},{"dropping-particle":"","family":"Mitchell","given":"John R.","non-dropping-particle":"","parse-names":false,"suffix":""},{"dropping-particle":"","family":"Parida","given":"Laxmi","non-dropping-particle":"","parse-names":false,"suffix":""},{"dropping-particle":"","family":"Platt","given":"Daniel E.","non-dropping-particle":"","parse-names":false,"suffix":""},{"dropping-particle":"","family":"Quintana-Murci","given":"Lluis","non-dropping-particle":"","parse-names":false,"suffix":""},{"dropping-particle":"","family":"Renfrew","given":"Colin","non-dropping-particle":"","parse-names":false,"suffix":""},{"dropping-particle":"","family":"Lacerda","given":"Daniela R.","non-dropping-particle":"","parse-names":false,"suffix":""},{"dropping-particle":"","family":"Royyuru","given":"Ajay K.","non-dropping-particle":"","parse-names":false,"suffix":""},{"dropping-particle":"","family":"Sandoval","given":"Jose Raul","non-dropping-particle":"","parse-names":false,"suffix":""},{"dropping-particle":"","family":"Santhakumari","given":"Arun Varatharajan","non-dropping-particle":"","parse-names":false,"suffix":""},{"dropping-particle":"","family":"Hernanz","given":"David F.Soria","non-dropping-particle":"","parse-names":false,"suffix":""},{"dropping-particle":"","family":"Swamikrishnan","given":"Pandikumar","non-dropping-particle":"","parse-names":false,"suffix":""},{"dropping-particle":"","family":"Ziegle","given":"Janet S.","non-dropping-particle":"","parse-names":false,"suffix":""}],"container-title":"Nature Communications","id":"ITEM-1","issued":{"date-parts":[["2014"]]},"title":"Geographic population structure analysis of worldwide human populations infers their biogeographical origins","type":"article-journal","volume":"5"},"uris":["http://www.mendeley.com/documents/?uuid=5563293a-ec5f-4e1c-b942-97b5ab2c0510"]}],"mendeley":{"formattedCitation":"(Elhaik &lt;i&gt;et al.&lt;/i&gt;, 2014)","plainTextFormattedCitation":"(Elhaik et al., 2014)","previouslyFormattedCitation":"(Elhaik &lt;i&gt;et al.&lt;/i&gt;, 2014)"},"properties":{"noteIndex":0},"schema":"https://github.com/citation-style-language/schema/raw/master/csl-citation.json"}</w:instrText>
      </w:r>
      <w:r w:rsidR="006F4226" w:rsidRPr="00A35149">
        <w:rPr>
          <w:rFonts w:asciiTheme="majorBidi" w:hAnsiTheme="majorBidi" w:cstheme="majorBidi"/>
          <w:color w:val="4472C4" w:themeColor="accent1"/>
        </w:rPr>
        <w:fldChar w:fldCharType="separate"/>
      </w:r>
      <w:r w:rsidR="006F4226" w:rsidRPr="00A35149">
        <w:rPr>
          <w:rFonts w:asciiTheme="majorBidi" w:hAnsiTheme="majorBidi" w:cstheme="majorBidi"/>
          <w:noProof/>
          <w:color w:val="4472C4" w:themeColor="accent1"/>
        </w:rPr>
        <w:t xml:space="preserve">(Elhaik </w:t>
      </w:r>
      <w:r w:rsidR="006F4226" w:rsidRPr="00A35149">
        <w:rPr>
          <w:rFonts w:asciiTheme="majorBidi" w:hAnsiTheme="majorBidi" w:cstheme="majorBidi"/>
          <w:i/>
          <w:noProof/>
          <w:color w:val="4472C4" w:themeColor="accent1"/>
        </w:rPr>
        <w:t>et al.</w:t>
      </w:r>
      <w:r w:rsidR="006F4226" w:rsidRPr="00A35149">
        <w:rPr>
          <w:rFonts w:asciiTheme="majorBidi" w:hAnsiTheme="majorBidi" w:cstheme="majorBidi"/>
          <w:noProof/>
          <w:color w:val="4472C4" w:themeColor="accent1"/>
        </w:rPr>
        <w:t>, 2014)</w:t>
      </w:r>
      <w:r w:rsidR="006F4226" w:rsidRPr="00A35149">
        <w:rPr>
          <w:rFonts w:asciiTheme="majorBidi" w:hAnsiTheme="majorBidi" w:cstheme="majorBidi"/>
          <w:color w:val="4472C4" w:themeColor="accent1"/>
        </w:rPr>
        <w:fldChar w:fldCharType="end"/>
      </w:r>
      <w:r w:rsidR="006F4226" w:rsidRPr="00A35149">
        <w:rPr>
          <w:rFonts w:asciiTheme="majorBidi" w:hAnsiTheme="majorBidi" w:cstheme="majorBidi"/>
        </w:rPr>
        <w:t>.</w:t>
      </w:r>
      <w:r w:rsidRPr="00A35149">
        <w:rPr>
          <w:rFonts w:asciiTheme="majorBidi" w:hAnsiTheme="majorBidi" w:cstheme="majorBidi"/>
        </w:rPr>
        <w:t xml:space="preserve"> </w:t>
      </w:r>
      <w:r w:rsidR="006F4226" w:rsidRPr="00A35149">
        <w:rPr>
          <w:rFonts w:asciiTheme="majorBidi" w:hAnsiTheme="majorBidi" w:cstheme="majorBidi"/>
        </w:rPr>
        <w:t>These</w:t>
      </w:r>
      <w:r w:rsidRPr="00A35149">
        <w:rPr>
          <w:rFonts w:asciiTheme="majorBidi" w:hAnsiTheme="majorBidi" w:cstheme="majorBidi"/>
        </w:rPr>
        <w:t xml:space="preserve"> methods cannot be readily applied to biobank-style data </w:t>
      </w:r>
      <w:r w:rsidR="006F4226" w:rsidRPr="00A35149">
        <w:rPr>
          <w:rFonts w:asciiTheme="majorBidi" w:hAnsiTheme="majorBidi" w:cstheme="majorBidi"/>
        </w:rPr>
        <w:t xml:space="preserve">as they don’t </w:t>
      </w:r>
      <w:r w:rsidRPr="00A35149">
        <w:rPr>
          <w:rFonts w:asciiTheme="majorBidi" w:hAnsiTheme="majorBidi" w:cstheme="majorBidi"/>
        </w:rPr>
        <w:t xml:space="preserve">scale. </w:t>
      </w:r>
    </w:p>
    <w:p w14:paraId="7CFBDFB4" w14:textId="77777777" w:rsidR="00201A9C" w:rsidRPr="00A35149" w:rsidRDefault="00201A9C" w:rsidP="00201A9C">
      <w:pPr>
        <w:widowControl w:val="0"/>
        <w:ind w:firstLine="720"/>
        <w:rPr>
          <w:rFonts w:asciiTheme="majorBidi" w:hAnsiTheme="majorBidi" w:cstheme="majorBidi"/>
        </w:rPr>
      </w:pPr>
    </w:p>
    <w:p w14:paraId="0B8034AE" w14:textId="5596ADFB" w:rsidR="00201A9C" w:rsidRPr="00A35149" w:rsidRDefault="00201A9C" w:rsidP="00201A9C">
      <w:pPr>
        <w:widowControl w:val="0"/>
        <w:ind w:firstLine="720"/>
        <w:rPr>
          <w:rFonts w:asciiTheme="majorBidi" w:hAnsiTheme="majorBidi" w:cstheme="majorBidi"/>
        </w:rPr>
      </w:pPr>
      <w:r w:rsidRPr="00A35149">
        <w:rPr>
          <w:rFonts w:asciiTheme="majorBidi" w:hAnsiTheme="majorBidi" w:cstheme="majorBidi"/>
        </w:rPr>
        <w:t>PCA, despite its failings, is fast and robust. Given enough samples</w:t>
      </w:r>
      <w:r w:rsidR="00CB07F4" w:rsidRPr="00A35149">
        <w:rPr>
          <w:rFonts w:asciiTheme="majorBidi" w:hAnsiTheme="majorBidi" w:cstheme="majorBidi"/>
        </w:rPr>
        <w:t xml:space="preserve"> that were carefully chosen</w:t>
      </w:r>
      <w:r w:rsidRPr="00A35149">
        <w:rPr>
          <w:rFonts w:asciiTheme="majorBidi" w:hAnsiTheme="majorBidi" w:cstheme="majorBidi"/>
        </w:rPr>
        <w:t xml:space="preserve">, it </w:t>
      </w:r>
      <w:r w:rsidR="00481A2C" w:rsidRPr="00A35149">
        <w:rPr>
          <w:rFonts w:asciiTheme="majorBidi" w:hAnsiTheme="majorBidi" w:cstheme="majorBidi"/>
        </w:rPr>
        <w:t xml:space="preserve">may </w:t>
      </w:r>
      <w:r w:rsidR="00C270CD" w:rsidRPr="00A35149">
        <w:rPr>
          <w:rFonts w:asciiTheme="majorBidi" w:hAnsiTheme="majorBidi" w:cstheme="majorBidi"/>
        </w:rPr>
        <w:t xml:space="preserve">be tweaked to </w:t>
      </w:r>
      <w:r w:rsidR="00061F6B" w:rsidRPr="00A35149">
        <w:rPr>
          <w:rFonts w:asciiTheme="majorBidi" w:hAnsiTheme="majorBidi" w:cstheme="majorBidi"/>
        </w:rPr>
        <w:t xml:space="preserve">form </w:t>
      </w:r>
      <w:r w:rsidR="00C270CD" w:rsidRPr="00A35149">
        <w:rPr>
          <w:rFonts w:asciiTheme="majorBidi" w:hAnsiTheme="majorBidi" w:cstheme="majorBidi"/>
        </w:rPr>
        <w:t xml:space="preserve">patterns that exhibit similarity to geography </w:t>
      </w:r>
      <w:r w:rsidRPr="00A35149">
        <w:rPr>
          <w:rFonts w:asciiTheme="majorBidi" w:hAnsiTheme="majorBidi" w:cstheme="majorBidi"/>
        </w:rPr>
        <w:t xml:space="preserve">(e.g., over 100K carefully chosen samples identified several broad regions in the UK (Figure 1 in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{"citationItems":[{"id":"ITEM-1","itemData":{"DOI":"10.1016/j.ajhg.2016.09.014","ISSN":"15376605","abstract":"Analyzing genetic differences between closely related populations can be a powerful way to detect recent adaptation. The very large sample size of the UK Biobank is ideal for using population differentiation to detect selection and enables an analysis of the UK population structure at fine resolution. In this study, analyses of 113,851 UK Biobank samples showed that population structure in the UK is dominated by five principal components (PCs) spanning six clusters: Northern Ireland, Scotland, northern England, southern England, and two Welsh clusters. Analyses of ancient Eurasians revealed that populations in the northern UK have higher levels of Steppe ancestry and that UK population structure cannot be explained as a simple mixture of Celts and Saxons. A scan for unusual population differentiation along the top PCs identified a genome-wide-significant signal of selection at the coding variant rs601338 in FUT2 (p = 9.16 × 10−9). In addition, by combining evidence of unusual differentiation within the UK with evidence from ancient Eurasians, we identified genome-wide-significant (p = 5 × 10−8) signals of recent selection at two additional loci: CYP1A2-CSK and F12. We detected strong associations between diastolic blood pressure in the UK Biobank and both the variants with selection signals at CYP1A2-CSK (p = 1.10 × 10−19) and the variants with ancient Eurasian selection signals at the ATXN2-SH2B3 locus (p = 8.00 × 10−33), implicating recent adaptation related to blood pressure.","author":[{"dropping-particle":"","family":"Galinsky","given":"Kevin J.","non-dropping-particle":"","parse-names":false,"suffix":""},{"dropping-particle":"","family":"Loh","given":"Po Ru","non-dropping-particle":"","parse-names":false,"suffix":""},{"dropping-particle":"","family":"Mallick","given":"Swapan","non-dropping-particle":"","parse-names":false,"suffix":""},{"dropping-particle":"","family":"Patterson","given":"Nick J.","non-dropping-particle":"","parse-names":false,"suffix":""},{"dropping-particle":"","family":"Price","given":"Alkes L.","non-dropping-particle":"","parse-names":false,"suffix":""}],"container-title":"American Journal of Human Genetics","id":"ITEM-1","issue":"5","issued":{"date-parts":[["2016"]]},"page":"1130-1139","title":"Population Structure of UK Biobank and Ancient Eurasians Reveals Adaptation at Genes Influencing Blood Pressure","type":"article-journal","volume":"99"},"uris":["http://www.mendeley.com/documents/?uuid=ef8099e5-0bf3-423f-9299-6b83bdcc931f"]}],"mendeley":{"formattedCitation":"(Galinsky &lt;i&gt;et al.&lt;/i&gt;, 2016)","plainTextFormattedCitation":"(Galinsky et al., 2016)","previouslyFormattedCitation":"(Galinsky &lt;i&gt;et al.&lt;/i&gt;, 2016)"},"properties":{"noteIndex":0},"schema":"https://github.com/citation-style-language/schema/raw/master/csl-citation.json"}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(Galinsky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2016)</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However, there are alternative and complementary approaches that bear consideration. </w:t>
      </w:r>
    </w:p>
    <w:p w14:paraId="7C7122A5" w14:textId="1484472A" w:rsidR="00201A9C" w:rsidRPr="00A35149" w:rsidRDefault="00201A9C" w:rsidP="00201A9C">
      <w:pPr>
        <w:widowControl w:val="0"/>
        <w:rPr>
          <w:rFonts w:asciiTheme="majorBidi" w:hAnsiTheme="majorBidi" w:cstheme="majorBidi"/>
        </w:rPr>
      </w:pPr>
    </w:p>
    <w:p w14:paraId="1643CFB3" w14:textId="60FFFC30" w:rsidR="00201A9C" w:rsidRPr="00A35149" w:rsidRDefault="00201A9C" w:rsidP="00201A9C">
      <w:pPr>
        <w:pStyle w:val="Heading3"/>
        <w:rPr>
          <w:rFonts w:asciiTheme="majorBidi" w:hAnsiTheme="majorBidi"/>
          <w:color w:val="4472C4" w:themeColor="accent1"/>
        </w:rPr>
      </w:pPr>
      <w:r w:rsidRPr="00A35149">
        <w:rPr>
          <w:rFonts w:asciiTheme="majorBidi" w:hAnsiTheme="majorBidi"/>
          <w:color w:val="4472C4" w:themeColor="accent1"/>
        </w:rPr>
        <w:t>Genetic Relatedness Matrices (GRM)</w:t>
      </w:r>
    </w:p>
    <w:p w14:paraId="31AAE1F0" w14:textId="77777777" w:rsidR="00201A9C" w:rsidRPr="00A35149" w:rsidRDefault="00201A9C" w:rsidP="00201A9C">
      <w:pPr>
        <w:widowControl w:val="0"/>
        <w:rPr>
          <w:rFonts w:asciiTheme="majorBidi" w:hAnsiTheme="majorBidi" w:cstheme="majorBidi"/>
        </w:rPr>
      </w:pPr>
    </w:p>
    <w:p w14:paraId="390AD046" w14:textId="58DE3743" w:rsidR="00201A9C" w:rsidRPr="00A35149" w:rsidRDefault="00201A9C" w:rsidP="00FF6B53">
      <w:pPr>
        <w:widowControl w:val="0"/>
        <w:ind w:firstLine="720"/>
        <w:rPr>
          <w:rFonts w:asciiTheme="majorBidi" w:hAnsiTheme="majorBidi" w:cstheme="majorBidi"/>
        </w:rPr>
      </w:pPr>
      <w:r w:rsidRPr="00A35149">
        <w:rPr>
          <w:rFonts w:asciiTheme="majorBidi" w:hAnsiTheme="majorBidi" w:cstheme="majorBidi"/>
        </w:rPr>
        <w:t xml:space="preserve">Identity-by-state (IBS) is often used to represent population structure and further represents relatedness (see below). IBS is the proportion of SNPs that are shared between each pair of individuals and therefore forms an </w:t>
      </w:r>
      <w:r w:rsidRPr="00A35149">
        <w:rPr>
          <w:rFonts w:asciiTheme="majorBidi" w:hAnsiTheme="majorBidi" w:cstheme="majorBidi"/>
          <w:i/>
          <w:iCs/>
        </w:rPr>
        <w:t>N</w:t>
      </w:r>
      <w:r w:rsidRPr="00A35149">
        <w:rPr>
          <w:rFonts w:asciiTheme="majorBidi" w:hAnsiTheme="majorBidi" w:cstheme="majorBidi"/>
        </w:rPr>
        <w:t xml:space="preserve"> by </w:t>
      </w:r>
      <w:r w:rsidRPr="00A35149">
        <w:rPr>
          <w:rFonts w:asciiTheme="majorBidi" w:hAnsiTheme="majorBidi" w:cstheme="majorBidi"/>
          <w:i/>
          <w:iCs/>
        </w:rPr>
        <w:t>N</w:t>
      </w:r>
      <w:r w:rsidRPr="00A35149">
        <w:rPr>
          <w:rFonts w:asciiTheme="majorBidi" w:hAnsiTheme="majorBidi" w:cstheme="majorBidi"/>
        </w:rPr>
        <w:t xml:space="preserve"> matrix of genetic similarity. Similarly, the association literature uses the “Genetic Relatedness Matrix” (GRM)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{"citationItems":[{"id":"ITEM-1","itemData":{"DOI":"10.1080/24709360.2018.1529346","ISSN":"24709379","abstract":"The advent of large-scale genetic studies has helped bring a new era of biomedical research on dissecting the genetic architecture of complex human disease. Genome-wide association studies (GWASs) and next-generation sequencing studies are two popular tools for identifying genetic variants that are associated with complex traits. This article overviews some of the most important statistical tools for analyzing data from these two types of studies, with an emphasis on single-SNP tests for common variants and region-based tests for rare variants. We compare various statistical methods for common and rare variants in humans, and describe some critical considerations to guide the choice of an analysis method. Also discussed are the related topics of sample ascertainment, missing heritability, and multiple testing correction, as well as some remaining analytical challenges presented by complex trait association mapping using genomic data obtained via high-throughput technologies.","author":[{"dropping-particle":"","family":"Jiang","given":"Duo","non-dropping-particle":"","parse-names":false,"suffix":""},{"dropping-particle":"","family":"Wang","given":"Miaoyan","non-dropping-particle":"","parse-names":false,"suffix":""}],"container-title":"Biostatistics and Epidemiology","id":"ITEM-1","issue":"1","issued":{"date-parts":[["2018"]]},"page":"132-159","title":"Recent developments in statistical methods for gwas and high-throughput sequencing association studies of complex traits","type":"article-journal","volume":"2"},"uris":["http://www.mendeley.com/documents/?uuid=db78e3f2-cae4-4e41-9066-f82faaf30daa"]}],"mendeley":{"formattedCitation":"(Jiang and Wang, 2018)","plainTextFormattedCitation":"(Jiang and Wang, 2018)","previouslyFormattedCitation":"(Jiang and Wang, 2018)"},"properties":{"noteIndex":0},"schema":"https://github.com/citation-style-language/schema/raw/master/csl-citation.json"}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(Jiang and Wang, 2018)</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in </w:t>
      </w:r>
      <w:r w:rsidRPr="00A35149">
        <w:rPr>
          <w:rFonts w:asciiTheme="majorBidi" w:hAnsiTheme="majorBidi" w:cstheme="majorBidi"/>
        </w:rPr>
        <w:lastRenderedPageBreak/>
        <w:t xml:space="preserve">which SNPs centred by their frequency and weighted by their variance. The GRM is an important tool in mixed linear models that jointly address population structure and relatedness, perhaps the most common tools being GCTA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{"citationItems":[{"id":"ITEM-1","itemData":{"DOI":"10.1016/j.ajhg.2010.11.011","ISSN":"00029297","PMID":"21167468","abstract":"For most human complex diseases and traits, SNPs identified by genome-wide association studies (GWAS) explain only a small fraction of the heritability. Here we report a user-friendly software tool called genome-wide complex trait analysis (GCTA), which was developed based on a method we recently developed to address the \"missing heritability\" problem. GCTA estimates the variance explained by all the SNPs on a chromosome or on the whole genome for a complex trait rather than testing the association of any particular SNP to the trait. We introduce GCTA's five main functions: data management, estimation of the genetic relationships from SNPs, mixed linear model analysis of variance explained by the SNPs, estimation of the linkage disequilibrium structure, and GWAS simulation. We focus on the function of estimating the variance explained by all the SNPs on the X chromosome and testing the hypotheses of dosage compensation. The GCTA software is a versatile tool to estimate and partition complex trait variation with large GWAS data sets. © 2011 The American Society of Human Genetics.","author":[{"dropping-particle":"","family":"Yang","given":"Jian","non-dropping-particle":"","parse-names":false,"suffix":""},{"dropping-particle":"","family":"Lee","given":"S. Hong","non-dropping-particle":"","parse-names":false,"suffix":""},{"dropping-particle":"","family":"Goddard","given":"Michael E.","non-dropping-particle":"","parse-names":false,"suffix":""},{"dropping-particle":"","family":"Visscher","given":"Peter M.","non-dropping-particle":"","parse-names":false,"suffix":""}],"container-title":"American Journal of Human Genetics","id":"ITEM-1","issue":"1","issued":{"date-parts":[["2011"]]},"page":"76-82","title":"GCTA: A tool for genome-wide complex trait analysis","type":"article-journal","volume":"88"},"uris":["http://www.mendeley.com/documents/?uuid=710b98f0-4ff6-4aa9-b292-c1dc8210a0a0"]}],"mendeley":{"formattedCitation":"(Yang &lt;i&gt;et al.&lt;/i&gt;, 2011)","plainTextFormattedCitation":"(Yang et al., 2011)","previouslyFormattedCitation":"(Yang &lt;i&gt;et al.&lt;/i&gt;, 2011)"},"properties":{"noteIndex":0},"schema":"https://github.com/citation-style-language/schema/raw/master/csl-citation.json"}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(Yang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2011)</w:t>
      </w:r>
      <w:r w:rsidRPr="00A35149">
        <w:rPr>
          <w:rFonts w:asciiTheme="majorBidi" w:hAnsiTheme="majorBidi" w:cstheme="majorBidi"/>
          <w:color w:val="4472C4" w:themeColor="accent1"/>
        </w:rPr>
        <w:fldChar w:fldCharType="end"/>
      </w:r>
      <w:r w:rsidRPr="00A35149">
        <w:rPr>
          <w:rFonts w:asciiTheme="majorBidi" w:hAnsiTheme="majorBidi" w:cstheme="majorBidi"/>
          <w:color w:val="4472C4" w:themeColor="accent1"/>
        </w:rPr>
        <w:t xml:space="preserve"> </w:t>
      </w:r>
      <w:r w:rsidRPr="00A35149">
        <w:rPr>
          <w:rFonts w:asciiTheme="majorBidi" w:hAnsiTheme="majorBidi" w:cstheme="majorBidi"/>
        </w:rPr>
        <w:t xml:space="preserve">and GTAK </w:t>
      </w:r>
      <w:r w:rsidRPr="00A35149">
        <w:rPr>
          <w:rFonts w:asciiTheme="majorBidi" w:hAnsiTheme="majorBidi" w:cstheme="majorBidi"/>
        </w:rPr>
        <w:fldChar w:fldCharType="begin" w:fldLock="1"/>
      </w:r>
      <w:r w:rsidRPr="00A35149">
        <w:rPr>
          <w:rFonts w:asciiTheme="majorBidi" w:hAnsiTheme="majorBidi" w:cstheme="majorBidi"/>
        </w:rPr>
        <w:instrText>ADDIN CSL_CITATION {"citationItems":[{"id":"ITEM-1","itemData":{"DOI":"10.1002/0471250953.bi1110s43","ISSN":"1934340X","PMID":"25431634","abstract":"This unit describes how to use BWA and the Genome Analysis Toolkit (GATK) to map genome sequencing data to a reference and produce high-quality variant calls that can be used in downstream analyses. The complete workflow includes the core NGS dataprocessing steps that are necessary to make the raw data suitable for analysis by the GATK, as well as the key methods involved in variant discovery using the GATK. © 2013 by John Wiley &amp; Sons, Inc.","author":[{"dropping-particle":"","family":"Auwera","given":"Geraldine A.","non-dropping-particle":"Van der","parse-names":false,"suffix":""},{"dropping-particle":"","family":"Carneiro","given":"Mauricio O.","non-dropping-particle":"","parse-names":false,"suffix":""},{"dropping-particle":"","family":"Hartl","given":"Christopher","non-dropping-particle":"","parse-names":false,"suffix":""},{"dropping-particle":"","family":"Poplin","given":"Ryan","non-dropping-particle":"","parse-names":false,"suffix":""},{"dropping-particle":"","family":"Angel","given":"Guillermo","non-dropping-particle":"del","parse-names":false,"suffix":""},{"dropping-particle":"","family":"Levy-Moonshine","given":"Ami","non-dropping-particle":"","parse-names":false,"suffix":""},{"dropping-particle":"","family":"Jordan","given":"Tadeusz","non-dropping-particle":"","parse-names":false,"suffix":""},{"dropping-particle":"","family":"Shakir","given":"Khalid","non-dropping-particle":"","parse-names":false,"suffix":""},{"dropping-particle":"","family":"Roazen","given":"David","non-dropping-particle":"","parse-names":false,"suffix":""},{"dropping-particle":"","family":"Thibault","given":"Joel","non-dropping-particle":"","parse-names":false,"suffix":""},{"dropping-particle":"","family":"Banks","given":"Eric","non-dropping-particle":"","parse-names":false,"suffix":""},{"dropping-particle":"V.","family":"Garimella","given":"Kiran","non-dropping-particle":"","parse-names":false,"suffix":""},{"dropping-particle":"","family":"Altshuler","given":"David","non-dropping-particle":"","parse-names":false,"suffix":""},{"dropping-particle":"","family":"Gabriel","given":"Stacey","non-dropping-particle":"","parse-names":false,"suffix":""},{"dropping-particle":"","family":"DePristo","given":"Mark A.","non-dropping-particle":"","parse-names":false,"suffix":""}],"container-title":"Current Protocols in Bioinformatics","id":"ITEM-1","issue":"SUPL.43","issued":{"date-parts":[["2013"]]},"title":"From fastQ data to high-confidence variant calls: The genome analysis toolkit best practices pipeline","type":"article-journal"},"uris":["http://www.mendeley.com/documents/?uuid=341ab66f-7b7f-46df-8d92-0ab4499831f6"]}],"mendeley":{"formattedCitation":"(Van der Auwera &lt;i&gt;et al.&lt;/i&gt;, 2013)","plainTextFormattedCitation":"(Van der Auwera et al., 2013)","previouslyFormattedCitation":"(Van der Auwera &lt;i&gt;et al.&lt;/i&gt;, 2013)"},"properties":{"noteIndex":0},"schema":"https://github.com/citation-style-language/schema/raw/master/csl-citation.json"}</w:instrText>
      </w:r>
      <w:r w:rsidRPr="00A35149">
        <w:rPr>
          <w:rFonts w:asciiTheme="majorBidi" w:hAnsiTheme="majorBidi" w:cstheme="majorBidi"/>
        </w:rPr>
        <w:fldChar w:fldCharType="separate"/>
      </w:r>
      <w:r w:rsidRPr="00A35149">
        <w:rPr>
          <w:rFonts w:asciiTheme="majorBidi" w:hAnsiTheme="majorBidi" w:cstheme="majorBidi"/>
          <w:noProof/>
        </w:rPr>
        <w:t xml:space="preserve">(Van der Auwera </w:t>
      </w:r>
      <w:r w:rsidRPr="00A35149">
        <w:rPr>
          <w:rFonts w:asciiTheme="majorBidi" w:hAnsiTheme="majorBidi" w:cstheme="majorBidi"/>
          <w:i/>
          <w:noProof/>
        </w:rPr>
        <w:t>et al.</w:t>
      </w:r>
      <w:r w:rsidRPr="00A35149">
        <w:rPr>
          <w:rFonts w:asciiTheme="majorBidi" w:hAnsiTheme="majorBidi" w:cstheme="majorBidi"/>
          <w:noProof/>
        </w:rPr>
        <w:t>, 2013)</w:t>
      </w:r>
      <w:r w:rsidRPr="00A35149">
        <w:rPr>
          <w:rFonts w:asciiTheme="majorBidi" w:hAnsiTheme="majorBidi" w:cstheme="majorBidi"/>
        </w:rPr>
        <w:fldChar w:fldCharType="end"/>
      </w:r>
      <w:r w:rsidRPr="00A35149">
        <w:rPr>
          <w:rFonts w:asciiTheme="majorBidi" w:hAnsiTheme="majorBidi" w:cstheme="majorBidi"/>
        </w:rPr>
        <w:t>. The GRM can be shown to contain the same information as used by both admixture models and PCA (e.g.</w:t>
      </w:r>
      <w:r w:rsidR="00047991" w:rsidRPr="00A35149">
        <w:rPr>
          <w:rFonts w:asciiTheme="majorBidi" w:hAnsiTheme="majorBidi" w:cstheme="majorBidi"/>
        </w:rPr>
        <w:t>,</w:t>
      </w:r>
      <w:r w:rsidRPr="00A35149">
        <w:rPr>
          <w:rFonts w:asciiTheme="majorBidi" w:hAnsiTheme="majorBidi" w:cstheme="majorBidi"/>
        </w:rPr>
        <w:t xml:space="preserve"> </w:t>
      </w:r>
      <w:r w:rsidR="00DB2708" w:rsidRPr="00A35149">
        <w:rPr>
          <w:rFonts w:asciiTheme="majorBidi" w:hAnsiTheme="majorBidi" w:cstheme="majorBidi"/>
          <w:color w:val="4472C4" w:themeColor="accent1"/>
        </w:rPr>
        <w:fldChar w:fldCharType="begin" w:fldLock="1"/>
      </w:r>
      <w:r w:rsidR="00DB2708" w:rsidRPr="00A35149">
        <w:rPr>
          <w:rFonts w:asciiTheme="majorBidi" w:hAnsiTheme="majorBidi" w:cstheme="majorBidi"/>
          <w:color w:val="4472C4" w:themeColor="accent1"/>
        </w:rPr>
        <w:instrText>ADDIN CSL_CITATION {"citationItems":[{"id":"ITEM-1","itemData":{"DOI":"10.1371/journal.pgen.1002453","ISSN":"15537390","abstract":"The advent of genome-wide dense variation data provides an opportunity to investigate ancestry in unprecedented detail, but presents new statistical challenges. We propose a novel inference framework that aims to efficiently capture information on population structure provided by patterns of haplotype similarity. Each individual in a sample is considered in turn as a recipient, whose chromosomes are reconstructed using chunks of DNA donated by the other individuals. Results of this \"chromosome painting\" can be summarized as a \"coancestry matrix,\" which directly reveals key information about ancestral relationships among individuals. If markers are viewed as independent, we show that this matrix almost completely captures the information used by both standard Principal Components Analysis (PCA) and model-based approaches such as STRUCTURE in a unified manner. Furthermore, when markers are in linkage disequilibrium, the matrix combines information across successive markers to increase the ability to discern fine-scale population structure using PCA. In parallel, we have developed an efficient model-based approach to identify discrete populations using this matrix, which offers advantages over PCA in terms of interpretability and over existing clustering algorithms in terms of speed, number of separable populations, and sensitivity to subtle population structure. We analyse Human Genome Diversity Panel data for 938 individuals and 641,000 markers, and we identify 226 populations reflecting differences on continental, regional, local, and family scales. We present multiple lines of evidence that, while many methods capture similar information among strongly differentiated groups, more subtle population structure in human populations is consistently present at a much finer level than currently available geographic labels and is only captured by the haplotype-based approach. The software used for this article, ChromoPainter and fineSTRUCTURE, is available from http://www.paintmychromosomes.com/.","author":[{"dropping-particle":"","family":"Lawson","given":"Daniel John","non-dropping-particle":"","parse-names":false,"suffix":""},{"dropping-particle":"","family":"Hellenthal","given":"Garrett","non-dropping-particle":"","parse-names":false,"suffix":""},{"dropping-particle":"","family":"Myers","given":"Simon","non-dropping-particle":"","parse-names":false,"suffix":""},{"dropping-particle":"","family":"Falush","given":"Daniel","non-dropping-particle":"","parse-names":false,"suffix":""}],"container-title":"PLoS Genetics","id":"ITEM-1","issue":"1","issued":{"date-parts":[["2012"]]},"title":"Inference of population structure using dense haplotype data","type":"article-journal","volume":"8"},"uris":["http://www.mendeley.com/documents/?uuid=306c3f6f-3f86-46ad-b43a-489f54e8b432"]}],"mendeley":{"formattedCitation":"(Lawson &lt;i&gt;et al.&lt;/i&gt;, 2012)","plainTextFormattedCitation":"(Lawson et al., 2012)","previouslyFormattedCitation":"(Lawson &lt;i&gt;et al.&lt;/i&gt;, 2012)"},"properties":{"noteIndex":0},"schema":"https://github.com/citation-style-language/schema/raw/master/csl-citation.json"}</w:instrText>
      </w:r>
      <w:r w:rsidR="00DB2708" w:rsidRPr="00A35149">
        <w:rPr>
          <w:rFonts w:asciiTheme="majorBidi" w:hAnsiTheme="majorBidi" w:cstheme="majorBidi"/>
          <w:color w:val="4472C4" w:themeColor="accent1"/>
        </w:rPr>
        <w:fldChar w:fldCharType="separate"/>
      </w:r>
      <w:r w:rsidR="00DB2708" w:rsidRPr="00A35149">
        <w:rPr>
          <w:rFonts w:asciiTheme="majorBidi" w:hAnsiTheme="majorBidi" w:cstheme="majorBidi"/>
          <w:noProof/>
          <w:color w:val="4472C4" w:themeColor="accent1"/>
        </w:rPr>
        <w:t xml:space="preserve">(Lawson </w:t>
      </w:r>
      <w:r w:rsidR="00DB2708" w:rsidRPr="00A35149">
        <w:rPr>
          <w:rFonts w:asciiTheme="majorBidi" w:hAnsiTheme="majorBidi" w:cstheme="majorBidi"/>
          <w:i/>
          <w:noProof/>
          <w:color w:val="4472C4" w:themeColor="accent1"/>
        </w:rPr>
        <w:t>et al.</w:t>
      </w:r>
      <w:r w:rsidR="00DB2708" w:rsidRPr="00A35149">
        <w:rPr>
          <w:rFonts w:asciiTheme="majorBidi" w:hAnsiTheme="majorBidi" w:cstheme="majorBidi"/>
          <w:noProof/>
          <w:color w:val="4472C4" w:themeColor="accent1"/>
        </w:rPr>
        <w:t>, 2012)</w:t>
      </w:r>
      <w:r w:rsidR="00DB2708" w:rsidRPr="00A35149">
        <w:rPr>
          <w:rFonts w:asciiTheme="majorBidi" w:hAnsiTheme="majorBidi" w:cstheme="majorBidi"/>
          <w:color w:val="4472C4" w:themeColor="accent1"/>
        </w:rPr>
        <w:fldChar w:fldCharType="end"/>
      </w:r>
      <w:r w:rsidR="00DB2708" w:rsidRPr="00A35149">
        <w:rPr>
          <w:rFonts w:asciiTheme="majorBidi" w:hAnsiTheme="majorBidi" w:cstheme="majorBidi"/>
        </w:rPr>
        <w:t xml:space="preserve"> </w:t>
      </w:r>
      <w:r w:rsidRPr="00A35149">
        <w:rPr>
          <w:rFonts w:asciiTheme="majorBidi" w:hAnsiTheme="majorBidi" w:cstheme="majorBidi"/>
        </w:rPr>
        <w:t xml:space="preserve">supplementary material). The advantage of correcting for the complete matrix </w:t>
      </w:r>
      <w:r w:rsidR="006F4226" w:rsidRPr="00A35149">
        <w:rPr>
          <w:rFonts w:asciiTheme="majorBidi" w:hAnsiTheme="majorBidi" w:cstheme="majorBidi"/>
        </w:rPr>
        <w:t>(rather than the</w:t>
      </w:r>
      <w:r w:rsidRPr="00A35149">
        <w:rPr>
          <w:rFonts w:asciiTheme="majorBidi" w:hAnsiTheme="majorBidi" w:cstheme="majorBidi"/>
        </w:rPr>
        <w:t xml:space="preserve"> low-rank approximation</w:t>
      </w:r>
      <w:r w:rsidR="006F4226" w:rsidRPr="00A35149">
        <w:rPr>
          <w:rFonts w:asciiTheme="majorBidi" w:hAnsiTheme="majorBidi" w:cstheme="majorBidi"/>
        </w:rPr>
        <w:t xml:space="preserve"> used in PCA) is that it</w:t>
      </w:r>
      <w:r w:rsidRPr="00A35149">
        <w:rPr>
          <w:rFonts w:asciiTheme="majorBidi" w:hAnsiTheme="majorBidi" w:cstheme="majorBidi"/>
        </w:rPr>
        <w:t xml:space="preserve"> retains the relatedness information. Otherwise these procedures are asymptotically equivalent. Fast implementations exist</w:t>
      </w:r>
      <w:r w:rsidR="006F4226" w:rsidRPr="00A35149">
        <w:rPr>
          <w:rFonts w:asciiTheme="majorBidi" w:hAnsiTheme="majorBidi" w:cstheme="majorBidi"/>
        </w:rPr>
        <w:t>,</w:t>
      </w:r>
      <w:r w:rsidRPr="00A35149">
        <w:rPr>
          <w:rFonts w:asciiTheme="majorBidi" w:hAnsiTheme="majorBidi" w:cstheme="majorBidi"/>
        </w:rPr>
        <w:t xml:space="preserve"> such as Bolt-LMM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{"citationItems":[{"id":"ITEM-1","itemData":{"DOI":"10.1038/s41588-018-0144-6","ISSN":"15461718","author":[{"dropping-particle":"","family":"Loh","given":"Po Ru","non-dropping-particle":"","parse-names":false,"suffix":""},{"dropping-particle":"","family":"Kichaev","given":"Gleb","non-dropping-particle":"","parse-names":false,"suffix":""},{"dropping-particle":"","family":"Gazal","given":"Steven","non-dropping-particle":"","parse-names":false,"suffix":""},{"dropping-particle":"","family":"Schoech","given":"Armin P.","non-dropping-particle":"","parse-names":false,"suffix":""},{"dropping-particle":"","family":"Price","given":"Alkes L.","non-dropping-particle":"","parse-names":false,"suffix":""}],"container-title":"Nature Genetics","id":"ITEM-1","issue":"7","issued":{"date-parts":[["2018"]]},"page":"906-908","title":"Mixed-model association for biobank-scale datasets","type":"article-journal","volume":"50"},"uris":["http://www.mendeley.com/documents/?uuid=b5f28977-2568-4e09-ac55-9e35334e3761"]}],"mendeley":{"formattedCitation":"(Loh &lt;i&gt;et al.&lt;/i&gt;, 2018)","plainTextFormattedCitation":"(Loh et al., 2018)","previouslyFormattedCitation":"(Loh &lt;i&gt;et al.&lt;/i&gt;, 2018)"},"properties":{"noteIndex":0},"schema":"https://github.com/citation-style-language/schema/raw/master/csl-citation.json"}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(Loh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2018)</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but these may implicitly exploit low-rank structure and </w:t>
      </w:r>
      <w:r w:rsidR="006F4226" w:rsidRPr="00A35149">
        <w:rPr>
          <w:rFonts w:asciiTheme="majorBidi" w:hAnsiTheme="majorBidi" w:cstheme="majorBidi"/>
        </w:rPr>
        <w:t xml:space="preserve">hence </w:t>
      </w:r>
      <w:r w:rsidRPr="00A35149">
        <w:rPr>
          <w:rFonts w:asciiTheme="majorBidi" w:hAnsiTheme="majorBidi" w:cstheme="majorBidi"/>
        </w:rPr>
        <w:t xml:space="preserve">lower </w:t>
      </w:r>
      <w:r w:rsidR="006F4226" w:rsidRPr="00A35149">
        <w:rPr>
          <w:rFonts w:asciiTheme="majorBidi" w:hAnsiTheme="majorBidi" w:cstheme="majorBidi"/>
        </w:rPr>
        <w:t>correction power</w:t>
      </w:r>
      <w:r w:rsidRPr="00A35149">
        <w:rPr>
          <w:rFonts w:asciiTheme="majorBidi" w:hAnsiTheme="majorBidi" w:cstheme="majorBidi"/>
        </w:rPr>
        <w:t>.</w:t>
      </w:r>
      <w:r w:rsidR="00894A1A" w:rsidRPr="00A35149">
        <w:rPr>
          <w:rFonts w:asciiTheme="majorBidi" w:hAnsiTheme="majorBidi" w:cstheme="majorBidi"/>
        </w:rPr>
        <w:t xml:space="preserve"> Implementations like LMM-OPS </w:t>
      </w:r>
      <w:r w:rsidR="00DA074A" w:rsidRPr="00A35149">
        <w:rPr>
          <w:rFonts w:asciiTheme="majorBidi" w:hAnsiTheme="majorBidi" w:cstheme="majorBidi"/>
          <w:color w:val="4472C4" w:themeColor="accent1"/>
        </w:rPr>
        <w:fldChar w:fldCharType="begin" w:fldLock="1"/>
      </w:r>
      <w:r w:rsidR="00DA074A" w:rsidRPr="00A35149">
        <w:rPr>
          <w:rFonts w:asciiTheme="majorBidi" w:hAnsiTheme="majorBidi" w:cstheme="majorBidi"/>
          <w:color w:val="4472C4" w:themeColor="accent1"/>
        </w:rPr>
        <w:instrText>ADDIN CSL_CITATION {"citationItems":[{"id":"ITEM-1","itemData":{"DOI":"10.1101/409953","abstract":"Linear mixed models (LMMs) have become the standard approach for genetic association testing in the presence of sample structure. However, the performance of LMMs has primarily been evaluated in relatively homogeneous populations of European ancestry, despite many of the recent genetic association studies including samples from worldwide populations with diverse ancestries. In this paper, we demonstrate that existing LMM methods can have systematic miscalibration of association test statistics genome-wide in samples with heterogenous ancestry, resulting in both increased type-I error rates and a loss of power. Furthermore, we show that this miscalibration arises due to varying allele frequency differences across the genome among populations. To overcome this problem, we developed LMM-OPS, an LMM approach which orthogonally partitions diverse genetic structure into two components: distant population structure and recent genetic relatedness. In simulation studies with real and simulated genotype data, we demonstrate that LMM-OPS is appropriately calibrated in the presence of ancestry heterogeneity and outperforms existing LMM approaches, including EMMAX, GCTA, and GEMMA. We conduct a GWAS of white blood cell (WBC) count in an admixed sample of 3,551 Hispanic/Latino American women from the Women’s Health Initiative SNP Health Association Resource where LMM-OPS detects genome-wide significant associations with corresponding p-values that are one or more orders of magnitude smaller than those from competing LMM methods. We also identify a genome-wide significant association with regulatory variant rs2814778 in the DARC gene on chromosome 1, which generalizes to Hispanic/Latino Americans a previous association with reduced WBC count identified in African Americans.","author":[{"dropping-particle":"","family":"Conomos","given":"Matthew P.","non-dropping-particle":"","parse-names":false,"suffix":""},{"dropping-particle":"","family":"Reiner","given":"Alex P.","non-dropping-particle":"","parse-names":false,"suffix":""},{"dropping-particle":"","family":"McPeek","given":"Mary Sara","non-dropping-particle":"","parse-names":false,"suffix":""},{"dropping-particle":"","family":"Thornton","given":"Timothy A.","non-dropping-particle":"","parse-names":false,"suffix":""}],"container-title":"bioRxiv","id":"ITEM-1","issued":{"date-parts":[["2018"]]},"page":"409953","title":"Genome-Wide Control of Population Structure and Relatedness in Genetic Association Studies via Linear Mixed Models with Orthogonally Partitioned Structure","type":"article-journal"},"uris":["http://www.mendeley.com/documents/?uuid=3a33d6ef-2cfe-4be7-8c2f-9c4dc33d0197"]}],"mendeley":{"formattedCitation":"(Conomos &lt;i&gt;et al.&lt;/i&gt;, 2018)","plainTextFormattedCitation":"(Conomos et al., 2018)","previouslyFormattedCitation":"(Conomos &lt;i&gt;et al.&lt;/i&gt;, 2018)"},"properties":{"noteIndex":0},"schema":"https://github.com/citation-style-language/schema/raw/master/csl-citation.json"}</w:instrText>
      </w:r>
      <w:r w:rsidR="00DA074A" w:rsidRPr="00A35149">
        <w:rPr>
          <w:rFonts w:asciiTheme="majorBidi" w:hAnsiTheme="majorBidi" w:cstheme="majorBidi"/>
          <w:color w:val="4472C4" w:themeColor="accent1"/>
        </w:rPr>
        <w:fldChar w:fldCharType="separate"/>
      </w:r>
      <w:r w:rsidR="00DA074A" w:rsidRPr="00A35149">
        <w:rPr>
          <w:rFonts w:asciiTheme="majorBidi" w:hAnsiTheme="majorBidi" w:cstheme="majorBidi"/>
          <w:noProof/>
          <w:color w:val="4472C4" w:themeColor="accent1"/>
        </w:rPr>
        <w:t xml:space="preserve">(Conomos </w:t>
      </w:r>
      <w:r w:rsidR="00DA074A" w:rsidRPr="00A35149">
        <w:rPr>
          <w:rFonts w:asciiTheme="majorBidi" w:hAnsiTheme="majorBidi" w:cstheme="majorBidi"/>
          <w:i/>
          <w:noProof/>
          <w:color w:val="4472C4" w:themeColor="accent1"/>
        </w:rPr>
        <w:t>et al.</w:t>
      </w:r>
      <w:r w:rsidR="00DA074A" w:rsidRPr="00A35149">
        <w:rPr>
          <w:rFonts w:asciiTheme="majorBidi" w:hAnsiTheme="majorBidi" w:cstheme="majorBidi"/>
          <w:noProof/>
          <w:color w:val="4472C4" w:themeColor="accent1"/>
        </w:rPr>
        <w:t>, 2018)</w:t>
      </w:r>
      <w:r w:rsidR="00DA074A" w:rsidRPr="00A35149">
        <w:rPr>
          <w:rFonts w:asciiTheme="majorBidi" w:hAnsiTheme="majorBidi" w:cstheme="majorBidi"/>
          <w:color w:val="4472C4" w:themeColor="accent1"/>
        </w:rPr>
        <w:fldChar w:fldCharType="end"/>
      </w:r>
      <w:r w:rsidR="00DA074A" w:rsidRPr="00A35149">
        <w:rPr>
          <w:rFonts w:asciiTheme="majorBidi" w:hAnsiTheme="majorBidi" w:cstheme="majorBidi"/>
        </w:rPr>
        <w:t xml:space="preserve"> a</w:t>
      </w:r>
      <w:r w:rsidR="00894A1A" w:rsidRPr="00A35149">
        <w:rPr>
          <w:rFonts w:asciiTheme="majorBidi" w:hAnsiTheme="majorBidi" w:cstheme="majorBidi"/>
        </w:rPr>
        <w:t>ttempt to correct increased type-I error rates and a loss of power due to heterogenous ancestry.</w:t>
      </w:r>
    </w:p>
    <w:p w14:paraId="497E2011" w14:textId="010F97E1" w:rsidR="00C922AC" w:rsidRPr="00A35149" w:rsidRDefault="00C922AC" w:rsidP="00347B1A">
      <w:pPr>
        <w:rPr>
          <w:rFonts w:asciiTheme="majorBidi" w:hAnsiTheme="majorBidi" w:cstheme="majorBidi"/>
        </w:rPr>
      </w:pPr>
    </w:p>
    <w:p w14:paraId="5282F5B6" w14:textId="2F9FA2C8" w:rsidR="00C922AC" w:rsidRPr="00A35149" w:rsidRDefault="00A96FA7" w:rsidP="00C922AC">
      <w:pPr>
        <w:pStyle w:val="Heading3"/>
        <w:rPr>
          <w:rFonts w:asciiTheme="majorBidi" w:hAnsiTheme="majorBidi"/>
          <w:color w:val="4472C4" w:themeColor="accent1"/>
        </w:rPr>
      </w:pPr>
      <w:r w:rsidRPr="00A35149">
        <w:rPr>
          <w:rFonts w:asciiTheme="majorBidi" w:hAnsiTheme="majorBidi"/>
          <w:color w:val="4472C4" w:themeColor="accent1"/>
        </w:rPr>
        <w:t>Ancestry as a mixture</w:t>
      </w:r>
    </w:p>
    <w:p w14:paraId="1A3498B8" w14:textId="77777777" w:rsidR="00C922AC" w:rsidRPr="00A35149" w:rsidRDefault="00C922AC" w:rsidP="00347B1A">
      <w:pPr>
        <w:rPr>
          <w:rFonts w:asciiTheme="majorBidi" w:hAnsiTheme="majorBidi" w:cstheme="majorBidi"/>
        </w:rPr>
      </w:pPr>
    </w:p>
    <w:p w14:paraId="34B8DD67" w14:textId="3CF936EB" w:rsidR="00C922AC" w:rsidRPr="00A35149" w:rsidRDefault="00C922AC" w:rsidP="00C922AC">
      <w:pPr>
        <w:widowControl w:val="0"/>
        <w:ind w:firstLine="720"/>
        <w:rPr>
          <w:rFonts w:asciiTheme="majorBidi" w:hAnsiTheme="majorBidi" w:cstheme="majorBidi"/>
        </w:rPr>
      </w:pPr>
      <w:r w:rsidRPr="00A35149">
        <w:rPr>
          <w:rFonts w:asciiTheme="majorBidi" w:hAnsiTheme="majorBidi" w:cstheme="majorBidi"/>
        </w:rPr>
        <w:t xml:space="preserve">Admixture or </w:t>
      </w:r>
      <w:r w:rsidR="006F4226" w:rsidRPr="00A35149">
        <w:rPr>
          <w:rFonts w:asciiTheme="majorBidi" w:hAnsiTheme="majorBidi" w:cstheme="majorBidi"/>
        </w:rPr>
        <w:t>admixture</w:t>
      </w:r>
      <w:r w:rsidRPr="00A35149">
        <w:rPr>
          <w:rFonts w:asciiTheme="majorBidi" w:hAnsiTheme="majorBidi" w:cstheme="majorBidi"/>
        </w:rPr>
        <w:t xml:space="preserve">-like analyses originated in the popular program </w:t>
      </w:r>
      <w:r w:rsidRPr="00A35149">
        <w:rPr>
          <w:rFonts w:asciiTheme="majorBidi" w:hAnsiTheme="majorBidi" w:cstheme="majorBidi"/>
          <w:i/>
          <w:iCs/>
        </w:rPr>
        <w:t>STRUCTURE</w:t>
      </w:r>
      <w:r w:rsidRPr="00A35149">
        <w:rPr>
          <w:rFonts w:asciiTheme="majorBidi" w:hAnsiTheme="majorBidi" w:cstheme="majorBidi"/>
        </w:rPr>
        <w:t xml:space="preserve">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{"citationItems":[{"id":"ITEM-1","itemData":{"ISSN":"00166731","abstract":"We describe a model-based clustering method for using multilocus genotype data to infer population structure and assign individuals to populations. We assume a model in which there are K populations (where K may be unknown), each of which is characterized by a set of allele frequencies at each locus. Individuals in the sample are assigned (probabilistically) to populations, or jointly to two or more populations if their genotypes indicate that they are admixed. Our model does not assume a particular mutation process, and it can be applied to most of the commonly used genetic markers, provided that they are not closely linked. Applications of our method include demonstrating the presence of population structure, assigning individuals to populations, studying hybrid zones, and identifying migrants and admixed individuals. We show that the method can produce highly accurate assignments using modest numbers of loci-e.g. , seven microsatellite loci in an example using genotype data from an endangered bird species. The software used for this article is available from http://www.stats.ox.ac.uk/ approximately pritch/home. html.","author":[{"dropping-particle":"","family":"Pritchard","given":"Jonathan K.","non-dropping-particle":"","parse-names":false,"suffix":""},{"dropping-particle":"","family":"Stephens","given":"Matthew","non-dropping-particle":"","parse-names":false,"suffix":""},{"dropping-particle":"","family":"Donnelly","given":"Peter","non-dropping-particle":"","parse-names":false,"suffix":""}],"container-title":"Genetics","id":"ITEM-1","issue":"2","issued":{"date-parts":[["2000"]]},"page":"945-959","title":"Inference of population structure using multilocus genotype data","type":"article-journal","volume":"55"},"uris":["http://www.mendeley.com/documents/?uuid=26ca918f-e394-4fd6-9bfb-ec9640c4dd29"]},{"id":"ITEM-2","itemData":{"ISSN":"0016-6731","PMID":"12930761","abstract":"We describe extensions to the method of Pritchard et al. for inferring population structure from multilocus genotype data. Most importantly, we develop methods that allow for linkage between loci. The new model accounts for the correlations between linked loci that arise in admixed populations (\"admixture linkage disequilibium\"). This modification has several advantages, allowing (1) detection of admixture events farther back into the past, (2) inference of the population of origin of chromosomal regions, and (3) more accurate estimates of statistical uncertainty when linked loci are used. It is also of potential use for admixture mapping. In addition, we describe a new prior model for the allele frequencies within each population, which allows identification of subtle population subdivisions that were not detectable using the existing method. We present results applying the new methods to study admixture in African-Americans, recombination in Helicobacter pylori, and drift in populations of Drosophila melanogaster. The methods are implemented in a program, structure, version 2.0, which is available at http://pritch.bsd.uchicago.edu.","author":[{"dropping-particle":"","family":"Falush","given":"Daniel","non-dropping-particle":"","parse-names":false,"suffix":""},{"dropping-particle":"","family":"Stephens","given":"Matthew","non-dropping-particle":"","parse-names":false,"suffix":""},{"dropping-particle":"","family":"Pritchard","given":"Jonathan K","non-dropping-particle":"","parse-names":false,"suffix":""}],"container-title":"Genetics","id":"ITEM-2","issue":"4","issued":{"date-parts":[["2003"]]},"page":"1567-1587","title":"Inference of population structure using multilocus genotype data: linked loci and correlated allele frequencies.","type":"article-journal","volume":"164"},"uris":["http://www.mendeley.com/documents/?uuid=20c98b61-7c4f-4d35-b9aa-90b9e97315e9"]}],"mendeley":{"formattedCitation":"(Pritchard, Stephens and Donnelly, 2000; Falush, Stephens and Pritchard, 2003)","plainTextFormattedCitation":"(Pritchard, Stephens and Donnelly, 2000; Falush, Stephens and Pritchard, 2003)","previouslyFormattedCitation":"(Pritchard, Stephens and Donnelly, 2000; Falush, Stephens and Pritchard, 2003)"},"properties":{"noteIndex":0},"schema":"https://github.com/citation-style-language/schema/raw/master/csl-citation.json"}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(Pritchard, Stephens and Donnelly, 2000; Falush, Stephens and Pritchard, 2003)</w:t>
      </w:r>
      <w:r w:rsidRPr="00A35149">
        <w:rPr>
          <w:rFonts w:asciiTheme="majorBidi" w:hAnsiTheme="majorBidi" w:cstheme="majorBidi"/>
          <w:color w:val="4472C4" w:themeColor="accent1"/>
        </w:rPr>
        <w:fldChar w:fldCharType="end"/>
      </w:r>
      <w:r w:rsidR="008E1DC4" w:rsidRPr="00A35149">
        <w:rPr>
          <w:rFonts w:asciiTheme="majorBidi" w:hAnsiTheme="majorBidi" w:cstheme="majorBidi"/>
        </w:rPr>
        <w:t>. Here, t</w:t>
      </w:r>
      <w:r w:rsidRPr="00A35149">
        <w:rPr>
          <w:rFonts w:asciiTheme="majorBidi" w:hAnsiTheme="majorBidi" w:cstheme="majorBidi"/>
        </w:rPr>
        <w:t xml:space="preserve">he ancestry of each individual is </w:t>
      </w:r>
      <w:r w:rsidR="008E1DC4" w:rsidRPr="00A35149">
        <w:rPr>
          <w:rFonts w:asciiTheme="majorBidi" w:hAnsiTheme="majorBidi" w:cstheme="majorBidi"/>
        </w:rPr>
        <w:t>modelled</w:t>
      </w:r>
      <w:r w:rsidRPr="00A35149">
        <w:rPr>
          <w:rFonts w:asciiTheme="majorBidi" w:hAnsiTheme="majorBidi" w:cstheme="majorBidi"/>
        </w:rPr>
        <w:t xml:space="preserve"> as a proportion of </w:t>
      </w:r>
      <w:r w:rsidRPr="00A35149">
        <w:rPr>
          <w:rFonts w:asciiTheme="majorBidi" w:hAnsiTheme="majorBidi" w:cstheme="majorBidi"/>
          <w:i/>
        </w:rPr>
        <w:t>K</w:t>
      </w:r>
      <w:r w:rsidRPr="00A35149">
        <w:rPr>
          <w:rFonts w:asciiTheme="majorBidi" w:hAnsiTheme="majorBidi" w:cstheme="majorBidi"/>
        </w:rPr>
        <w:t xml:space="preserve"> admixture components, which are learned automatically, and represent “historical populations” in the model. Whilst computation was historically a concern, fast enough implementations now exist (e.g., </w:t>
      </w:r>
      <w:proofErr w:type="spellStart"/>
      <w:r w:rsidRPr="00A35149">
        <w:rPr>
          <w:rFonts w:asciiTheme="majorBidi" w:hAnsiTheme="majorBidi" w:cstheme="majorBidi"/>
          <w:i/>
          <w:iCs/>
        </w:rPr>
        <w:t>faststructure</w:t>
      </w:r>
      <w:proofErr w:type="spellEnd"/>
      <w:r w:rsidRPr="00A35149">
        <w:rPr>
          <w:rFonts w:asciiTheme="majorBidi" w:hAnsiTheme="majorBidi" w:cstheme="majorBidi"/>
        </w:rPr>
        <w:t xml:space="preserve">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{"citationItems":[{"id":"ITEM-1","itemData":{"DOI":"10.1534/genetics.114.164350","ISSN":"19432631","abstract":"Tools for estimating population structure from genetic data are now used in a wide variety of applications in population genetics. However, inferring population structure in large modern data sets imposes severe computational challenges. Here, we develop efficient algorithms for approximate inference of the model underlying the STRUCTURE program using a variational Bayesian framework. Variational methods pose the problem of computing relevant posterior distributions as an optimization problem, allowing us to build on recent advances in optimization theory to develop fast inference tools. In addition, we propose useful heuristic scores to identify the number of populations represented in a data set and a new hierarchical prior to detect weak population structure in the data. We test the variational algorithms on simulated data and illustrate using genotype data from the CEPH-Human Genome Diversity Panel. The variational algorithms are almost two orders of magnitude faster than STRUCTURE and achieve accuracies comparable to those of ADMIXTURE. Furthermore, our results show that the heuristic scores for choosing model complexity provide a reasonable range of values for the number of populations represented in the data, with minimal bias toward detecting structure when it is very weak. Our algorithm, fastSTRUCTURE, is freely available online at http://pritchardlab.stanford.edu/structure.html.","author":[{"dropping-particle":"","family":"Raj","given":"Anil","non-dropping-particle":"","parse-names":false,"suffix":""},{"dropping-particle":"","family":"Stephens","given":"Matthew","non-dropping-particle":"","parse-names":false,"suffix":""},{"dropping-particle":"","family":"Pritchard","given":"Jonathan K.","non-dropping-particle":"","parse-names":false,"suffix":""}],"container-title":"Genetics","id":"ITEM-1","issue":"2","issued":{"date-parts":[["2014"]]},"page":"573-589","title":"FastSTRUCTURE: Variational inference of population structure in large SNP data sets","type":"article-journal","volume":"197"},"uris":["http://www.mendeley.com/documents/?uuid=43c394de-ccc1-41b2-8c29-24b52c38ac96"]}],"mendeley":{"formattedCitation":"(Raj, Stephens and Pritchard, 2014)","plainTextFormattedCitation":"(Raj, Stephens and Pritchard, 2014)","previouslyFormattedCitation":"(Raj, Stephens and Pritchard, 2014)"},"properties":{"noteIndex":0},"schema":"https://github.com/citation-style-language/schema/raw/master/csl-citation.json"}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(Raj, Stephens and Pritchard, 2014)</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and </w:t>
      </w:r>
      <w:proofErr w:type="spellStart"/>
      <w:r w:rsidRPr="00A35149">
        <w:rPr>
          <w:rFonts w:asciiTheme="majorBidi" w:hAnsiTheme="majorBidi" w:cstheme="majorBidi"/>
          <w:i/>
          <w:iCs/>
        </w:rPr>
        <w:t>terrastructure</w:t>
      </w:r>
      <w:proofErr w:type="spellEnd"/>
      <w:r w:rsidRPr="00A35149">
        <w:rPr>
          <w:rFonts w:asciiTheme="majorBidi" w:hAnsiTheme="majorBidi" w:cstheme="majorBidi"/>
        </w:rPr>
        <w:t xml:space="preserve">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{"citationItems":[{"id":"ITEM-1","itemData":{"DOI":"10.1038/ng.3710","ISSN":"15461718","PMID":"27819665","abstract":"A major goal of population genetics is to quantitatively understand variation of genetic polymorphisms among individuals. The aggregated number of genotyped humans is currently on the order of millions of individuals, and existing methods do not scale to data of this size. To solve this problem, we developed TeraStructure, an algorithm to fit Bayesian models of genetic variation in structured human populations on tera-sample-sized data sets (10 12 observed genotypes; for example, 1 million individuals at 1 million SNPs). TeraStructure is a scalable approach to Bayesian inference in which subsamples of markers are used to update an estimate of the latent population structure among individuals. We demonstrate that TeraStructure performs as well as existing methods on current globally sampled data, and we show using simulations that TeraStructure continues to be accurate and is the only method that can scale to tera-sample sizes.","author":[{"dropping-particle":"","family":"Gopalan","given":"Prem","non-dropping-particle":"","parse-names":false,"suffix":""},{"dropping-particle":"","family":"Hao","given":"Wei","non-dropping-particle":"","parse-names":false,"suffix":""},{"dropping-particle":"","family":"Blei","given":"David M.","non-dropping-particle":"","parse-names":false,"suffix":""},{"dropping-particle":"","family":"Storey","given":"John D.","non-dropping-particle":"","parse-names":false,"suffix":""}],"container-title":"Nature Genetics","id":"ITEM-1","issue":"12","issued":{"date-parts":[["2016"]]},"page":"1587-1590","title":"Scaling probabilistic models of genetic variation to millions of humans","type":"article-journal","volume":"48"},"uris":["http://www.mendeley.com/documents/?uuid=87898fd8-2afa-4803-83e7-54521a708a0c"]}],"mendeley":{"formattedCitation":"(Gopalan &lt;i&gt;et al.&lt;/i&gt;, 2016)","plainTextFormattedCitation":"(Gopalan et al., 2016)","previouslyFormattedCitation":"(Gopalan &lt;i&gt;et al.&lt;/i&gt;, 2016)"},"properties":{"noteIndex":0},"schema":"https://github.com/citation-style-language/schema/raw/master/csl-citation.json"}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(Gopalan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2016)</w:t>
      </w:r>
      <w:r w:rsidRPr="00A35149">
        <w:rPr>
          <w:rFonts w:asciiTheme="majorBidi" w:hAnsiTheme="majorBidi" w:cstheme="majorBidi"/>
          <w:color w:val="4472C4" w:themeColor="accent1"/>
        </w:rPr>
        <w:fldChar w:fldCharType="end"/>
      </w:r>
      <w:r w:rsidRPr="00A35149">
        <w:rPr>
          <w:rFonts w:asciiTheme="majorBidi" w:hAnsiTheme="majorBidi" w:cstheme="majorBidi"/>
        </w:rPr>
        <w:t xml:space="preserve">). However, the </w:t>
      </w:r>
      <w:r w:rsidR="008E1DC4" w:rsidRPr="00A35149">
        <w:rPr>
          <w:rFonts w:asciiTheme="majorBidi" w:hAnsiTheme="majorBidi" w:cstheme="majorBidi"/>
        </w:rPr>
        <w:t xml:space="preserve">ancestral </w:t>
      </w:r>
      <w:r w:rsidRPr="00A35149">
        <w:rPr>
          <w:rFonts w:asciiTheme="majorBidi" w:hAnsiTheme="majorBidi" w:cstheme="majorBidi"/>
        </w:rPr>
        <w:t xml:space="preserve">interpretation is often misleading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{"citationItems":[{"id":"ITEM-1","itemData":{"DOI":"10.1038/s41467-018-05257-7","ISSN":"20411723","abstract":"Genetic clustering algorithms, implemented in programs such as STRUCTURE and ADMIXTURE, have been used extensively in the characterisation of individuals and populations based on genetic data. A successful example is the reconstruction of the genetic history of African Americans as a product of recent admixture between highly differentiated populations. Histories can also be reconstructed using the same procedure for groups that do not have admixture in their recent history, where recent genetic drift is strong or that deviate in other ways from the underlying inference model. Unfortunately, such histories can be misleading. We have implemented an approach, badMIXTURE, to assess the goodness of fit of the model using the ancestry “palettes” estimated by CHROMOPAINTER and apply it to both simulated data and real case studies. Combining these complementary analyses with additional methods that are designed to test specific hypotheses allows a richer and more robust analysis of recent demographic history.","author":[{"dropping-particle":"","family":"Lawson","given":"Daniel J.","non-dropping-particle":"","parse-names":false,"suffix":""},{"dropping-particle":"","family":"Dorp","given":"Lucy","non-dropping-particle":"van","parse-names":false,"suffix":""},{"dropping-particle":"","family":"Falush","given":"Daniel","non-dropping-particle":"","parse-names":false,"suffix":""}],"container-title":"Nature Communications","id":"ITEM-1","issue":"1","issued":{"date-parts":[["2018"]]},"title":"A tutorial on how not to over-interpret STRUCTURE and ADMIXTURE bar plots","type":"article-journal","volume":"9"},"uris":["http://www.mendeley.com/documents/?uuid=1cab60c5-0595-42dc-b2e7-c6f24426731c"]}],"mendeley":{"formattedCitation":"(Lawson, van Dorp and Falush, 2018)","plainTextFormattedCitation":"(Lawson, van Dorp and Falush, 2018)","previouslyFormattedCitation":"(Lawson, van Dorp and Falush, 2018)"},"properties":{"noteIndex":0},"schema":"https://github.com/citation-style-language/schema/raw/master/csl-citation.json"}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(Lawson, van Dorp and Falush, 2018)</w:t>
      </w:r>
      <w:r w:rsidRPr="00A35149">
        <w:rPr>
          <w:rFonts w:asciiTheme="majorBidi" w:hAnsiTheme="majorBidi" w:cstheme="majorBidi"/>
          <w:color w:val="4472C4" w:themeColor="accent1"/>
        </w:rPr>
        <w:fldChar w:fldCharType="end"/>
      </w:r>
      <w:r w:rsidRPr="00A35149">
        <w:rPr>
          <w:rFonts w:asciiTheme="majorBidi" w:hAnsiTheme="majorBidi" w:cstheme="majorBidi"/>
          <w:color w:val="4472C4"/>
        </w:rPr>
        <w:t xml:space="preserve">, </w:t>
      </w:r>
      <w:r w:rsidRPr="00A35149">
        <w:rPr>
          <w:rFonts w:asciiTheme="majorBidi" w:hAnsiTheme="majorBidi" w:cstheme="majorBidi"/>
        </w:rPr>
        <w:t xml:space="preserve">since sampling and genetic drift can also </w:t>
      </w:r>
      <w:r w:rsidR="008E1DC4" w:rsidRPr="00A35149">
        <w:rPr>
          <w:rFonts w:asciiTheme="majorBidi" w:hAnsiTheme="majorBidi" w:cstheme="majorBidi"/>
        </w:rPr>
        <w:t xml:space="preserve">create </w:t>
      </w:r>
      <w:r w:rsidRPr="00A35149">
        <w:rPr>
          <w:rFonts w:asciiTheme="majorBidi" w:hAnsiTheme="majorBidi" w:cstheme="majorBidi"/>
        </w:rPr>
        <w:t xml:space="preserve">the same representation for different true histories. Further, the choice of “proper” </w:t>
      </w:r>
      <w:r w:rsidRPr="00A35149">
        <w:rPr>
          <w:rFonts w:asciiTheme="majorBidi" w:hAnsiTheme="majorBidi" w:cstheme="majorBidi"/>
          <w:i/>
        </w:rPr>
        <w:t>K</w:t>
      </w:r>
      <w:r w:rsidRPr="00A35149">
        <w:rPr>
          <w:rFonts w:asciiTheme="majorBidi" w:hAnsiTheme="majorBidi" w:cstheme="majorBidi"/>
        </w:rPr>
        <w:t xml:space="preserve"> is unclear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{"citationItems":[{"id":"ITEM-1","itemData":{"DOI":"10.1038/s41467-018-05257-7","ISSN":"20411723","abstract":"Genetic clustering algorithms, implemented in programs such as STRUCTURE and ADMIXTURE, have been used extensively in the characterisation of individuals and populations based on genetic data. A successful example is the reconstruction of the genetic history of African Americans as a product of recent admixture between highly differentiated populations. Histories can also be reconstructed using the same procedure for groups that do not have admixture in their recent history, where recent genetic drift is strong or that deviate in other ways from the underlying inference model. Unfortunately, such histories can be misleading. We have implemented an approach, badMIXTURE, to assess the goodness of fit of the model using the ancestry “palettes” estimated by CHROMOPAINTER and apply it to both simulated data and real case studies. Combining these complementary analyses with additional methods that are designed to test specific hypotheses allows a richer and more robust analysis of recent demographic history.","author":[{"dropping-particle":"","family":"Lawson","given":"Daniel J.","non-dropping-particle":"","parse-names":false,"suffix":""},{"dropping-particle":"","family":"Dorp","given":"Lucy","non-dropping-particle":"van","parse-names":false,"suffix":""},{"dropping-particle":"","family":"Falush","given":"Daniel","non-dropping-particle":"","parse-names":false,"suffix":""}],"container-title":"Nature Communications","id":"ITEM-1","issue":"1","issued":{"date-parts":[["2018"]]},"title":"A tutorial on how not to over-interpret STRUCTURE and ADMIXTURE bar plots","type":"article-journal","volume":"9"},"uris":["http://www.mendeley.com/documents/?uuid=1cab60c5-0595-42dc-b2e7-c6f24426731c"]},{"id":"ITEM-2","itemData":{"DOI":"10.1101/cshperspect.a021238","ISSN":"19430264","abstract":"People around the world have folk origin myths, stories that explain where they came from and account for their place in the world and their differences from other peoples. As scientists, however, we claim to be seeking literal historical truth. In Western culture, typological ideas about human variation are at least as ancient as written discussion of the subject, and have dominated both social and scientific thinking about race. From Herodotus to the Biblical lost tribes of Israel, and surprisingly even to today, it has been common to view our species as composed of distinct, or even discrete groups, types, or \"races,\" with other individuals admixed from among those groups. Such rhetoric goes so much against the well-known evolutionary realities that it must reflect something deep about human thought, at least in Western culture. Typological approaches can be convenient for some pragmatic aspects of scientific analysis, but they can be seductively deceiving. We know how to think differently and should do so, given the historical abuses that have occurred as a result of typological thinking that seem always to lurk in the human heart.","author":[{"dropping-particle":"","family":"Weiss","given":"Kenneth M.","non-dropping-particle":"","parse-names":false,"suffix":""},{"dropping-particle":"","family":"Lambert","given":"Brian W.","non-dropping-particle":"","parse-names":false,"suffix":""}],"container-title":"Cold Spring Harbor Perspectives in Biology","id":"ITEM-2","issue":"1","issued":{"date-parts":[["2014"]]},"title":"What type of person are you? Old-fashioned thinking even in modern science","type":"article-journal","volume":"6"},"uris":["http://www.mendeley.com/documents/?uuid=fb404a1e-3ab5-4a57-a8c7-8a459461b3fe"]}],"mendeley":{"formattedCitation":"(Weiss and Lambert, 2014; Lawson, van Dorp and Falush, 2018)","plainTextFormattedCitation":"(Weiss and Lambert, 2014; Lawson, van Dorp and Falush, 2018)","previouslyFormattedCitation":"(Weiss and Lambert, 2014; Lawson, van Dorp and Falush, 2018)"},"properties":{"noteIndex":0},"schema":"https://github.com/citation-style-language/schema/raw/master/csl-citation.json"}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(Weiss and Lambert, 2014; Lawson, van Dorp and Falush, 2018)</w:t>
      </w:r>
      <w:r w:rsidRPr="00A35149">
        <w:rPr>
          <w:rFonts w:asciiTheme="majorBidi" w:hAnsiTheme="majorBidi" w:cstheme="majorBidi"/>
          <w:color w:val="4472C4" w:themeColor="accent1"/>
        </w:rPr>
        <w:fldChar w:fldCharType="end"/>
      </w:r>
      <w:r w:rsidRPr="00A35149">
        <w:rPr>
          <w:rFonts w:asciiTheme="majorBidi" w:hAnsiTheme="majorBidi" w:cstheme="majorBidi"/>
          <w:color w:val="4472C4" w:themeColor="accent1"/>
        </w:rPr>
        <w:t xml:space="preserve"> </w:t>
      </w:r>
      <w:r w:rsidRPr="00A35149">
        <w:rPr>
          <w:rFonts w:asciiTheme="majorBidi" w:hAnsiTheme="majorBidi" w:cstheme="majorBidi"/>
        </w:rPr>
        <w:t>and can have significant effect</w:t>
      </w:r>
      <w:r w:rsidR="008E1DC4" w:rsidRPr="00A35149">
        <w:rPr>
          <w:rFonts w:asciiTheme="majorBidi" w:hAnsiTheme="majorBidi" w:cstheme="majorBidi"/>
        </w:rPr>
        <w:t>s</w:t>
      </w:r>
      <w:r w:rsidRPr="00A35149">
        <w:rPr>
          <w:rFonts w:asciiTheme="majorBidi" w:hAnsiTheme="majorBidi" w:cstheme="majorBidi"/>
        </w:rPr>
        <w:t xml:space="preserve"> on </w:t>
      </w:r>
      <w:r w:rsidR="008E1DC4" w:rsidRPr="00A35149">
        <w:rPr>
          <w:rFonts w:asciiTheme="majorBidi" w:hAnsiTheme="majorBidi" w:cstheme="majorBidi"/>
        </w:rPr>
        <w:t xml:space="preserve">the </w:t>
      </w:r>
      <w:r w:rsidRPr="00A35149">
        <w:rPr>
          <w:rFonts w:asciiTheme="majorBidi" w:hAnsiTheme="majorBidi" w:cstheme="majorBidi"/>
        </w:rPr>
        <w:t xml:space="preserve">inference. Conceptually, admixture uses the same information as PCA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{"citationItems":[{"id":"ITEM-1","itemData":{"DOI":"10.1371/journal.pgen.1002453","ISSN":"15537390","abstract":"The advent of genome-wide dense variation data provides an opportunity to investigate ancestry in unprecedented detail, but presents new statistical challenges. We propose a novel inference framework that aims to efficiently capture information on population structure provided by patterns of haplotype similarity. Each individual in a sample is considered in turn as a recipient, whose chromosomes are reconstructed using chunks of DNA donated by the other individuals. Results of this \"chromosome painting\" can be summarized as a \"coancestry matrix,\" which directly reveals key information about ancestral relationships among individuals. If markers are viewed as independent, we show that this matrix almost completely captures the information used by both standard Principal Components Analysis (PCA) and model-based approaches such as STRUCTURE in a unified manner. Furthermore, when markers are in linkage disequilibrium, the matrix combines information across successive markers to increase the ability to discern fine-scale population structure using PCA. In parallel, we have developed an efficient model-based approach to identify discrete populations using this matrix, which offers advantages over PCA in terms of interpretability and over existing clustering algorithms in terms of speed, number of separable populations, and sensitivity to subtle population structure. We analyse Human Genome Diversity Panel data for 938 individuals and 641,000 markers, and we identify 226 populations reflecting differences on continental, regional, local, and family scales. We present multiple lines of evidence that, while many methods capture similar information among strongly differentiated groups, more subtle population structure in human populations is consistently present at a much finer level than currently available geographic labels and is only captured by the haplotype-based approach. The software used for this article, ChromoPainter and fineSTRUCTURE, is available from http://www.paintmychromosomes.com/.","author":[{"dropping-particle":"","family":"Lawson","given":"Daniel John","non-dropping-particle":"","parse-names":false,"suffix":""},{"dropping-particle":"","family":"Hellenthal","given":"Garrett","non-dropping-particle":"","parse-names":false,"suffix":""},{"dropping-particle":"","family":"Myers","given":"Simon","non-dropping-particle":"","parse-names":false,"suffix":""},{"dropping-particle":"","family":"Falush","given":"Daniel","non-dropping-particle":"","parse-names":false,"suffix":""}],"container-title":"PLoS Genetics","id":"ITEM-1","issue":"1","issued":{"date-parts":[["2012"]]},"title":"Inference of population structure using dense haplotype data","type":"article-journal","volume":"8"},"uris":["http://www.mendeley.com/documents/?uuid=306c3f6f-3f86-46ad-b43a-489f54e8b432"]}],"mendeley":{"formattedCitation":"(Lawson &lt;i&gt;et al.&lt;/i&gt;, 2012)","plainTextFormattedCitation":"(Lawson et al., 2012)","previouslyFormattedCitation":"(Lawson &lt;i&gt;et al.&lt;/i&gt;, 2012)"},"properties":{"noteIndex":0},"schema":"https://github.com/citation-style-language/schema/raw/master/csl-citation.json"}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 xml:space="preserve">(Lawson </w:t>
      </w:r>
      <w:r w:rsidRPr="00A35149">
        <w:rPr>
          <w:rFonts w:asciiTheme="majorBidi" w:hAnsiTheme="majorBidi" w:cstheme="majorBidi"/>
          <w:i/>
          <w:noProof/>
          <w:color w:val="4472C4" w:themeColor="accent1"/>
        </w:rPr>
        <w:t>et al.</w:t>
      </w:r>
      <w:r w:rsidRPr="00A35149">
        <w:rPr>
          <w:rFonts w:asciiTheme="majorBidi" w:hAnsiTheme="majorBidi" w:cstheme="majorBidi"/>
          <w:noProof/>
          <w:color w:val="4472C4" w:themeColor="accent1"/>
        </w:rPr>
        <w:t>, 2012)</w:t>
      </w:r>
      <w:r w:rsidRPr="00A35149">
        <w:rPr>
          <w:rFonts w:asciiTheme="majorBidi" w:hAnsiTheme="majorBidi" w:cstheme="majorBidi"/>
          <w:color w:val="4472C4" w:themeColor="accent1"/>
        </w:rPr>
        <w:fldChar w:fldCharType="end"/>
      </w:r>
      <w:r w:rsidRPr="00A35149">
        <w:rPr>
          <w:rFonts w:asciiTheme="majorBidi" w:hAnsiTheme="majorBidi" w:cstheme="majorBidi"/>
          <w:color w:val="4472C4" w:themeColor="accent1"/>
        </w:rPr>
        <w:t xml:space="preserve"> </w:t>
      </w:r>
      <w:r w:rsidRPr="00A35149">
        <w:rPr>
          <w:rFonts w:asciiTheme="majorBidi" w:hAnsiTheme="majorBidi" w:cstheme="majorBidi"/>
        </w:rPr>
        <w:t xml:space="preserve">and hence suffer </w:t>
      </w:r>
      <w:r w:rsidR="008E1DC4" w:rsidRPr="00A35149">
        <w:rPr>
          <w:rFonts w:asciiTheme="majorBidi" w:hAnsiTheme="majorBidi" w:cstheme="majorBidi"/>
        </w:rPr>
        <w:t xml:space="preserve">from </w:t>
      </w:r>
      <w:r w:rsidRPr="00A35149">
        <w:rPr>
          <w:rFonts w:asciiTheme="majorBidi" w:hAnsiTheme="majorBidi" w:cstheme="majorBidi"/>
        </w:rPr>
        <w:t xml:space="preserve">the same limitations. </w:t>
      </w:r>
    </w:p>
    <w:p w14:paraId="22757B62" w14:textId="77777777" w:rsidR="00342D11" w:rsidRPr="00A35149" w:rsidRDefault="00342D11" w:rsidP="00C922AC">
      <w:pPr>
        <w:widowControl w:val="0"/>
        <w:ind w:firstLine="720"/>
        <w:rPr>
          <w:rFonts w:asciiTheme="majorBidi" w:hAnsiTheme="majorBidi" w:cstheme="majorBidi"/>
        </w:rPr>
      </w:pPr>
    </w:p>
    <w:p w14:paraId="3ECF9D26" w14:textId="3FBC9FDA" w:rsidR="00342D11" w:rsidRPr="00A35149" w:rsidRDefault="00342D11" w:rsidP="00347B1A">
      <w:pPr>
        <w:pStyle w:val="Heading3"/>
        <w:rPr>
          <w:rFonts w:asciiTheme="majorBidi" w:hAnsiTheme="majorBidi"/>
          <w:color w:val="4472C4" w:themeColor="accent1"/>
        </w:rPr>
      </w:pPr>
      <w:r w:rsidRPr="00A35149">
        <w:rPr>
          <w:rFonts w:asciiTheme="majorBidi" w:hAnsiTheme="majorBidi"/>
          <w:color w:val="4472C4" w:themeColor="accent1"/>
        </w:rPr>
        <w:t>Sibship, Kinship, and Clanship via Identity by Descent</w:t>
      </w:r>
    </w:p>
    <w:p w14:paraId="28DDCF38" w14:textId="77777777" w:rsidR="00B866F0" w:rsidRPr="00A35149" w:rsidRDefault="00B866F0" w:rsidP="00C37A8B">
      <w:pPr>
        <w:rPr>
          <w:rFonts w:asciiTheme="majorBidi" w:hAnsiTheme="majorBidi" w:cstheme="majorBidi"/>
        </w:rPr>
      </w:pPr>
    </w:p>
    <w:p w14:paraId="2D75E507" w14:textId="698F8832" w:rsidR="0077392D" w:rsidRPr="00A35149" w:rsidRDefault="000F6B6C" w:rsidP="00B866F0">
      <w:pPr>
        <w:rPr>
          <w:rFonts w:asciiTheme="majorBidi" w:hAnsiTheme="majorBidi" w:cstheme="majorBidi"/>
        </w:rPr>
      </w:pPr>
      <w:r w:rsidRPr="00A35149">
        <w:rPr>
          <w:rFonts w:asciiTheme="majorBidi" w:hAnsiTheme="majorBidi" w:cstheme="majorBidi"/>
        </w:rPr>
        <w:t xml:space="preserve">Since </w:t>
      </w:r>
      <w:r w:rsidR="00AC4F7D" w:rsidRPr="00A35149">
        <w:rPr>
          <w:rFonts w:asciiTheme="majorBidi" w:hAnsiTheme="majorBidi" w:cstheme="majorBidi"/>
        </w:rPr>
        <w:t>related individuals do not represent statistically independent samples and may lead to false positive associations</w:t>
      </w:r>
      <w:r w:rsidR="00397CE5" w:rsidRPr="00A35149">
        <w:rPr>
          <w:rFonts w:asciiTheme="majorBidi" w:hAnsiTheme="majorBidi" w:cstheme="majorBidi"/>
        </w:rPr>
        <w:t>,</w:t>
      </w:r>
      <w:r w:rsidR="00AC4F7D" w:rsidRPr="00A35149">
        <w:rPr>
          <w:rFonts w:asciiTheme="majorBidi" w:hAnsiTheme="majorBidi" w:cstheme="majorBidi"/>
        </w:rPr>
        <w:t xml:space="preserve"> </w:t>
      </w:r>
      <w:r w:rsidRPr="00A35149">
        <w:rPr>
          <w:rFonts w:asciiTheme="majorBidi" w:hAnsiTheme="majorBidi" w:cstheme="majorBidi"/>
        </w:rPr>
        <w:t xml:space="preserve">association analyses </w:t>
      </w:r>
      <w:r w:rsidR="00215E6E" w:rsidRPr="00A35149">
        <w:rPr>
          <w:rFonts w:asciiTheme="majorBidi" w:hAnsiTheme="majorBidi" w:cstheme="majorBidi"/>
        </w:rPr>
        <w:t>containing</w:t>
      </w:r>
      <w:r w:rsidRPr="00A35149">
        <w:rPr>
          <w:rFonts w:asciiTheme="majorBidi" w:hAnsiTheme="majorBidi" w:cstheme="majorBidi"/>
        </w:rPr>
        <w:t xml:space="preserve"> related individuals</w:t>
      </w:r>
      <w:r w:rsidR="00215E6E" w:rsidRPr="00A35149">
        <w:rPr>
          <w:rFonts w:asciiTheme="majorBidi" w:hAnsiTheme="majorBidi" w:cstheme="majorBidi"/>
        </w:rPr>
        <w:t xml:space="preserve"> require special care</w:t>
      </w:r>
      <w:r w:rsidRPr="00A35149">
        <w:rPr>
          <w:rFonts w:asciiTheme="majorBidi" w:hAnsiTheme="majorBidi" w:cstheme="majorBidi"/>
        </w:rPr>
        <w:t xml:space="preserve"> </w:t>
      </w:r>
      <w:r w:rsidR="00AC4F7D" w:rsidRPr="00A35149">
        <w:rPr>
          <w:rFonts w:asciiTheme="majorBidi" w:hAnsiTheme="majorBidi" w:cstheme="majorBidi"/>
          <w:color w:val="4472C4" w:themeColor="accent1"/>
        </w:rPr>
        <w:fldChar w:fldCharType="begin" w:fldLock="1"/>
      </w:r>
      <w:r w:rsidR="00AC4F7D" w:rsidRPr="00A35149">
        <w:rPr>
          <w:rFonts w:asciiTheme="majorBidi" w:hAnsiTheme="majorBidi" w:cstheme="majorBidi"/>
          <w:color w:val="4472C4" w:themeColor="accent1"/>
        </w:rPr>
        <w:instrText>ADDIN CSL_CITATION {"citationItems":[{"id":"ITEM-1","itemData":{"DOI":"10.1093/bioinformatics/btt652","ISSN":"14602059","abstract":"Motivation: Pairwise relatedness plays an important role in a range of genetic research fields. However, currently only few estimators exist for individuals that are admixed, i.e. have ancestry from more than one population, and these estimators fail in some situations.Results: We present a new software tool, RelateAdmix, for obtaining maximum likelihood estimates of pairwise relatedness from genetic data between admixed individuals. We show using simulated data that it gives rise to better estimates than three state-of-the-art software tools, REAP, KING and Plink, while still being fast enough to be applicable to large datasets.Availability and implementation: The software tool, implemented in C and R, is freely available from www.popgen.dk/software.Contact: albrecht@binf.ku.dkSupplementary information: Supplementary data are available at Bioinformatics online.","author":[{"dropping-particle":"","family":"Moltke","given":"Ida","non-dropping-particle":"","parse-names":false,"suffix":""},{"dropping-particle":"","family":"Albrechtsen","given":"Anders","non-dropping-particle":"","parse-names":false,"suffix":""}],"container-title":"Bioinformatics","id":"ITEM-1","issue":"7","issued":{"date-parts":[["2014"]]},"page":"1027-1028","title":"RelateAdmix: A software tool for estimating relatedness between admixed individuals","type":"article-journal","volume":"30"},"uris":["http://www.mendeley.com/documents/?uuid=fd307e04-077c-4ef4-bd5d-25f6d37c62b0"]},{"id":"ITEM-2","itemData":{"DOI":"10.1371/journal.pone.0195491","ISSN":"19326203","abstract":"Archaeogenomic research has proven to be a valuable tool to trace migrations of historic and prehistoric individuals and groups, whereas relationships within a group or burial site have not been investigated to a large extent. Knowing the genetic kinship of historic and prehistoric individuals would give important insights into social structures of ancient and historic cultures. Most archaeogenetic research concerning kinship has been restricted to uniparental markers, while studies using genome-wide information were mainly focused on comparisons between populations. Applications which infer the degree of relationship based on modern-day DNA information typically require diploid genotype data. Low concentration of endogenous DNA, fragmentation and other post-mortem damage to ancient DNA (aDNA) makes the application of such tools unfeasible for most archaeological samples. To infer family relationships for degraded samples, we developed the software READ (Relationship Estimation from Ancient DNA). We show that our heuristic approach can successfully infer up to second degree relationships with as little as 0.1x shotgun coverage per genome for pairs of individuals. We uncover previously unknown relationships among prehistoric individuals by applying READ to published aDNA data from several human remains excavated from different cultural contexts. In particular, we find a group of five closely related males from the same Corded Ware culture site in modern-day Germany, suggesting patrilocality, which highlights the possibility to uncover social structures of ancient populations by applying READ to genome-wide aDNA data. READ is publicly available from https://bitbucket.org/tguenther/read.","author":[{"dropping-particle":"","family":"Kuhn","given":"Jose Manuel Monroy","non-dropping-particle":"","parse-names":false,"suffix":""},{"dropping-particle":"","family":"Jakobsson","given":"Mattias","non-dropping-particle":"","parse-names":false,"suffix":""},{"dropping-particle":"","family":"Günther","given":"Torsten","non-dropping-particle":"","parse-names":false,"suffix":""}],"container-title":"PLoS ONE","id":"ITEM-2","issue":"4","issued":{"date-parts":[["2018"]]},"title":"Estimating genetic kin relationships in prehistoric populations","type":"article-journal","volume":"13"},"uris":["http://www.mendeley.com/documents/?uuid=94bd83d8-8d57-477d-bf96-9d14bbef2f5e"]}],"mendeley":{"formattedCitation":"(Moltke and Albrechtsen, 2014; Kuhn, Jakobsson and Günther, 2018)","plainTextFormattedCitation":"(Moltke and Albrechtsen, 2014; Kuhn, Jakobsson and Günther, 2018)","previouslyFormattedCitation":"(Moltke and Albrechtsen, 2014; Kuhn, Jakobsson and Günther, 2018)"},"properties":{"noteIndex":0},"schema":"https://github.com/citation-style-language/schema/raw/master/csl-citation.json"}</w:instrText>
      </w:r>
      <w:r w:rsidR="00AC4F7D" w:rsidRPr="00A35149">
        <w:rPr>
          <w:rFonts w:asciiTheme="majorBidi" w:hAnsiTheme="majorBidi" w:cstheme="majorBidi"/>
          <w:color w:val="4472C4" w:themeColor="accent1"/>
        </w:rPr>
        <w:fldChar w:fldCharType="separate"/>
      </w:r>
      <w:r w:rsidR="00AC4F7D" w:rsidRPr="00A35149">
        <w:rPr>
          <w:rFonts w:asciiTheme="majorBidi" w:hAnsiTheme="majorBidi" w:cstheme="majorBidi"/>
          <w:noProof/>
          <w:color w:val="4472C4" w:themeColor="accent1"/>
        </w:rPr>
        <w:t>(Moltke and Albrechtsen, 2014; Kuhn, Jakobsson and Günther, 2018)</w:t>
      </w:r>
      <w:r w:rsidR="00AC4F7D" w:rsidRPr="00A35149">
        <w:rPr>
          <w:rFonts w:asciiTheme="majorBidi" w:hAnsiTheme="majorBidi" w:cstheme="majorBidi"/>
          <w:color w:val="4472C4" w:themeColor="accent1"/>
        </w:rPr>
        <w:fldChar w:fldCharType="end"/>
      </w:r>
      <w:r w:rsidR="00AC4F7D" w:rsidRPr="00A35149">
        <w:rPr>
          <w:rFonts w:asciiTheme="majorBidi" w:hAnsiTheme="majorBidi" w:cstheme="majorBidi"/>
        </w:rPr>
        <w:t xml:space="preserve">. </w:t>
      </w:r>
      <w:r w:rsidR="00B866F0" w:rsidRPr="00A35149">
        <w:rPr>
          <w:rFonts w:asciiTheme="majorBidi" w:hAnsiTheme="majorBidi" w:cstheme="majorBidi"/>
        </w:rPr>
        <w:t xml:space="preserve">The degree of relatedness is different between individuals and ranges between the largely known sibship, the often-known kinship, and the typically unknown clanship. </w:t>
      </w:r>
      <w:r w:rsidR="0077392D" w:rsidRPr="00A35149">
        <w:rPr>
          <w:rFonts w:asciiTheme="majorBidi" w:hAnsiTheme="majorBidi" w:cstheme="majorBidi"/>
        </w:rPr>
        <w:t xml:space="preserve">Relatedness can be identified from DNA, as it is inherited in segments from one’s ancestors, whereby long segments are shared between more recently related individuals. This inheritance pattern is used to define genetic regions for two pairs of individuals that are Identical </w:t>
      </w:r>
      <w:proofErr w:type="gramStart"/>
      <w:r w:rsidR="0077392D" w:rsidRPr="00A35149">
        <w:rPr>
          <w:rFonts w:asciiTheme="majorBidi" w:hAnsiTheme="majorBidi" w:cstheme="majorBidi"/>
        </w:rPr>
        <w:t>By</w:t>
      </w:r>
      <w:proofErr w:type="gramEnd"/>
      <w:r w:rsidR="0077392D" w:rsidRPr="00A35149">
        <w:rPr>
          <w:rFonts w:asciiTheme="majorBidi" w:hAnsiTheme="majorBidi" w:cstheme="majorBidi"/>
        </w:rPr>
        <w:t xml:space="preserve"> Descent (IBD).</w:t>
      </w:r>
    </w:p>
    <w:p w14:paraId="12DFFF74" w14:textId="77777777" w:rsidR="0077392D" w:rsidRPr="00A35149" w:rsidRDefault="0077392D" w:rsidP="00B866F0">
      <w:pPr>
        <w:rPr>
          <w:rFonts w:asciiTheme="majorBidi" w:hAnsiTheme="majorBidi" w:cstheme="majorBidi"/>
        </w:rPr>
      </w:pPr>
    </w:p>
    <w:p w14:paraId="14265FAD" w14:textId="4BE4C6A2" w:rsidR="0077392D" w:rsidRPr="00A35149" w:rsidRDefault="0077392D">
      <w:pPr>
        <w:rPr>
          <w:rFonts w:asciiTheme="majorBidi" w:hAnsiTheme="majorBidi" w:cstheme="majorBidi"/>
        </w:rPr>
      </w:pPr>
      <w:r w:rsidRPr="00A35149">
        <w:rPr>
          <w:rFonts w:asciiTheme="majorBidi" w:hAnsiTheme="majorBidi" w:cstheme="majorBidi"/>
        </w:rPr>
        <w:t>However, t</w:t>
      </w:r>
      <w:r w:rsidR="00B866F0" w:rsidRPr="00A35149">
        <w:rPr>
          <w:rFonts w:asciiTheme="majorBidi" w:hAnsiTheme="majorBidi" w:cstheme="majorBidi"/>
        </w:rPr>
        <w:t xml:space="preserve">he difficulty in estimating relatedness increases as the relation becomes more distant because the IBD DNA segment between individuals are shorter and more difficult to distinguish from DNA segments that are identical by state (IBS). </w:t>
      </w:r>
      <w:r w:rsidRPr="00A35149">
        <w:rPr>
          <w:rFonts w:asciiTheme="majorBidi" w:hAnsiTheme="majorBidi" w:cstheme="majorBidi"/>
        </w:rPr>
        <w:t>Typically</w:t>
      </w:r>
      <w:r w:rsidR="00DF4C5B" w:rsidRPr="00A35149">
        <w:rPr>
          <w:rFonts w:asciiTheme="majorBidi" w:hAnsiTheme="majorBidi" w:cstheme="majorBidi"/>
        </w:rPr>
        <w:t>,</w:t>
      </w:r>
      <w:r w:rsidRPr="00A35149">
        <w:rPr>
          <w:rFonts w:asciiTheme="majorBidi" w:hAnsiTheme="majorBidi" w:cstheme="majorBidi"/>
        </w:rPr>
        <w:t xml:space="preserve"> all </w:t>
      </w:r>
      <w:r w:rsidR="00E838B3" w:rsidRPr="00A35149">
        <w:rPr>
          <w:rFonts w:asciiTheme="majorBidi" w:hAnsiTheme="majorBidi" w:cstheme="majorBidi"/>
        </w:rPr>
        <w:t xml:space="preserve">the </w:t>
      </w:r>
      <w:r w:rsidRPr="00A35149">
        <w:rPr>
          <w:rFonts w:asciiTheme="majorBidi" w:hAnsiTheme="majorBidi" w:cstheme="majorBidi"/>
        </w:rPr>
        <w:t xml:space="preserve">IBD </w:t>
      </w:r>
      <w:r w:rsidR="00E838B3" w:rsidRPr="00A35149">
        <w:rPr>
          <w:rFonts w:asciiTheme="majorBidi" w:hAnsiTheme="majorBidi" w:cstheme="majorBidi"/>
        </w:rPr>
        <w:t xml:space="preserve">segments that are </w:t>
      </w:r>
      <w:r w:rsidRPr="00A35149">
        <w:rPr>
          <w:rFonts w:asciiTheme="majorBidi" w:hAnsiTheme="majorBidi" w:cstheme="majorBidi"/>
        </w:rPr>
        <w:t xml:space="preserve">more recent that a chosen (average) age of the pairwise relationship </w:t>
      </w:r>
      <w:proofErr w:type="gramStart"/>
      <w:r w:rsidR="00E838B3" w:rsidRPr="00A35149">
        <w:rPr>
          <w:rFonts w:asciiTheme="majorBidi" w:hAnsiTheme="majorBidi" w:cstheme="majorBidi"/>
        </w:rPr>
        <w:t>are</w:t>
      </w:r>
      <w:proofErr w:type="gramEnd"/>
      <w:r w:rsidR="00E838B3" w:rsidRPr="00A35149">
        <w:rPr>
          <w:rFonts w:asciiTheme="majorBidi" w:hAnsiTheme="majorBidi" w:cstheme="majorBidi"/>
        </w:rPr>
        <w:t xml:space="preserve"> </w:t>
      </w:r>
      <w:r w:rsidRPr="00A35149">
        <w:rPr>
          <w:rFonts w:asciiTheme="majorBidi" w:hAnsiTheme="majorBidi" w:cstheme="majorBidi"/>
        </w:rPr>
        <w:t xml:space="preserve">sought by thresholding the lengths of segments. </w:t>
      </w:r>
    </w:p>
    <w:p w14:paraId="663A6692" w14:textId="7FA82336" w:rsidR="00E66BCF" w:rsidRPr="00A35149" w:rsidRDefault="00E66BCF" w:rsidP="00C37A8B">
      <w:pPr>
        <w:rPr>
          <w:rFonts w:asciiTheme="majorBidi" w:hAnsiTheme="majorBidi" w:cstheme="majorBidi"/>
        </w:rPr>
      </w:pPr>
    </w:p>
    <w:p w14:paraId="5D0C13B3" w14:textId="16F1BBAB" w:rsidR="00342D11" w:rsidRPr="00A35149" w:rsidRDefault="001655A8">
      <w:pPr>
        <w:rPr>
          <w:rFonts w:asciiTheme="majorBidi" w:hAnsiTheme="majorBidi" w:cstheme="majorBidi"/>
        </w:rPr>
      </w:pPr>
      <w:r w:rsidRPr="00A35149">
        <w:rPr>
          <w:rFonts w:asciiTheme="majorBidi" w:hAnsiTheme="majorBidi" w:cstheme="majorBidi"/>
        </w:rPr>
        <w:t xml:space="preserve">Alone, </w:t>
      </w:r>
      <w:r w:rsidR="00C37A8B" w:rsidRPr="00A35149">
        <w:rPr>
          <w:rFonts w:asciiTheme="majorBidi" w:hAnsiTheme="majorBidi" w:cstheme="majorBidi"/>
        </w:rPr>
        <w:t xml:space="preserve">IBD </w:t>
      </w:r>
      <w:r w:rsidRPr="00A35149">
        <w:rPr>
          <w:rFonts w:asciiTheme="majorBidi" w:hAnsiTheme="majorBidi" w:cstheme="majorBidi"/>
        </w:rPr>
        <w:t xml:space="preserve">is not a measure of ancestry, though </w:t>
      </w:r>
      <w:r w:rsidR="00E838B3" w:rsidRPr="00A35149">
        <w:rPr>
          <w:rFonts w:asciiTheme="majorBidi" w:hAnsiTheme="majorBidi" w:cstheme="majorBidi"/>
        </w:rPr>
        <w:t xml:space="preserve">its results </w:t>
      </w:r>
      <w:r w:rsidRPr="00A35149">
        <w:rPr>
          <w:rFonts w:asciiTheme="majorBidi" w:hAnsiTheme="majorBidi" w:cstheme="majorBidi"/>
        </w:rPr>
        <w:t xml:space="preserve">can be summarised into a Kinship matrix analogously to the GRM. Kinship is the probability that two homologous alleles drawn from each of two individuals are </w:t>
      </w:r>
      <w:r w:rsidR="00AB0325" w:rsidRPr="00A35149">
        <w:rPr>
          <w:rFonts w:asciiTheme="majorBidi" w:hAnsiTheme="majorBidi" w:cstheme="majorBidi"/>
        </w:rPr>
        <w:t>IBD</w:t>
      </w:r>
      <w:r w:rsidRPr="00A35149">
        <w:rPr>
          <w:rFonts w:asciiTheme="majorBidi" w:hAnsiTheme="majorBidi" w:cstheme="majorBidi"/>
          <w:color w:val="4472C4"/>
        </w:rPr>
        <w:t xml:space="preserve"> </w:t>
      </w:r>
      <w:r w:rsidRPr="00A35149">
        <w:rPr>
          <w:rFonts w:asciiTheme="majorBidi" w:hAnsiTheme="majorBidi" w:cstheme="majorBidi"/>
          <w:color w:val="4472C4"/>
        </w:rPr>
        <w:fldChar w:fldCharType="begin" w:fldLock="1"/>
      </w:r>
      <w:r w:rsidR="00DB2708" w:rsidRPr="00A35149">
        <w:rPr>
          <w:rFonts w:asciiTheme="majorBidi" w:hAnsiTheme="majorBidi" w:cstheme="majorBidi"/>
          <w:color w:val="4472C4"/>
        </w:rPr>
        <w:instrText>ADDIN CSL_CITATION {"citationItems":[{"id":"ITEM-1","itemData":{"DOI":"10.1111/j.1469-1809.1975.tb00120.x","ISSN":"14691809","PMID":"1052764","abstract":"Relationships between the individuals of a population have been previously studied from the point of view of prediction. Edwards (1967) suggested that the problem of detailed population structure could also be studied from the point of view of inference. Even where inferences of practical applicability cannot be made, such an approach can increase understanding of the relation between genealogical and genetic structure. In this paper we consider a specific problem which provides an introduction to the ideas and methods of genealogical inference. This is the problem of estimating the pairwise relationship between two individuals on the basis of their phenotypes at several loci. There is no theoretical problem in the extension from pairwise to joint relationship.","author":[{"dropping-particle":"","family":"THOMPSON","given":"E. A.","non-dropping-particle":"","parse-names":false,"suffix":""}],"container-title":"Annals of Human Genetics","id":"ITEM-1","issue":"2","issued":{"date-parts":[["1975"]]},"page":"173-188","title":"The estimation of pairwise relationships","type":"article-journal","volume":"39"},"uris":["http://www.mendeley.com/documents/?uuid=1783dc33-71c9-4f9a-b136-9a550074e204"]},{"id":"ITEM-2","itemData":{"DOI":"10.1038/nrg3821","ISSN":"14710064","abstract":"Relatedness is a fundamental concept in genetics but is surprisingly hard to define in a rigorous yet useful way. Traditional relatedness coefficients specify expected genome sharing between individuals in pedigrees, but actual genome sharing can differ considerably from these expected values, which in any case vary according to the pedigree that happens to be available. Nowadays, we can measure genome sharing directly from genome-wide single-nucleotide polymorphism (SNP) data; however, there are many such measures in current use, and we lack good criteria for choosing among them. Here, we review SNP-based measures of relatedness and criteria for comparing them. We discuss how useful pedigree-based concepts remain today and highlight opportunities for further advances in quantitative genetics, with a focus on heritability estimation and phenotype prediction.","author":[{"dropping-particle":"","family":"Speed","given":"Doug","non-dropping-particle":"","parse-names":false,"suffix":""},{"dropping-particle":"","family":"Balding","given":"David J.","non-dropping-particle":"","parse-names":false,"suffix":""}],"container-title":"Nature Reviews Genetics","id":"ITEM-2","issue":"1","issued":{"date-parts":[["2015"]]},"page":"33-44","title":"Relatedness in the post-genomic era: Is it still useful?","type":"article-journal","volume":"16"},"uris":["http://www.mendeley.com/documents/?uuid=e9f027e4-95b8-4040-b841-ef046ef52a3a"]}],"mendeley":{"formattedCitation":"(THOMPSON, 1975; Speed and Balding, 2015)","manualFormatting":"(Thompson, 1975; Speed and Balding, 2015)","plainTextFormattedCitation":"(THOMPSON, 1975; Speed and Balding, 2015)","previouslyFormattedCitation":"(THOMPSON, 1975; Speed and Balding, 2015)"},"properties":{"noteIndex":0},"schema":"https://github.com/citation-style-language/schema/raw/master/csl-citation.json"}</w:instrText>
      </w:r>
      <w:r w:rsidRPr="00A35149">
        <w:rPr>
          <w:rFonts w:asciiTheme="majorBidi" w:hAnsiTheme="majorBidi" w:cstheme="majorBidi"/>
          <w:color w:val="4472C4"/>
        </w:rPr>
        <w:fldChar w:fldCharType="separate"/>
      </w:r>
      <w:r w:rsidRPr="00A35149">
        <w:rPr>
          <w:rFonts w:asciiTheme="majorBidi" w:hAnsiTheme="majorBidi" w:cstheme="majorBidi"/>
          <w:noProof/>
          <w:color w:val="4472C4"/>
        </w:rPr>
        <w:t>(T</w:t>
      </w:r>
      <w:r w:rsidR="00DB2708" w:rsidRPr="00A35149">
        <w:rPr>
          <w:rFonts w:asciiTheme="majorBidi" w:hAnsiTheme="majorBidi" w:cstheme="majorBidi"/>
          <w:noProof/>
          <w:color w:val="4472C4"/>
        </w:rPr>
        <w:t>hompson</w:t>
      </w:r>
      <w:r w:rsidRPr="00A35149">
        <w:rPr>
          <w:rFonts w:asciiTheme="majorBidi" w:hAnsiTheme="majorBidi" w:cstheme="majorBidi"/>
          <w:noProof/>
          <w:color w:val="4472C4"/>
        </w:rPr>
        <w:t>, 1975; Speed and Balding, 2015)</w:t>
      </w:r>
      <w:r w:rsidRPr="00A35149">
        <w:rPr>
          <w:rFonts w:asciiTheme="majorBidi" w:hAnsiTheme="majorBidi" w:cstheme="majorBidi"/>
          <w:color w:val="4472C4"/>
        </w:rPr>
        <w:fldChar w:fldCharType="end"/>
      </w:r>
      <w:r w:rsidRPr="00A35149">
        <w:rPr>
          <w:rFonts w:asciiTheme="majorBidi" w:hAnsiTheme="majorBidi" w:cstheme="majorBidi"/>
        </w:rPr>
        <w:t xml:space="preserve">. The value of </w:t>
      </w:r>
      <w:r w:rsidR="00AB0325" w:rsidRPr="00A35149">
        <w:rPr>
          <w:rFonts w:asciiTheme="majorBidi" w:hAnsiTheme="majorBidi" w:cstheme="majorBidi"/>
        </w:rPr>
        <w:t xml:space="preserve">IBD </w:t>
      </w:r>
      <w:r w:rsidRPr="00A35149">
        <w:rPr>
          <w:rFonts w:asciiTheme="majorBidi" w:hAnsiTheme="majorBidi" w:cstheme="majorBidi"/>
        </w:rPr>
        <w:t>for detecting associations in biobanks has not been explored</w:t>
      </w:r>
      <w:r w:rsidR="00AB0325" w:rsidRPr="00A35149">
        <w:rPr>
          <w:rFonts w:asciiTheme="majorBidi" w:hAnsiTheme="majorBidi" w:cstheme="majorBidi"/>
        </w:rPr>
        <w:t>, likely due to the complexity of the calculation (</w:t>
      </w:r>
      <w:r w:rsidR="00AB0325" w:rsidRPr="00A35149">
        <w:rPr>
          <w:rFonts w:asciiTheme="majorBidi" w:hAnsiTheme="majorBidi" w:cstheme="majorBidi"/>
          <w:i/>
          <w:iCs/>
        </w:rPr>
        <w:t>N</w:t>
      </w:r>
      <w:r w:rsidR="00C37A8B" w:rsidRPr="00A35149">
        <w:rPr>
          <w:rFonts w:asciiTheme="majorBidi" w:hAnsiTheme="majorBidi" w:cstheme="majorBidi"/>
          <w:i/>
          <w:iCs/>
        </w:rPr>
        <w:t xml:space="preserve"> </w:t>
      </w:r>
      <w:r w:rsidR="00E61D55" w:rsidRPr="00A35149">
        <w:rPr>
          <w:rFonts w:asciiTheme="majorBidi" w:hAnsiTheme="majorBidi" w:cstheme="majorBidi"/>
        </w:rPr>
        <w:t xml:space="preserve">by </w:t>
      </w:r>
      <w:r w:rsidR="00AB0325" w:rsidRPr="00A35149">
        <w:rPr>
          <w:rFonts w:asciiTheme="majorBidi" w:hAnsiTheme="majorBidi" w:cstheme="majorBidi"/>
          <w:i/>
          <w:iCs/>
        </w:rPr>
        <w:t>N</w:t>
      </w:r>
      <w:r w:rsidR="00AB0325" w:rsidRPr="00A35149">
        <w:rPr>
          <w:rFonts w:asciiTheme="majorBidi" w:hAnsiTheme="majorBidi" w:cstheme="majorBidi"/>
        </w:rPr>
        <w:t xml:space="preserve"> analyses)</w:t>
      </w:r>
      <w:r w:rsidR="001B5011" w:rsidRPr="00A35149">
        <w:rPr>
          <w:rFonts w:asciiTheme="majorBidi" w:hAnsiTheme="majorBidi" w:cstheme="majorBidi"/>
        </w:rPr>
        <w:t>, which is time consuming</w:t>
      </w:r>
      <w:r w:rsidRPr="00A35149">
        <w:rPr>
          <w:rFonts w:asciiTheme="majorBidi" w:hAnsiTheme="majorBidi" w:cstheme="majorBidi"/>
        </w:rPr>
        <w:t xml:space="preserve">. One possibility is to create an unbiased random sample of genes and traits by sampling only one version of each </w:t>
      </w:r>
      <w:r w:rsidRPr="00A35149">
        <w:rPr>
          <w:rFonts w:asciiTheme="majorBidi" w:hAnsiTheme="majorBidi" w:cstheme="majorBidi"/>
        </w:rPr>
        <w:lastRenderedPageBreak/>
        <w:t>IBD tract, since the two copies are clearly dependent.</w:t>
      </w:r>
      <w:r w:rsidR="00C37A8B" w:rsidRPr="00A35149">
        <w:rPr>
          <w:rFonts w:asciiTheme="majorBidi" w:hAnsiTheme="majorBidi" w:cstheme="majorBidi"/>
        </w:rPr>
        <w:t xml:space="preserve"> Other possibilities are to treat long IBD as a sparse property, reducing the need to generate a full pairwise matrix.</w:t>
      </w:r>
    </w:p>
    <w:p w14:paraId="22EBCBAD" w14:textId="77777777" w:rsidR="00342D11" w:rsidRPr="00A35149" w:rsidRDefault="00342D11" w:rsidP="00347B1A">
      <w:pPr>
        <w:rPr>
          <w:rFonts w:asciiTheme="majorBidi" w:hAnsiTheme="majorBidi" w:cstheme="majorBidi"/>
        </w:rPr>
      </w:pPr>
    </w:p>
    <w:p w14:paraId="029CEF79" w14:textId="2EA2DD51" w:rsidR="00C922AC" w:rsidRPr="00A35149" w:rsidRDefault="00342D11" w:rsidP="00347B1A">
      <w:pPr>
        <w:pStyle w:val="Heading3"/>
        <w:rPr>
          <w:rFonts w:asciiTheme="majorBidi" w:hAnsiTheme="majorBidi"/>
          <w:color w:val="4472C4" w:themeColor="accent1"/>
        </w:rPr>
      </w:pPr>
      <w:r w:rsidRPr="00A35149">
        <w:rPr>
          <w:rFonts w:asciiTheme="majorBidi" w:hAnsiTheme="majorBidi"/>
          <w:color w:val="4472C4" w:themeColor="accent1"/>
        </w:rPr>
        <w:t>Haplotypes</w:t>
      </w:r>
    </w:p>
    <w:p w14:paraId="027996D1" w14:textId="1F6A7E3B" w:rsidR="00342D11" w:rsidRPr="00A35149" w:rsidRDefault="00342D11" w:rsidP="00342D11">
      <w:pPr>
        <w:rPr>
          <w:rFonts w:asciiTheme="majorBidi" w:hAnsiTheme="majorBidi" w:cstheme="majorBidi"/>
        </w:rPr>
      </w:pPr>
    </w:p>
    <w:p w14:paraId="6E9AF4CF" w14:textId="78357F6A" w:rsidR="00342D11" w:rsidRPr="00A35149" w:rsidRDefault="001655A8" w:rsidP="00347B1A">
      <w:pPr>
        <w:rPr>
          <w:rFonts w:asciiTheme="majorBidi" w:hAnsiTheme="majorBidi" w:cstheme="majorBidi"/>
        </w:rPr>
      </w:pPr>
      <w:r w:rsidRPr="00A35149">
        <w:rPr>
          <w:rFonts w:asciiTheme="majorBidi" w:hAnsiTheme="majorBidi" w:cstheme="majorBidi"/>
        </w:rPr>
        <w:t xml:space="preserve">IBD matches may overlap and may ignore some parts of the genome entirely. An alternative approach is to identify the closest relative for every individual at each position on the genome. This is </w:t>
      </w:r>
      <w:r w:rsidR="00F17DCF" w:rsidRPr="00A35149">
        <w:rPr>
          <w:rFonts w:asciiTheme="majorBidi" w:hAnsiTheme="majorBidi" w:cstheme="majorBidi"/>
        </w:rPr>
        <w:t>the approach taken in Chromosome painting</w:t>
      </w:r>
      <w:r w:rsidR="00342D11" w:rsidRPr="00A35149">
        <w:rPr>
          <w:rFonts w:asciiTheme="majorBidi" w:hAnsiTheme="majorBidi" w:cstheme="majorBidi"/>
        </w:rPr>
        <w:t xml:space="preserve"> </w:t>
      </w:r>
      <w:r w:rsidR="00342D11" w:rsidRPr="00A35149">
        <w:rPr>
          <w:rFonts w:asciiTheme="majorBidi" w:hAnsiTheme="majorBidi" w:cstheme="majorBidi"/>
          <w:color w:val="4472C4" w:themeColor="accent1"/>
        </w:rPr>
        <w:fldChar w:fldCharType="begin" w:fldLock="1"/>
      </w:r>
      <w:r w:rsidR="00342D11" w:rsidRPr="00A35149">
        <w:rPr>
          <w:rFonts w:asciiTheme="majorBidi" w:hAnsiTheme="majorBidi" w:cstheme="majorBidi"/>
          <w:color w:val="4472C4" w:themeColor="accent1"/>
        </w:rPr>
        <w:instrText>ADDIN CSL_CITATION {"citationItems":[{"id":"ITEM-1","itemData":{"DOI":"10.1371/journal.pgen.1002453","ISSN":"15537390","abstract":"The advent of genome-wide dense variation data provides an opportunity to investigate ancestry in unprecedented detail, but presents new statistical challenges. We propose a novel inference framework that aims to efficiently capture information on population structure provided by patterns of haplotype similarity. Each individual in a sample is considered in turn as a recipient, whose chromosomes are reconstructed using chunks of DNA donated by the other individuals. Results of this \"chromosome painting\" can be summarized as a \"coancestry matrix,\" which directly reveals key information about ancestral relationships among individuals. If markers are viewed as independent, we show that this matrix almost completely captures the information used by both standard Principal Components Analysis (PCA) and model-based approaches such as STRUCTURE in a unified manner. Furthermore, when markers are in linkage disequilibrium, the matrix combines information across successive markers to increase the ability to discern fine-scale population structure using PCA. In parallel, we have developed an efficient model-based approach to identify discrete populations using this matrix, which offers advantages over PCA in terms of interpretability and over existing clustering algorithms in terms of speed, number of separable populations, and sensitivity to subtle population structure. We analyse Human Genome Diversity Panel data for 938 individuals and 641,000 markers, and we identify 226 populations reflecting differences on continental, regional, local, and family scales. We present multiple lines of evidence that, while many methods capture similar information among strongly differentiated groups, more subtle population structure in human populations is consistently present at a much finer level than currently available geographic labels and is only captured by the haplotype-based approach. The software used for this article, ChromoPainter and fineSTRUCTURE, is available from http://www.paintmychromosomes.com/.","author":[{"dropping-particle":"","family":"Lawson","given":"Daniel John","non-dropping-particle":"","parse-names":false,"suffix":""},{"dropping-particle":"","family":"Hellenthal","given":"Garrett","non-dropping-particle":"","parse-names":false,"suffix":""},{"dropping-particle":"","family":"Myers","given":"Simon","non-dropping-particle":"","parse-names":false,"suffix":""},{"dropping-particle":"","family":"Falush","given":"Daniel","non-dropping-particle":"","parse-names":false,"suffix":""}],"container-title":"PLoS Genetics","id":"ITEM-1","issue":"1","issued":{"date-parts":[["2012"]]},"title":"Inference of population structure using dense haplotype data","type":"article-journal","volume":"8"},"uris":["http://www.mendeley.com/documents/?uuid=306c3f6f-3f86-46ad-b43a-489f54e8b432"]}],"mendeley":{"formattedCitation":"(Lawson &lt;i&gt;et al.&lt;/i&gt;, 2012)","plainTextFormattedCitation":"(Lawson et al., 2012)","previouslyFormattedCitation":"(Lawson &lt;i&gt;et al.&lt;/i&gt;, 2012)"},"properties":{"noteIndex":0},"schema":"https://github.com/citation-style-language/schema/raw/master/csl-citation.json"}</w:instrText>
      </w:r>
      <w:r w:rsidR="00342D11" w:rsidRPr="00A35149">
        <w:rPr>
          <w:rFonts w:asciiTheme="majorBidi" w:hAnsiTheme="majorBidi" w:cstheme="majorBidi"/>
          <w:color w:val="4472C4" w:themeColor="accent1"/>
        </w:rPr>
        <w:fldChar w:fldCharType="separate"/>
      </w:r>
      <w:r w:rsidR="00342D11" w:rsidRPr="00A35149">
        <w:rPr>
          <w:rFonts w:asciiTheme="majorBidi" w:hAnsiTheme="majorBidi" w:cstheme="majorBidi"/>
          <w:noProof/>
          <w:color w:val="4472C4" w:themeColor="accent1"/>
        </w:rPr>
        <w:t xml:space="preserve">(Lawson </w:t>
      </w:r>
      <w:r w:rsidR="00342D11" w:rsidRPr="00A35149">
        <w:rPr>
          <w:rFonts w:asciiTheme="majorBidi" w:hAnsiTheme="majorBidi" w:cstheme="majorBidi"/>
          <w:i/>
          <w:noProof/>
          <w:color w:val="4472C4" w:themeColor="accent1"/>
        </w:rPr>
        <w:t>et al.</w:t>
      </w:r>
      <w:r w:rsidR="00342D11" w:rsidRPr="00A35149">
        <w:rPr>
          <w:rFonts w:asciiTheme="majorBidi" w:hAnsiTheme="majorBidi" w:cstheme="majorBidi"/>
          <w:noProof/>
          <w:color w:val="4472C4" w:themeColor="accent1"/>
        </w:rPr>
        <w:t>, 2012)</w:t>
      </w:r>
      <w:r w:rsidR="00342D11" w:rsidRPr="00A35149">
        <w:rPr>
          <w:rFonts w:asciiTheme="majorBidi" w:hAnsiTheme="majorBidi" w:cstheme="majorBidi"/>
          <w:color w:val="4472C4" w:themeColor="accent1"/>
        </w:rPr>
        <w:fldChar w:fldCharType="end"/>
      </w:r>
      <w:r w:rsidR="00965B1E" w:rsidRPr="00A35149">
        <w:rPr>
          <w:rFonts w:asciiTheme="majorBidi" w:hAnsiTheme="majorBidi" w:cstheme="majorBidi"/>
          <w:color w:val="4472C4" w:themeColor="accent1"/>
        </w:rPr>
        <w:t xml:space="preserve">, </w:t>
      </w:r>
      <w:r w:rsidR="00342D11" w:rsidRPr="00A35149">
        <w:rPr>
          <w:rFonts w:asciiTheme="majorBidi" w:hAnsiTheme="majorBidi" w:cstheme="majorBidi"/>
        </w:rPr>
        <w:t xml:space="preserve">which allows the identification of fine-scale population structure, </w:t>
      </w:r>
      <w:r w:rsidR="00F17DCF" w:rsidRPr="00A35149">
        <w:rPr>
          <w:rFonts w:asciiTheme="majorBidi" w:hAnsiTheme="majorBidi" w:cstheme="majorBidi"/>
        </w:rPr>
        <w:t>beyond the detection limit of</w:t>
      </w:r>
      <w:r w:rsidR="00342D11" w:rsidRPr="00A35149">
        <w:rPr>
          <w:rFonts w:asciiTheme="majorBidi" w:hAnsiTheme="majorBidi" w:cstheme="majorBidi"/>
        </w:rPr>
        <w:t xml:space="preserve"> PCA or related approaches </w:t>
      </w:r>
      <w:r w:rsidR="00342D11" w:rsidRPr="00A35149">
        <w:rPr>
          <w:rFonts w:asciiTheme="majorBidi" w:hAnsiTheme="majorBidi" w:cstheme="majorBidi"/>
          <w:color w:val="4472C4" w:themeColor="accent1"/>
        </w:rPr>
        <w:fldChar w:fldCharType="begin" w:fldLock="1"/>
      </w:r>
      <w:r w:rsidR="00342D11" w:rsidRPr="00A35149">
        <w:rPr>
          <w:rFonts w:asciiTheme="majorBidi" w:hAnsiTheme="majorBidi" w:cstheme="majorBidi"/>
          <w:color w:val="4472C4" w:themeColor="accent1"/>
        </w:rPr>
        <w:instrText>ADDIN CSL_CITATION {"citationItems":[{"id":"ITEM-1","itemData":{"DOI":"10.1038/nature14230","ISSN":"14764687","abstract":"Fine-scale genetic variation between human populations is interesting as a signature of historical demographic events and because of its potential for confounding disease studies. We use haplotype-based statistical methods to analyse genome-wide single nucleotide polymorphism (SNP) data from a carefully chosen geographically diverse sample of 2,039 individuals from the United Kingdom. This reveals a rich and detailed pattern of genetic differentiation with remarkable concordance between genetic clusters and geography. The regional genetic differentiation and differing patterns of shared ancestry with 6,209 individuals from across Europe carry clear signals of historical demographic events. We estimate the genetic contribution to southeastern England from Anglo-Saxon migrations to be under half, and identify the regions not carrying genetic material from these migrations. We suggest significant pre-Roman but post-Mesolithic movement into southeastern England from continental Europe, and show that in non-Saxon parts of the United Kingdom, there exist genetically differentiated subgroups rather than a general Celtic population.","author":[{"dropping-particle":"","family":"Leslie","given":"Stephen","non-dropping-particle":"","parse-names":false,"suffix":""},{"dropping-particle":"","family":"Winney","given":"Bruce","non-dropping-particle":"","parse-names":false,"suffix":""},{"dropping-particle":"","family":"Hellenthal","given":"Garrett","non-dropping-particle":"","parse-names":false,"suffix":""},{"dropping-particle":"","family":"Davison","given":"Dan","non-dropping-particle":"","parse-names":false,"suffix":""},{"dropping-particle":"","family":"Boumertit","given":"Abdelhamid","non-dropping-particle":"","parse-names":false,"suffix":""},{"dropping-particle":"","family":"Day","given":"Tammy","non-dropping-particle":"","parse-names":false,"suffix":""},{"dropping-particle":"","family":"Hutnik","given":"Katarzyna","non-dropping-particle":"","parse-names":false,"suffix":""},{"dropping-particle":"","family":"Royrvik","given":"Ellen C.","non-dropping-particle":"","parse-names":false,"suffix":""},{"dropping-particle":"","family":"Cunliffe","given":"Barry","non-dropping-particle":"","parse-names":false,"suffix":""},{"dropping-particle":"","family":"Lawson","given":"Daniel J.","non-dropping-particle":"","parse-names":false,"suffix":""},{"dropping-particle":"","family":"Falush","given":"Daniel","non-dropping-particle":"","parse-names":false,"suffix":""},{"dropping-particle":"","family":"Freeman","given":"Colin","non-dropping-particle":"","parse-names":false,"suffix":""},{"dropping-particle":"","family":"Pirinen","given":"Matti","non-dropping-particle":"","parse-names":false,"suffix":""},{"dropping-particle":"","family":"Myers","given":"Simon","non-dropping-particle":"","parse-names":false,"suffix":""},{"dropping-particle":"","family":"Robinson","given":"Mark","non-dropping-particle":"","parse-names":false,"suffix":""},{"dropping-particle":"","family":"Donnelly","given":"Peter","non-dropping-particle":"","parse-names":false,"suffix":""},{"dropping-particle":"","family":"Bodmer","given":"Walter","non-dropping-particle":"","parse-names":false,"suffix":""}],"container-title":"Nature","id":"ITEM-1","issue":"7543","issued":{"date-parts":[["2015"]]},"page":"309-314","title":"The fine-scale genetic structure of the British population","type":"article-journal","volume":"519"},"uris":["http://www.mendeley.com/documents/?uuid=abbd7456-ff60-4838-b830-7a1f0da0278d"]}],"mendeley":{"formattedCitation":"(Leslie &lt;i&gt;et al.&lt;/i&gt;, 2015)","plainTextFormattedCitation":"(Leslie et al., 2015)","previouslyFormattedCitation":"(Leslie &lt;i&gt;et al.&lt;/i&gt;, 2015)"},"properties":{"noteIndex":0},"schema":"https://github.com/citation-style-language/schema/raw/master/csl-citation.json"}</w:instrText>
      </w:r>
      <w:r w:rsidR="00342D11" w:rsidRPr="00A35149">
        <w:rPr>
          <w:rFonts w:asciiTheme="majorBidi" w:hAnsiTheme="majorBidi" w:cstheme="majorBidi"/>
          <w:color w:val="4472C4" w:themeColor="accent1"/>
        </w:rPr>
        <w:fldChar w:fldCharType="separate"/>
      </w:r>
      <w:r w:rsidR="00342D11" w:rsidRPr="00A35149">
        <w:rPr>
          <w:rFonts w:asciiTheme="majorBidi" w:hAnsiTheme="majorBidi" w:cstheme="majorBidi"/>
          <w:noProof/>
          <w:color w:val="4472C4" w:themeColor="accent1"/>
        </w:rPr>
        <w:t xml:space="preserve">(Leslie </w:t>
      </w:r>
      <w:r w:rsidR="00342D11" w:rsidRPr="00A35149">
        <w:rPr>
          <w:rFonts w:asciiTheme="majorBidi" w:hAnsiTheme="majorBidi" w:cstheme="majorBidi"/>
          <w:i/>
          <w:noProof/>
          <w:color w:val="4472C4" w:themeColor="accent1"/>
        </w:rPr>
        <w:t>et al.</w:t>
      </w:r>
      <w:r w:rsidR="00342D11" w:rsidRPr="00A35149">
        <w:rPr>
          <w:rFonts w:asciiTheme="majorBidi" w:hAnsiTheme="majorBidi" w:cstheme="majorBidi"/>
          <w:noProof/>
          <w:color w:val="4472C4" w:themeColor="accent1"/>
        </w:rPr>
        <w:t>, 2015)</w:t>
      </w:r>
      <w:r w:rsidR="00342D11" w:rsidRPr="00A35149">
        <w:rPr>
          <w:rFonts w:asciiTheme="majorBidi" w:hAnsiTheme="majorBidi" w:cstheme="majorBidi"/>
          <w:color w:val="4472C4" w:themeColor="accent1"/>
        </w:rPr>
        <w:fldChar w:fldCharType="end"/>
      </w:r>
      <w:r w:rsidR="00965B1E" w:rsidRPr="00A35149">
        <w:rPr>
          <w:rFonts w:asciiTheme="majorBidi" w:hAnsiTheme="majorBidi" w:cstheme="majorBidi"/>
        </w:rPr>
        <w:t>.</w:t>
      </w:r>
      <w:r w:rsidR="00965B1E" w:rsidRPr="00A35149">
        <w:rPr>
          <w:rFonts w:asciiTheme="majorBidi" w:hAnsiTheme="majorBidi" w:cstheme="majorBidi"/>
          <w:color w:val="4472C4" w:themeColor="accent1"/>
        </w:rPr>
        <w:t xml:space="preserve"> </w:t>
      </w:r>
      <w:r w:rsidR="00342D11" w:rsidRPr="00A35149">
        <w:rPr>
          <w:rFonts w:asciiTheme="majorBidi" w:hAnsiTheme="majorBidi" w:cstheme="majorBidi"/>
        </w:rPr>
        <w:t xml:space="preserve">Chromosome painting is applicable for samples up to thousands but cannot be used at biobank scale </w:t>
      </w:r>
      <w:r w:rsidR="00342D11" w:rsidRPr="00A35149">
        <w:rPr>
          <w:rFonts w:asciiTheme="majorBidi" w:hAnsiTheme="majorBidi" w:cstheme="majorBidi"/>
          <w:color w:val="4472C4"/>
        </w:rPr>
        <w:t xml:space="preserve">(Pan </w:t>
      </w:r>
      <w:r w:rsidR="00342D11" w:rsidRPr="00A35149">
        <w:rPr>
          <w:rFonts w:asciiTheme="majorBidi" w:hAnsiTheme="majorBidi" w:cstheme="majorBidi"/>
          <w:i/>
          <w:color w:val="4472C4"/>
        </w:rPr>
        <w:t>et al.</w:t>
      </w:r>
      <w:r w:rsidR="00342D11" w:rsidRPr="00A35149">
        <w:rPr>
          <w:rFonts w:asciiTheme="majorBidi" w:hAnsiTheme="majorBidi" w:cstheme="majorBidi"/>
          <w:color w:val="4472C4"/>
        </w:rPr>
        <w:t>, 2017)</w:t>
      </w:r>
      <w:r w:rsidR="00F17DCF" w:rsidRPr="00A35149">
        <w:rPr>
          <w:rFonts w:asciiTheme="majorBidi" w:hAnsiTheme="majorBidi" w:cstheme="majorBidi"/>
        </w:rPr>
        <w:t xml:space="preserve">, because of the same problem of producing an </w:t>
      </w:r>
      <w:r w:rsidR="00F17DCF" w:rsidRPr="00A35149">
        <w:rPr>
          <w:rFonts w:asciiTheme="majorBidi" w:hAnsiTheme="majorBidi" w:cstheme="majorBidi"/>
          <w:i/>
          <w:iCs/>
        </w:rPr>
        <w:t>N</w:t>
      </w:r>
      <w:r w:rsidR="00F17DCF" w:rsidRPr="00A35149">
        <w:rPr>
          <w:rFonts w:asciiTheme="majorBidi" w:hAnsiTheme="majorBidi" w:cstheme="majorBidi"/>
        </w:rPr>
        <w:t xml:space="preserve"> by </w:t>
      </w:r>
      <w:r w:rsidR="00F17DCF" w:rsidRPr="00A35149">
        <w:rPr>
          <w:rFonts w:asciiTheme="majorBidi" w:hAnsiTheme="majorBidi" w:cstheme="majorBidi"/>
          <w:i/>
          <w:iCs/>
        </w:rPr>
        <w:t>N</w:t>
      </w:r>
      <w:r w:rsidR="00F17DCF" w:rsidRPr="00A35149">
        <w:rPr>
          <w:rFonts w:asciiTheme="majorBidi" w:hAnsiTheme="majorBidi" w:cstheme="majorBidi"/>
        </w:rPr>
        <w:t xml:space="preserve"> matrix</w:t>
      </w:r>
      <w:r w:rsidR="000A60C1" w:rsidRPr="00A35149">
        <w:rPr>
          <w:rFonts w:asciiTheme="majorBidi" w:hAnsiTheme="majorBidi" w:cstheme="majorBidi"/>
        </w:rPr>
        <w:t xml:space="preserve">. </w:t>
      </w:r>
      <w:r w:rsidR="00A21AED" w:rsidRPr="00A35149">
        <w:rPr>
          <w:rFonts w:asciiTheme="majorBidi" w:hAnsiTheme="majorBidi" w:cstheme="majorBidi"/>
        </w:rPr>
        <w:t>Considering</w:t>
      </w:r>
      <w:r w:rsidR="000A60C1" w:rsidRPr="00A35149">
        <w:rPr>
          <w:rFonts w:asciiTheme="majorBidi" w:hAnsiTheme="majorBidi" w:cstheme="majorBidi"/>
        </w:rPr>
        <w:t xml:space="preserve"> large matri</w:t>
      </w:r>
      <w:r w:rsidR="00A21AED" w:rsidRPr="00A35149">
        <w:rPr>
          <w:rFonts w:asciiTheme="majorBidi" w:hAnsiTheme="majorBidi" w:cstheme="majorBidi"/>
        </w:rPr>
        <w:t>c</w:t>
      </w:r>
      <w:r w:rsidR="000A60C1" w:rsidRPr="00A35149">
        <w:rPr>
          <w:rFonts w:asciiTheme="majorBidi" w:hAnsiTheme="majorBidi" w:cstheme="majorBidi"/>
        </w:rPr>
        <w:t xml:space="preserve">es of </w:t>
      </w:r>
      <w:r w:rsidR="00A21AED" w:rsidRPr="00A35149">
        <w:rPr>
          <w:rFonts w:asciiTheme="majorBidi" w:hAnsiTheme="majorBidi" w:cstheme="majorBidi"/>
        </w:rPr>
        <w:t xml:space="preserve">pairwise </w:t>
      </w:r>
      <w:r w:rsidR="000A60C1" w:rsidRPr="00A35149">
        <w:rPr>
          <w:rFonts w:asciiTheme="majorBidi" w:hAnsiTheme="majorBidi" w:cstheme="majorBidi"/>
        </w:rPr>
        <w:t xml:space="preserve">haplotype information </w:t>
      </w:r>
      <w:r w:rsidR="00A21AED" w:rsidRPr="00A35149">
        <w:rPr>
          <w:rFonts w:asciiTheme="majorBidi" w:hAnsiTheme="majorBidi" w:cstheme="majorBidi"/>
        </w:rPr>
        <w:t xml:space="preserve">(throughout the genome) is not trivial and </w:t>
      </w:r>
      <w:r w:rsidR="000A60C1" w:rsidRPr="00A35149">
        <w:rPr>
          <w:rFonts w:asciiTheme="majorBidi" w:hAnsiTheme="majorBidi" w:cstheme="majorBidi"/>
        </w:rPr>
        <w:t>remains a challenge for biobanks.</w:t>
      </w:r>
    </w:p>
    <w:p w14:paraId="452A184B" w14:textId="77777777" w:rsidR="004C4C8A" w:rsidRPr="00A35149" w:rsidRDefault="004C4C8A" w:rsidP="00347B1A">
      <w:pPr>
        <w:rPr>
          <w:rFonts w:asciiTheme="majorBidi" w:hAnsiTheme="majorBidi" w:cstheme="majorBidi"/>
        </w:rPr>
      </w:pPr>
    </w:p>
    <w:p w14:paraId="2888E12D" w14:textId="2DB2E8CA" w:rsidR="00A96FA7" w:rsidRPr="00A35149" w:rsidRDefault="00A96FA7" w:rsidP="00C922AC">
      <w:pPr>
        <w:pStyle w:val="Heading3"/>
        <w:rPr>
          <w:rFonts w:asciiTheme="majorBidi" w:hAnsiTheme="majorBidi"/>
          <w:color w:val="4472C4" w:themeColor="accent1"/>
        </w:rPr>
      </w:pPr>
      <w:r w:rsidRPr="00A35149">
        <w:rPr>
          <w:rFonts w:asciiTheme="majorBidi" w:hAnsiTheme="majorBidi"/>
          <w:color w:val="4472C4" w:themeColor="accent1"/>
        </w:rPr>
        <w:t>Local Ancestry</w:t>
      </w:r>
    </w:p>
    <w:p w14:paraId="3549218D" w14:textId="77777777" w:rsidR="00C96960" w:rsidRPr="00A35149" w:rsidRDefault="00C96960" w:rsidP="00C96960">
      <w:pPr>
        <w:widowControl w:val="0"/>
        <w:ind w:firstLine="720"/>
        <w:rPr>
          <w:rFonts w:asciiTheme="majorBidi" w:hAnsiTheme="majorBidi" w:cstheme="majorBidi"/>
          <w:iCs/>
        </w:rPr>
      </w:pPr>
    </w:p>
    <w:p w14:paraId="454C2346" w14:textId="37660B2E" w:rsidR="00A20B5A" w:rsidRPr="00A35149" w:rsidRDefault="00C96960" w:rsidP="00A20B5A">
      <w:pPr>
        <w:widowControl w:val="0"/>
        <w:rPr>
          <w:rFonts w:asciiTheme="majorBidi" w:hAnsiTheme="majorBidi" w:cstheme="majorBidi"/>
        </w:rPr>
      </w:pPr>
      <w:r w:rsidRPr="00A35149">
        <w:rPr>
          <w:rFonts w:asciiTheme="majorBidi" w:hAnsiTheme="majorBidi" w:cstheme="majorBidi"/>
          <w:iCs/>
        </w:rPr>
        <w:t>The purpose of Local Ancestry Inference (often abbreviated LAI) is to analyse individual segments of DNA to establish changes in ancestral origin.</w:t>
      </w:r>
      <w:r w:rsidRPr="00A35149">
        <w:rPr>
          <w:rFonts w:asciiTheme="majorBidi" w:hAnsiTheme="majorBidi" w:cstheme="majorBidi"/>
        </w:rPr>
        <w:t xml:space="preserve"> Being able to assign a </w:t>
      </w:r>
      <w:r w:rsidR="00403A29" w:rsidRPr="00A35149">
        <w:rPr>
          <w:rFonts w:asciiTheme="majorBidi" w:hAnsiTheme="majorBidi" w:cstheme="majorBidi"/>
        </w:rPr>
        <w:t>SNP</w:t>
      </w:r>
      <w:r w:rsidRPr="00A35149">
        <w:rPr>
          <w:rFonts w:asciiTheme="majorBidi" w:hAnsiTheme="majorBidi" w:cstheme="majorBidi"/>
        </w:rPr>
        <w:t xml:space="preserve"> as having originated in a particular ancestry, association testing can</w:t>
      </w:r>
      <w:r w:rsidR="00403A29" w:rsidRPr="00A35149">
        <w:rPr>
          <w:rFonts w:asciiTheme="majorBidi" w:hAnsiTheme="majorBidi" w:cstheme="majorBidi"/>
        </w:rPr>
        <w:t>,</w:t>
      </w:r>
      <w:r w:rsidRPr="00A35149">
        <w:rPr>
          <w:rFonts w:asciiTheme="majorBidi" w:hAnsiTheme="majorBidi" w:cstheme="majorBidi"/>
        </w:rPr>
        <w:t xml:space="preserve"> in principle</w:t>
      </w:r>
      <w:r w:rsidR="00403A29" w:rsidRPr="00A35149">
        <w:rPr>
          <w:rFonts w:asciiTheme="majorBidi" w:hAnsiTheme="majorBidi" w:cstheme="majorBidi"/>
        </w:rPr>
        <w:t>,</w:t>
      </w:r>
      <w:r w:rsidRPr="00A35149">
        <w:rPr>
          <w:rFonts w:asciiTheme="majorBidi" w:hAnsiTheme="majorBidi" w:cstheme="majorBidi"/>
        </w:rPr>
        <w:t xml:space="preserve"> be </w:t>
      </w:r>
      <w:r w:rsidR="00D00216" w:rsidRPr="00A35149">
        <w:rPr>
          <w:rFonts w:asciiTheme="majorBidi" w:hAnsiTheme="majorBidi" w:cstheme="majorBidi"/>
        </w:rPr>
        <w:t xml:space="preserve">carried out </w:t>
      </w:r>
      <w:r w:rsidRPr="00A35149">
        <w:rPr>
          <w:rFonts w:asciiTheme="majorBidi" w:hAnsiTheme="majorBidi" w:cstheme="majorBidi"/>
        </w:rPr>
        <w:t>in each ancestry as if it were a single sample population.</w:t>
      </w:r>
    </w:p>
    <w:p w14:paraId="0F5897F6" w14:textId="77777777" w:rsidR="00C96960" w:rsidRPr="00A35149" w:rsidRDefault="00C96960" w:rsidP="00C96960">
      <w:pPr>
        <w:widowControl w:val="0"/>
        <w:rPr>
          <w:rFonts w:asciiTheme="majorBidi" w:hAnsiTheme="majorBidi" w:cstheme="majorBidi"/>
        </w:rPr>
      </w:pPr>
    </w:p>
    <w:p w14:paraId="4625DB44" w14:textId="3AB8F762" w:rsidR="00684EB4" w:rsidRPr="00A35149" w:rsidRDefault="00C96960">
      <w:pPr>
        <w:widowControl w:val="0"/>
        <w:ind w:firstLine="720"/>
        <w:rPr>
          <w:rFonts w:asciiTheme="majorBidi" w:hAnsiTheme="majorBidi" w:cstheme="majorBidi"/>
        </w:rPr>
      </w:pPr>
      <w:r w:rsidRPr="00A35149">
        <w:rPr>
          <w:rFonts w:asciiTheme="majorBidi" w:hAnsiTheme="majorBidi" w:cstheme="majorBidi"/>
        </w:rPr>
        <w:t xml:space="preserve">Conceptually, </w:t>
      </w:r>
      <w:r w:rsidR="00403A29" w:rsidRPr="00A35149">
        <w:rPr>
          <w:rFonts w:asciiTheme="majorBidi" w:hAnsiTheme="majorBidi" w:cstheme="majorBidi"/>
        </w:rPr>
        <w:t>such</w:t>
      </w:r>
      <w:r w:rsidRPr="00A35149">
        <w:rPr>
          <w:rFonts w:asciiTheme="majorBidi" w:hAnsiTheme="majorBidi" w:cstheme="majorBidi"/>
        </w:rPr>
        <w:t xml:space="preserve"> methods examine a stretch of DNA and use a model related to the mixture approaches to identify the source</w:t>
      </w:r>
      <w:r w:rsidR="00403A29" w:rsidRPr="00A35149">
        <w:rPr>
          <w:rFonts w:asciiTheme="majorBidi" w:hAnsiTheme="majorBidi" w:cstheme="majorBidi"/>
        </w:rPr>
        <w:t xml:space="preserve"> population</w:t>
      </w:r>
      <w:r w:rsidRPr="00A35149">
        <w:rPr>
          <w:rFonts w:asciiTheme="majorBidi" w:hAnsiTheme="majorBidi" w:cstheme="majorBidi"/>
        </w:rPr>
        <w:t>. The approaches vary in how appropriate stretches of DNA are defined</w:t>
      </w:r>
      <w:r w:rsidR="00403A29" w:rsidRPr="00A35149">
        <w:rPr>
          <w:rFonts w:asciiTheme="majorBidi" w:hAnsiTheme="majorBidi" w:cstheme="majorBidi"/>
        </w:rPr>
        <w:t xml:space="preserve"> and </w:t>
      </w:r>
      <w:r w:rsidRPr="00A35149">
        <w:rPr>
          <w:rFonts w:asciiTheme="majorBidi" w:hAnsiTheme="majorBidi" w:cstheme="majorBidi"/>
        </w:rPr>
        <w:t>how they are matched to the sources.</w:t>
      </w:r>
      <w:r w:rsidR="00FF6B53" w:rsidRPr="00A35149">
        <w:rPr>
          <w:rFonts w:asciiTheme="majorBidi" w:hAnsiTheme="majorBidi" w:cstheme="majorBidi"/>
        </w:rPr>
        <w:t xml:space="preserve"> Many approaches use a</w:t>
      </w:r>
      <w:r w:rsidRPr="00A35149">
        <w:rPr>
          <w:rFonts w:asciiTheme="majorBidi" w:hAnsiTheme="majorBidi" w:cstheme="majorBidi"/>
        </w:rPr>
        <w:t xml:space="preserve"> Hidden Markov Model (HMM) </w:t>
      </w:r>
      <w:r w:rsidR="000711A7" w:rsidRPr="00A35149">
        <w:rPr>
          <w:rFonts w:asciiTheme="majorBidi" w:hAnsiTheme="majorBidi" w:cstheme="majorBidi"/>
        </w:rPr>
        <w:t>strongly related to Chromosome Painting t</w:t>
      </w:r>
      <w:r w:rsidRPr="00A35149">
        <w:rPr>
          <w:rFonts w:asciiTheme="majorBidi" w:hAnsiTheme="majorBidi" w:cstheme="majorBidi"/>
        </w:rPr>
        <w:t>o assign genomic segments to specified reference populations</w:t>
      </w:r>
      <w:r w:rsidR="00403A29" w:rsidRPr="00A35149">
        <w:rPr>
          <w:rFonts w:asciiTheme="majorBidi" w:hAnsiTheme="majorBidi" w:cstheme="majorBidi"/>
        </w:rPr>
        <w:t xml:space="preserve"> by exploiting Linkage Disequilibrium</w:t>
      </w:r>
      <w:r w:rsidR="00FF6B53" w:rsidRPr="00A35149">
        <w:rPr>
          <w:rFonts w:asciiTheme="majorBidi" w:hAnsiTheme="majorBidi" w:cstheme="majorBidi"/>
        </w:rPr>
        <w:t xml:space="preserve">. </w:t>
      </w:r>
    </w:p>
    <w:p w14:paraId="68B3FACE" w14:textId="2B9EB193" w:rsidR="0037063A" w:rsidRPr="00A35149" w:rsidRDefault="0037063A" w:rsidP="00FD3508">
      <w:pPr>
        <w:widowControl w:val="0"/>
        <w:rPr>
          <w:rFonts w:asciiTheme="majorBidi" w:hAnsiTheme="majorBidi" w:cstheme="majorBidi"/>
        </w:rPr>
      </w:pPr>
    </w:p>
    <w:p w14:paraId="746822CE" w14:textId="75443A90" w:rsidR="001B07ED" w:rsidRPr="00A35149" w:rsidRDefault="000711A7" w:rsidP="00FD3508">
      <w:pPr>
        <w:ind w:firstLine="720"/>
        <w:rPr>
          <w:rFonts w:asciiTheme="majorBidi" w:hAnsiTheme="majorBidi" w:cstheme="majorBidi"/>
        </w:rPr>
      </w:pPr>
      <w:r w:rsidRPr="00A35149">
        <w:rPr>
          <w:rFonts w:asciiTheme="majorBidi" w:hAnsiTheme="majorBidi" w:cstheme="majorBidi"/>
        </w:rPr>
        <w:t>Current implementations</w:t>
      </w:r>
      <w:r w:rsidR="0037063A" w:rsidRPr="00A35149">
        <w:rPr>
          <w:rFonts w:asciiTheme="majorBidi" w:hAnsiTheme="majorBidi" w:cstheme="majorBidi"/>
        </w:rPr>
        <w:t xml:space="preserve"> </w:t>
      </w:r>
      <w:r w:rsidRPr="00A35149">
        <w:rPr>
          <w:rFonts w:asciiTheme="majorBidi" w:hAnsiTheme="majorBidi" w:cstheme="majorBidi"/>
        </w:rPr>
        <w:t xml:space="preserve">may scale to the thousands (see USAGE) but </w:t>
      </w:r>
      <w:r w:rsidR="0037063A" w:rsidRPr="00A35149">
        <w:rPr>
          <w:rFonts w:asciiTheme="majorBidi" w:hAnsiTheme="majorBidi" w:cstheme="majorBidi"/>
        </w:rPr>
        <w:t>are limited in scale for learning population structure</w:t>
      </w:r>
      <w:r w:rsidR="00DF06A3" w:rsidRPr="00A35149">
        <w:rPr>
          <w:rFonts w:asciiTheme="majorBidi" w:hAnsiTheme="majorBidi" w:cstheme="majorBidi"/>
        </w:rPr>
        <w:t xml:space="preserve"> and are likely to only form a part of a biobank population model when describing external populations.</w:t>
      </w:r>
      <w:r w:rsidR="0037063A" w:rsidRPr="00A35149">
        <w:rPr>
          <w:rFonts w:asciiTheme="majorBidi" w:hAnsiTheme="majorBidi" w:cstheme="majorBidi"/>
        </w:rPr>
        <w:t xml:space="preserve"> </w:t>
      </w:r>
      <w:r w:rsidR="0048790C" w:rsidRPr="00A35149">
        <w:rPr>
          <w:rFonts w:asciiTheme="majorBidi" w:hAnsiTheme="majorBidi" w:cstheme="majorBidi"/>
        </w:rPr>
        <w:t>Additionally</w:t>
      </w:r>
      <w:r w:rsidR="0037063A" w:rsidRPr="00A35149">
        <w:rPr>
          <w:rFonts w:asciiTheme="majorBidi" w:hAnsiTheme="majorBidi" w:cstheme="majorBidi"/>
        </w:rPr>
        <w:t xml:space="preserve">, the biological parameters needed (e.g., genetic maps, recombination and mutation rate, average ancestry coefficients, and the average number of generations since admixture) </w:t>
      </w:r>
      <w:r w:rsidR="000151CC" w:rsidRPr="00A35149">
        <w:rPr>
          <w:rFonts w:asciiTheme="majorBidi" w:hAnsiTheme="majorBidi" w:cstheme="majorBidi"/>
        </w:rPr>
        <w:t xml:space="preserve">may be unknown and </w:t>
      </w:r>
      <w:r w:rsidR="0037063A" w:rsidRPr="00A35149">
        <w:rPr>
          <w:rFonts w:asciiTheme="majorBidi" w:hAnsiTheme="majorBidi" w:cstheme="majorBidi"/>
        </w:rPr>
        <w:t xml:space="preserve">are </w:t>
      </w:r>
      <w:r w:rsidR="0048790C" w:rsidRPr="00A35149">
        <w:rPr>
          <w:rFonts w:asciiTheme="majorBidi" w:hAnsiTheme="majorBidi" w:cstheme="majorBidi"/>
        </w:rPr>
        <w:t>difficult to learn</w:t>
      </w:r>
      <w:r w:rsidR="0037063A" w:rsidRPr="00A35149">
        <w:rPr>
          <w:rFonts w:asciiTheme="majorBidi" w:hAnsiTheme="majorBidi" w:cstheme="majorBidi"/>
        </w:rPr>
        <w:t xml:space="preserve"> </w:t>
      </w:r>
      <w:r w:rsidR="0037063A" w:rsidRPr="00A35149">
        <w:rPr>
          <w:rFonts w:asciiTheme="majorBidi" w:hAnsiTheme="majorBidi" w:cstheme="majorBidi"/>
          <w:color w:val="4472C4" w:themeColor="accent1"/>
        </w:rPr>
        <w:fldChar w:fldCharType="begin" w:fldLock="1"/>
      </w:r>
      <w:r w:rsidR="0037063A" w:rsidRPr="00A35149">
        <w:rPr>
          <w:rFonts w:asciiTheme="majorBidi" w:hAnsiTheme="majorBidi" w:cstheme="majorBidi"/>
          <w:color w:val="4472C4" w:themeColor="accent1"/>
        </w:rPr>
        <w:instrText>ADDIN CSL_CITATION {"citationItems":[{"id":"ITEM-1","itemData":{"DOI":"10.1093/molbev/msy126","ISSN":"15371719","abstract":"Admixture between populations provides opportunity to study biological adaptation and phenotypic variation. Admixture studies can rely on local ancestry inference for admixed individuals, which consists of computing at each locus the number of copies that originate from ancestral source populations. Existing software packages for local ancestry inference are tuned to provide accurate results on human data and recent admixture events. Here, we introduce Loter, an open-source software package that does not require any biological parameter besides haplotype data in order to make local ancestry inference available for a wide range of species. Using simulations, we compare the performance of Loter to HAPMIX, LAMP-LD, and RFMix. HAPMIX is the only software severely impacted by imperfect haplotype reconstruction. Loter is the less impacted software by increasing admixture time when considering simulated and admixed human genotypes. LAMP-LD and RFMIX are the most accurate method when admixture took place 20 generations ago or less; Loter accuracy is comparable or better than RFMix accuracy when admixture took place of 50 or more generations; and its accuracy is the largest when admixture is more ancient than 150 generations. For simulations of admixed Populus genotypes, Loter and LAMP-LD are robust to increasing admixture times by contrast to RFMix. When comparing length of reconstructed and true ancestry tracts, Loter and LAMP-LD provide results whose accuracy is again more robust than RFMix to increasing admixture times. We apply Loter to admixed Populus individuals and lengths of ancestry tracts indicate that admixture took place around 100 generations ago.","author":[{"dropping-particle":"","family":"Dias-Alves","given":"Thomas","non-dropping-particle":"","parse-names":false,"suffix":""},{"dropping-particle":"","family":"Mairal","given":"Julien","non-dropping-particle":"","parse-names":false,"suffix":""},{"dropping-particle":"","family":"Blum","given":"Michael G.B.","non-dropping-particle":"","parse-names":false,"suffix":""}],"container-title":"Molecular Biology and Evolution","id":"ITEM-1","issue":"9","issued":{"date-parts":[["2018"]]},"page":"2318-2326","title":"Loter: A software package to infer local ancestry for a wide range of species","type":"article-journal","volume":"35"},"uris":["http://www.mendeley.com/documents/?uuid=fe83f7be-6588-4ec2-9837-427efc4fba31"]}],"mendeley":{"formattedCitation":"(Dias-Alves, Mairal and Blum, 2018)","plainTextFormattedCitation":"(Dias-Alves, Mairal and Blum, 2018)","previouslyFormattedCitation":"(Dias-Alves, Mairal and Blum, 2018)"},"properties":{"noteIndex":0},"schema":"https://github.com/citation-style-language/schema/raw/master/csl-citation.json"}</w:instrText>
      </w:r>
      <w:r w:rsidR="0037063A" w:rsidRPr="00A35149">
        <w:rPr>
          <w:rFonts w:asciiTheme="majorBidi" w:hAnsiTheme="majorBidi" w:cstheme="majorBidi"/>
          <w:color w:val="4472C4" w:themeColor="accent1"/>
        </w:rPr>
        <w:fldChar w:fldCharType="separate"/>
      </w:r>
      <w:r w:rsidR="0037063A" w:rsidRPr="00A35149">
        <w:rPr>
          <w:rFonts w:asciiTheme="majorBidi" w:hAnsiTheme="majorBidi" w:cstheme="majorBidi"/>
          <w:noProof/>
          <w:color w:val="4472C4" w:themeColor="accent1"/>
        </w:rPr>
        <w:t>(Dias-Alves, Mairal and Blum, 2018)</w:t>
      </w:r>
      <w:r w:rsidR="0037063A" w:rsidRPr="00A35149">
        <w:rPr>
          <w:rFonts w:asciiTheme="majorBidi" w:hAnsiTheme="majorBidi" w:cstheme="majorBidi"/>
          <w:color w:val="4472C4" w:themeColor="accent1"/>
        </w:rPr>
        <w:fldChar w:fldCharType="end"/>
      </w:r>
      <w:r w:rsidR="0037063A" w:rsidRPr="00A35149">
        <w:rPr>
          <w:rFonts w:asciiTheme="majorBidi" w:hAnsiTheme="majorBidi" w:cstheme="majorBidi"/>
        </w:rPr>
        <w:t>.</w:t>
      </w:r>
      <w:r w:rsidRPr="00A35149">
        <w:rPr>
          <w:rFonts w:asciiTheme="majorBidi" w:hAnsiTheme="majorBidi" w:cstheme="majorBidi"/>
        </w:rPr>
        <w:t xml:space="preserve"> Considerable effort </w:t>
      </w:r>
      <w:r w:rsidR="00BC06D5" w:rsidRPr="00A35149">
        <w:rPr>
          <w:rFonts w:asciiTheme="majorBidi" w:hAnsiTheme="majorBidi" w:cstheme="majorBidi"/>
        </w:rPr>
        <w:t xml:space="preserve">for biobanks </w:t>
      </w:r>
      <w:r w:rsidRPr="00A35149">
        <w:rPr>
          <w:rFonts w:asciiTheme="majorBidi" w:hAnsiTheme="majorBidi" w:cstheme="majorBidi"/>
        </w:rPr>
        <w:t>would be required to store, report and use the per-SNP ancestry information returned.</w:t>
      </w:r>
    </w:p>
    <w:p w14:paraId="7D4F9286" w14:textId="2A01C0F8" w:rsidR="001B07ED" w:rsidRPr="00A35149" w:rsidRDefault="001B07ED" w:rsidP="001B07ED">
      <w:pPr>
        <w:rPr>
          <w:rFonts w:asciiTheme="majorBidi" w:hAnsiTheme="majorBidi" w:cstheme="majorBidi"/>
        </w:rPr>
      </w:pPr>
    </w:p>
    <w:p w14:paraId="4D4A843E" w14:textId="4EA3DA10" w:rsidR="001B07ED" w:rsidRPr="00A35149" w:rsidRDefault="001B07ED" w:rsidP="001B07ED">
      <w:pPr>
        <w:pStyle w:val="Heading2"/>
        <w:rPr>
          <w:rFonts w:asciiTheme="majorBidi" w:hAnsiTheme="majorBidi"/>
          <w:color w:val="4472C4" w:themeColor="accent1"/>
        </w:rPr>
      </w:pPr>
      <w:r w:rsidRPr="00A35149">
        <w:rPr>
          <w:rFonts w:asciiTheme="majorBidi" w:hAnsiTheme="majorBidi"/>
          <w:color w:val="4472C4" w:themeColor="accent1"/>
        </w:rPr>
        <w:t>DESCRIBING GENETIC VARIATION WITH AN EXTERNAL REFERENCE</w:t>
      </w:r>
    </w:p>
    <w:p w14:paraId="2054B4A6" w14:textId="77777777" w:rsidR="001B07ED" w:rsidRPr="00A35149" w:rsidRDefault="001B07ED" w:rsidP="001B07ED">
      <w:pPr>
        <w:rPr>
          <w:rFonts w:asciiTheme="majorBidi" w:hAnsiTheme="majorBidi" w:cstheme="majorBidi"/>
          <w:color w:val="4472C4" w:themeColor="accent1"/>
        </w:rPr>
      </w:pPr>
    </w:p>
    <w:p w14:paraId="2E351A5C" w14:textId="6FC8F068" w:rsidR="00F3137D" w:rsidRPr="00A35149" w:rsidRDefault="00F83174" w:rsidP="00347B1A">
      <w:pPr>
        <w:pStyle w:val="Heading3"/>
        <w:rPr>
          <w:rFonts w:asciiTheme="majorBidi" w:hAnsiTheme="majorBidi"/>
          <w:color w:val="4472C4" w:themeColor="accent1"/>
        </w:rPr>
      </w:pPr>
      <w:r w:rsidRPr="00A35149">
        <w:rPr>
          <w:rFonts w:asciiTheme="majorBidi" w:hAnsiTheme="majorBidi"/>
          <w:color w:val="4472C4" w:themeColor="accent1"/>
        </w:rPr>
        <w:t xml:space="preserve">Markers for Ancestry and </w:t>
      </w:r>
      <w:r w:rsidR="00A96FA7" w:rsidRPr="00A35149">
        <w:rPr>
          <w:rFonts w:asciiTheme="majorBidi" w:hAnsiTheme="majorBidi"/>
          <w:color w:val="4472C4" w:themeColor="accent1"/>
        </w:rPr>
        <w:t>Projecting PCs</w:t>
      </w:r>
    </w:p>
    <w:p w14:paraId="5A064B50" w14:textId="3E842915" w:rsidR="00F83174" w:rsidRPr="00A35149" w:rsidRDefault="00F83174" w:rsidP="00F83174">
      <w:pPr>
        <w:rPr>
          <w:rFonts w:asciiTheme="majorBidi" w:hAnsiTheme="majorBidi" w:cstheme="majorBidi"/>
        </w:rPr>
      </w:pPr>
    </w:p>
    <w:p w14:paraId="6F28EF7B" w14:textId="5DAECA80" w:rsidR="00F83174" w:rsidRPr="00A35149" w:rsidRDefault="00F83174" w:rsidP="00DF4C5B">
      <w:pPr>
        <w:rPr>
          <w:rFonts w:asciiTheme="majorBidi" w:hAnsiTheme="majorBidi" w:cstheme="majorBidi"/>
        </w:rPr>
      </w:pPr>
      <w:r w:rsidRPr="00A35149">
        <w:rPr>
          <w:rFonts w:asciiTheme="majorBidi" w:hAnsiTheme="majorBidi" w:cstheme="majorBidi"/>
        </w:rPr>
        <w:t xml:space="preserve">The use of AIMs to represent genetic diversity within a biobank is not well developed. Because AIMs </w:t>
      </w:r>
      <w:r w:rsidR="001E4434" w:rsidRPr="00A35149">
        <w:rPr>
          <w:rFonts w:asciiTheme="majorBidi" w:hAnsiTheme="majorBidi" w:cstheme="majorBidi"/>
        </w:rPr>
        <w:t xml:space="preserve">themselves </w:t>
      </w:r>
      <w:r w:rsidRPr="00A35149">
        <w:rPr>
          <w:rFonts w:asciiTheme="majorBidi" w:hAnsiTheme="majorBidi" w:cstheme="majorBidi"/>
        </w:rPr>
        <w:t xml:space="preserve">are indicative but not diagnostic of particular </w:t>
      </w:r>
      <w:r w:rsidR="001E4434" w:rsidRPr="00A35149">
        <w:rPr>
          <w:rFonts w:asciiTheme="majorBidi" w:hAnsiTheme="majorBidi" w:cstheme="majorBidi"/>
        </w:rPr>
        <w:t>population and</w:t>
      </w:r>
      <w:r w:rsidRPr="00A35149">
        <w:rPr>
          <w:rFonts w:asciiTheme="majorBidi" w:hAnsiTheme="majorBidi" w:cstheme="majorBidi"/>
        </w:rPr>
        <w:t xml:space="preserve"> are a biased sample of the genome</w:t>
      </w:r>
      <w:r w:rsidR="00AC4F7D" w:rsidRPr="00A35149">
        <w:rPr>
          <w:rFonts w:asciiTheme="majorBidi" w:hAnsiTheme="majorBidi" w:cstheme="majorBidi"/>
        </w:rPr>
        <w:t xml:space="preserve"> (towards ancestry)</w:t>
      </w:r>
      <w:r w:rsidRPr="00A35149">
        <w:rPr>
          <w:rFonts w:asciiTheme="majorBidi" w:hAnsiTheme="majorBidi" w:cstheme="majorBidi"/>
        </w:rPr>
        <w:t>, it is hard to arrive at an ancestry mixture or other measure o</w:t>
      </w:r>
      <w:r w:rsidR="00CF43EB" w:rsidRPr="00A35149">
        <w:rPr>
          <w:rFonts w:asciiTheme="majorBidi" w:hAnsiTheme="majorBidi" w:cstheme="majorBidi"/>
        </w:rPr>
        <w:t>f structure. However, with efforts in calibration for external datasets, the information required to assess large-scale structure</w:t>
      </w:r>
      <w:r w:rsidR="00AC4F7D" w:rsidRPr="00A35149">
        <w:rPr>
          <w:rFonts w:asciiTheme="majorBidi" w:hAnsiTheme="majorBidi" w:cstheme="majorBidi"/>
        </w:rPr>
        <w:t>s</w:t>
      </w:r>
      <w:r w:rsidR="00CF43EB" w:rsidRPr="00A35149">
        <w:rPr>
          <w:rFonts w:asciiTheme="majorBidi" w:hAnsiTheme="majorBidi" w:cstheme="majorBidi"/>
        </w:rPr>
        <w:t xml:space="preserve"> is clearly present in AIMs</w:t>
      </w:r>
      <w:r w:rsidR="002838D7" w:rsidRPr="00A35149">
        <w:rPr>
          <w:rFonts w:asciiTheme="majorBidi" w:hAnsiTheme="majorBidi" w:cstheme="majorBidi"/>
        </w:rPr>
        <w:t>, which are standard in all commercial microarrays</w:t>
      </w:r>
      <w:r w:rsidR="00DA074A" w:rsidRPr="00A35149">
        <w:rPr>
          <w:rFonts w:asciiTheme="majorBidi" w:hAnsiTheme="majorBidi" w:cstheme="majorBidi"/>
        </w:rPr>
        <w:t xml:space="preserve"> </w:t>
      </w:r>
      <w:r w:rsidR="00DA074A" w:rsidRPr="00A35149">
        <w:rPr>
          <w:rFonts w:asciiTheme="majorBidi" w:hAnsiTheme="majorBidi" w:cstheme="majorBidi"/>
          <w:color w:val="4472C4" w:themeColor="accent1"/>
        </w:rPr>
        <w:fldChar w:fldCharType="begin" w:fldLock="1"/>
      </w:r>
      <w:r w:rsidR="00275CBA" w:rsidRPr="00A35149">
        <w:rPr>
          <w:rFonts w:asciiTheme="majorBidi" w:hAnsiTheme="majorBidi" w:cstheme="majorBidi"/>
          <w:color w:val="4472C4" w:themeColor="accent1"/>
        </w:rPr>
        <w:instrText>ADDIN CSL_CITATION {"citationItems":[{"id":"ITEM-1","itemData":{"URL":"https://www.illumina.com/content/dam/illumina-marketing/documents/applications/genotyping/Microarray_Solutions.pdf","author":[{"dropping-particle":"","family":"Illumina","given":"","non-dropping-particle":"","parse-names":false,"suffix":""}],"container-title":"370-2013-003","id":"ITEM-1","issued":{"date-parts":[["2013"]]},"title":"Illumina Microarray Solutions","type":"webpage"},"uris":["http://www.mendeley.com/documents/?uuid=d8119f5d-dd9e-4dd2-8668-5011d3af0fb1"]}],"mendeley":{"formattedCitation":"(Illumina, 2013)","plainTextFormattedCitation":"(Illumina, 2013)","previouslyFormattedCitation":"(Illumina, 2013)"},"properties":{"noteIndex":0},"schema":"https://github.com/citation-style-language/schema/raw/master/csl-citation.json"}</w:instrText>
      </w:r>
      <w:r w:rsidR="00DA074A" w:rsidRPr="00A35149">
        <w:rPr>
          <w:rFonts w:asciiTheme="majorBidi" w:hAnsiTheme="majorBidi" w:cstheme="majorBidi"/>
          <w:color w:val="4472C4" w:themeColor="accent1"/>
        </w:rPr>
        <w:fldChar w:fldCharType="separate"/>
      </w:r>
      <w:r w:rsidR="00DA074A" w:rsidRPr="00A35149">
        <w:rPr>
          <w:rFonts w:asciiTheme="majorBidi" w:hAnsiTheme="majorBidi" w:cstheme="majorBidi"/>
          <w:noProof/>
          <w:color w:val="4472C4" w:themeColor="accent1"/>
        </w:rPr>
        <w:t>(Illumina, 2013)</w:t>
      </w:r>
      <w:r w:rsidR="00DA074A" w:rsidRPr="00A35149">
        <w:rPr>
          <w:rFonts w:asciiTheme="majorBidi" w:hAnsiTheme="majorBidi" w:cstheme="majorBidi"/>
          <w:color w:val="4472C4" w:themeColor="accent1"/>
        </w:rPr>
        <w:fldChar w:fldCharType="end"/>
      </w:r>
      <w:r w:rsidR="00DA074A" w:rsidRPr="00A35149">
        <w:rPr>
          <w:rFonts w:asciiTheme="majorBidi" w:hAnsiTheme="majorBidi" w:cstheme="majorBidi"/>
        </w:rPr>
        <w:t>.</w:t>
      </w:r>
    </w:p>
    <w:p w14:paraId="2843E177" w14:textId="78118067" w:rsidR="00DF06A3" w:rsidRPr="00A35149" w:rsidRDefault="00DF06A3" w:rsidP="00DF06A3">
      <w:pPr>
        <w:rPr>
          <w:rFonts w:asciiTheme="majorBidi" w:hAnsiTheme="majorBidi" w:cstheme="majorBidi"/>
        </w:rPr>
      </w:pPr>
    </w:p>
    <w:p w14:paraId="5277E368" w14:textId="070DF5D7" w:rsidR="00F67C07" w:rsidRPr="00A35149" w:rsidRDefault="00F67C07" w:rsidP="00DF06A3">
      <w:pPr>
        <w:rPr>
          <w:rFonts w:asciiTheme="majorBidi" w:hAnsiTheme="majorBidi" w:cstheme="majorBidi"/>
        </w:rPr>
      </w:pPr>
      <w:r w:rsidRPr="00A35149">
        <w:rPr>
          <w:rFonts w:asciiTheme="majorBidi" w:hAnsiTheme="majorBidi" w:cstheme="majorBidi"/>
        </w:rPr>
        <w:t xml:space="preserve">It is straight forward to project an individual into the genetic variation of a reference dataset when the reference is described by Principal Components. Associated with each SNP and PC is a </w:t>
      </w:r>
      <w:r w:rsidR="00BE6014" w:rsidRPr="00A35149">
        <w:rPr>
          <w:rFonts w:asciiTheme="majorBidi" w:hAnsiTheme="majorBidi" w:cstheme="majorBidi"/>
        </w:rPr>
        <w:t>weighting,</w:t>
      </w:r>
      <w:r w:rsidRPr="00A35149">
        <w:rPr>
          <w:rFonts w:asciiTheme="majorBidi" w:hAnsiTheme="majorBidi" w:cstheme="majorBidi"/>
        </w:rPr>
        <w:t xml:space="preserve"> and these must simply be summed. This approach is common in the study of </w:t>
      </w:r>
      <w:r w:rsidRPr="00A35149">
        <w:rPr>
          <w:rFonts w:asciiTheme="majorBidi" w:hAnsiTheme="majorBidi" w:cstheme="majorBidi"/>
        </w:rPr>
        <w:lastRenderedPageBreak/>
        <w:t xml:space="preserve">ancient populations, which </w:t>
      </w:r>
      <w:r w:rsidR="00BE6014" w:rsidRPr="00A35149">
        <w:rPr>
          <w:rFonts w:asciiTheme="majorBidi" w:hAnsiTheme="majorBidi" w:cstheme="majorBidi"/>
        </w:rPr>
        <w:t xml:space="preserve">due to the high missingness of their data are </w:t>
      </w:r>
      <w:r w:rsidRPr="00A35149">
        <w:rPr>
          <w:rFonts w:asciiTheme="majorBidi" w:hAnsiTheme="majorBidi" w:cstheme="majorBidi"/>
        </w:rPr>
        <w:t>often described in terms of modern variation</w:t>
      </w:r>
      <w:r w:rsidR="00DB2708" w:rsidRPr="00A35149">
        <w:rPr>
          <w:rFonts w:asciiTheme="majorBidi" w:hAnsiTheme="majorBidi" w:cstheme="majorBidi"/>
        </w:rPr>
        <w:t xml:space="preserve"> </w:t>
      </w:r>
      <w:r w:rsidR="00DB2708" w:rsidRPr="00A35149">
        <w:rPr>
          <w:rFonts w:asciiTheme="majorBidi" w:hAnsiTheme="majorBidi" w:cstheme="majorBidi"/>
          <w:color w:val="4472C4" w:themeColor="accent1"/>
        </w:rPr>
        <w:fldChar w:fldCharType="begin" w:fldLock="1"/>
      </w:r>
      <w:r w:rsidR="00DB2708" w:rsidRPr="00A35149">
        <w:rPr>
          <w:rFonts w:asciiTheme="majorBidi" w:hAnsiTheme="majorBidi" w:cstheme="majorBidi"/>
          <w:color w:val="4472C4" w:themeColor="accent1"/>
        </w:rPr>
        <w:instrText xml:space="preserve">ADDIN CSL_CITATION {"citationItems":[{"id":"ITEM-1","itemData":{"DOI":"10.1038/nature13673","ISSN":"14764687","PMID":"25230663","abstract":"We sequenced the genomes of a </w:instrText>
      </w:r>
      <w:r w:rsidR="00DB2708" w:rsidRPr="00A35149">
        <w:rPr>
          <w:rFonts w:ascii="Cambria Math" w:hAnsi="Cambria Math" w:cs="Cambria Math"/>
          <w:color w:val="4472C4" w:themeColor="accent1"/>
        </w:rPr>
        <w:instrText>∼</w:instrText>
      </w:r>
      <w:r w:rsidR="00DB2708" w:rsidRPr="00A35149">
        <w:rPr>
          <w:rFonts w:asciiTheme="majorBidi" w:hAnsiTheme="majorBidi" w:cstheme="majorBidi"/>
          <w:color w:val="4472C4" w:themeColor="accent1"/>
        </w:rPr>
        <w:instrText xml:space="preserve">7,000-year-old farmer from Germany and eight </w:instrText>
      </w:r>
      <w:r w:rsidR="00DB2708" w:rsidRPr="00A35149">
        <w:rPr>
          <w:rFonts w:ascii="Cambria Math" w:hAnsi="Cambria Math" w:cs="Cambria Math"/>
          <w:color w:val="4472C4" w:themeColor="accent1"/>
        </w:rPr>
        <w:instrText>∼</w:instrText>
      </w:r>
      <w:r w:rsidR="00DB2708" w:rsidRPr="00A35149">
        <w:rPr>
          <w:rFonts w:asciiTheme="majorBidi" w:hAnsiTheme="majorBidi" w:cstheme="majorBidi"/>
          <w:color w:val="4472C4" w:themeColor="accent1"/>
        </w:rPr>
        <w:instrText xml:space="preserve">8,000-year-old hunter-gatherers from Luxembourg and Sweden. We analysed these and other ancient genomes1-4 with 2,345 contemporary humans to show that most present-day Europeans derive from at least three highly differentiated populations: west European hunter-gatherers, who contributed ancestry to all Europeans but not to Near Easterners; ancient north Eurasians related to Upper Palaeolithic Siberians3, who contributed to both Europeans and Near Easterners; and early European farmers, who were mainly of Near Eastern origin but also harboured west European hunter-gatherer related ancestry. We model these populations' deep relationships and show that early European farmers had </w:instrText>
      </w:r>
      <w:r w:rsidR="00DB2708" w:rsidRPr="00A35149">
        <w:rPr>
          <w:rFonts w:ascii="Cambria Math" w:hAnsi="Cambria Math" w:cs="Cambria Math"/>
          <w:color w:val="4472C4" w:themeColor="accent1"/>
        </w:rPr>
        <w:instrText>∼</w:instrText>
      </w:r>
      <w:r w:rsidR="00DB2708" w:rsidRPr="00A35149">
        <w:rPr>
          <w:rFonts w:asciiTheme="majorBidi" w:hAnsiTheme="majorBidi" w:cstheme="majorBidi"/>
          <w:color w:val="4472C4" w:themeColor="accent1"/>
        </w:rPr>
        <w:instrText>44% ancestry from a 'basal Eurasian' population that split before the diversification of other non-African lineages.","author":[{"dropping-particle":"","family":"Lazaridis","given":"Iosif","non-dropping-particle":"","parse-names":false,"suffix":""},{"dropping-particle":"","family":"Patterson","given":"Nick","non-dropping-particle":"","parse-names":false,"suffix":""},{"dropping-particle":"","family":"Mittnik","given":"Alissa","non-dropping-particle":"","parse-names":false,"suffix":""},{"dropping-particle":"","family":"Renaud","given":"Gabriel","non-dropping-particle":"","parse-names":false,"suffix":""},{"dropping-particle":"","family":"Mallick","given":"Swapan","non-dropping-particle":"","parse-names":false,"suffix":""},{"dropping-particle":"","family":"Kirsanow","given":"Karola","non-dropping-particle":"","parse-names":false,"suffix":""},{"dropping-particle":"","family":"Sudmant","given":"Peter H.","non-dropping-particle":"","parse-names":false,"suffix":""},{"dropping-particle":"","family":"Schraiber","given":"Joshua G.","non-dropping-particle":"","parse-names":false,"suffix":""},{"dropping-particle":"","family":"Castellano","given":"Sergi","non-dropping-particle":"","parse-names":false,"suffix":""},{"dropping-particle":"","family":"Lipson","given":"Mark","non-dropping-particle":"","parse-names":false,"suffix":""},{"dropping-particle":"","family":"Berger","given":"Bonnie","non-dropping-particle":"","parse-names":false,"suffix":""},{"dropping-particle":"","family":"Economou","given":"Christos","non-dropping-particle":"","parse-names":false,"suffix":""},{"dropping-particle":"","family":"Bollongino","given":"Ruth","non-dropping-particle":"","parse-names":false,"suffix":""},{"dropping-particle":"","family":"Fu","given":"Qiaomei","non-dropping-particle":"","parse-names":false,"suffix":""},{"dropping-particle":"","family":"Bos","given":"Kirsten I.","non-dropping-particle":"","parse-names":false,"suffix":""},{"dropping-particle":"","family":"Nordenfelt","given":"Susanne","non-dropping-particle":"","parse-names":false,"suffix":""},{"dropping-particle":"","family":"Li","given":"Heng","non-dropping-particle":"","parse-names":false,"suffix":""},{"dropping-particle":"","family":"Filippo","given":"Cesare","non-dropping-particle":"De","parse-names":false,"suffix":""},{"dropping-particle":"","family":"Prüfer","given":"Kay","non-dropping-particle":"","parse-names":false,"suffix":""},{"dropping-particle":"","family":"Sawyer","given":"Susanna","non-dropping-particle":"","parse-names":false,"suffix":""},{"dropping-particle":"","family":"Posth","given":"Cosimo","non-dropping-particle":"","parse-names":false,"suffix":""},{"dropping-particle":"","family":"Haak","given":"Wolfgang","non-dropping-particle":"","parse-names":false,"suffix":""},{"dropping-particle":"","family":"Hallgren","given":"Fredrik","non-dropping-particle":"","parse-names":false,"suffix":""},{"dropping-particle":"","family":"Fornander","given":"Elin","non-dropping-particle":"","parse-names":false,"suffix":""},{"dropping-particle":"","family":"Rohland","given":"Nadin","non-dropping-particle":"","parse-names":false,"suffix":""},{"dropping-particle":"","family":"Delsate","given":"Dominique","non-dropping-particle":"","parse-names":false,"suffix":""},{"dropping-particle":"","family":"Francken","given":"Michael","non-dropping-particle":"","parse-names":false,"suffix":""},{"dropping-particle":"","family":"Guinet","given":"Jean Michel","non-dropping-particle":"","parse-names":false,"suffix":""},{"dropping-particle":"","family":"Wahl","given":"Joachim","non-dropping-particle":"","parse-names":false,"suffix":""},{"dropping-particle":"","family":"Ayodo","given":"George","non-dropping-particle":"","parse-names":false,"suffix":""},{"dropping-particle":"","family":"Babiker","given":"Hamza A.","non-dropping-particle":"","parse-names":false,"suffix":""},{"dropping-particle":"","family":"Bailliet","given":"Graciela","non-dropping-particle":"","parse-names":false,"suffix":""},{"dropping-particle":"","family":"Balanovska","given":"Elena","non-dropping-particle":"","parse-names":false,"suffix":""},{"dropping-particle":"","family":"Balanovsky","given":"Oleg","non-dropping-particle":"","parse-names":false,"suffix":""},{"dropping-particle":"","family":"Barrantes","given":"Ramiro","non-dropping-particle":"","parse-names":false,"suffix":""},{"dropping-particle":"","family":"Bedoya","given":"Gabriel","non-dropping-particle":"","parse-names":false,"suffix":""},{"dropping-particle":"","family":"Ben-Ami","given":"Haim","non-dropping-particle":"","parse-names":false,"suffix":""},{"dropping-particle":"","family":"Bene","given":"Judit","non-dropping-particle":"","parse-names":false,"suffix":""},{"dropping-particle":"","family":"Berrada","given":"Fouad","non-dropping-particle":"","parse-names":false,"suffix":""},{"dropping-particle":"","family":"Bravi","given":"Claudio M.","non-dropping-particle":"","parse-names":false,"suffix":""},{"dropping-particle":"","family":"Brisighelli","given":"Francesca","non-dropping-particle":"","parse-names":false,"suffix":""},{"dropping-particle":"","family":"Busby","given":"George B.J.","non-dropping-particle":"","parse-names":false,"suffix":""},{"dropping-particle":"","family":"Cali","given":"Francesco","non-dropping-particle":"","parse-names":false,"suffix":""},{"dropping-particle":"","family":"Churnosov","given":"Mikhail","non-dropping-particle":"","parse-names":false,"suffix":""},{"dropping-particle":"","family":"Cole","given":"David E.C.","non-dropping-particle":"","parse-names":false,"suffix":""},{"dropping-particle":"","family":"Corach","given":"Daniel","non-dropping-particle":"","parse-names":false,"suffix":""},{"dropping-particle":"","family":"Damba","given":"Larissa","non-dropping-particle":"","parse-names":false,"suffix":""},{"dropping-particle":"","family":"Driem","given":"George","non-dropping-particle":"Van","parse-names":false,"suffix":""},{"dropping-particle":"","family":"Dryomov","given":"Stanislav","non-dropping-particle":"","parse-names":false,"suffix":""},{"dropping-particle":"","family":"Dugoujon","given":"Jean Michel","non-dropping-particle":"","parse-names":false,"suffix":""},{"dropping-particle":"","family":"Fedorova","given":"Sardana A.","non-dropping-particle":"","parse-names":false,"suffix":""},{"dropping-particle":"","family":"Gallego Romero","given":"Irene","non-dropping-particle":"","parse-names":false,"suffix":""},{"dropping-particle":"","family":"Gubina","given":"Marina","non-dropping-particle":"","parse-names":false,"suffix":""},{"dropping-particle":"","family":"Hammer","given":"Michael","non-dropping-particle":"","parse-names":false,"suffix":""},{"dropping-particle":"","family":"Henn","given":"Brenna M.","non-dropping-particle":"","parse-names":false,"suffix":""},{"dropping-particle":"","family":"Hervig","given":"Tor","non-dropping-particle":"","parse-names":false,"suffix":""},{"dropping-particle":"","family":"Hodoglugil","given":"Ugur","non-dropping-particle":"","parse-names":false,"suffix":""},{"dropping-particle":"","family":"Jha","given":"Aashish R.","non-dropping-particle":"","parse-names":false,"suffix":""},{"dropping-particle":"","family":"Karachanak-Yankova","given":"Sena","non-dropping-particle":"","parse-names":false,"suffix":""},{"dropping-particle":"","family":"Khusainova","given":"Rita","non-dropping-particle":"","parse-names":false,"suffix":""},{"dropping-particle":"","family":"Khusnutdinova","given":"Elza","non-dropping-particle":"","parse-names":false,"suffix":""},{"dropping-particle":"","family":"Kittles","given":"Rick","non-dropping-particle":"","parse-names":false,"suffix":""},{"dropping-particle":"","family":"Kivisild","given":"Toomas","non-dropping-particle":"","parse-names":false,"suffix":""},{"dropping-particle":"","family":"Klitz","given":"William","non-dropping-particle":"","parse-names":false,"suffix":""},{"dropping-particle":"","family":"Kučinskas","given":"Vaidutis","non-dropping-particle":"","parse-names":false,"suffix":""},{"dropping-particle":"","family":"Kushniarevich","given":"Alena","non-dropping-particle":"","parse-names":false,"suffix":""},{"dropping-particle":"","family":"Laredj","given":"Leila","non-dropping-particle":"","parse-names":false,"suffix":""},{"dropping-particle":"","family":"Litvinov","given":"Sergey","non-dropping-particle":"","parse-names":false,"suffix":""},{"dropping-particle":"","family":"Loukidis","given":"Theologos","non-dropping-particle":"","parse-names":false,"suffix":""},{"dropping-particle":"","family":"Mahley","given":"Robert W.","non-dropping-particle":"","parse-names":false,"suffix":""},{"dropping-particle":"","family":"Melegh","given":"Béla","non-dropping-particle":"","parse-names":false,"suffix":""},{"dropping-particle":"","family":"Metspalu","given":"Ene","non-dropping-particle":"","parse-names":false,"suffix":""},{"dropping-particle":"","family":"Molina","given":"Julio","non-dropping-particle":"","parse-names":false,"suffix":""},{"dropping-particle":"","family":"Mountain","given":"Joanna","non-dropping-particle":"","parse-names":false,"suffix":""},{"dropping-particle":"","family":"Näkkäläjärvi","given":"Klemetti","non-dropping-particle":"","parse-names":false,"suffix":""},{"dropping-particle":"","family":"Nesheva","given":"Desislava","non-dropping-particle":"","parse-names":false,"suffix":""},{"dropping-particle":"","family":"Nyambo","given":"Thomas","non-dropping-particle":"","parse-names":false,"suffix":""},{"dropping-particle":"","family":"Osipova","given":"Ludmila","non-dropping-particle":"","parse-names":false,"suffix":""},{"dropping-particle":"","family":"Parik","given":"Jüri","non-dropping-particle":"","parse-names":false,"suffix":""},{"dropping-particle":"","family":"Platonov","given":"Fedor","non-dropping-particle":"","parse-names":false,"suffix":""},{"dropping-particle":"","family":"Posukh","given":"Olga","non-dropping-particle":"","parse-names":false,"suffix":""},{"dropping-particle":"","family":"Romano","given":"Valentino","non-dropping-particle":"","parse-names":false,"suffix":""},{"dropping-particle":"","family":"Rothhammer","given":"Francisco","non-dropping-particle":"","parse-names":false,"suffix":""},{"dropping-particle":"","family":"Rudan","given":"Igor","non-dropping-particle":"","parse-names":false,"suffix":""},{"dropping-particle":"","family":"Ruizbakiev","given":"Ruslan","non-dropping-particle":"","parse-names":false,"suffix":""},{"dropping-particle":"","family":"Sahakyan","given":"Hovhannes","non-dropping-particle":"","parse-names":false,"suffix":""},{"dropping-particle":"","family":"Sajantila","given":"Antti","non-dropping-particle":"","parse-names":false,"suffix":""},{"dropping-particle":"","family":"Salas","given":"Antonio","non-dropping-particle":"","parse-names":false,"suffix":""},{"dropping-particle":"","family":"Starikovskaya","given":"Elena B.","non-dropping-particle":"","parse-names":false,"suffix":""},{"dropping-particle":"","family":"Tarekegn","given":"Ayele","non-dropping-particle":"","parse-names":false,"suffix":""},{"dropping-particle":"","family":"Toncheva","given":"Draga","non-dropping-particle":"","parse-names":false,"suffix":""},{"dropping-particle":"","family":"Turdikulova","given":"Shahlo","non-dropping-particle":"","parse-names":false,"suffix":""},{"dropping-particle":"","family":"Uktveryte","given":"Ingrida","non-dropping-particle":"","parse-names":false,"suffix":""},{"dropping-particle":"","family":"Utevska","given":"Olga","non-dropping-particle":"","parse-names":false,"suffix":""},{"dropping-particle":"","family":"Vasquez","given":"René","non-dropping-particle":"","parse-names":false,"suffix":""},{"dropping-particle":"","family":"Villena","given":"Mercedes","non-dropping-particle":"","parse-names":false,"suffix":""},{"dropping-particle":"","family":"Voevoda","given":"Mikhail","non-dropping-particle":"","parse-names":false,"suffix":""},{"dropping-particle":"","family":"Winkler","given":"Cheryl A.","non-dropping-particle":"","parse-names":false,"suffix":""},{"dropping-particle":"","family":"Yepiskoposyan","given":"Levon","non-dropping-particle":"","parse-names":false,"suffix":""},{"dropping-particle":"","family":"Zalloua","given":"Pierre","non-dropping-particle":"","parse-names":false,"suffix":""},{"dropping-particle":"","family":"Zemunik","given":"Tatijana","non-dropping-particle":"","parse-names":false,"suffix":""},{"dropping-particle":"","family":"Cooper","given":"Alan","non-dropping-particle":"","parse-names":false,"suffix":""},{"dropping-particle":"","family":"Capelli","given":"Cristian","non-dropping-particle":"","parse-names":false,"suffix":""},{"dropping-particle":"","family":"Thomas","given":"Mark G.","non-dropping-particle":"","parse-names":false,"suffix":""},{"dropping-particle":"","family":"Ruiz-Linares","given":"Andres","non-dropping-particle":"","parse-names":false,"suffix":""},{"dropping-particle":"","family":"Tishkoff","given":"Sarah A.","non-dropping-particle":"","parse-names":false,"suffix":""},{"dropping-particle":"","family":"Singh","given":"Lalji","non-dropping-particle":"","parse-names":false,"suffix":""},{"dropping-particle":"","family":"Thangaraj","given":"Kumarasamy","non-dropping-particle":"","parse-names":false,"suffix":""},{"dropping-particle":"","family":"Villems","given":"Richard","non-dropping-particle":"","parse-names":false,"suffix":""},{"dropping-particle":"","family":"Comas","given":"David","non-dropping-particle":"","parse-names":false,"suffix":""},{"dropping-particle":"","family":"Sukernik","given":"Rem","non-dropping-particle":"","parse-names":false,"suffix":""},{"dropping-particle":"","family":"Metspalu","given":"Mait","non-dropping-particle":"","parse-names":false,"suffix":""},{"dropping-particle":"","family":"Meyer","given":"Matthias","non-dropping-particle":"","parse-names":false,"suffix":""},{"dropping-particle":"","family":"Eichler","given":"Evan E.","non-dropping-particle":"","parse-names":false,"suffix":""},{"dropping-particle":"","family":"Burger","given":"Joachim","non-dropping-particle":"","parse-names":false,"suffix":""},{"dropping-particle":"","family":"Slatkin","given":"Montgomery","non-dropping-particle":"","parse-names":false,"suffix":""},{"dropping-particle":"","family":"Pääbo","given":"Svante","non-dropping-particle":"","parse-names":false,"suffix":""},{"dropping-particle":"","family":"Kelso","given":"Janet","non-dropping-particle":"","parse-names":false,"suffix":""},{"dropping-particle":"","family":"Reich","given":"David","non-dropping-particle":"","parse-names":false,"suffix":""},{"dropping-particle":"","family":"Krause","given":"Johannes","non-dropping-particle":"","parse-names":false,"suffix":""}],"container-title":"Nature","id":"ITEM-1","issue":"7518","issued":{"date-parts":[["2014"]]},"page":"409-413","title":"Ancient human genomes suggest three ancestral populations for present-day Europeans","type":"article-journal","volume":"513"},"uris":["http://www.mendeley.com/documents/?uuid=4c30b3f6-f3c1-4120-ba91-29f81c5ff8df"]}],"mendeley":{"formattedCitation":"(Lazaridis &lt;i&gt;et al.&lt;/i&gt;, 2014)","plainTextFormattedCitation":"(Lazaridis et al., 2014)","previouslyFormattedCitation":"(Lazaridis &lt;i&gt;et al.&lt;/i&gt;, 2014)"},"properties":{"noteIndex":0},"schema":"https://github.com/citation-style-language/schema/raw/master/csl-citation.json"}</w:instrText>
      </w:r>
      <w:r w:rsidR="00DB2708" w:rsidRPr="00A35149">
        <w:rPr>
          <w:rFonts w:asciiTheme="majorBidi" w:hAnsiTheme="majorBidi" w:cstheme="majorBidi"/>
          <w:color w:val="4472C4" w:themeColor="accent1"/>
        </w:rPr>
        <w:fldChar w:fldCharType="separate"/>
      </w:r>
      <w:r w:rsidR="00DB2708" w:rsidRPr="00A35149">
        <w:rPr>
          <w:rFonts w:asciiTheme="majorBidi" w:hAnsiTheme="majorBidi" w:cstheme="majorBidi"/>
          <w:noProof/>
          <w:color w:val="4472C4" w:themeColor="accent1"/>
        </w:rPr>
        <w:t xml:space="preserve">(Lazaridis </w:t>
      </w:r>
      <w:r w:rsidR="00DB2708" w:rsidRPr="00A35149">
        <w:rPr>
          <w:rFonts w:asciiTheme="majorBidi" w:hAnsiTheme="majorBidi" w:cstheme="majorBidi"/>
          <w:i/>
          <w:noProof/>
          <w:color w:val="4472C4" w:themeColor="accent1"/>
        </w:rPr>
        <w:t>et al.</w:t>
      </w:r>
      <w:r w:rsidR="00DB2708" w:rsidRPr="00A35149">
        <w:rPr>
          <w:rFonts w:asciiTheme="majorBidi" w:hAnsiTheme="majorBidi" w:cstheme="majorBidi"/>
          <w:noProof/>
          <w:color w:val="4472C4" w:themeColor="accent1"/>
        </w:rPr>
        <w:t>, 2014)</w:t>
      </w:r>
      <w:r w:rsidR="00DB2708" w:rsidRPr="00A35149">
        <w:rPr>
          <w:rFonts w:asciiTheme="majorBidi" w:hAnsiTheme="majorBidi" w:cstheme="majorBidi"/>
          <w:color w:val="4472C4" w:themeColor="accent1"/>
        </w:rPr>
        <w:fldChar w:fldCharType="end"/>
      </w:r>
      <w:r w:rsidR="00DB2708" w:rsidRPr="00A35149">
        <w:rPr>
          <w:rFonts w:asciiTheme="majorBidi" w:hAnsiTheme="majorBidi" w:cstheme="majorBidi"/>
        </w:rPr>
        <w:t>.</w:t>
      </w:r>
    </w:p>
    <w:p w14:paraId="0193307D" w14:textId="6E71856F" w:rsidR="00F67C07" w:rsidRPr="00A35149" w:rsidRDefault="00F67C07" w:rsidP="00DF06A3">
      <w:pPr>
        <w:rPr>
          <w:rFonts w:asciiTheme="majorBidi" w:hAnsiTheme="majorBidi" w:cstheme="majorBidi"/>
        </w:rPr>
      </w:pPr>
    </w:p>
    <w:p w14:paraId="1418E691" w14:textId="107D0508" w:rsidR="00F67C07" w:rsidRPr="00A35149" w:rsidRDefault="00F67C07" w:rsidP="00DF06A3">
      <w:pPr>
        <w:rPr>
          <w:rFonts w:asciiTheme="majorBidi" w:hAnsiTheme="majorBidi" w:cstheme="majorBidi"/>
        </w:rPr>
      </w:pPr>
      <w:r w:rsidRPr="00A35149">
        <w:rPr>
          <w:rFonts w:asciiTheme="majorBidi" w:hAnsiTheme="majorBidi" w:cstheme="majorBidi"/>
        </w:rPr>
        <w:t xml:space="preserve">This has not been performed for biobanks because they contain large variation. However, as discussed above, meta-analysis of many small populations leads to incomplete correction for stratification. </w:t>
      </w:r>
      <w:r w:rsidR="007A0797" w:rsidRPr="00A35149">
        <w:rPr>
          <w:rFonts w:asciiTheme="majorBidi" w:hAnsiTheme="majorBidi" w:cstheme="majorBidi"/>
        </w:rPr>
        <w:t xml:space="preserve">Since there is no standard reference, the results of the projection would also be dependent on the choice of the reference populations. Thereby, they can be easily manipulated and are incomparable </w:t>
      </w:r>
      <w:r w:rsidRPr="00A35149">
        <w:rPr>
          <w:rFonts w:asciiTheme="majorBidi" w:hAnsiTheme="majorBidi" w:cstheme="majorBidi"/>
        </w:rPr>
        <w:t xml:space="preserve">across </w:t>
      </w:r>
      <w:r w:rsidR="007A0797" w:rsidRPr="00A35149">
        <w:rPr>
          <w:rFonts w:asciiTheme="majorBidi" w:hAnsiTheme="majorBidi" w:cstheme="majorBidi"/>
        </w:rPr>
        <w:t>studies</w:t>
      </w:r>
      <w:r w:rsidRPr="00A35149">
        <w:rPr>
          <w:rFonts w:asciiTheme="majorBidi" w:hAnsiTheme="majorBidi" w:cstheme="majorBidi"/>
        </w:rPr>
        <w:t>.</w:t>
      </w:r>
    </w:p>
    <w:p w14:paraId="6B25A963" w14:textId="77777777" w:rsidR="00F67C07" w:rsidRPr="00A35149" w:rsidRDefault="00F67C07" w:rsidP="00347B1A">
      <w:pPr>
        <w:rPr>
          <w:rFonts w:asciiTheme="majorBidi" w:hAnsiTheme="majorBidi" w:cstheme="majorBidi"/>
        </w:rPr>
      </w:pPr>
    </w:p>
    <w:p w14:paraId="620CC331" w14:textId="76BBB2BB" w:rsidR="00DF06A3" w:rsidRPr="00A35149" w:rsidRDefault="003C4EB6" w:rsidP="00347B1A">
      <w:pPr>
        <w:pStyle w:val="Heading3"/>
        <w:rPr>
          <w:rFonts w:asciiTheme="majorBidi" w:hAnsiTheme="majorBidi"/>
          <w:color w:val="4472C4" w:themeColor="accent1"/>
        </w:rPr>
      </w:pPr>
      <w:r w:rsidRPr="00A35149">
        <w:rPr>
          <w:rFonts w:asciiTheme="majorBidi" w:hAnsiTheme="majorBidi"/>
          <w:color w:val="4472C4" w:themeColor="accent1"/>
        </w:rPr>
        <w:t>Mixtures of known populations</w:t>
      </w:r>
    </w:p>
    <w:p w14:paraId="19C49FA8" w14:textId="7A5A820B" w:rsidR="00F67C07" w:rsidRPr="00A35149" w:rsidRDefault="00F67C07" w:rsidP="00F67C07">
      <w:pPr>
        <w:rPr>
          <w:rFonts w:asciiTheme="majorBidi" w:hAnsiTheme="majorBidi" w:cstheme="majorBidi"/>
        </w:rPr>
      </w:pPr>
    </w:p>
    <w:p w14:paraId="622645C7" w14:textId="2F46D6F8" w:rsidR="00E66BCF" w:rsidRPr="00A35149" w:rsidRDefault="00F67C07" w:rsidP="00F67C07">
      <w:pPr>
        <w:rPr>
          <w:rFonts w:asciiTheme="majorBidi" w:hAnsiTheme="majorBidi" w:cstheme="majorBidi"/>
        </w:rPr>
      </w:pPr>
      <w:r w:rsidRPr="00A35149">
        <w:rPr>
          <w:rFonts w:asciiTheme="majorBidi" w:hAnsiTheme="majorBidi" w:cstheme="majorBidi"/>
        </w:rPr>
        <w:t xml:space="preserve">The ancestry models described above can all be structured to allow comparison of a sample </w:t>
      </w:r>
      <w:r w:rsidR="0048790C" w:rsidRPr="00A35149">
        <w:rPr>
          <w:rFonts w:asciiTheme="majorBidi" w:hAnsiTheme="majorBidi" w:cstheme="majorBidi"/>
        </w:rPr>
        <w:t>dataset</w:t>
      </w:r>
      <w:r w:rsidRPr="00A35149">
        <w:rPr>
          <w:rFonts w:asciiTheme="majorBidi" w:hAnsiTheme="majorBidi" w:cstheme="majorBidi"/>
        </w:rPr>
        <w:t xml:space="preserve"> with respect to a reference </w:t>
      </w:r>
      <w:r w:rsidR="0048790C" w:rsidRPr="00A35149">
        <w:rPr>
          <w:rFonts w:asciiTheme="majorBidi" w:hAnsiTheme="majorBidi" w:cstheme="majorBidi"/>
        </w:rPr>
        <w:t>dataset</w:t>
      </w:r>
      <w:r w:rsidRPr="00A35149">
        <w:rPr>
          <w:rFonts w:asciiTheme="majorBidi" w:hAnsiTheme="majorBidi" w:cstheme="majorBidi"/>
        </w:rPr>
        <w:t xml:space="preserve">. </w:t>
      </w:r>
      <w:r w:rsidRPr="00A35149">
        <w:rPr>
          <w:rFonts w:asciiTheme="majorBidi" w:hAnsiTheme="majorBidi" w:cstheme="majorBidi"/>
          <w:i/>
          <w:iCs/>
        </w:rPr>
        <w:t>ADMIXTURE</w:t>
      </w:r>
      <w:r w:rsidR="00DB2708" w:rsidRPr="00A35149">
        <w:rPr>
          <w:rFonts w:asciiTheme="majorBidi" w:hAnsiTheme="majorBidi" w:cstheme="majorBidi"/>
          <w:i/>
          <w:iCs/>
        </w:rPr>
        <w:t xml:space="preserve"> </w:t>
      </w:r>
      <w:r w:rsidR="00DB2708" w:rsidRPr="00A35149">
        <w:rPr>
          <w:rFonts w:asciiTheme="majorBidi" w:hAnsiTheme="majorBidi" w:cstheme="majorBidi"/>
          <w:i/>
          <w:iCs/>
          <w:color w:val="4472C4" w:themeColor="accent1"/>
        </w:rPr>
        <w:fldChar w:fldCharType="begin" w:fldLock="1"/>
      </w:r>
      <w:r w:rsidR="00FE63EE" w:rsidRPr="00A35149">
        <w:rPr>
          <w:rFonts w:asciiTheme="majorBidi" w:hAnsiTheme="majorBidi" w:cstheme="majorBidi"/>
          <w:i/>
          <w:iCs/>
          <w:color w:val="4472C4" w:themeColor="accent1"/>
        </w:rPr>
        <w:instrText>ADDIN CSL_CITATION {"citationItems":[{"id":"ITEM-1","itemData":{"DOI":"10.1186/1471-2105-12-246","ISSN":"14712105","abstract":"Background: The estimation of individual ancestry from genetic data has become essential to applied population genetics and genetic epidemiology. Software programs for calculating ancestry estimates have become essential tools in the geneticist's analytic arsenal.Results: Here we describe four enhancements to ADMIXTURE, a high-performance tool for estimating individual ancestries and population allele frequencies from SNP (single nucleotide polymorphism) data. First, ADMIXTURE can be used to estimate the number of underlying populations through cross-validation. Second, individuals of known ancestry can be exploited in supervised learning to yield more precise ancestry estimates. Third, by penalizing small admixture coefficients for each individual, one can encourage model parsimony, often yielding more interpretable results for small datasets or datasets with large numbers of ancestral populations. Finally, by exploiting multiple processors, large datasets can be analyzed even more rapidly.Conclusions: The enhancements we have described make ADMIXTURE a more accurate, efficient, and versatile tool for ancestry estimation. © 2011 Alexander and Lange; licensee BioMed Central Ltd.","author":[{"dropping-particle":"","family":"Alexander","given":"David H.","non-dropping-particle":"","parse-names":false,"suffix":""},{"dropping-particle":"","family":"Lange","given":"Kenneth","non-dropping-particle":"","parse-names":false,"suffix":""}],"container-title":"BMC Bioinformatics","id":"ITEM-1","issued":{"date-parts":[["2011"]]},"title":"Enhancements to the ADMIXTURE algorithm for individual ancestry estimation","type":"article-journal","volume":"12"},"uris":["http://www.mendeley.com/documents/?uuid=4bceb19c-161f-42c6-accc-2c7cbf8e4cb1"]}],"mendeley":{"formattedCitation":"(Alexander and Lange, 2011)","plainTextFormattedCitation":"(Alexander and Lange, 2011)","previouslyFormattedCitation":"(Alexander and Lange, 2011)"},"properties":{"noteIndex":0},"schema":"https://github.com/citation-style-language/schema/raw/master/csl-citation.json"}</w:instrText>
      </w:r>
      <w:r w:rsidR="00DB2708" w:rsidRPr="00A35149">
        <w:rPr>
          <w:rFonts w:asciiTheme="majorBidi" w:hAnsiTheme="majorBidi" w:cstheme="majorBidi"/>
          <w:i/>
          <w:iCs/>
          <w:color w:val="4472C4" w:themeColor="accent1"/>
        </w:rPr>
        <w:fldChar w:fldCharType="separate"/>
      </w:r>
      <w:r w:rsidR="00DB2708" w:rsidRPr="00A35149">
        <w:rPr>
          <w:rFonts w:asciiTheme="majorBidi" w:hAnsiTheme="majorBidi" w:cstheme="majorBidi"/>
          <w:iCs/>
          <w:noProof/>
          <w:color w:val="4472C4" w:themeColor="accent1"/>
        </w:rPr>
        <w:t>(Alexander and Lange, 2011)</w:t>
      </w:r>
      <w:r w:rsidR="00DB2708" w:rsidRPr="00A35149">
        <w:rPr>
          <w:rFonts w:asciiTheme="majorBidi" w:hAnsiTheme="majorBidi" w:cstheme="majorBidi"/>
          <w:i/>
          <w:iCs/>
          <w:color w:val="4472C4" w:themeColor="accent1"/>
        </w:rPr>
        <w:fldChar w:fldCharType="end"/>
      </w:r>
      <w:r w:rsidRPr="00A35149">
        <w:rPr>
          <w:rFonts w:asciiTheme="majorBidi" w:hAnsiTheme="majorBidi" w:cstheme="majorBidi"/>
        </w:rPr>
        <w:t xml:space="preserve"> </w:t>
      </w:r>
      <w:r w:rsidR="00DB2708" w:rsidRPr="00A35149">
        <w:rPr>
          <w:rFonts w:asciiTheme="majorBidi" w:hAnsiTheme="majorBidi" w:cstheme="majorBidi"/>
        </w:rPr>
        <w:t>is</w:t>
      </w:r>
      <w:r w:rsidR="006F694C" w:rsidRPr="00A35149">
        <w:rPr>
          <w:rFonts w:asciiTheme="majorBidi" w:hAnsiTheme="majorBidi" w:cstheme="majorBidi"/>
        </w:rPr>
        <w:t xml:space="preserve"> </w:t>
      </w:r>
      <w:r w:rsidR="00684EB4" w:rsidRPr="00A35149">
        <w:rPr>
          <w:rFonts w:asciiTheme="majorBidi" w:hAnsiTheme="majorBidi" w:cstheme="majorBidi"/>
        </w:rPr>
        <w:t xml:space="preserve">the most popular tool </w:t>
      </w:r>
      <w:r w:rsidR="006F694C" w:rsidRPr="00A35149">
        <w:rPr>
          <w:rFonts w:asciiTheme="majorBidi" w:hAnsiTheme="majorBidi" w:cstheme="majorBidi"/>
        </w:rPr>
        <w:t>to make</w:t>
      </w:r>
      <w:r w:rsidRPr="00A35149">
        <w:rPr>
          <w:rFonts w:asciiTheme="majorBidi" w:hAnsiTheme="majorBidi" w:cstheme="majorBidi"/>
        </w:rPr>
        <w:t xml:space="preserve"> </w:t>
      </w:r>
      <w:r w:rsidR="006F694C" w:rsidRPr="00A35149">
        <w:rPr>
          <w:rFonts w:asciiTheme="majorBidi" w:hAnsiTheme="majorBidi" w:cstheme="majorBidi"/>
        </w:rPr>
        <w:t>“supervised” inference in this way</w:t>
      </w:r>
      <w:r w:rsidRPr="00A35149">
        <w:rPr>
          <w:rFonts w:asciiTheme="majorBidi" w:hAnsiTheme="majorBidi" w:cstheme="majorBidi"/>
        </w:rPr>
        <w:t xml:space="preserve">. </w:t>
      </w:r>
    </w:p>
    <w:p w14:paraId="1D8FF693" w14:textId="6373BBC6" w:rsidR="00E66BCF" w:rsidRPr="00A35149" w:rsidRDefault="00E66BCF" w:rsidP="00F67C07">
      <w:pPr>
        <w:rPr>
          <w:rFonts w:asciiTheme="majorBidi" w:hAnsiTheme="majorBidi" w:cstheme="majorBidi"/>
        </w:rPr>
      </w:pPr>
    </w:p>
    <w:p w14:paraId="7D3BD1BC" w14:textId="32F1A202" w:rsidR="00F67C07" w:rsidRPr="00A35149" w:rsidRDefault="006F694C" w:rsidP="00F67C07">
      <w:pPr>
        <w:rPr>
          <w:rFonts w:asciiTheme="majorBidi" w:hAnsiTheme="majorBidi" w:cstheme="majorBidi"/>
        </w:rPr>
      </w:pPr>
      <w:r w:rsidRPr="00A35149">
        <w:rPr>
          <w:rFonts w:asciiTheme="majorBidi" w:hAnsiTheme="majorBidi" w:cstheme="majorBidi"/>
        </w:rPr>
        <w:t xml:space="preserve">When an individual receives ancestry from different sources, they inherit SNPs and haplotypes in proportion to their ancestry from each source. </w:t>
      </w:r>
      <w:r w:rsidR="00DF4C5B" w:rsidRPr="00A35149">
        <w:rPr>
          <w:rFonts w:asciiTheme="majorBidi" w:hAnsiTheme="majorBidi" w:cstheme="majorBidi"/>
        </w:rPr>
        <w:t>Therefore,</w:t>
      </w:r>
      <w:r w:rsidRPr="00A35149">
        <w:rPr>
          <w:rFonts w:asciiTheme="majorBidi" w:hAnsiTheme="majorBidi" w:cstheme="majorBidi"/>
        </w:rPr>
        <w:t xml:space="preserve"> significant power can be obtained by considering not only SNPs, but also Haplotypes, quantified either by</w:t>
      </w:r>
      <w:r w:rsidR="00F67C07" w:rsidRPr="00A35149">
        <w:rPr>
          <w:rFonts w:asciiTheme="majorBidi" w:hAnsiTheme="majorBidi" w:cstheme="majorBidi"/>
        </w:rPr>
        <w:t xml:space="preserve"> IBD</w:t>
      </w:r>
      <w:r w:rsidRPr="00A35149">
        <w:rPr>
          <w:rFonts w:asciiTheme="majorBidi" w:hAnsiTheme="majorBidi" w:cstheme="majorBidi"/>
        </w:rPr>
        <w:t xml:space="preserve">, </w:t>
      </w:r>
      <w:r w:rsidR="00F67C07" w:rsidRPr="00A35149">
        <w:rPr>
          <w:rFonts w:asciiTheme="majorBidi" w:hAnsiTheme="majorBidi" w:cstheme="majorBidi"/>
        </w:rPr>
        <w:t>Chromosome Painting</w:t>
      </w:r>
      <w:r w:rsidRPr="00A35149">
        <w:rPr>
          <w:rFonts w:asciiTheme="majorBidi" w:hAnsiTheme="majorBidi" w:cstheme="majorBidi"/>
        </w:rPr>
        <w:t>, or some other technique.</w:t>
      </w:r>
      <w:r w:rsidR="00F67C07" w:rsidRPr="00A35149">
        <w:rPr>
          <w:rFonts w:asciiTheme="majorBidi" w:hAnsiTheme="majorBidi" w:cstheme="majorBidi"/>
        </w:rPr>
        <w:t xml:space="preserve"> </w:t>
      </w:r>
      <w:r w:rsidRPr="00A35149">
        <w:rPr>
          <w:rFonts w:asciiTheme="majorBidi" w:hAnsiTheme="majorBidi" w:cstheme="majorBidi"/>
        </w:rPr>
        <w:t xml:space="preserve">These methods </w:t>
      </w:r>
      <w:r w:rsidR="00F67C07" w:rsidRPr="00A35149">
        <w:rPr>
          <w:rFonts w:asciiTheme="majorBidi" w:hAnsiTheme="majorBidi" w:cstheme="majorBidi"/>
        </w:rPr>
        <w:t>describe kinship or haplotype sharing with the reference. This</w:t>
      </w:r>
      <w:r w:rsidR="000C3BB7" w:rsidRPr="00A35149">
        <w:rPr>
          <w:rFonts w:asciiTheme="majorBidi" w:hAnsiTheme="majorBidi" w:cstheme="majorBidi"/>
        </w:rPr>
        <w:t>,</w:t>
      </w:r>
      <w:r w:rsidR="00F67C07" w:rsidRPr="00A35149">
        <w:rPr>
          <w:rFonts w:asciiTheme="majorBidi" w:hAnsiTheme="majorBidi" w:cstheme="majorBidi"/>
        </w:rPr>
        <w:t xml:space="preserve"> in turn</w:t>
      </w:r>
      <w:r w:rsidR="000C3BB7" w:rsidRPr="00A35149">
        <w:rPr>
          <w:rFonts w:asciiTheme="majorBidi" w:hAnsiTheme="majorBidi" w:cstheme="majorBidi"/>
        </w:rPr>
        <w:t>,</w:t>
      </w:r>
      <w:r w:rsidR="00F67C07" w:rsidRPr="00A35149">
        <w:rPr>
          <w:rFonts w:asciiTheme="majorBidi" w:hAnsiTheme="majorBidi" w:cstheme="majorBidi"/>
        </w:rPr>
        <w:t xml:space="preserve"> can be used to learn</w:t>
      </w:r>
      <w:r w:rsidRPr="00A35149">
        <w:rPr>
          <w:rFonts w:asciiTheme="majorBidi" w:hAnsiTheme="majorBidi" w:cstheme="majorBidi"/>
        </w:rPr>
        <w:t xml:space="preserve"> an individual’s</w:t>
      </w:r>
      <w:r w:rsidR="00F67C07" w:rsidRPr="00A35149">
        <w:rPr>
          <w:rFonts w:asciiTheme="majorBidi" w:hAnsiTheme="majorBidi" w:cstheme="majorBidi"/>
        </w:rPr>
        <w:t xml:space="preserve"> </w:t>
      </w:r>
      <w:r w:rsidRPr="00A35149">
        <w:rPr>
          <w:rFonts w:asciiTheme="majorBidi" w:hAnsiTheme="majorBidi" w:cstheme="majorBidi"/>
        </w:rPr>
        <w:t>ancestry mixture</w:t>
      </w:r>
      <w:r w:rsidR="00F67C07" w:rsidRPr="00A35149">
        <w:rPr>
          <w:rFonts w:asciiTheme="majorBidi" w:hAnsiTheme="majorBidi" w:cstheme="majorBidi"/>
        </w:rPr>
        <w:t xml:space="preserve">, </w:t>
      </w:r>
      <w:r w:rsidR="0048790C" w:rsidRPr="00A35149">
        <w:rPr>
          <w:rFonts w:asciiTheme="majorBidi" w:hAnsiTheme="majorBidi" w:cstheme="majorBidi"/>
        </w:rPr>
        <w:t xml:space="preserve">which is routinely done </w:t>
      </w:r>
      <w:r w:rsidR="00F67C07" w:rsidRPr="00A35149">
        <w:rPr>
          <w:rFonts w:asciiTheme="majorBidi" w:hAnsiTheme="majorBidi" w:cstheme="majorBidi"/>
        </w:rPr>
        <w:t xml:space="preserve">for example via Non-Negative Least Squares (NNLS) </w:t>
      </w:r>
      <w:r w:rsidR="00FE63EE" w:rsidRPr="00A35149">
        <w:rPr>
          <w:rFonts w:asciiTheme="majorBidi" w:hAnsiTheme="majorBidi" w:cstheme="majorBidi"/>
          <w:color w:val="4472C4" w:themeColor="accent1"/>
        </w:rPr>
        <w:fldChar w:fldCharType="begin" w:fldLock="1"/>
      </w:r>
      <w:r w:rsidR="00FE63EE" w:rsidRPr="00A35149">
        <w:rPr>
          <w:rFonts w:asciiTheme="majorBidi" w:hAnsiTheme="majorBidi" w:cstheme="majorBidi"/>
          <w:color w:val="4472C4" w:themeColor="accent1"/>
        </w:rPr>
        <w:instrText>ADDIN CSL_CITATION {"citationItems":[{"id":"ITEM-1","itemData":{"DOI":"10.1038/nature19792","ISSN":"14764687","abstract":"High-Coverage whole-genome sequence studies have so far focused on a limited number of geographically restricted populations, or been targeted at specific diseases, such as cancer. Nevertheless, the availability of high-resolution genomic data has led to the development of new methodologies for inferring population history and refuelled the debate on the mutation rate in humans. Here we present the Estonian Biocentre Human Genome Diversity Panel (EGDP), a dataset of 483 high-coverage human genomes from 148 populations worldwide, including 379 new genomes from 125 populations, which we group into diversity and selection sets. We analyse this dataset to refine estimates of continent-wide patterns of heterozygosity, long-and short-distance gene flow, archaic admixture, and changes in effective population size through time as well as for signals of positive or balancing selection. We find a genetic signature in present-day Papuans that suggests that at least 2% of their genome originates from an early and largely extinct expansion of anatomically modern humans (AMHs) out of Africa. Together with evidence from the western Asian fossil record, and admixture between AMHs and Neanderthals predating the main Eurasian expansion, our results contribute to the mounting evidence for the presence of AMHs out of Africa earlier than 75,000 years ago.","author":[{"dropping-particle":"","family":"Pagani","given":"Luca","non-dropping-particle":"","parse-names":false,"suffix":""},{"dropping-particle":"","family":"Lawson","given":"Daniel John","non-dropping-particle":"","parse-names":false,"suffix":""},{"dropping-particle":"","family":"Jagoda","given":"Evelyn","non-dropping-particle":"","parse-names":false,"suffix":""},{"dropping-particle":"","family":"Mörseburg","given":"Alexander","non-dropping-particle":"","parse-names":false,"suffix":""},{"dropping-particle":"","family":"Eriksson","given":"Anders","non-dropping-particle":"","parse-names":false,"suffix":""},{"dropping-particle":"","family":"Mitt","given":"Mario","non-dropping-particle":"","parse-names":false,"suffix":""},{"dropping-particle":"","family":"Clemente","given":"Florian","non-dropping-particle":"","parse-names":false,"suffix":""},{"dropping-particle":"","family":"Hudjashov","given":"Georgi","non-dropping-particle":"","parse-names":false,"suffix":""},{"dropping-particle":"","family":"Degiorgio","given":"Michael","non-dropping-particle":"","parse-names":false,"suffix":""},{"dropping-particle":"","family":"Saag","given":"Lehti","non-dropping-particle":"","parse-names":false,"suffix":""},{"dropping-particle":"","family":"Wall","given":"Jeffrey D.","non-dropping-particle":"","parse-names":false,"suffix":""},{"dropping-particle":"","family":"Cardona","given":"Alexia","non-dropping-particle":"","parse-names":false,"suffix":""},{"dropping-particle":"","family":"Mägi","given":"Reedik","non-dropping-particle":"","parse-names":false,"suffix":""},{"dropping-particle":"","family":"Sayres","given":"Melissa A.Wilson","non-dropping-particle":"","parse-names":false,"suffix":""},{"dropping-particle":"","family":"Kaewert","given":"Sarah","non-dropping-particle":"","parse-names":false,"suffix":""},{"dropping-particle":"","family":"Inchley","given":"Charlotte","non-dropping-particle":"","parse-names":false,"suffix":""},{"dropping-particle":"","family":"Scheib","given":"Christiana L.","non-dropping-particle":"","parse-names":false,"suffix":""},{"dropping-particle":"","family":"Järve","given":"Mari","non-dropping-particle":"","parse-names":false,"suffix":""},{"dropping-particle":"","family":"Karmin","given":"Monika","non-dropping-particle":"","parse-names":false,"suffix":""},{"dropping-particle":"","family":"Jacobs","given":"Guy S.","non-dropping-particle":"","parse-names":false,"suffix":""},{"dropping-particle":"","family":"Antao","given":"Tiago","non-dropping-particle":"","parse-names":false,"suffix":""},{"dropping-particle":"","family":"Iliescu","given":"Florin Mircea","non-dropping-particle":"","parse-names":false,"suffix":""},{"dropping-particle":"","family":"Kushniarevich","given":"Alena","non-dropping-particle":"","parse-names":false,"suffix":""},{"dropping-particle":"","family":"Ayub","given":"Qasim","non-dropping-particle":"","parse-names":false,"suffix":""},{"dropping-particle":"","family":"Tyler-Smith","given":"Chris","non-dropping-particle":"","parse-names":false,"suffix":""},{"dropping-particle":"","family":"Xue","given":"Yali","non-dropping-particle":"","parse-names":false,"suffix":""},{"dropping-particle":"","family":"Yunusbayev","given":"Bayazit","non-dropping-particle":"","parse-names":false,"suffix":""},{"dropping-particle":"","family":"Tambets","given":"Kristiina","non-dropping-particle":"","parse-names":false,"suffix":""},{"dropping-particle":"","family":"Mallick","given":"Chandana Basu","non-dropping-particle":"","parse-names":false,"suffix":""},{"dropping-particle":"","family":"Pocheshkhova","given":"Elvira","non-dropping-particle":"","parse-names":false,"suffix":""},{"dropping-particle":"","family":"Andriadze","given":"George","non-dropping-particle":"","parse-names":false,"suffix":""},{"dropping-particle":"","family":"Muller","given":"Craig","non-dropping-particle":"","parse-names":false,"suffix":""},{"dropping-particle":"","family":"Westaway","given":"Michael C.","non-dropping-particle":"","parse-names":false,"suffix":""},{"dropping-particle":"","family":"Lambert","given":"David M.","non-dropping-particle":"","parse-names":false,"suffix":""},{"dropping-particle":"","family":"Zoraqi","given":"Grigor","non-dropping-particle":"","parse-names":false,"suffix":""},{"dropping-particle":"","family":"Turdikulova","given":"Shahlo","non-dropping-particle":"","parse-names":false,"suffix":""},{"dropping-particle":"","family":"Dalimova","given":"Dilbar","non-dropping-particle":"","parse-names":false,"suffix":""},{"dropping-particle":"","family":"Sabitov","given":"Zhaxylyk","non-dropping-particle":"","parse-names":false,"suffix":""},{"dropping-particle":"","family":"Sultana","given":"Gazi Nurun Nahar","non-dropping-particle":"","parse-names":false,"suffix":""},{"dropping-particle":"","family":"Lachance","given":"Joseph","non-dropping-particle":"","parse-names":false,"suffix":""},{"dropping-particle":"","family":"Tishkoff","given":"Sarah","non-dropping-particle":"","parse-names":false,"suffix":""},{"dropping-particle":"","family":"Momynaliev","given":"Kuvat","non-dropping-particle":"","parse-names":false,"suffix":""},{"dropping-particle":"","family":"Isakova","given":"Jainagul","non-dropping-particle":"","parse-names":false,"suffix":""},{"dropping-particle":"","family":"Damba","given":"Larisa D.","non-dropping-particle":"","parse-names":false,"suffix":""},{"dropping-particle":"","family":"Gubina","given":"Marina","non-dropping-particle":"","parse-names":false,"suffix":""},{"dropping-particle":"","family":"Nymadawa","given":"Pagbajabyn","non-dropping-particle":"","parse-names":false,"suffix":""},{"dropping-particle":"","family":"Evseeva","given":"Irina","non-dropping-particle":"","parse-names":false,"suffix":""},{"dropping-particle":"","family":"Atramentova","given":"Lubov","non-dropping-particle":"","parse-names":false,"suffix":""},{"dropping-particle":"","family":"Utevska","given":"Olga","non-dropping-particle":"","parse-names":false,"suffix":""},{"dropping-particle":"","family":"Ricaut","given":"François Xavier","non-dropping-particle":"","parse-names":false,"suffix":""},{"dropping-particle":"","family":"Brucato","given":"Nicolas","non-dropping-particle":"","parse-names":false,"suffix":""},{"dropping-particle":"","family":"Sudoyo","given":"Herawati","non-dropping-particle":"","parse-names":false,"suffix":""},{"dropping-particle":"","family":"Letellier","given":"Thierry","non-dropping-particle":"","parse-names":false,"suffix":""},{"dropping-particle":"","family":"Cox","given":"Murray P.","non-dropping-particle":"","parse-names":false,"suffix":""},{"dropping-particle":"","family":"Barashkov","given":"Nikolay A.","non-dropping-particle":"","parse-names":false,"suffix":""},{"dropping-particle":"","family":"Škaro","given":"Vedrana","non-dropping-particle":"","parse-names":false,"suffix":""},{"dropping-particle":"","family":"Mulahasanović","given":"Lejla","non-dropping-particle":"","parse-names":false,"suffix":""},{"dropping-particle":"","family":"Primorac","given":"Dragan","non-dropping-particle":"","parse-names":false,"suffix":""},{"dropping-particle":"","family":"Sahakyan","given":"Hovhannes","non-dropping-particle":"","parse-names":false,"suffix":""},{"dropping-particle":"","family":"Mormina","given":"Maru","non-dropping-particle":"","parse-names":false,"suffix":""},{"dropping-particle":"","family":"Eichstaedt","given":"Christina A.","non-dropping-particle":"","parse-names":false,"suffix":""},{"dropping-particle":"V.","family":"Lichman","given":"Daria","non-dropping-particle":"","parse-names":false,"suffix":""},{"dropping-particle":"","family":"Abdullah","given":"Syafiq","non-dropping-particle":"","parse-names":false,"suffix":""},{"dropping-particle":"","family":"Chaubey","given":"Gyaneshwer","non-dropping-particle":"","parse-names":false,"suffix":""},{"dropping-particle":"","family":"Wee","given":"Joseph T.S.","non-dropping-particle":"","parse-names":false,"suffix":""},{"dropping-particle":"","family":"Mihailov","given":"Evelin","non-dropping-particle":"","parse-names":false,"suffix":""},{"dropping-particle":"","family":"Karunas","given":"Alexandra","non-dropping-particle":"","parse-names":false,"suffix":""},{"dropping-particle":"","family":"Litvinov","given":"Sergei","non-dropping-particle":"","parse-names":false,"suffix":""},{"dropping-particle":"","family":"Khusainova","given":"Rita","non-dropping-particle":"","parse-names":false,"suffix":""},{"dropping-particle":"","family":"Ekomasova","given":"Natalya","non-dropping-particle":"","parse-names":false,"suffix":""},{"dropping-particle":"","family":"Akhmetova","given":"Vita","non-dropping-particle":"","parse-names":false,"suffix":""},{"dropping-particle":"","family":"Khidiyatova","given":"Irina","non-dropping-particle":"","parse-names":false,"suffix":""},{"dropping-particle":"","family":"MarjanoviÄ","given":"Damir","non-dropping-particle":"","parse-names":false,"suffix":""},{"dropping-particle":"","family":"Yepiskoposyan","given":"Levon","non-dropping-particle":"","parse-names":false,"suffix":""},{"dropping-particle":"","family":"Behar","given":"Doron M.","non-dropping-particle":"","parse-names":false,"suffix":""},{"dropping-particle":"","family":"Balanovska","given":"Elena","non-dropping-particle":"","parse-names":false,"suffix":""},{"dropping-particle":"","family":"Metspalu","given":"Andres","non-dropping-particle":"","parse-names":false,"suffix":""},{"dropping-particle":"","family":"Derenko","given":"Miroslava","non-dropping-particle":"","parse-names":false,"suffix":""},{"dropping-particle":"","family":"Malyarchuk","given":"Boris","non-dropping-particle":"","parse-names":false,"suffix":""},{"dropping-particle":"","family":"Voevoda","given":"Mikhail","non-dropping-particle":"","parse-names":false,"suffix":""},{"dropping-particle":"","family":"Fedorova","given":"Sardana A.","non-dropping-particle":"","parse-names":false,"suffix":""},{"dropping-particle":"","family":"Osipova","given":"Ludmila P.","non-dropping-particle":"","parse-names":false,"suffix":""},{"dropping-particle":"","family":"Lahr","given":"Marta Mirazón","non-dropping-particle":"","parse-names":false,"suffix":""},{"dropping-particle":"","family":"Gerbault","given":"Pascale","non-dropping-particle":"","parse-names":false,"suffix":""},{"dropping-particle":"","family":"Leavesley","given":"Matthew","non-dropping-particle":"","parse-names":false,"suffix":""},{"dropping-particle":"","family":"Migliano","given":"Andrea Bamberg","non-dropping-particle":"","parse-names":false,"suffix":""},{"dropping-particle":"","family":"Petraglia","given":"Michael","non-dropping-particle":"","parse-names":false,"suffix":""},{"dropping-particle":"","family":"Balanovsky","given":"Oleg","non-dropping-particle":"","parse-names":false,"suffix":""},{"dropping-particle":"","family":"Khusnutdinova","given":"Elza K.","non-dropping-particle":"","parse-names":false,"suffix":""},{"dropping-particle":"","family":"Metspalu","given":"Ene","non-dropping-particle":"","parse-names":false,"suffix":""},{"dropping-particle":"","family":"Thomas","given":"Mark G.","non-dropping-particle":"","parse-names":false,"suffix":""},{"dropping-particle":"","family":"Manica","given":"Andrea","non-dropping-particle":"","parse-names":false,"suffix":""},{"dropping-particle":"","family":"Nielsen","given":"Rasmus","non-dropping-particle":"","parse-names":false,"suffix":""},{"dropping-particle":"","family":"Villems","given":"Richard","non-dropping-particle":"","parse-names":false,"suffix":""},{"dropping-particle":"","family":"Willerslev","given":"Eske","non-dropping-particle":"","parse-names":false,"suffix":""},{"dropping-particle":"","family":"Kivisild","given":"Toomas","non-dropping-particle":"","parse-names":false,"suffix":""},{"dropping-particle":"","family":"Metspalu","given":"Mait","non-dropping-particle":"","parse-names":false,"suffix":""}],"container-title":"Nature","id":"ITEM-1","issue":"7624","issued":{"date-parts":[["2016"]]},"page":"238-242","title":"Genomic analyses inform on migration events during the peopling of Eurasia","type":"article-journal","volume":"538"},"uris":["http://www.mendeley.com/documents/?uuid=ebe931b2-0724-4a51-9762-976b1d32eb5c"]},{"id":"ITEM-2","itemData":{"DOI":"10.1126/science.1243518","ISSN":"10959203","abstract":"Modern genetic data combined with appropriate statistical methods have the potential to contribute substantially to our understanding of human history. We have developed an approach that exploits the genomic structure of admixed populations to date and characterize historical mixture events at fine scales. We used this to produce an atlas of worldwide human admixture history, constructed by using genetic data alone and encompassing over 100 events occurring over the past 4000 years. We identified events whose dates and participants suggest they describe genetic impacts of the Mongol empire, Arab slave trade, Bantu expansion, first millennium CE migrations in Eastern Europe, and European colonialism, as well as unrecorded events, revealing admixture to be an almost universal force shaping human populations.","author":[{"dropping-particle":"","family":"Hellenthal","given":"Garrett","non-dropping-particle":"","parse-names":false,"suffix":""},{"dropping-particle":"","family":"Busby","given":"George B.J.","non-dropping-particle":"","parse-names":false,"suffix":""},{"dropping-particle":"","family":"Band","given":"Gavin","non-dropping-particle":"","parse-names":false,"suffix":""},{"dropping-particle":"","family":"Wilson","given":"James F.","non-dropping-particle":"","parse-names":false,"suffix":""},{"dropping-particle":"","family":"Capelli","given":"Cristian","non-dropping-particle":"","parse-names":false,"suffix":""},{"dropping-particle":"","family":"Falush","given":"Daniel","non-dropping-particle":"","parse-names":false,"suffix":""},{"dropping-particle":"","family":"Myers","given":"Simon","non-dropping-particle":"","parse-names":false,"suffix":""}],"container-title":"Science","id":"ITEM-2","issue":"6172","issued":{"date-parts":[["2014"]]},"page":"747-751","title":"A genetic atlas of human admixture history","type":"article-journal","volume":"343"},"uris":["http://www.mendeley.com/documents/?uuid=b4ac8ed3-4132-4632-90e4-1a44de6a9889"]}],"mendeley":{"formattedCitation":"(Hellenthal &lt;i&gt;et al.&lt;/i&gt;, 2014; Pagani &lt;i&gt;et al.&lt;/i&gt;, 2016)","plainTextFormattedCitation":"(Hellenthal et al., 2014; Pagani et al., 2016)","previouslyFormattedCitation":"(Hellenthal &lt;i&gt;et al.&lt;/i&gt;, 2014; Pagani &lt;i&gt;et al.&lt;/i&gt;, 2016)"},"properties":{"noteIndex":0},"schema":"https://github.com/citation-style-language/schema/raw/master/csl-citation.json"}</w:instrText>
      </w:r>
      <w:r w:rsidR="00FE63EE" w:rsidRPr="00A35149">
        <w:rPr>
          <w:rFonts w:asciiTheme="majorBidi" w:hAnsiTheme="majorBidi" w:cstheme="majorBidi"/>
          <w:color w:val="4472C4" w:themeColor="accent1"/>
        </w:rPr>
        <w:fldChar w:fldCharType="separate"/>
      </w:r>
      <w:r w:rsidR="00FE63EE" w:rsidRPr="00A35149">
        <w:rPr>
          <w:rFonts w:asciiTheme="majorBidi" w:hAnsiTheme="majorBidi" w:cstheme="majorBidi"/>
          <w:noProof/>
          <w:color w:val="4472C4" w:themeColor="accent1"/>
        </w:rPr>
        <w:t xml:space="preserve">(Hellenthal </w:t>
      </w:r>
      <w:r w:rsidR="00FE63EE" w:rsidRPr="00A35149">
        <w:rPr>
          <w:rFonts w:asciiTheme="majorBidi" w:hAnsiTheme="majorBidi" w:cstheme="majorBidi"/>
          <w:i/>
          <w:noProof/>
          <w:color w:val="4472C4" w:themeColor="accent1"/>
        </w:rPr>
        <w:t>et al.</w:t>
      </w:r>
      <w:r w:rsidR="00FE63EE" w:rsidRPr="00A35149">
        <w:rPr>
          <w:rFonts w:asciiTheme="majorBidi" w:hAnsiTheme="majorBidi" w:cstheme="majorBidi"/>
          <w:noProof/>
          <w:color w:val="4472C4" w:themeColor="accent1"/>
        </w:rPr>
        <w:t xml:space="preserve">, 2014; Pagani </w:t>
      </w:r>
      <w:r w:rsidR="00FE63EE" w:rsidRPr="00A35149">
        <w:rPr>
          <w:rFonts w:asciiTheme="majorBidi" w:hAnsiTheme="majorBidi" w:cstheme="majorBidi"/>
          <w:i/>
          <w:noProof/>
          <w:color w:val="4472C4" w:themeColor="accent1"/>
        </w:rPr>
        <w:t>et al.</w:t>
      </w:r>
      <w:r w:rsidR="00FE63EE" w:rsidRPr="00A35149">
        <w:rPr>
          <w:rFonts w:asciiTheme="majorBidi" w:hAnsiTheme="majorBidi" w:cstheme="majorBidi"/>
          <w:noProof/>
          <w:color w:val="4472C4" w:themeColor="accent1"/>
        </w:rPr>
        <w:t>, 2016)</w:t>
      </w:r>
      <w:r w:rsidR="00FE63EE" w:rsidRPr="00A35149">
        <w:rPr>
          <w:rFonts w:asciiTheme="majorBidi" w:hAnsiTheme="majorBidi" w:cstheme="majorBidi"/>
          <w:color w:val="4472C4" w:themeColor="accent1"/>
        </w:rPr>
        <w:fldChar w:fldCharType="end"/>
      </w:r>
      <w:r w:rsidR="00FE63EE" w:rsidRPr="00A35149">
        <w:rPr>
          <w:rFonts w:asciiTheme="majorBidi" w:hAnsiTheme="majorBidi" w:cstheme="majorBidi"/>
        </w:rPr>
        <w:t xml:space="preserve"> </w:t>
      </w:r>
      <w:r w:rsidR="00F67C07" w:rsidRPr="00A35149">
        <w:rPr>
          <w:rFonts w:asciiTheme="majorBidi" w:hAnsiTheme="majorBidi" w:cstheme="majorBidi"/>
        </w:rPr>
        <w:t>or SOURCEFIND</w:t>
      </w:r>
      <w:r w:rsidR="00FE63EE" w:rsidRPr="00A35149">
        <w:rPr>
          <w:rFonts w:asciiTheme="majorBidi" w:hAnsiTheme="majorBidi" w:cstheme="majorBidi"/>
        </w:rPr>
        <w:t xml:space="preserve"> </w:t>
      </w:r>
      <w:r w:rsidR="00FE63EE" w:rsidRPr="00A35149">
        <w:rPr>
          <w:rFonts w:asciiTheme="majorBidi" w:hAnsiTheme="majorBidi" w:cstheme="majorBidi"/>
          <w:color w:val="4472C4" w:themeColor="accent1"/>
        </w:rPr>
        <w:fldChar w:fldCharType="begin" w:fldLock="1"/>
      </w:r>
      <w:r w:rsidR="00FE63EE" w:rsidRPr="00A35149">
        <w:rPr>
          <w:rFonts w:asciiTheme="majorBidi" w:hAnsiTheme="majorBidi" w:cstheme="majorBidi"/>
          <w:color w:val="4472C4" w:themeColor="accent1"/>
        </w:rPr>
        <w:instrText>ADDIN CSL_CITATION {"citationItems":[{"id":"ITEM-1","itemData":{"DOI":"10.1038/s41467-018-07748-z","ISSN":"20411723","abstract":"Historical records and genetic analyses indicate that Latin Americans trace their ancestry mainly to the intermixing (admixture) of Native Americans, Europeans and Sub-Saharan Africans. Using novel haplotype-based methods, here we infer sub-continental ancestry in over 6,500 Latin Americans and evaluate the impact of regional ancestry variation on physical appearance. We find that Native American ancestry components in Latin Americans correspond geographically to the present-day genetic structure of Native groups, and that sources of non-Native ancestry, and admixture timings, match documented migratory flows. We also detect South/East Mediterranean ancestry across Latin America, probably stemming mostly from the clandestine colonial migration of Christian converts of non-European origin (Conversos). Furthermore, we find that ancestry related to highland (Central Andean) versus lowland (Mapuche) Natives is associated with variation in facial features, particularly nose morphology, and detect significant differences in allele frequencies between these groups at loci previously associated with nose morphology in this sample.","author":[{"dropping-particle":"","family":"Chacón-Duque","given":"Juan Camilo","non-dropping-particle":"","parse-names":false,"suffix":""},{"dropping-particle":"","family":"Adhikari","given":"Kaustubh","non-dropping-particle":"","parse-names":false,"suffix":""},{"dropping-particle":"","family":"Fuentes-Guajardo","given":"Macarena","non-dropping-particle":"","parse-names":false,"suffix":""},{"dropping-particle":"","family":"Mendoza-Revilla","given":"Javier","non-dropping-particle":"","parse-names":false,"suffix":""},{"dropping-particle":"","family":"Acuña-Alonzo","given":"Victor","non-dropping-particle":"","parse-names":false,"suffix":""},{"dropping-particle":"","family":"Barquera","given":"Rodrigo","non-dropping-particle":"","parse-names":false,"suffix":""},{"dropping-particle":"","family":"Quinto-Sánchez","given":"Mirsha","non-dropping-particle":"","parse-names":false,"suffix":""},{"dropping-particle":"","family":"Gómez-Valdés","given":"Jorge","non-dropping-particle":"","parse-names":false,"suffix":""},{"dropping-particle":"","family":"Everardo Martínez","given":"Paola","non-dropping-particle":"","parse-names":false,"suffix":""},{"dropping-particle":"","family":"Villamil-Ramírez","given":"Hugo","non-dropping-particle":"","parse-names":false,"suffix":""},{"dropping-particle":"","family":"Hünemeier","given":"Tábita","non-dropping-particle":"","parse-names":false,"suffix":""},{"dropping-particle":"","family":"Ramallo","given":"Virginia","non-dropping-particle":"","parse-names":false,"suffix":""},{"dropping-particle":"","family":"Silva de Cerqueira","given":"Caio C.","non-dropping-particle":"","parse-names":false,"suffix":""},{"dropping-particle":"","family":"Hurtado","given":"Malena","non-dropping-particle":"","parse-names":false,"suffix":""},{"dropping-particle":"","family":"Villegas","given":"Valeria","non-dropping-particle":"","parse-names":false,"suffix":""},{"dropping-particle":"","family":"Granja","given":"Vanessa","non-dropping-particle":"","parse-names":false,"suffix":""},{"dropping-particle":"","family":"Villena","given":"Mercedes","non-dropping-particle":"","parse-names":false,"suffix":""},{"dropping-particle":"","family":"Vásquez","given":"René","non-dropping-particle":"","parse-names":false,"suffix":""},{"dropping-particle":"","family":"Llop","given":"Elena","non-dropping-particle":"","parse-names":false,"suffix":""},{"dropping-particle":"","family":"Sandoval","given":"José R.","non-dropping-particle":"","parse-names":false,"suffix":""},{"dropping-particle":"","family":"Salazar-Granara","given":"Alberto A.","non-dropping-particle":"","parse-names":false,"suffix":""},{"dropping-particle":"","family":"Parolin","given":"Maria Laura","non-dropping-particle":"","parse-names":false,"suffix":""},{"dropping-particle":"","family":"Sandoval","given":"Karla","non-dropping-particle":"","parse-names":false,"suffix":""},{"dropping-particle":"","family":"Peñaloza-Espinosa","given":"Rosenda I.","non-dropping-particle":"","parse-names":false,"suffix":""},{"dropping-particle":"","family":"Rangel-Villalobos","given":"Hector","non-dropping-particle":"","parse-names":false,"suffix":""},{"dropping-particle":"","family":"Winkler","given":"Cheryl A.","non-dropping-particle":"","parse-names":false,"suffix":""},{"dropping-particle":"","family":"Klitz","given":"William","non-dropping-particle":"","parse-names":false,"suffix":""},{"dropping-particle":"","family":"Bravi","given":"Claudio","non-dropping-particle":"","parse-names":false,"suffix":""},{"dropping-particle":"","family":"Molina","given":"Julio","non-dropping-particle":"","parse-names":false,"suffix":""},{"dropping-particle":"","family":"Corach","given":"Daniel","non-dropping-particle":"","parse-names":false,"suffix":""},{"dropping-particle":"","family":"Barrantes","given":"Ramiro","non-dropping-particle":"","parse-names":false,"suffix":""},{"dropping-particle":"","family":"Gomes","given":"Verónica","non-dropping-particle":"","parse-names":false,"suffix":""},{"dropping-particle":"","family":"Resende","given":"Carlos","non-dropping-particle":"","parse-names":false,"suffix":""},{"dropping-particle":"","family":"Gusmão","given":"Leonor","non-dropping-particle":"","parse-names":false,"suffix":""},{"dropping-particle":"","family":"Amorim","given":"Antonio","non-dropping-particle":"","parse-names":false,"suffix":""},{"dropping-particle":"","family":"Xue","given":"Yali","non-dropping-particle":"","parse-names":false,"suffix":""},{"dropping-particle":"","family":"Dugoujon","given":"Jean Michel","non-dropping-particle":"","parse-names":false,"suffix":""},{"dropping-particle":"","family":"Moral","given":"Pedro","non-dropping-particle":"","parse-names":false,"suffix":""},{"dropping-particle":"","family":"González-José","given":"Rolando","non-dropping-particle":"","parse-names":false,"suffix":""},{"dropping-particle":"","family":"Schuler-Faccini","given":"Lavinia","non-dropping-particle":"","parse-names":false,"suffix":""},{"dropping-particle":"","family":"Salzano","given":"Francisco M.","non-dropping-particle":"","parse-names":false,"suffix":""},{"dropping-particle":"","family":"Bortolini","given":"Maria Cátira","non-dropping-particle":"","parse-names":false,"suffix":""},{"dropping-particle":"","family":"Canizales-Quinteros","given":"Samuel","non-dropping-particle":"","parse-names":false,"suffix":""},{"dropping-particle":"","family":"Poletti","given":"Giovanni","non-dropping-particle":"","parse-names":false,"suffix":""},{"dropping-particle":"","family":"Gallo","given":"Carla","non-dropping-particle":"","parse-names":false,"suffix":""},{"dropping-particle":"","family":"Bedoya","given":"Gabriel","non-dropping-particle":"","parse-names":false,"suffix":""},{"dropping-particle":"","family":"Rothhammer","given":"Francisco","non-dropping-particle":"","parse-names":false,"suffix":""},{"dropping-particle":"","family":"Balding","given":"David","non-dropping-particle":"","parse-names":false,"suffix":""},{"dropping-particle":"","family":"Hellenthal","given":"Garrett","non-dropping-particle":"","parse-names":false,"suffix":""},{"dropping-particle":"","family":"Ruiz-Linares","given":"Andrés","non-dropping-particle":"","parse-names":false,"suffix":""}],"container-title":"Nature Communications","id":"ITEM-1","issue":"1","issued":{"date-parts":[["2018"]]},"title":"Latin Americans show wide-spread Converso ancestry and imprint of local Native ancestry on physical appearance","type":"article-journal","volume":"9"},"uris":["http://www.mendeley.com/documents/?uuid=1207352d-3ac6-42c6-bf43-f17c046d90d1"]}],"mendeley":{"formattedCitation":"(Chacón-Duque &lt;i&gt;et al.&lt;/i&gt;, 2018)","plainTextFormattedCitation":"(Chacón-Duque et al., 2018)","previouslyFormattedCitation":"(Chacón-Duque &lt;i&gt;et al.&lt;/i&gt;, 2018)"},"properties":{"noteIndex":0},"schema":"https://github.com/citation-style-language/schema/raw/master/csl-citation.json"}</w:instrText>
      </w:r>
      <w:r w:rsidR="00FE63EE" w:rsidRPr="00A35149">
        <w:rPr>
          <w:rFonts w:asciiTheme="majorBidi" w:hAnsiTheme="majorBidi" w:cstheme="majorBidi"/>
          <w:color w:val="4472C4" w:themeColor="accent1"/>
        </w:rPr>
        <w:fldChar w:fldCharType="separate"/>
      </w:r>
      <w:r w:rsidR="00FE63EE" w:rsidRPr="00A35149">
        <w:rPr>
          <w:rFonts w:asciiTheme="majorBidi" w:hAnsiTheme="majorBidi" w:cstheme="majorBidi"/>
          <w:noProof/>
          <w:color w:val="4472C4" w:themeColor="accent1"/>
        </w:rPr>
        <w:t xml:space="preserve">(Chacón-Duque </w:t>
      </w:r>
      <w:r w:rsidR="00FE63EE" w:rsidRPr="00A35149">
        <w:rPr>
          <w:rFonts w:asciiTheme="majorBidi" w:hAnsiTheme="majorBidi" w:cstheme="majorBidi"/>
          <w:i/>
          <w:noProof/>
          <w:color w:val="4472C4" w:themeColor="accent1"/>
        </w:rPr>
        <w:t>et al.</w:t>
      </w:r>
      <w:r w:rsidR="00FE63EE" w:rsidRPr="00A35149">
        <w:rPr>
          <w:rFonts w:asciiTheme="majorBidi" w:hAnsiTheme="majorBidi" w:cstheme="majorBidi"/>
          <w:noProof/>
          <w:color w:val="4472C4" w:themeColor="accent1"/>
        </w:rPr>
        <w:t>, 2018)</w:t>
      </w:r>
      <w:r w:rsidR="00FE63EE" w:rsidRPr="00A35149">
        <w:rPr>
          <w:rFonts w:asciiTheme="majorBidi" w:hAnsiTheme="majorBidi" w:cstheme="majorBidi"/>
          <w:color w:val="4472C4" w:themeColor="accent1"/>
        </w:rPr>
        <w:fldChar w:fldCharType="end"/>
      </w:r>
      <w:r w:rsidR="00F67C07" w:rsidRPr="00A35149">
        <w:rPr>
          <w:rFonts w:asciiTheme="majorBidi" w:hAnsiTheme="majorBidi" w:cstheme="majorBidi"/>
        </w:rPr>
        <w:t xml:space="preserve">. </w:t>
      </w:r>
      <w:r w:rsidR="0048790C" w:rsidRPr="00A35149">
        <w:rPr>
          <w:rFonts w:asciiTheme="majorBidi" w:hAnsiTheme="majorBidi" w:cstheme="majorBidi"/>
        </w:rPr>
        <w:t>Because the computational cost of these approaches is linear in the size of the target dataset, they can be used at the biobank scale. However, the value of the resulting mixture has yet to be established.</w:t>
      </w:r>
    </w:p>
    <w:p w14:paraId="50AA8D84" w14:textId="77777777" w:rsidR="00444A43" w:rsidRPr="00A35149" w:rsidRDefault="00444A43" w:rsidP="00F67C07">
      <w:pPr>
        <w:rPr>
          <w:rFonts w:asciiTheme="majorBidi" w:hAnsiTheme="majorBidi" w:cstheme="majorBidi"/>
          <w:color w:val="4472C4" w:themeColor="accent1"/>
        </w:rPr>
      </w:pPr>
    </w:p>
    <w:p w14:paraId="26ED65F8" w14:textId="77777777" w:rsidR="00444A43" w:rsidRPr="00A35149" w:rsidRDefault="00444A43" w:rsidP="00444A43">
      <w:pPr>
        <w:pStyle w:val="Heading3"/>
        <w:rPr>
          <w:rFonts w:asciiTheme="majorBidi" w:hAnsiTheme="majorBidi"/>
          <w:color w:val="4472C4" w:themeColor="accent1"/>
        </w:rPr>
      </w:pPr>
      <w:r w:rsidRPr="00A35149">
        <w:rPr>
          <w:rFonts w:asciiTheme="majorBidi" w:hAnsiTheme="majorBidi"/>
          <w:color w:val="4472C4" w:themeColor="accent1"/>
        </w:rPr>
        <w:t>Gene pool models</w:t>
      </w:r>
    </w:p>
    <w:p w14:paraId="7C6D984F" w14:textId="77777777" w:rsidR="00444A43" w:rsidRPr="00A35149" w:rsidRDefault="00444A43" w:rsidP="00444A43">
      <w:pPr>
        <w:rPr>
          <w:rFonts w:asciiTheme="majorBidi" w:hAnsiTheme="majorBidi" w:cstheme="majorBidi"/>
        </w:rPr>
      </w:pPr>
    </w:p>
    <w:p w14:paraId="3FE27B74" w14:textId="06BB927B" w:rsidR="0048790C" w:rsidRPr="00A35149" w:rsidRDefault="00684EB4">
      <w:pPr>
        <w:rPr>
          <w:rFonts w:asciiTheme="majorBidi" w:hAnsiTheme="majorBidi" w:cstheme="majorBidi"/>
        </w:rPr>
      </w:pPr>
      <w:r w:rsidRPr="00A35149">
        <w:rPr>
          <w:rFonts w:asciiTheme="majorBidi" w:hAnsiTheme="majorBidi" w:cstheme="majorBidi"/>
        </w:rPr>
        <w:t>Frequently, we do not have samples from the underlying ancestral components that led to modern populations. “Gene pool” models</w:t>
      </w:r>
      <w:r w:rsidR="00444A43" w:rsidRPr="00A35149">
        <w:rPr>
          <w:rFonts w:asciiTheme="majorBidi" w:hAnsiTheme="majorBidi" w:cstheme="majorBidi"/>
        </w:rPr>
        <w:t xml:space="preserve"> allow inferred putative ancestral populations to be used, in place of fixed reference populations. Ancestral populations are first generated from the allele frequencies of a worldwide panel of individuals that correspond to chosen </w:t>
      </w:r>
      <w:r w:rsidR="00444A43" w:rsidRPr="00A35149">
        <w:rPr>
          <w:rFonts w:asciiTheme="majorBidi" w:hAnsiTheme="majorBidi" w:cstheme="majorBidi"/>
          <w:i/>
          <w:iCs/>
        </w:rPr>
        <w:t>K</w:t>
      </w:r>
      <w:r w:rsidR="00444A43" w:rsidRPr="00A35149">
        <w:rPr>
          <w:rFonts w:asciiTheme="majorBidi" w:hAnsiTheme="majorBidi" w:cstheme="majorBidi"/>
        </w:rPr>
        <w:t xml:space="preserve"> splits, produced by </w:t>
      </w:r>
      <w:r w:rsidR="00444A43" w:rsidRPr="00A35149">
        <w:rPr>
          <w:rFonts w:asciiTheme="majorBidi" w:hAnsiTheme="majorBidi" w:cstheme="majorBidi"/>
          <w:i/>
          <w:iCs/>
        </w:rPr>
        <w:t>ADMIXTURE</w:t>
      </w:r>
      <w:r w:rsidR="00444A43" w:rsidRPr="00A35149">
        <w:rPr>
          <w:rFonts w:asciiTheme="majorBidi" w:hAnsiTheme="majorBidi" w:cstheme="majorBidi"/>
        </w:rPr>
        <w:t xml:space="preserve"> or alike program. These “populations” correspond to the ancestral populations of all individuals in the dataset. The advantage of creating these populations from a diverse panel of global individuals is that they can be used as reference to infer the admixture components (e.g., through a </w:t>
      </w:r>
      <w:r w:rsidR="00444A43" w:rsidRPr="00A35149">
        <w:rPr>
          <w:rFonts w:asciiTheme="majorBidi" w:hAnsiTheme="majorBidi" w:cstheme="majorBidi"/>
          <w:i/>
          <w:iCs/>
        </w:rPr>
        <w:t>supervised ADMIXTURE</w:t>
      </w:r>
      <w:r w:rsidR="00444A43" w:rsidRPr="00A35149">
        <w:rPr>
          <w:rFonts w:asciiTheme="majorBidi" w:hAnsiTheme="majorBidi" w:cstheme="majorBidi"/>
        </w:rPr>
        <w:t xml:space="preserve">) of further individual without changing the model. The admixture components can be used to correct for population stratification </w:t>
      </w:r>
      <w:r w:rsidR="00FE63EE" w:rsidRPr="00A35149">
        <w:rPr>
          <w:rFonts w:asciiTheme="majorBidi" w:hAnsiTheme="majorBidi" w:cstheme="majorBidi"/>
          <w:color w:val="4472C4" w:themeColor="accent1"/>
        </w:rPr>
        <w:fldChar w:fldCharType="begin" w:fldLock="1"/>
      </w:r>
      <w:r w:rsidR="00FE63EE" w:rsidRPr="00A35149">
        <w:rPr>
          <w:rFonts w:asciiTheme="majorBidi" w:hAnsiTheme="majorBidi" w:cstheme="majorBidi"/>
          <w:color w:val="4472C4" w:themeColor="accent1"/>
        </w:rPr>
        <w:instrText>ADDIN CSL_CITATION {"citationItems":[{"id":"ITEM-1","itemData":{"DOI":"10.1093/bioinformatics/bty946","ISSN":"1367-4803","abstract":"In clinical trials, individuals are matched using demographic criteria, paired, and then randomly assigned to treatment and control groups to determine a drug's efficacy. A chief cause for the irreproducibility of results across pilot to Phase III trials is population stratification bias caused by the uneven distribution of ancestries in the treatment and control groups.","author":[{"dropping-particle":"","family":"Elhaik","given":"Eran","non-dropping-particle":"","parse-names":false,"suffix":""},{"dropping-particle":"","family":"Ryan","given":"Desmond M","non-dropping-particle":"","parse-names":false,"suffix":""}],"container-title":"Bioinformatics","id":"ITEM-1","issue":"13","issued":{"date-parts":[["2019"]]},"page":"2243-2250","title":"Pair Matcher (PaM): fast model-based optimization of treatment/case-control matches","type":"article-journal","volume":"35"},"uris":["http://www.mendeley.com/documents/?uuid=e800fe6d-36c6-4211-9f97-8d81fb3a4bc9"]}],"mendeley":{"formattedCitation":"(Elhaik and Ryan, 2019)","plainTextFormattedCitation":"(Elhaik and Ryan, 2019)","previouslyFormattedCitation":"(Elhaik and Ryan, 2019)"},"properties":{"noteIndex":0},"schema":"https://github.com/citation-style-language/schema/raw/master/csl-citation.json"}</w:instrText>
      </w:r>
      <w:r w:rsidR="00FE63EE" w:rsidRPr="00A35149">
        <w:rPr>
          <w:rFonts w:asciiTheme="majorBidi" w:hAnsiTheme="majorBidi" w:cstheme="majorBidi"/>
          <w:color w:val="4472C4" w:themeColor="accent1"/>
        </w:rPr>
        <w:fldChar w:fldCharType="separate"/>
      </w:r>
      <w:r w:rsidR="00FE63EE" w:rsidRPr="00A35149">
        <w:rPr>
          <w:rFonts w:asciiTheme="majorBidi" w:hAnsiTheme="majorBidi" w:cstheme="majorBidi"/>
          <w:noProof/>
          <w:color w:val="4472C4" w:themeColor="accent1"/>
        </w:rPr>
        <w:t>(Elhaik and Ryan, 2019)</w:t>
      </w:r>
      <w:r w:rsidR="00FE63EE" w:rsidRPr="00A35149">
        <w:rPr>
          <w:rFonts w:asciiTheme="majorBidi" w:hAnsiTheme="majorBidi" w:cstheme="majorBidi"/>
          <w:color w:val="4472C4" w:themeColor="accent1"/>
        </w:rPr>
        <w:fldChar w:fldCharType="end"/>
      </w:r>
      <w:r w:rsidR="00FE63EE" w:rsidRPr="00A35149">
        <w:rPr>
          <w:rFonts w:asciiTheme="majorBidi" w:hAnsiTheme="majorBidi" w:cstheme="majorBidi"/>
        </w:rPr>
        <w:t>,</w:t>
      </w:r>
      <w:r w:rsidR="00444A43" w:rsidRPr="00A35149">
        <w:rPr>
          <w:rFonts w:asciiTheme="majorBidi" w:hAnsiTheme="majorBidi" w:cstheme="majorBidi"/>
        </w:rPr>
        <w:t xml:space="preserve"> in the same manner as principal components are used, excepting that they model admixture directly, whereas PCA does not. This</w:t>
      </w:r>
      <w:r w:rsidR="00FE63EE" w:rsidRPr="00A35149">
        <w:rPr>
          <w:rFonts w:asciiTheme="majorBidi" w:hAnsiTheme="majorBidi" w:cstheme="majorBidi"/>
        </w:rPr>
        <w:t xml:space="preserve"> </w:t>
      </w:r>
      <w:r w:rsidR="00444A43" w:rsidRPr="00A35149">
        <w:rPr>
          <w:rFonts w:asciiTheme="majorBidi" w:hAnsiTheme="majorBidi" w:cstheme="majorBidi"/>
        </w:rPr>
        <w:t>approach</w:t>
      </w:r>
      <w:r w:rsidR="001E4434" w:rsidRPr="00A35149">
        <w:rPr>
          <w:rFonts w:asciiTheme="majorBidi" w:hAnsiTheme="majorBidi" w:cstheme="majorBidi"/>
        </w:rPr>
        <w:t>,</w:t>
      </w:r>
      <w:r w:rsidR="00444A43" w:rsidRPr="00A35149">
        <w:rPr>
          <w:rFonts w:asciiTheme="majorBidi" w:hAnsiTheme="majorBidi" w:cstheme="majorBidi"/>
        </w:rPr>
        <w:t xml:space="preserve"> first employed </w:t>
      </w:r>
      <w:r w:rsidR="001E4434" w:rsidRPr="00A35149">
        <w:rPr>
          <w:rFonts w:asciiTheme="majorBidi" w:hAnsiTheme="majorBidi" w:cstheme="majorBidi"/>
        </w:rPr>
        <w:t>for biogeography</w:t>
      </w:r>
      <w:r w:rsidR="00FE63EE" w:rsidRPr="00A35149">
        <w:rPr>
          <w:rFonts w:asciiTheme="majorBidi" w:hAnsiTheme="majorBidi" w:cstheme="majorBidi"/>
        </w:rPr>
        <w:t xml:space="preserve"> </w:t>
      </w:r>
      <w:r w:rsidR="00FE63EE" w:rsidRPr="00A35149">
        <w:rPr>
          <w:rFonts w:asciiTheme="majorBidi" w:hAnsiTheme="majorBidi" w:cstheme="majorBidi"/>
          <w:color w:val="4472C4" w:themeColor="accent1"/>
        </w:rPr>
        <w:fldChar w:fldCharType="begin" w:fldLock="1"/>
      </w:r>
      <w:r w:rsidR="00FE63EE" w:rsidRPr="00A35149">
        <w:rPr>
          <w:rFonts w:asciiTheme="majorBidi" w:hAnsiTheme="majorBidi" w:cstheme="majorBidi"/>
          <w:color w:val="4472C4" w:themeColor="accent1"/>
        </w:rPr>
        <w:instrText>ADDIN CSL_CITATION {"citationItems":[{"id":"ITEM-1","itemData":{"DOI":"10.1038/ncomms4513","ISSN":"20411723","abstract":"The search for a method that utilizes biological information to predict humans' place of origin has occupied scientists for millennia. Over the past four decades, scientists have employed genetic data in an effort to achieve this goal but with limited success. While biogeographical algorithms using next-generation sequencing data have achieved an accuracy of 700km in Europe, they were inaccurate elsewhere. Here we describe the Geographic Population Structure (GPS) algorithm and demonstrate its accuracy with three data sets using 40,000-130,000 SNPs. GPS placed 83% of worldwide individuals in their country of origin. Applied to over 200 Sardinians villagers, GPS placed a quarter of them in their villages and most of the rest within 50km of their villages. GPS's accuracy and power to infer the biogeography of worldwide individuals down to their country or, in some cases, village, of origin, underscores the promise of admixture-based methods for biogeography and has ramifications for genetic ancestry testing. © 2014 Macmillan Publishers Limited. All rights reserved.","author":[{"dropping-particle":"","family":"Elhaik","given":"Eran","non-dropping-particle":"","parse-names":false,"suffix":""},{"dropping-particle":"","family":"Tatarinova","given":"Tatiana","non-dropping-particle":"","parse-names":false,"suffix":""},{"dropping-particle":"","family":"Chebotarev","given":"Dmitri","non-dropping-particle":"","parse-names":false,"suffix":""},{"dropping-particle":"","family":"Piras","given":"Ignazio S.","non-dropping-particle":"","parse-names":false,"suffix":""},{"dropping-particle":"","family":"Calò","given":"Carla Maria","non-dropping-particle":"","parse-names":false,"suffix":""},{"dropping-particle":"","family":"Montis","given":"Antonella","non-dropping-particle":"De","parse-names":false,"suffix":""},{"dropping-particle":"","family":"Atzori","given":"Manuela","non-dropping-particle":"","parse-names":false,"suffix":""},{"dropping-particle":"","family":"Marini","given":"Monica","non-dropping-particle":"","parse-names":false,"suffix":""},{"dropping-particle":"","family":"Tofanelli","given":"Sergio","non-dropping-particle":"","parse-names":false,"suffix":""},{"dropping-particle":"","family":"Francalacci","given":"Paolo","non-dropping-particle":"","parse-names":false,"suffix":""},{"dropping-particle":"","family":"Pagani","given":"Luca","non-dropping-particle":"","parse-names":false,"suffix":""},{"dropping-particle":"","family":"Tyler-Smith","given":"Chris","non-dropping-particle":"","parse-names":false,"suffix":""},{"dropping-particle":"","family":"Xue","given":"Yali","non-dropping-particle":"","parse-names":false,"suffix":""},{"dropping-particle":"","family":"Cucca","given":"Francesco","non-dropping-particle":"","parse-names":false,"suffix":""},{"dropping-particle":"","family":"Schurr","given":"Theodore G.","non-dropping-particle":"","parse-names":false,"suffix":""},{"dropping-particle":"","family":"Gaieski","given":"Jill B.","non-dropping-particle":"","parse-names":false,"suffix":""},{"dropping-particle":"","family":"Melendez","given":"Carlalynne","non-dropping-particle":"","parse-names":false,"suffix":""},{"dropping-particle":"","family":"Vilar","given":"Miguel G.","non-dropping-particle":"","parse-names":false,"suffix":""},{"dropping-particle":"","family":"Owings","given":"Amanda C.","non-dropping-particle":"","parse-names":false,"suffix":""},{"dropping-particle":"","family":"Gómez","given":"Rocío","non-dropping-particle":"","parse-names":false,"suffix":""},{"dropping-particle":"","family":"Fujita","given":"Ricardo","non-dropping-particle":"","parse-names":false,"suffix":""},{"dropping-particle":"","family":"Santos","given":"Fabrício R.","non-dropping-particle":"","parse-names":false,"suffix":""},{"dropping-particle":"","family":"Comas","given":"David","non-dropping-particle":"","parse-names":false,"suffix":""},{"dropping-particle":"","family":"Balanovsky","given":"Oleg","non-dropping-particle":"","parse-names":false,"suffix":""},{"dropping-particle":"","family":"Balanovska","given":"Elena","non-dropping-particle":"","parse-names":false,"suffix":""},{"dropping-particle":"","family":"Zalloua","given":"Pierre","non-dropping-particle":"","parse-names":false,"suffix":""},{"dropping-particle":"","family":"Soodyall","given":"Himla","non-dropping-particle":"","parse-names":false,"suffix":""},{"dropping-particle":"","family":"Pitchappan","given":"Ramasamy","non-dropping-particle":"","parse-names":false,"suffix":""},{"dropping-particle":"","family":"Prasad","given":"Arun Kumar Ganesh","non-dropping-particle":"","parse-names":false,"suffix":""},{"dropping-particle":"","family":"Hammer","given":"Michael","non-dropping-particle":"","parse-names":false,"suffix":""},{"dropping-particle":"","family":"Matisoo-Smith","given":"Lisa","non-dropping-particle":"","parse-names":false,"suffix":""},{"dropping-particle":"","family":"Wells","given":"R. Spencer","non-dropping-particle":"","parse-names":false,"suffix":""},{"dropping-particle":"","family":"Acosta","given":"Oscar","non-dropping-particle":"","parse-names":false,"suffix":""},{"dropping-particle":"","family":"Adhikarla","given":"Syama","non-dropping-particle":"","parse-names":false,"suffix":""},{"dropping-particle":"","family":"Adler","given":"Christina J.","non-dropping-particle":"","parse-names":false,"suffix":""},{"dropping-particle":"","family":"Bertranpetit","given":"Jaume","non-dropping-particle":"","parse-names":false,"suffix":""},{"dropping-particle":"","family":"Clarke","given":"Andrew C.","non-dropping-particle":"","parse-names":false,"suffix":""},{"dropping-particle":"","family":"Cooper","given":"Alan","non-dropping-particle":"","parse-names":false,"suffix":""},{"dropping-particle":"","family":"Sarkissian","given":"Clio S.I.","non-dropping-particle":"Der","parse-names":false,"suffix":""},{"dropping-particle":"","family":"Haak","given":"Wolfgang","non-dropping-particle":"","parse-names":false,"suffix":""},{"dropping-particle":"","family":"Haber","given":"Marc","non-dropping-particle":"","parse-names":false,"suffix":""},{"dropping-particle":"","family":"Jin","given":"Li","non-dropping-particle":"","parse-names":false,"suffix":""},{"dropping-particle":"","family":"Kaplan","given":"Matthew E.","non-dropping-particle":"","parse-names":false,"suffix":""},{"dropping-particle":"","family":"Li","given":"Hui","non-dropping-particle":"","parse-names":false,"suffix":""},{"dropping-particle":"","family":"Li","given":"Shilin","non-dropping-particle":"","parse-names":false,"suffix":""},{"dropping-particle":"","family":"Martínez-Cruz","given":"Begoña","non-dropping-particle":"","parse-names":false,"suffix":""},{"dropping-particle":"","family":"Merchant","given":"Nirav C.","non-dropping-particle":"","parse-names":false,"suffix":""},{"dropping-particle":"","family":"Mitchell","given":"John R.","non-dropping-particle":"","parse-names":false,"suffix":""},{"dropping-particle":"","family":"Parida","given":"Laxmi","non-dropping-particle":"","parse-names":false,"suffix":""},{"dropping-particle":"","family":"Platt","given":"Daniel E.","non-dropping-particle":"","parse-names":false,"suffix":""},{"dropping-particle":"","family":"Quintana-Murci","given":"Lluis","non-dropping-particle":"","parse-names":false,"suffix":""},{"dropping-particle":"","family":"Renfrew","given":"Colin","non-dropping-particle":"","parse-names":false,"suffix":""},{"dropping-particle":"","family":"Lacerda","given":"Daniela R.","non-dropping-particle":"","parse-names":false,"suffix":""},{"dropping-particle":"","family":"Royyuru","given":"Ajay K.","non-dropping-particle":"","parse-names":false,"suffix":""},{"dropping-particle":"","family":"Sandoval","given":"Jose Raul","non-dropping-particle":"","parse-names":false,"suffix":""},{"dropping-particle":"","family":"Santhakumari","given":"Arun Varatharajan","non-dropping-particle":"","parse-names":false,"suffix":""},{"dropping-particle":"","family":"Hernanz","given":"David F.Soria","non-dropping-particle":"","parse-names":false,"suffix":""},{"dropping-particle":"","family":"Swamikrishnan","given":"Pandikumar","non-dropping-particle":"","parse-names":false,"suffix":""},{"dropping-particle":"","family":"Ziegle","given":"Janet S.","non-dropping-particle":"","parse-names":false,"suffix":""}],"container-title":"Nature Communications","id":"ITEM-1","issued":{"date-parts":[["2014"]]},"title":"Geographic population structure analysis of worldwide human populations infers their biogeographical origins","type":"article-journal","volume":"5"},"uris":["http://www.mendeley.com/documents/?uuid=5563293a-ec5f-4e1c-b942-97b5ab2c0510"]}],"mendeley":{"formattedCitation":"(Elhaik &lt;i&gt;et al.&lt;/i&gt;, 2014)","plainTextFormattedCitation":"(Elhaik et al., 2014)","previouslyFormattedCitation":"(Elhaik &lt;i&gt;et al.&lt;/i&gt;, 2014)"},"properties":{"noteIndex":0},"schema":"https://github.com/citation-style-language/schema/raw/master/csl-citation.json"}</w:instrText>
      </w:r>
      <w:r w:rsidR="00FE63EE" w:rsidRPr="00A35149">
        <w:rPr>
          <w:rFonts w:asciiTheme="majorBidi" w:hAnsiTheme="majorBidi" w:cstheme="majorBidi"/>
          <w:color w:val="4472C4" w:themeColor="accent1"/>
        </w:rPr>
        <w:fldChar w:fldCharType="separate"/>
      </w:r>
      <w:r w:rsidR="00FE63EE" w:rsidRPr="00A35149">
        <w:rPr>
          <w:rFonts w:asciiTheme="majorBidi" w:hAnsiTheme="majorBidi" w:cstheme="majorBidi"/>
          <w:noProof/>
          <w:color w:val="4472C4" w:themeColor="accent1"/>
        </w:rPr>
        <w:t xml:space="preserve">(Elhaik </w:t>
      </w:r>
      <w:r w:rsidR="00FE63EE" w:rsidRPr="00A35149">
        <w:rPr>
          <w:rFonts w:asciiTheme="majorBidi" w:hAnsiTheme="majorBidi" w:cstheme="majorBidi"/>
          <w:i/>
          <w:noProof/>
          <w:color w:val="4472C4" w:themeColor="accent1"/>
        </w:rPr>
        <w:t>et al.</w:t>
      </w:r>
      <w:r w:rsidR="00FE63EE" w:rsidRPr="00A35149">
        <w:rPr>
          <w:rFonts w:asciiTheme="majorBidi" w:hAnsiTheme="majorBidi" w:cstheme="majorBidi"/>
          <w:noProof/>
          <w:color w:val="4472C4" w:themeColor="accent1"/>
        </w:rPr>
        <w:t>, 2014)</w:t>
      </w:r>
      <w:r w:rsidR="00FE63EE" w:rsidRPr="00A35149">
        <w:rPr>
          <w:rFonts w:asciiTheme="majorBidi" w:hAnsiTheme="majorBidi" w:cstheme="majorBidi"/>
          <w:color w:val="4472C4" w:themeColor="accent1"/>
        </w:rPr>
        <w:fldChar w:fldCharType="end"/>
      </w:r>
      <w:r w:rsidR="00FE63EE" w:rsidRPr="00A35149">
        <w:rPr>
          <w:rFonts w:asciiTheme="majorBidi" w:hAnsiTheme="majorBidi" w:cstheme="majorBidi"/>
        </w:rPr>
        <w:t xml:space="preserve">, </w:t>
      </w:r>
      <w:r w:rsidR="00444A43" w:rsidRPr="00A35149">
        <w:rPr>
          <w:rFonts w:asciiTheme="majorBidi" w:hAnsiTheme="majorBidi" w:cstheme="majorBidi"/>
        </w:rPr>
        <w:t xml:space="preserve">has been </w:t>
      </w:r>
      <w:r w:rsidR="009A1A26" w:rsidRPr="00A35149">
        <w:rPr>
          <w:rFonts w:asciiTheme="majorBidi" w:hAnsiTheme="majorBidi" w:cstheme="majorBidi"/>
        </w:rPr>
        <w:t xml:space="preserve">routinely </w:t>
      </w:r>
      <w:r w:rsidR="00444A43" w:rsidRPr="00A35149">
        <w:rPr>
          <w:rFonts w:asciiTheme="majorBidi" w:hAnsiTheme="majorBidi" w:cstheme="majorBidi"/>
        </w:rPr>
        <w:t>for population genetic investigations and was shown to be applicable to both modern and ancient populations</w:t>
      </w:r>
      <w:r w:rsidR="00FE63EE" w:rsidRPr="00A35149">
        <w:rPr>
          <w:rFonts w:asciiTheme="majorBidi" w:hAnsiTheme="majorBidi" w:cstheme="majorBidi"/>
        </w:rPr>
        <w:t xml:space="preserve"> </w:t>
      </w:r>
      <w:r w:rsidR="00FE63EE" w:rsidRPr="00A35149">
        <w:rPr>
          <w:rFonts w:asciiTheme="majorBidi" w:hAnsiTheme="majorBidi" w:cstheme="majorBidi"/>
          <w:color w:val="4472C4" w:themeColor="accent1"/>
        </w:rPr>
        <w:fldChar w:fldCharType="begin" w:fldLock="1"/>
      </w:r>
      <w:r w:rsidR="00FE63EE" w:rsidRPr="00A35149">
        <w:rPr>
          <w:rFonts w:asciiTheme="majorBidi" w:hAnsiTheme="majorBidi" w:cstheme="majorBidi"/>
          <w:color w:val="4472C4" w:themeColor="accent1"/>
        </w:rPr>
        <w:instrText xml:space="preserve">ADDIN CSL_CITATION {"citationItems":[{"id":"ITEM-1","itemData":{"DOI":"10.1038/srep35837","ISSN":"20452322","abstract":"The Druze are an aggregate of communities in the Levant and Near East living almost exclusively in the mountains of Syria, Lebanon and Israel whose </w:instrText>
      </w:r>
      <w:r w:rsidR="00FE63EE" w:rsidRPr="00A35149">
        <w:rPr>
          <w:rFonts w:ascii="Cambria Math" w:hAnsi="Cambria Math" w:cs="Cambria Math"/>
          <w:color w:val="4472C4" w:themeColor="accent1"/>
        </w:rPr>
        <w:instrText>∼</w:instrText>
      </w:r>
      <w:r w:rsidR="00FE63EE" w:rsidRPr="00A35149">
        <w:rPr>
          <w:rFonts w:asciiTheme="majorBidi" w:hAnsiTheme="majorBidi" w:cstheme="majorBidi"/>
          <w:color w:val="4472C4" w:themeColor="accent1"/>
        </w:rPr>
        <w:instrText>1000 year old religion formally opposes mixed marriages and conversions. Despite increasing interest in genetics of the population structure of the Druze, their population history remains unknown. We investigated the genetic relationships between Israeli Druze and both modern and ancient populations. We evaluated our findings in light of three hypotheses purporting to explain Druze history that posit Arabian, Persian or mixed Near Eastern-Levantine roots. The biogeographical analysis localised proto-Druze to the mountainous regions of southeastern Turkey, northern Iraq and southeast Syria and their descendants clustered along a trajectory between these two regions. The mixed Near Eastern-Middle Eastern localisation of the Druze, shown using both modern and ancient DNA data, is distinct from that of neighbouring Syrians, Palestinians and most of the Lebanese, who exhibit a high affinity to the Levant. Druze biogeographic affinity, migration patterns, time of emergence and genetic similarity to Near Eastern populations are highly suggestive of Armenian-Turkish ancestries for the proto-Druze.","author":[{"dropping-particle":"","family":"Marshall","given":"Scarlett","non-dropping-particle":"","parse-names":false,"suffix":""},{"dropping-particle":"","family":"Das","given":"Ranajit","non-dropping-particle":"","parse-names":false,"suffix":""},{"dropping-particle":"","family":"Pirooznia","given":"Mehdi","non-dropping-particle":"","parse-names":false,"suffix":""},{"dropping-particle":"","family":"Elhaik","given":"Eran","non-dropping-particle":"","parse-names":false,"suffix":""}],"container-title":"Scientific Reports","id":"ITEM-1","issued":{"date-parts":[["2016"]]},"title":"Reconstructing Druze population history","type":"article-journal","volume":"6"},"uris":["http://www.mendeley.com/documents/?uuid=49666d21-5f84-4db9-bed8-8a3d51813370"]},{"id":"ITEM-2","itemData":{"DOI":"10.3389/fgene.2017.00087","ISSN":"16648021","abstract":"Recently, the geographical origins of Ashkenazic Jews (AJs) and their native language Yiddish were investigated by applying the Geographic Population Structure (GPS) to a cohort of exclusively Yiddish-speaking and multilingual AJs. GPS localized most AJs along major ancient trade routes in northeastern Turkey adjacent to primeval villages with names that resemble the word \"Ashkenaz.\" These findings were compatible with the hypothesis of an Irano-Turko-Slavic origin for AJs and a Slavic origin for Yiddish and at odds with the Rhineland hypothesis advocating a Levantine origin for AJs and German origins for Yiddish. We discuss how these findings advance three ongoing debates concerning (1) the historical meaning of the term \"Ashkenaz;\" (2) the genetic structure of AJs and their geographical origins as inferred from multiple studies employing both modern and ancient DNA and original ancient DNA analyses; and (3) the development of Yiddish. We provide additional validation to the non-Levantine origin of AJs using ancient DNA from the Near East and the Levant. Due to the rising popularity of geo-localization tools to address questions of origin, we briefly discuss the advantages and limitations of popular tools with focus on the GPS approach. Our results reinforce the non-Levantine origins of AJs.","author":[{"dropping-particle":"","family":"Das","given":"Ranajit","non-dropping-particle":"","parse-names":false,"suffix":""},{"dropping-particle":"","family":"Wexler","given":"Paul","non-dropping-particle":"","parse-names":false,"suffix":""},{"dropping-particle":"","family":"Pirooznia","given":"Mehdi","non-dropping-particle":"","parse-names":false,"suffix":""},{"dropping-particle":"","family":"Elhaik","given":"Eran","non-dropping-particle":"","parse-names":false,"suffix":""}],"container-title":"Frontiers in Genetics","id":"ITEM-2","issue":"JUN","issued":{"date-parts":[["2017"]]},"title":"The origins of Ashkenaz, Ashkenazic Jews, and Yiddish","type":"article-journal","volume":"8"},"uris":["http://www.mendeley.com/documents/?uuid=226066fa-386e-440c-b9ab-9dd23290203c"]},{"id":"ITEM-3","itemData":{"DOI":"10.1038/srep20768","ISSN":"20452322","abstract":"The Kets, an ethnic group in the Yenisei River basin, Russia, are considered the last nomadic hunter-gatherers of Siberia, and Ket language has no transparent affiliation with any language family. We investigated connections between the Kets and Siberian and North American populations, with emphasis on the Mal'ta and Paleo-Eskimo ancient genomes, using original data from 46 unrelated samples of Kets and 42 samples of their neighboring ethnic groups (Uralic-speaking Nganasans, Enets, and Selkups). We genotyped over 130,000 autosomal SNPs, identified mitochondrial and Y-chromosomal haplogroups, and performed high-coverage genome sequencing of two Ket individuals. We established that Nganasans, Kets, Selkups, and Yukaghirs form a cluster of populations most closely related to Paleo-Eskimos in Siberia (not considering indigenous populations of Chukotka and Kamchatka). Kets are closely related to modern Selkups and to some Bronze and Iron Age populations of the Altai region, with all these groups sharing a high degree of Mal'ta ancestry. Implications of these findings for the linguistic hypothesis uniting Ket and Na-Dene languages into a language macrofamily are discussed.","author":[{"dropping-particle":"","family":"Flegontov","given":"Pavel","non-dropping-particle":"","parse-names":false,"suffix":""},{"dropping-particle":"","family":"Changmai","given":"Piya","non-dropping-particle":"","parse-names":false,"suffix":""},{"dropping-particle":"","family":"Zidkova","given":"Anastassiya","non-dropping-particle":"","parse-names":false,"suffix":""},{"dropping-particle":"","family":"Logacheva","given":"Maria D.","non-dropping-particle":"","parse-names":false,"suffix":""},{"dropping-particle":"","family":"Altinişik","given":"N. Ezgi","non-dropping-particle":"","parse-names":false,"suffix":""},{"dropping-particle":"","family":"Flegontova","given":"Olga","non-dropping-particle":"","parse-names":false,"suffix":""},{"dropping-particle":"","family":"Gelfand","given":"Mikhail S.","non-dropping-particle":"","parse-names":false,"suffix":""},{"dropping-particle":"","family":"Gerasimov","given":"Evgeny S.","non-dropping-particle":"","parse-names":false,"suffix":""},{"dropping-particle":"","family":"Khrameeva","given":"Ekaterina E.","non-dropping-particle":"","parse-names":false,"suffix":""},{"dropping-particle":"","family":"Konovalova","given":"Olga P.","non-dropping-particle":"","parse-names":false,"suffix":""},{"dropping-particle":"","family":"Neretina","given":"Tatiana","non-dropping-particle":"","parse-names":false,"suffix":""},{"dropping-particle":"V.","family":"Nikolsky","given":"Yuri","non-dropping-particle":"","parse-names":false,"suffix":""},{"dropping-particle":"","family":"Starostin","given":"George","non-dropping-particle":"","parse-names":false,"suffix":""},{"dropping-particle":"V.","family":"Stepanova","given":"Vita","non-dropping-particle":"","parse-names":false,"suffix":""},{"dropping-particle":"V.","family":"Travinsky","given":"Igor","non-dropping-particle":"","parse-names":false,"suffix":""},{"dropping-particle":"","family":"Tříska","given":"Martin","non-dropping-particle":"","parse-names":false,"suffix":""},{"dropping-particle":"","family":"Tříska","given":"Petr","non-dropping-particle":"","parse-names":false,"suffix":""},{"dropping-particle":"V.","family":"Tatarinova","given":"Tatiana","non-dropping-particle":"","parse-names":false,"suffix":""}],"container-title":"Scientific Reports","id":"ITEM-3","issued":{"date-parts":[["2016"]]},"title":"Genomic study of the Ket: A Paleo-Eskimo-related ethnic group with significant ancient North Eurasian ancestry","type":"article-journal"},"uris":["http://www.mendeley.com/documents/?uuid=b9ca7441-365f-470b-b5b3-316f4d32ac6d"]}],"mendeley":{"formattedCitation":"(Flegontov &lt;i&gt;et al.&lt;/i&gt;, 2016; Marshall &lt;i&gt;et al.&lt;/i&gt;, 2016; Das &lt;i&gt;et al.&lt;/i&gt;, 2017)","plainTextFormattedCitation":"(Flegontov et al., 2016; Marshall et al., 2016; Das et al., 2017)","previouslyFormattedCitation":"(Flegontov &lt;i&gt;et al.&lt;/i&gt;, 2016; Marshall &lt;i&gt;et al.&lt;/i&gt;, 2016; Das &lt;i&gt;et al.&lt;/i&gt;, 2017)"},"properties":{"noteIndex":0},"schema":"https://github.com/citation-style-language/schema/raw/master/csl-citation.json"}</w:instrText>
      </w:r>
      <w:r w:rsidR="00FE63EE" w:rsidRPr="00A35149">
        <w:rPr>
          <w:rFonts w:asciiTheme="majorBidi" w:hAnsiTheme="majorBidi" w:cstheme="majorBidi"/>
          <w:color w:val="4472C4" w:themeColor="accent1"/>
        </w:rPr>
        <w:fldChar w:fldCharType="separate"/>
      </w:r>
      <w:r w:rsidR="00FE63EE" w:rsidRPr="00A35149">
        <w:rPr>
          <w:rFonts w:asciiTheme="majorBidi" w:hAnsiTheme="majorBidi" w:cstheme="majorBidi"/>
          <w:noProof/>
          <w:color w:val="4472C4" w:themeColor="accent1"/>
        </w:rPr>
        <w:t xml:space="preserve">(Flegontov </w:t>
      </w:r>
      <w:r w:rsidR="00FE63EE" w:rsidRPr="00A35149">
        <w:rPr>
          <w:rFonts w:asciiTheme="majorBidi" w:hAnsiTheme="majorBidi" w:cstheme="majorBidi"/>
          <w:i/>
          <w:noProof/>
          <w:color w:val="4472C4" w:themeColor="accent1"/>
        </w:rPr>
        <w:t>et al.</w:t>
      </w:r>
      <w:r w:rsidR="00FE63EE" w:rsidRPr="00A35149">
        <w:rPr>
          <w:rFonts w:asciiTheme="majorBidi" w:hAnsiTheme="majorBidi" w:cstheme="majorBidi"/>
          <w:noProof/>
          <w:color w:val="4472C4" w:themeColor="accent1"/>
        </w:rPr>
        <w:t xml:space="preserve">, 2016; Marshall </w:t>
      </w:r>
      <w:r w:rsidR="00FE63EE" w:rsidRPr="00A35149">
        <w:rPr>
          <w:rFonts w:asciiTheme="majorBidi" w:hAnsiTheme="majorBidi" w:cstheme="majorBidi"/>
          <w:i/>
          <w:noProof/>
          <w:color w:val="4472C4" w:themeColor="accent1"/>
        </w:rPr>
        <w:t>et al.</w:t>
      </w:r>
      <w:r w:rsidR="00FE63EE" w:rsidRPr="00A35149">
        <w:rPr>
          <w:rFonts w:asciiTheme="majorBidi" w:hAnsiTheme="majorBidi" w:cstheme="majorBidi"/>
          <w:noProof/>
          <w:color w:val="4472C4" w:themeColor="accent1"/>
        </w:rPr>
        <w:t xml:space="preserve">, 2016; Das </w:t>
      </w:r>
      <w:r w:rsidR="00FE63EE" w:rsidRPr="00A35149">
        <w:rPr>
          <w:rFonts w:asciiTheme="majorBidi" w:hAnsiTheme="majorBidi" w:cstheme="majorBidi"/>
          <w:i/>
          <w:noProof/>
          <w:color w:val="4472C4" w:themeColor="accent1"/>
        </w:rPr>
        <w:t>et al.</w:t>
      </w:r>
      <w:r w:rsidR="00FE63EE" w:rsidRPr="00A35149">
        <w:rPr>
          <w:rFonts w:asciiTheme="majorBidi" w:hAnsiTheme="majorBidi" w:cstheme="majorBidi"/>
          <w:noProof/>
          <w:color w:val="4472C4" w:themeColor="accent1"/>
        </w:rPr>
        <w:t>, 2017)</w:t>
      </w:r>
      <w:r w:rsidR="00FE63EE" w:rsidRPr="00A35149">
        <w:rPr>
          <w:rFonts w:asciiTheme="majorBidi" w:hAnsiTheme="majorBidi" w:cstheme="majorBidi"/>
          <w:color w:val="4472C4" w:themeColor="accent1"/>
        </w:rPr>
        <w:fldChar w:fldCharType="end"/>
      </w:r>
      <w:r w:rsidR="00444A43" w:rsidRPr="00A35149">
        <w:rPr>
          <w:rFonts w:asciiTheme="majorBidi" w:hAnsiTheme="majorBidi" w:cstheme="majorBidi"/>
        </w:rPr>
        <w:t>. Despite its premise it has yet been implemented in biobanks; the barriers resemble those of Mixture Models in that a “correct” set of gene pools is hard to establish.</w:t>
      </w:r>
    </w:p>
    <w:p w14:paraId="70F85DFB" w14:textId="77777777" w:rsidR="00444A43" w:rsidRPr="00A35149" w:rsidRDefault="00444A43" w:rsidP="00444A43">
      <w:pPr>
        <w:rPr>
          <w:rFonts w:asciiTheme="majorBidi" w:hAnsiTheme="majorBidi" w:cstheme="majorBidi"/>
        </w:rPr>
      </w:pPr>
    </w:p>
    <w:p w14:paraId="1194D342" w14:textId="37157C0B" w:rsidR="0048790C" w:rsidRPr="00A35149" w:rsidRDefault="0048790C" w:rsidP="00347B1A">
      <w:pPr>
        <w:pStyle w:val="Heading3"/>
        <w:rPr>
          <w:rFonts w:asciiTheme="majorBidi" w:hAnsiTheme="majorBidi"/>
          <w:color w:val="4472C4" w:themeColor="accent1"/>
        </w:rPr>
      </w:pPr>
      <w:r w:rsidRPr="00A35149">
        <w:rPr>
          <w:rFonts w:asciiTheme="majorBidi" w:hAnsiTheme="majorBidi"/>
          <w:color w:val="4472C4" w:themeColor="accent1"/>
        </w:rPr>
        <w:t>Local ancestry models</w:t>
      </w:r>
    </w:p>
    <w:p w14:paraId="4E447821" w14:textId="42E97E48" w:rsidR="0048790C" w:rsidRPr="00A35149" w:rsidRDefault="0048790C" w:rsidP="0048790C">
      <w:pPr>
        <w:rPr>
          <w:rFonts w:asciiTheme="majorBidi" w:hAnsiTheme="majorBidi" w:cstheme="majorBidi"/>
        </w:rPr>
      </w:pPr>
    </w:p>
    <w:p w14:paraId="28B62D34" w14:textId="0CB37305" w:rsidR="00684EB4" w:rsidRPr="00A35149" w:rsidRDefault="0048790C" w:rsidP="00CF43EB">
      <w:pPr>
        <w:rPr>
          <w:rFonts w:asciiTheme="majorBidi" w:hAnsiTheme="majorBidi" w:cstheme="majorBidi"/>
        </w:rPr>
      </w:pPr>
      <w:r w:rsidRPr="00A35149">
        <w:rPr>
          <w:rFonts w:asciiTheme="majorBidi" w:hAnsiTheme="majorBidi" w:cstheme="majorBidi"/>
        </w:rPr>
        <w:t xml:space="preserve">A local ancestry model can be defined by constructing a reference dataset and applying the local ancestry models to identify ancestry structure within the reference. </w:t>
      </w:r>
      <w:r w:rsidR="00CF43EB" w:rsidRPr="00A35149">
        <w:rPr>
          <w:rFonts w:asciiTheme="majorBidi" w:hAnsiTheme="majorBidi" w:cstheme="majorBidi"/>
          <w:bCs/>
        </w:rPr>
        <w:t xml:space="preserve">These approaches have not been widely applied to biobanks in the past, due to issues of scaling. </w:t>
      </w:r>
      <w:r w:rsidR="00CF43EB" w:rsidRPr="00A35149">
        <w:rPr>
          <w:rFonts w:asciiTheme="majorBidi" w:hAnsiTheme="majorBidi" w:cstheme="majorBidi"/>
        </w:rPr>
        <w:t xml:space="preserve">However, as with </w:t>
      </w:r>
      <w:r w:rsidRPr="00A35149">
        <w:rPr>
          <w:rFonts w:asciiTheme="majorBidi" w:hAnsiTheme="majorBidi" w:cstheme="majorBidi"/>
        </w:rPr>
        <w:t xml:space="preserve">the </w:t>
      </w:r>
      <w:r w:rsidRPr="00A35149">
        <w:rPr>
          <w:rFonts w:asciiTheme="majorBidi" w:hAnsiTheme="majorBidi" w:cstheme="majorBidi"/>
        </w:rPr>
        <w:lastRenderedPageBreak/>
        <w:t>genome-wide haplotype approaches, local ancestry can be learned at scale</w:t>
      </w:r>
      <w:r w:rsidR="00CF43EB" w:rsidRPr="00A35149">
        <w:rPr>
          <w:rFonts w:asciiTheme="majorBidi" w:hAnsiTheme="majorBidi" w:cstheme="majorBidi"/>
        </w:rPr>
        <w:t xml:space="preserve"> – efficient approaches scale </w:t>
      </w:r>
      <w:r w:rsidRPr="00A35149">
        <w:rPr>
          <w:rFonts w:asciiTheme="majorBidi" w:hAnsiTheme="majorBidi" w:cstheme="majorBidi"/>
        </w:rPr>
        <w:t xml:space="preserve">linearly in the </w:t>
      </w:r>
      <w:r w:rsidR="00CF43EB" w:rsidRPr="00A35149">
        <w:rPr>
          <w:rFonts w:asciiTheme="majorBidi" w:hAnsiTheme="majorBidi" w:cstheme="majorBidi"/>
        </w:rPr>
        <w:t xml:space="preserve">Biobank </w:t>
      </w:r>
      <w:r w:rsidRPr="00A35149">
        <w:rPr>
          <w:rFonts w:asciiTheme="majorBidi" w:hAnsiTheme="majorBidi" w:cstheme="majorBidi"/>
        </w:rPr>
        <w:t>size.</w:t>
      </w:r>
      <w:r w:rsidR="000C3BB7" w:rsidRPr="00A35149">
        <w:rPr>
          <w:rFonts w:asciiTheme="majorBidi" w:hAnsiTheme="majorBidi" w:cstheme="majorBidi"/>
        </w:rPr>
        <w:t xml:space="preserve"> </w:t>
      </w:r>
    </w:p>
    <w:p w14:paraId="320E3D16" w14:textId="6FF0FD21" w:rsidR="00CF43EB" w:rsidRPr="00A35149" w:rsidRDefault="00CF43EB" w:rsidP="000C3BB7">
      <w:pPr>
        <w:rPr>
          <w:rFonts w:asciiTheme="majorBidi" w:hAnsiTheme="majorBidi" w:cstheme="majorBidi"/>
        </w:rPr>
      </w:pPr>
    </w:p>
    <w:p w14:paraId="0B2BC1A5" w14:textId="2A4F158C" w:rsidR="00684EB4" w:rsidRPr="00A35149" w:rsidRDefault="00684EB4" w:rsidP="000C3BB7">
      <w:pPr>
        <w:rPr>
          <w:rFonts w:asciiTheme="majorBidi" w:hAnsiTheme="majorBidi" w:cstheme="majorBidi"/>
        </w:rPr>
      </w:pPr>
      <w:r w:rsidRPr="00A35149">
        <w:rPr>
          <w:rFonts w:asciiTheme="majorBidi" w:hAnsiTheme="majorBidi" w:cstheme="majorBidi"/>
        </w:rPr>
        <w:t>Local genomic ancestry tools are typically used to investigate ancestry on a granular scale, which is necessary when analysing highly admixed individuals, such as African Americans, Latinos or Ashkenazic Jews</w:t>
      </w:r>
      <w:r w:rsidR="00FE63EE" w:rsidRPr="00A35149">
        <w:rPr>
          <w:rFonts w:asciiTheme="majorBidi" w:hAnsiTheme="majorBidi" w:cstheme="majorBidi"/>
        </w:rPr>
        <w:t xml:space="preserve"> </w:t>
      </w:r>
      <w:r w:rsidR="00FE63EE" w:rsidRPr="00A35149">
        <w:rPr>
          <w:rFonts w:asciiTheme="majorBidi" w:hAnsiTheme="majorBidi" w:cstheme="majorBidi"/>
          <w:color w:val="4472C4" w:themeColor="accent1"/>
        </w:rPr>
        <w:fldChar w:fldCharType="begin" w:fldLock="1"/>
      </w:r>
      <w:r w:rsidR="00FE63EE" w:rsidRPr="00A35149">
        <w:rPr>
          <w:rFonts w:asciiTheme="majorBidi" w:hAnsiTheme="majorBidi" w:cstheme="majorBidi"/>
          <w:color w:val="4472C4" w:themeColor="accent1"/>
        </w:rPr>
        <w:instrText>ADDIN CSL_CITATION {"citationItems":[{"id":"ITEM-1","itemData":{"DOI":"10.1093/gbe/evw046","ISSN":"17596653","abstract":"© The Author 2016. Published by Oxford University Press on behalf of the Society for Molecular Biology and Evolution. The Yiddish language is over 1,000yearsold and incorporates German, Slavic, and Hebrew elements. The prevalent view claims Yiddish has a German origin, whereas the opposing view posits a Slavic origin with strong Iranian and weak Turkic substrata. One of the major difficulties in deciding between these hypotheses is the unknown geographical origin of Yiddish speaking Ashkenazic Jews (AJs). An analysis of 393 Ashkenazic, Iranian, and mountain Jews and over 600 non-Jewish genomes demonstrated that Greeks, Romans, Iranians, and Turks exhibit the highest genetic similarity with AJs. The Geographic Population Structure analysis localized most AJs along major primeval trade routes in northeastern Turkey adjacent to primeval villages with names that may be derived from \"Ashkenaz.\" Iranian and mountain Jews were localized along trade routes on the Turkey's eastern border. Loss of maternal haplogroups was evident in non-Yiddish speaking AJs. Our results suggest that AJs originated from a Slavo-Iranian confederation, which the Jews call \"Ashkenazic\" (i.e., \"Scythian\"), though these Jews probably spoke Persian and/or Ossete. This is compatible with linguistic evidence suggesting that Yiddish is a Slavic language created by Irano-Turko-Slavic Jewish merchants along the Silk Roads as a cryptic trade language, spoken only by its originators to gain an advantage in trade. Later, in the 9th century, Yiddish underwent relexification by adopting a new vocabulary that consists of a minority of German and Hebrew anda majority of newly coined Germanoid and Hebroid elements that replaced most of the original Eastern Slavic and Sorbian vocabularies, while keeping the original grammars intact.","author":[{"dropping-particle":"","family":"Das","given":"Ranajit","non-dropping-particle":"","parse-names":false,"suffix":""},{"dropping-particle":"","family":"Wexler","given":"Paul","non-dropping-particle":"","parse-names":false,"suffix":""},{"dropping-particle":"","family":"Pirooznia","given":"Mehdi","non-dropping-particle":"","parse-names":false,"suffix":""},{"dropping-particle":"","family":"Elhaik","given":"Eran","non-dropping-particle":"","parse-names":false,"suffix":""}],"container-title":"Genome Biology and Evolution","id":"ITEM-1","issue":"4","issued":{"date-parts":[["2016"]]},"page":"1132-1149","title":"Localizing Ashkenazic Jews to primeval villages in the ancient Iranian lands of Ashkenaz","type":"article-journal","volume":"8"},"uris":["http://www.mendeley.com/documents/?uuid=04fec834-d5c5-4740-817a-397f81d8e9dd"]},{"id":"ITEM-2","itemData":{"DOI":"10.1038/nature11632","ISSN":"14764687","abstract":"By characterizing the geographic and functional spectrum of human genetic variation, the 1000 Genomes Project aims to build a resource to help to understand the genetic contribution to disease. Here we describe the genomes of 1,092 individuals from 14 populations, constructed using a combination of low-coverage whole-genome and exome sequencing. By developing methods to integrate information across several algorithms and diverse data sources, we provide a validated haplotype map of 38 million single nucleotide polymorphisms, 1.4 million short insertions and deletions, and more than 14,000 larger deletions. We show that individuals from different populations carry different profiles of rare and common variants, and that low-frequency variants show substantial geographic differentiation, which is further increased by the action of purifying selection. We show that evolutionary conservation and coding consequence are key determinants of the strength of purifying selection, that rare-variant load varies substantially across biological pathways, and that each individual contains hundreds of rare non-coding variants at conserved sites, such as motif-disrupting changes in transcription-factor-binding sites. This resource, which captures up to 98% of accessible single nucleotide polymorphisms at a frequency of 1% in related populations, enables analysis of common and low-frequency variants in individuals from diverse, including admixed, populations.","author":[{"dropping-particle":"","family":"Altshuler","given":"David M.","non-dropping-particle":"","parse-names":false,"suffix":""},{"dropping-particle":"","family":"Durbin","given":"Richard M.","non-dropping-particle":"","parse-names":false,"suffix":""},{"dropping-particle":"","family":"Abecasis","given":"Gonçalo R.","non-dropping-particle":"","parse-names":false,"suffix":""},{"dropping-particle":"","family":"Bentley","given":"David R.","non-dropping-particle":"","parse-names":false,"suffix":""},{"dropping-particle":"","family":"Chakravarti","given":"Aravinda","non-dropping-particle":"","parse-names":false,"suffix":""},{"dropping-particle":"","family":"Clark","given":"Andrew G.","non-dropping-particle":"","parse-names":false,"suffix":""},{"dropping-particle":"","family":"Donnelly","given":"Peter","non-dropping-particle":"","parse-names":false,"suffix":""},{"dropping-particle":"","family":"Eichler","given":"Evan E.","non-dropping-particle":"","parse-names":false,"suffix":""},{"dropping-particle":"","family":"Flicek","given":"Paul","non-dropping-particle":"","parse-names":false,"suffix":""},{"dropping-particle":"","family":"Gabriel","given":"Stacey B.","non-dropping-particle":"","parse-names":false,"suffix":""},{"dropping-particle":"","family":"Gibbs","given":"Richard A.","non-dropping-particle":"","parse-names":false,"suffix":""},{"dropping-particle":"","family":"Green","given":"Eric D.","non-dropping-particle":"","parse-names":false,"suffix":""},{"dropping-particle":"","family":"Hurles","given":"Matthew E.","non-dropping-particle":"","parse-names":false,"suffix":""},{"dropping-particle":"","family":"Knoppers","given":"Bartha M.","non-dropping-particle":"","parse-names":false,"suffix":""},{"dropping-particle":"","family":"Korbel","given":"Jan O.","non-dropping-particle":"","parse-names":false,"suffix":""},{"dropping-particle":"","family":"Lander","given":"Eric S.","non-dropping-particle":"","parse-names":false,"suffix":""},{"dropping-particle":"","family":"Lee","given":"Charles","non-dropping-particle":"","parse-names":false,"suffix":""},{"dropping-particle":"","family":"Lehrach","given":"Hans","non-dropping-particle":"","parse-names":false,"suffix":""},{"dropping-particle":"","family":"Mardis","given":"Elaine R.","non-dropping-particle":"","parse-names":false,"suffix":""},{"dropping-particle":"","family":"Marth","given":"Gabor T.","non-dropping-particle":"","parse-names":false,"suffix":""},{"dropping-particle":"","family":"McVean","given":"Gil A.","non-dropping-particle":"","parse-names":false,"suffix":""},{"dropping-particle":"","family":"Nickerson","given":"Deborah A.","non-dropping-particle":"","parse-names":false,"suffix":""},{"dropping-particle":"","family":"Schmidt","given":"Jeanette P.","non-dropping-particle":"","parse-names":false,"suffix":""},{"dropping-particle":"","family":"Sherry","given":"Stephen T.","non-dropping-particle":"","parse-names":false,"suffix":""},{"dropping-particle":"","family":"Wang","given":"Jun","non-dropping-particle":"","parse-names":false,"suffix":""},{"dropping-particle":"","family":"Wilson","given":"Richard K.","non-dropping-particle":"","parse-names":false,"suffix":""},{"dropping-particle":"","family":"Dinh","given":"Huyen","non-dropping-particle":"","parse-names":false,"suffix":""},{"dropping-particle":"","family":"Kovar","given":"Christie","non-dropping-particle":"","parse-names":false,"suffix":""},{"dropping-particle":"","family":"Lee","given":"Sandra","non-dropping-particle":"","parse-names":false,"suffix":""},{"dropping-particle":"","family":"Lewis","given":"Lora","non-dropping-particle":"","parse-names":false,"suffix":""},{"dropping-particle":"","family":"Muzny","given":"Donna","non-dropping-particle":"","parse-names":false,"suffix":""},{"dropping-particle":"","family":"Reid","given":"Jeff","non-dropping-particle":"","parse-names":false,"suffix":""},{"dropping-particle":"","family":"Wang","given":"Min","non-dropping-particle":"","parse-names":false,"suffix":""},{"dropping-particle":"","family":"Fang","given":"Xiaodong","non-dropping-particle":"","parse-names":false,"suffix":""},{"dropping-particle":"","family":"Guo","given":"Xiaosen","non-dropping-particle":"","parse-names":false,"suffix":""},{"dropping-particle":"","family":"Jian","given":"Min","non-dropping-particle":"","parse-names":false,"suffix":""},{"dropping-particle":"","family":"Jiang","given":"Hui","non-dropping-particle":"","parse-names":false,"suffix":""},{"dropping-particle":"","family":"Jin","given":"Xin","non-dropping-particle":"","parse-names":false,"suffix":""},{"dropping-particle":"","family":"Li","given":"Guoqing","non-dropping-particle":"","parse-names":false,"suffix":""},{"dropping-particle":"","family":"Li","given":"Jingxiang","non-dropping-particle":"","parse-names":false,"suffix":""},{"dropping-particle":"","family":"Li","given":"Yingrui","non-dropping-particle":"","parse-names":false,"suffix":""},{"dropping-particle":"","family":"Li","given":"Zhuo","non-dropping-particle":"","parse-names":false,"suffix":""},{"dropping-particle":"","family":"Liu","given":"Xiao","non-dropping-particle":"","parse-names":false,"suffix":""},{"dropping-particle":"","family":"Lu","given":"Yao","non-dropping-particle":"","parse-names":false,"suffix":""},{"dropping-particle":"","family":"Ma","given":"Xuedi","non-dropping-particle":"","parse-names":false,"suffix":""},{"dropping-particle":"","family":"Su","given":"Zhe","non-dropping-particle":"","parse-names":false,"suffix":""},{"dropping-particle":"","family":"Tai","given":"Shuaishuai","non-dropping-particle":"","parse-names":false,"suffix":""},{"dropping-particle":"","family":"Tang","given":"Meifang","non-dropping-particle":"","parse-names":false,"suffix":""},{"dropping-particle":"","family":"Wang","given":"Bo","non-dropping-particle":"","parse-names":false,"suffix":""},{"dropping-particle":"","family":"Wang","given":"Guangbiao","non-dropping-particle":"","parse-names":false,"suffix":""},{"dropping-particle":"","family":"Wu","given":"Honglong","non-dropping-particle":"","parse-names":false,"suffix":""},{"dropping-particle":"","family":"Wu","given":"Renhua","non-dropping-particle":"","parse-names":false,"suffix":""},{"dropping-particle":"","family":"Yin","given":"Ye","non-dropping-particle":"","parse-names":false,"suffix":""},{"dropping-particle":"","family":"Zhang","given":"Wenwei","non-dropping-particle":"","parse-names":false,"suffix":""},{"dropping-particle":"","family":"Zhao","given":"Jiao","non-dropping-particle":"","parse-names":false,"suffix":""},{"dropping-particle":"","family":"Zhao","given":"Meiru","non-dropping-particle":"","parse-names":false,"suffix":""},{"dropping-particle":"","family":"Zheng","given":"Xiaole","non-dropping-particle":"","parse-names":false,"suffix":""},{"dropping-particle":"","family":"Zhou","given":"Yan","non-dropping-particle":"","parse-names":false,"suffix":""},{"dropping-particle":"","family":"Gupta","given":"Namrata","non-dropping-particle":"","parse-names":false,"suffix":""},{"dropping-particle":"","family":"Clarke","given":"Laura","non-dropping-particle":"","parse-names":false,"suffix":""},{"dropping-particle":"","family":"Leinonen","given":"Rasko","non-dropping-particle":"","parse-names":false,"suffix":""},{"dropping-particle":"","family":"Smith","given":"Richard E.","non-dropping-particle":"","parse-names":false,"suffix":""},{"dropping-particle":"","family":"Zheng-Bradley","given":"Xiangqun","non-dropping-particle":"","parse-names":false,"suffix":""},{"dropping-particle":"","family":"Grocock","given":"Russell","non-dropping-particle":"","parse-names":false,"suffix":""},{"dropping-particle":"","family":"Humphray","given":"Sean","non-dropping-particle":"","parse-names":false,"suffix":""},{"dropping-particle":"","family":"James","given":"Terena","non-dropping-particle":"","parse-names":false,"suffix":""},{"dropping-particle":"","family":"Kingsbury","given":"Zoya","non-dropping-particle":"","parse-names":false,"suffix":""},{"dropping-particle":"","family":"Sudbrak","given":"Ralf","non-dropping-particle":"","parse-names":false,"suffix":""},{"dropping-particle":"","family":"Albrecht","given":"Marcus W.","non-dropping-particle":"","parse-names":false,"suffix":""},{"dropping-particle":"","family":"Amstislavskiy","given":"Vyacheslav S.","non-dropping-particle":"","parse-names":false,"suffix":""},{"dropping-particle":"","family":"Borodina","given":"Tatiana A.","non-dropping-particle":"","parse-names":false,"suffix":""},{"dropping-particle":"","family":"Lienhard","given":"Matthias","non-dropping-particle":"","parse-names":false,"suffix":""},{"dropping-particle":"","family":"Mertes","given":"Florian","non-dropping-particle":"","parse-names":false,"suffix":""},{"dropping-particle":"","family":"Sultan","given":"Marc","non-dropping-particle":"","parse-names":false,"suffix":""},{"dropping-particle":"","family":"Timmermann","given":"Bernd","non-dropping-particle":"","parse-names":false,"suffix":""},{"dropping-particle":"","family":"Yaspo","given":"Marie Laure","non-dropping-particle":"","parse-names":false,"suffix":""},{"dropping-particle":"","family":"Fulton","given":"Lucinda","non-dropping-particle":"","parse-names":false,"suffix":""},{"dropping-particle":"","family":"Fulton","given":"Robert","non-dropping-particle":"","parse-names":false,"suffix":""},{"dropping-particle":"","family":"Weinstock","given":"George M.","non-dropping-particle":"","parse-names":false,"suffix":""},{"dropping-particle":"","family":"Balasubramaniam","given":"Senduran","non-dropping-particle":"","parse-names":false,"suffix":""},{"dropping-particle":"","family":"Burton","given":"John","non-dropping-particle":"","parse-names":false,"suffix":""},{"dropping-particle":"","family":"Danecek","given":"Petr","non-dropping-particle":"","parse-names":false,"suffix":""},{"dropping-particle":"","family":"Keane","given":"Thomas M.","non-dropping-particle":"","parse-names":false,"suffix":""},{"dropping-particle":"","family":"Kolb-Kokocinski","given":"Anja","non-dropping-particle":"","parse-names":false,"suffix":""},{"dropping-particle":"","family":"McCarthy","given":"Shane","non-dropping-particle":"","parse-names":false,"suffix":""},{"dropping-particle":"","family":"Stalker","given":"James","non-dropping-particle":"","parse-names":false,"suffix":""},{"dropping-particle":"","family":"Quail","given":"Michael","non-dropping-particle":"","parse-names":false,"suffix":""},{"dropping-particle":"","family":"Davies","given":"Christopher J.","non-dropping-particle":"","parse-names":false,"suffix":""},{"dropping-particle":"","family":"Gollub","given":"Jeremy","non-dropping-particle":"","parse-names":false,"suffix":""},{"dropping-particle":"","family":"Webster","given":"Teresa","non-dropping-particle":"","parse-names":false,"suffix":""},{"dropping-particle":"","family":"Wong","given":"Brant","non-dropping-particle":"","parse-names":false,"suffix":""},{"dropping-particle":"","family":"Zhan","given":"Yiping","non-dropping-particle":"","parse-names":false,"suffix":""},{"dropping-particle":"","family":"Auton","given":"Adam","non-dropping-particle":"","parse-names":false,"suffix":""},{"dropping-particle":"","family":"Yu","given":"Fuli","non-dropping-particle":"","parse-names":false,"suffix":""},{"dropping-particle":"","family":"Bainbridge","given":"Matthew","non-dropping-particle":"","parse-names":false,"suffix":""},{"dropping-particle":"","family":"Challis","given":"Danny","non-dropping-particle":"","parse-names":false,"suffix":""},{"dropping-particle":"","family":"Evani","given":"Uday S.","non-dropping-particle":"","parse-names":false,"suffix":""},{"dropping-particle":"","family":"Lu","given":"James","non-dropping-particle":"","parse-names":false,"suffix":""},{"dropping-particle":"","family":"Nagaswamy","given":"Uma","non-dropping-particle":"","parse-names":false,"suffix":""},{"dropping-particle":"","family":"Sabo","given":"Aniko","non-dropping-particle":"","parse-names":false,"suffix":""},{"dropping-particle":"","family":"Wang","given":"Yi","non-dropping-particle":"","parse-names":false,"suffix":""},{"dropping-particle":"","family":"Yu","given":"Jin","non-dropping-particle":"","parse-names":false,"suffix":""},{"dropping-particle":"","family":"Coin","given":"Lachlan J.M.","non-dropping-particle":"","parse-names":false,"suffix":""},{"dropping-particle":"","family":"Fang","given":"Lin","non-dropping-particle":"","parse-names":false,"suffix":""},{"dropping-particle":"","family":"Li","given":"Qibin","non-dropping-particle":"","parse-names":false,"suffix":""},{"dropping-particle":"","family":"Li","given":"Zhenyu","non-dropping-particle":"","parse-names":false,"suffix":""},{"dropping-particle":"","family":"Lin","given":"Haoxiang","non-dropping-particle":"","parse-names":false,"suffix":""},{"dropping-particle":"","family":"Liu","given":"Binghang","non-dropping-particle":"","parse-names":false,"suffix":""},{"dropping-particle":"","family":"Luo","given":"Ruibang","non-dropping-particle":"","parse-names":false,"suffix":""},{"dropping-particle":"","family":"Qin","given":"Nan","non-dropping-particle":"","parse-names":false,"suffix":""},{"dropping-particle":"","family":"Shao","given":"Haojing","non-dropping-particle":"","parse-names":false,"suffix":""},{"dropping-particle":"","family":"Wang","given":"Bingqiang","non-dropping-particle":"","parse-names":false,"suffix":""},{"dropping-particle":"","family":"Xie","given":"Yinlong","non-dropping-particle":"","parse-names":false,"suffix":""},{"dropping-particle":"","family":"Ye","given":"Chen","non-dropping-particle":"","parse-names":false,"suffix":""},{"dropping-particle":"","family":"Yu","given":"Chang","non-dropping-particle":"","parse-names":false,"suffix":""},{"dropping-particle":"","family":"Zhang","given":"Fan","non-dropping-particle":"","parse-names":false,"suffix":""},{"dropping-particle":"","family":"Zheng","given":"Hancheng","non-dropping-particle":"","parse-names":false,"suffix":""},{"dropping-particle":"","family":"Zhu","given":"Hongmei","non-dropping-particle":"","parse-names":false,"suffix":""},{"dropping-particle":"","family":"Garrison","given":"Erik P.","non-dropping-particle":"","parse-names":false,"suffix":""},{"dropping-particle":"","family":"Kural","given":"Deniz","non-dropping-particle":"","parse-names":false,"suffix":""},{"dropping-particle":"","family":"Lee","given":"Wan Ping","non-dropping-particle":"","parse-names":false,"suffix":""},{"dropping-particle":"","family":"Fung Leong","given":"Wen","non-dropping-particle":"","parse-names":false,"suffix":""},{"dropping-particle":"","family":"Ward","given":"Alistair N.","non-dropping-particle":"","parse-names":false,"suffix":""},{"dropping-particle":"","family":"Wu","given":"Jiantao","non-dropping-particle":"","parse-names":false,"suffix":""},{"dropping-particle":"","family":"Zhang","given":"Mengyao","non-dropping-particle":"","parse-names":false,"suffix":""},{"dropping-particle":"","family":"Griffin","given":"Lauren","non-dropping-particle":"","parse-names":false,"suffix":""},{"dropping-particle":"","family":"Hsieh","given":"Chih Heng","non-dropping-particle":"","parse-names":false,"suffix":""},{"dropping-particle":"","family":"Mills","given":"Ryan E.","non-dropping-particle":"","parse-names":false,"suffix":""},{"dropping-particle":"","family":"Shi","given":"Xinghua","non-dropping-particle":"","parse-names":false,"suffix":""},{"dropping-particle":"","family":"Grotthuss","given":"Marcin","non-dropping-particle":"Von","parse-names":false,"suffix":""},{"dropping-particle":"","family":"Zhang","given":"Chengsheng","non-dropping-particle":"","parse-names":false,"suffix":""},{"dropping-particle":"","family":"Daly","given":"Mark J.","non-dropping-particle":"","parse-names":false,"suffix":""},{"dropping-particle":"","family":"Depristo","given":"Mark A.","non-dropping-particle":"","parse-names":false,"suffix":""},{"dropping-particle":"","family":"Banks","given":"Eric","non-dropping-particle":"","parse-names":false,"suffix":""},{"dropping-particle":"","family":"Bhatia","given":"Gaurav","non-dropping-particle":"","parse-names":false,"suffix":""},{"dropping-particle":"","family":"Carneiro","given":"Mauricio O.","non-dropping-particle":"","parse-names":false,"suffix":""},{"dropping-particle":"","family":"Angel","given":"Guillermo","non-dropping-particle":"Del","parse-names":false,"suffix":""},{"dropping-particle":"","family":"Genovese","given":"Giulio","non-dropping-particle":"","parse-names":false,"suffix":""},{"dropping-particle":"","family":"Handsaker","given":"Robert E.","non-dropping-particle":"","parse-names":false,"suffix":""},{"dropping-particle":"","family":"Hartl","given":"Chris","non-dropping-particle":"","parse-names":false,"suffix":""},{"dropping-particle":"","family":"McCarroll","given":"Steven A.","non-dropping-particle":"","parse-names":false,"suffix":""},{"dropping-particle":"","family":"Nemesh","given":"James C.","non-dropping-particle":"","parse-names":false,"suffix":""},{"dropping-particle":"","family":"Poplin","given":"Ryan E.","non-dropping-particle":"","parse-names":false,"suffix":""},{"dropping-particle":"","family":"Schaffner","given":"Stephen F.","non-dropping-particle":"","parse-names":false,"suffix":""},{"dropping-particle":"","family":"Shakir","given":"Khalid","non-dropping-particle":"","parse-names":false,"suffix":""},{"dropping-particle":"","family":"Yoon","given":"Seungtai C.","non-dropping-particle":"","parse-names":false,"suffix":""},{"dropping-particle":"","family":"Lihm","given":"Jayon","non-dropping-particle":"","parse-names":false,"suffix":""},{"dropping-particle":"","family":"Makarov","given":"Vladimir","non-dropping-particle":"","parse-names":false,"suffix":""},{"dropping-particle":"","family":"Jin","given":"Hanjun","non-dropping-particle":"","parse-names":false,"suffix":""},{"dropping-particle":"","family":"Kim","given":"Wook","non-dropping-particle":"","parse-names":false,"suffix":""},{"dropping-particle":"","family":"Cheol Kim","given":"Ki","non-dropping-particle":"","parse-names":false,"suffix":""},{"dropping-particle":"","family":"Rausch","given":"Tobias","non-dropping-particle":"","parse-names":false,"suffix":""},{"dropping-particle":"","family":"Beal","given":"Kathryn","non-dropping-particle":"","parse-names":false,"suffix":""},{"dropping-particle":"","family":"Cunningham","given":"Fiona","non-dropping-particle":"","parse-names":false,"suffix":""},{"dropping-particle":"","family":"Herrero","given":"Javier","non-dropping-particle":"","parse-names":false,"suffix":""},{"dropping-particle":"","family":"McLaren","given":"William M.","non-dropping-particle":"","parse-names":false,"suffix":""},{"dropping-particle":"","family":"Ritchie","given":"Graham R.S.","non-dropping-particle":"","parse-names":false,"suffix":""},{"dropping-particle":"","family":"Gottipati","given":"Srikanth","non-dropping-particle":"","parse-names":false,"suffix":""},{"dropping-particle":"","family":"Keinan","given":"Alon","non-dropping-particle":"","parse-names":false,"suffix":""},{"dropping-particle":"","family":"Rodriguez-Flores","given":"Juan L.","non-dropping-particle":"","parse-names":false,"suffix":""},{"dropping-particle":"","family":"Sabeti","given":"Pardis C.","non-dropping-particle":"","parse-names":false,"suffix":""},{"dropping-particle":"","family":"Grossman","given":"Sharon R.","non-dropping-particle":"","parse-names":false,"suffix":""},{"dropping-particle":"","family":"Tabrizi","given":"Shervin","non-dropping-particle":"","parse-names":false,"suffix":""},{"dropping-particle":"","family":"Tariyal","given":"Ridhi","non-dropping-particle":"","parse-names":false,"suffix":""},{"dropping-particle":"","family":"Cooper","given":"David N.","non-dropping-particle":"","parse-names":false,"suffix":""},{"dropping-particle":"V.","family":"Ball","given":"Edward","non-dropping-particle":"","parse-names":false,"suffix":""},{"dropping-particle":"","family":"Stenson","given":"Peter D.","non-dropping-particle":"","parse-names":false,"suffix":""},{"dropping-particle":"","family":"Barnes","given":"Bret","non-dropping-particle":"","parse-names":false,"suffix":""},{"dropping-particle":"","family":"Bauer","given":"Markus","non-dropping-particle":"","parse-names":false,"suffix":""},{"dropping-particle":"","family":"Keira Cheetham","given":"R.","non-dropping-particle":"","parse-names":false,"suffix":""},{"dropping-particle":"","family":"Cox","given":"Tony","non-dropping-particle":"","parse-names":false,"suffix":""},{"dropping-particle":"","family":"Eberle","given":"Michael","non-dropping-particle":"","parse-names":false,"suffix":""},{"dropping-particle":"","family":"Kahn","given":"Scott","non-dropping-particle":"","parse-names":false,"suffix":""},{"dropping-particle":"","family":"Murray","given":"Lisa","non-dropping-particle":"","parse-names":false,"suffix":""},{"dropping-particle":"","family":"Peden","given":"John","non-dropping-particle":"","parse-names":false,"suffix":""},{"dropping-particle":"","family":"Shaw","given":"Richard","non-dropping-particle":"","parse-names":false,"suffix":""},{"dropping-particle":"","family":"Ye","given":"Kai","non-dropping-particle":"","parse-names":false,"suffix":""},{"dropping-particle":"","family":"Batzer","given":"Mark A.","non-dropping-particle":"","parse-names":false,"suffix":""},{"dropping-particle":"","family":"Konkel","given":"Miriam K.","non-dropping-particle":"","parse-names":false,"suffix":""},{"dropping-particle":"","family":"Walker","given":"Jerilyn A.","non-dropping-particle":"","parse-names":false,"suffix":""},{"dropping-particle":"","family":"MacArthur","given":"Daniel G.","non-dropping-particle":"","parse-names":false,"suffix":""},{"dropping-particle":"","family":"Lek","given":"Monkol","non-dropping-particle":"","parse-names":false,"suffix":""},{"dropping-particle":"","family":"Herwig","given":"Ralf","non-dropping-particle":"","parse-names":false,"suffix":""},{"dropping-particle":"","family":"Shriver","given":"Mark D.","non-dropping-particle":"","parse-names":false,"suffix":""},{"dropping-particle":"","family":"Bustamante","given":"Carlos D.","non-dropping-particle":"","parse-names":false,"suffix":""},{"dropping-particle":"","family":"Byrnes","given":"Jake K.","non-dropping-particle":"","parse-names":false,"suffix":""},{"dropping-particle":"","family":"La Vega","given":"Francisco M.","non-dropping-particle":"De","parse-names":false,"suffix":""},{"dropping-particle":"","family":"Gravel","given":"Simon","non-dropping-particle":"","parse-names":false,"suffix":""},{"dropping-particle":"","family":"Kenny","given":"Eimear E.","non-dropping-particle":"","parse-names":false,"suffix":""},{"dropping-particle":"","family":"Kidd","given":"Jeffrey M.","non-dropping-particle":"","parse-names":false,"suffix":""},{"dropping-particle":"","family":"Maples","given":"Brian K.","non-dropping-particle":"","parse-names":false,"suffix":""},{"dropping-particle":"","family":"Moreno-Estrada","given":"Andres","non-dropping-particle":"","parse-names":false,"suffix":""},{"dropping-particle":"","family":"Zakharia","given":"Fouad","non-dropping-particle":"","parse-names":false,"suffix":""},{"dropping-particle":"","family":"Halperin","given":"Eran","non-dropping-particle":"","parse-names":false,"suffix":""},{"dropping-particle":"","family":"Baran","given":"Yael","non-dropping-particle":"","parse-names":false,"suffix":""},{"dropping-particle":"","family":"Craig","given":"David W.","non-dropping-particle":"","parse-names":false,"suffix":""},{"dropping-particle":"","family":"Christoforides","given":"Alexis","non-dropping-particle":"","parse-names":false,"suffix":""},{"dropping-particle":"","family":"Homer","given":"Nils","non-dropping-particle":"","parse-names":false,"suffix":""},{"dropping-particle":"","family":"Izatt","given":"Tyler","non-dropping-particle":"","parse-names":false,"suffix":""},{"dropping-particle":"","family":"Kurdoglu","given":"Ahmet A.","non-dropping-particle":"","parse-names":false,"suffix":""},{"dropping-particle":"","family":"Sinari","given":"Shripad A.","non-dropping-particle":"","parse-names":false,"suffix":""},{"dropping-particle":"","family":"Squire","given":"Kevin","non-dropping-particle":"","parse-names":false,"suffix":""},{"dropping-particle":"","family":"Xiao","given":"Chunlin","non-dropping-particle":"","parse-names":false,"suffix":""},{"dropping-particle":"","family":"Sebat","given":"Jonathan","non-dropping-particle":"","parse-names":false,"suffix":""},{"dropping-particle":"","family":"Bafna","given":"Vineet","non-dropping-particle":"","parse-names":false,"suffix":""},{"dropping-particle":"","family":"Ye","given":"Kenny","non-dropping-particle":"","parse-names":false,"suffix":""},{"dropping-particle":"","family":"Burchard","given":"Esteban G.","non-dropping-particle":"","parse-names":false,"suffix":""},{"dropping-particle":"","family":"Hernandez","given":"Ryan D.","non-dropping-particle":"","parse-names":false,"suffix":""},{"dropping-particle":"","family":"Gignoux","given":"Christopher R.","non-dropping-particle":"","parse-names":false,"suffix":""},{"dropping-particle":"","family":"Haussler","given":"David","non-dropping-particle":"","parse-names":false,"suffix":""},{"dropping-particle":"","family":"Katzman","given":"Sol J.","non-dropping-particle":"","parse-names":false,"suffix":""},{"dropping-particle":"","family":"James Kent","given":"W.","non-dropping-particle":"","parse-names":false,"suffix":""},{"dropping-particle":"","family":"Howie","given":"Bryan","non-dropping-particle":"","parse-names":false,"suffix":""},{"dropping-particle":"","family":"Ruiz-Linares","given":"Andres","non-dropping-particle":"","parse-names":false,"suffix":""},{"dropping-particle":"","family":"Dermitzakis","given":"Emmanouil T.","non-dropping-particle":"","parse-names":false,"suffix":""},{"dropping-particle":"","family":"Lappalainen","given":"Tuuli","non-dropping-particle":"","parse-names":false,"suffix":""},{"dropping-particle":"","family":"Devine","given":"Scott E.","non-dropping-particle":"","parse-names":false,"suffix":""},{"dropping-particle":"","family":"Liu","given":"Xinyue","non-dropping-particle":"","parse-names":false,"suffix":""},{"dropping-particle":"","family":"Maroo","given":"Ankit","non-dropping-particle":"","parse-names":false,"suffix":""},{"dropping-particle":"","family":"Tallon","given":"Luke J.","non-dropping-particle":"","parse-names":false,"suffix":""},{"dropping-particle":"","family":"Rosenfeld","given":"Jeffrey A.","non-dropping-particle":"","parse-names":false,"suffix":""},{"dropping-particle":"","family":"Michelson","given":"Leslie P.","non-dropping-particle":"","parse-names":false,"suffix":""},{"dropping-particle":"","family":"Min Kang","given":"Hyun","non-dropping-particle":"","parse-names":false,"suffix":""},{"dropping-particle":"","family":"Anderson","given":"Paul","non-dropping-particle":"","parse-names":false,"suffix":""},{"dropping-particle":"","family":"Angius","given":"Andrea","non-dropping-particle":"","parse-names":false,"suffix":""},{"dropping-particle":"","family":"Bigham","given":"Abigail","non-dropping-particle":"","parse-names":false,"suffix":""},{"dropping-particle":"","family":"Blackwell","given":"Tom","non-dropping-particle":"","parse-names":false,"suffix":""},{"dropping-particle":"","family":"Busonero","given":"Fabio","non-dropping-particle":"","parse-names":false,"suffix":""},{"dropping-particle":"","family":"Cucca","given":"Francesco","non-dropping-particle":"","parse-names":false,"suffix":""},{"dropping-particle":"","family":"Fuchsberger","given":"Christian","non-dropping-particle":"","parse-names":false,"suffix":""},{"dropping-particle":"","family":"Jones","given":"Chris","non-dropping-particle":"","parse-names":false,"suffix":""},{"dropping-particle":"","family":"Jun","given":"Goo","non-dropping-particle":"","parse-names":false,"suffix":""},{"dropping-particle":"","family":"Li","given":"Yun","non-dropping-particle":"","parse-names":false,"suffix":""},{"dropping-particle":"","family":"Lyons","given":"Robert","non-dropping-particle":"","parse-names":false,"suffix":""},{"dropping-particle":"","family":"Maschio","given":"Andrea","non-dropping-particle":"","parse-names":false,"suffix":""},{"dropping-particle":"","family":"Porcu","given":"Eleonora","non-dropping-particle":"","parse-names":false,"suffix":""},{"dropping-particle":"","family":"Reinier","given":"Fred","non-dropping-particle":"","parse-names":false,"suffix":""},{"dropping-particle":"","family":"Sanna","given":"Serena","non-dropping-particle":"","parse-names":false,"suffix":""},{"dropping-particle":"","family":"Schlessinger","given":"David","non-dropping-particle":"","parse-names":false,"suffix":""},{"dropping-particle":"","family":"Sidore","given":"Carlo","non-dropping-particle":"","parse-names":false,"suffix":""},{"dropping-particle":"","family":"Tan","given":"Adrian","non-dropping-particle":"","parse-names":false,"suffix":""},{"dropping-particle":"","family":"Kate Trost","given":"Mary","non-dropping-particle":"","parse-names":false,"suffix":""},{"dropping-particle":"","family":"Awadalla","given":"Philip","non-dropping-particle":"","parse-names":false,"suffix":""},{"dropping-particle":"","family":"Hodgkinson","given":"Alan","non-dropping-particle":"","parse-names":false,"suffix":""},{"dropping-particle":"","family":"Lunter","given":"Gerton","non-dropping-particle":"","parse-names":false,"suffix":""},{"dropping-particle":"","family":"Marchini","given":"Jonathan L.","non-dropping-particle":"","parse-names":false,"suffix":""},{"dropping-particle":"","family":"Myers","given":"Simon","non-dropping-particle":"","parse-names":false,"suffix":""},{"dropping-particle":"","family":"Churchhouse","given":"Claire","non-dropping-particle":"","parse-names":false,"suffix":""},{"dropping-particle":"","family":"Delaneau","given":"Olivier","non-dropping-particle":"","parse-names":false,"suffix":""},{"dropping-particle":"","family":"Gupta-Hinch","given":"Anjali","non-dropping-particle":"","parse-names":false,"suffix":""},{"dropping-particle":"","family":"Iqbal","given":"Zamin","non-dropping-particle":"","parse-names":false,"suffix":""},{"dropping-particle":"","family":"Mathieson","given":"Iain","non-dropping-particle":"","parse-names":false,"suffix":""},{"dropping-particle":"","family":"Rimmer","given":"Andy","non-dropping-particle":"","parse-names":false,"suffix":""},{"dropping-particle":"","family":"Xifara","given":"Dionysia K.","non-dropping-particle":"","parse-names":false,"suffix":""},{"dropping-particle":"","family":"Oleksyk","given":"Taras K.","non-dropping-particle":"","parse-names":false,"suffix":""},{"dropping-particle":"","family":"Fu","given":"Yunxin","non-dropping-particle":"","parse-names":false,"suffix":""},{"dropping-particle":"","family":"Liu","given":"Xiaoming","non-dropping-particle":"","parse-names":false,"suffix":""},{"dropping-particle":"","family":"Xiong","given":"Momiao","non-dropping-particle":"","parse-names":false,"suffix":""},{"dropping-particle":"","family":"Jorde","given":"Lynn","non-dropping-particle":"","parse-names":false,"suffix":""},{"dropping-particle":"","family":"Witherspoon","given":"David","non-dropping-particle":"","parse-names":false,"suffix":""},{"dropping-particle":"","family":"Xing","given":"Jinchuan","non-dropping-particle":"","parse-names":false,"suffix":""},{"dropping-particle":"","family":"Browning","given":"Brian L.","non-dropping-particle":"","parse-names":false,"suffix":""},{"dropping-particle":"","family":"Alkan","given":"Can","non-dropping-particle":"","parse-names":false,"suffix":""},{"dropping-particle":"","family":"Hajirasouliha","given":"Iman","non-dropping-particle":"","parse-names":false,"suffix":""},{"dropping-particle":"","family":"Hormozdiari","given":"Fereydoun","non-dropping-particle":"","parse-names":false,"suffix":""},{"dropping-particle":"","family":"Ko","given":"Arthur","non-dropping-particle":"","parse-names":false,"suffix":""},{"dropping-particle":"","family":"Sudmant","given":"Peter H.","non-dropping-particle":"","parse-names":false,"suffix":""},{"dropping-particle":"","family":"Chen","given":"Ken","non-dropping-particle":"","parse-names":false,"suffix":""},{"dropping-particle":"","family":"Chinwalla","given":"Asif","non-dropping-particle":"","parse-names":false,"suffix":""},{"dropping-particle":"","family":"Ding","given":"Li","non-dropping-particle":"","parse-names":false,"suffix":""},{"dropping-particle":"","family":"Dooling","given":"David","non-dropping-particle":"","parse-names":false,"suffix":""},{"dropping-particle":"","family":"Koboldt","given":"Daniel C.","non-dropping-particle":"","parse-names":false,"suffix":""},{"dropping-particle":"","family":"McLellan","given":"Michael D.","non-dropping-particle":"","parse-names":false,"suffix":""},{"dropping-particle":"","family":"Wallis","given":"John W.","non-dropping-particle":"","parse-names":false,"suffix":""},{"dropping-particle":"","family":"Wendl","given":"Michael C.","non-dropping-particle":"","parse-names":false,"suffix":""},{"dropping-particle":"","family":"Zhang","given":"Qunyuan","non-dropping-particle":"","parse-names":false,"suffix":""},{"dropping-particle":"","family":"Tyler-Smith","given":"Chris","non-dropping-particle":"","parse-names":false,"suffix":""},{"dropping-particle":"","family":"Albers","given":"Cornelis A.","non-dropping-particle":"","parse-names":false,"suffix":""},{"dropping-particle":"","family":"Ayub","given":"Qasim","non-dropping-particle":"","parse-names":false,"suffix":""},{"dropping-particle":"","family":"Chen","given":"Yuan","non-dropping-particle":"","parse-names":false,"suffix":""},{"dropping-particle":"","family":"Coffey","given":"Alison J.","non-dropping-particle":"","parse-names":false,"suffix":""},{"dropping-particle":"","family":"Colonna","given":"Vincenza","non-dropping-particle":"","parse-names":false,"suffix":""},{"dropping-particle":"","family":"Huang","given":"Ni","non-dropping-particle":"","parse-names":false,"suffix":""},{"dropping-particle":"","family":"Jostins","given":"Luke","non-dropping-particle":"","parse-names":false,"suffix":""},{"dropping-particle":"","family":"Li","given":"Heng","non-dropping-particle":"","parse-names":false,"suffix":""},{"dropping-particle":"","family":"Scally","given":"Aylwyn","non-dropping-particle":"","parse-names":false,"suffix":""},{"dropping-particle":"","family":"Walter","given":"Klaudia","non-dropping-particle":"","parse-names":false,"suffix":""},{"dropping-particle":"","family":"Xue","given":"Yali","non-dropping-particle":"","parse-names":false,"suffix":""},{"dropping-particle":"","family":"Zhang","given":"Yujun","non-dropping-particle":"","parse-names":false,"suffix":""},{"dropping-particle":"","family":"Gerstein","given":"Mark B.","non-dropping-particle":"","parse-names":false,"suffix":""},{"dropping-particle":"","family":"Abyzov","given":"Alexej","non-dropping-particle":"","parse-names":false,"suffix":""},{"dropping-particle":"","family":"Balasubramanian","given":"Suganthi","non-dropping-particle":"","parse-names":false,"suffix":""},{"dropping-particle":"","family":"Chen","given":"Jieming","non-dropping-particle":"","parse-names":false,"suffix":""},{"dropping-particle":"","family":"Clarke","given":"Declan","non-dropping-particle":"","parse-names":false,"suffix":""},{"dropping-particle":"","family":"Fu","given":"Yao","non-dropping-particle":"","parse-names":false,"suffix":""},{"dropping-particle":"","family":"Habegger","given":"Lukas","non-dropping-particle":"","parse-names":false,"suffix":""},{"dropping-particle":"","family":"Harmanci","given":"Arif O.","non-dropping-particle":"","parse-names":false,"suffix":""},{"dropping-particle":"","family":"Jin","given":"Mike","non-dropping-particle":"","parse-names":false,"suffix":""},{"dropping-particle":"","family":"Khurana","given":"Ekta","non-dropping-particle":"","parse-names":false,"suffix":""},{"dropping-particle":"","family":"Jasmine Mu","given":"Xinmeng","non-dropping-particle":"","parse-names":false,"suffix":""},{"dropping-particle":"","family":"Sisu","given":"Cristina","non-dropping-particle":"","parse-names":false,"suffix":""},{"dropping-particle":"","family":"Degenhardt","given":"Jeremiah","non-dropping-particle":"","parse-names":false,"suffix":""},{"dropping-particle":"","family":"Stütz","given":"Adrian M.","non-dropping-particle":"","parse-names":false,"suffix":""},{"dropping-particle":"","family":"Keira Cheetham","given":"R.","non-dropping-particle":"","parse-names":false,"suffix":""},{"dropping-particle":"","family":"Church","given":"Deanna","non-dropping-particle":"","parse-names":false,"suffix":""},{"dropping-particle":"","family":"Michaelson","given":"Jacob J.","non-dropping-particle":"","parse-names":false,"suffix":""},{"dropping-particle":"","family":"Blackburne","given":"Ben","non-dropping-particle":"","parse-names":false,"suffix":""},{"dropping-particle":"","family":"Lindsay","given":"Sarah J.","non-dropping-particle":"","parse-names":false,"suffix":""},{"dropping-particle":"","family":"Ning","given":"Zemin","non-dropping-particle":"","parse-names":false,"suffix":""},{"dropping-particle":"","family":"Frankish","given":"Adam","non-dropping-particle":"","parse-names":false,"suffix":""},{"dropping-particle":"","family":"Harrow","given":"Jennifer","non-dropping-particle":"","parse-names":false,"suffix":""},{"dropping-particle":"","family":"Mu","given":"Xinmeng Jasmine","non-dropping-particle":"","parse-names":false,"suffix":""},{"dropping-particle":"","family":"Fowler","given":"Gerald","non-dropping-particle":"","parse-names":false,"suffix":""},{"dropping-particle":"","family":"Hale","given":"Walker","non-dropping-particle":"","parse-names":false,"suffix":""},{"dropping-particle":"","family":"Kalra","given":"Divya","non-dropping-particle":"","parse-names":false,"suffix":""},{"dropping-particle":"","family":"Barker","given":"Jonathan","non-dropping-particle":"","parse-names":false,"suffix":""},{"dropping-particle":"","family":"Kelman","given":"Gavin","non-dropping-particle":"","parse-names":false,"suffix":""},{"dropping-particle":"","family":"Kulesha","given":"Eugene","non-dropping-particle":"","parse-names":false,"suffix":""},{"dropping-particle":"","family":"Radhakrishnan","given":"Rajesh","non-dropping-particle":"","parse-names":false,"suffix":""},{"dropping-particle":"","family":"Roa","given":"Asier","non-dropping-particle":"","parse-names":false,"suffix":""},{"dropping-particle":"","family":"Smirnov","given":"Dmitriy","non-dropping-particle":"","parse-names":false,"suffix":""},{"dropping-particle":"","family":"Streeter","given":"Ian","non-dropping-particle":"","parse-names":false,"suffix":""},{"dropping-particle":"","family":"Toneva","given":"Iliana","non-dropping-particle":"","parse-names":false,"suffix":""},{"dropping-particle":"","family":"Vaughan","given":"Brendan","non-dropping-particle":"","parse-names":false,"suffix":""},{"dropping-particle":"","family":"Ananiev","given":"Victor","non-dropping-particle":"","parse-names":false,"suffix":""},{"dropping-particle":"","family":"Belaia","given":"Zinaida","non-dropping-particle":"","parse-names":false,"suffix":""},{"dropping-particle":"","family":"Beloslyudtsev","given":"Dimitriy","non-dropping-particle":"","parse-names":false,"suffix":""},{"dropping-particle":"","family":"Bouk","given":"Nathan","non-dropping-particle":"","parse-names":false,"suffix":""},{"dropping-particle":"","family":"Chen","given":"Chao","non-dropping-particle":"","parse-names":false,"suffix":""},{"dropping-particle":"","family":"Cohen","given":"Robert","non-dropping-particle":"","parse-names":false,"suffix":""},{"dropping-particle":"","family":"Cook","given":"Charles","non-dropping-particle":"","parse-names":false,"suffix":""},{"dropping-particle":"","family":"Garner","given":"John","non-dropping-particle":"","parse-names":false,"suffix":""},{"dropping-particle":"","family":"Hefferon","given":"Timothy","non-dropping-particle":"","parse-names":false,"suffix":""},{"dropping-particle":"","family":"Kimelman","given":"Mikhail","non-dropping-particle":"","parse-names":false,"suffix":""},{"dropping-particle":"","family":"Liu","given":"Chunlei","non-dropping-particle":"","parse-names":false,"suffix":""},{"dropping-particle":"","family":"Lopez","given":"John","non-dropping-particle":"","parse-names":false,"suffix":""},{"dropping-particle":"","family":"Meric","given":"Peter","non-dropping-particle":"","parse-names":false,"suffix":""},{"dropping-particle":"","family":"O'Sullivan","given":"Chris","non-dropping-particle":"","parse-names":false,"suffix":""},{"dropping-particle":"","family":"Ostapchuk","given":"Yuri","non-dropping-particle":"","parse-names":false,"suffix":""},{"dropping-particle":"","family":"Phan","given":"Lon","non-dropping-particle":"","parse-names":false,"suffix":""},{"dropping-particle":"","family":"Ponomarov","given":"Sergiy","non-dropping-particle":"","parse-names":false,"suffix":""},{"dropping-particle":"","family":"Schneider","given":"Valerie","non-dropping-particle":"","parse-names":false,"suffix":""},{"dropping-particle":"","family":"Shekhtman","given":"Eugene","non-dropping-particle":"","parse-names":false,"suffix":""},{"dropping-particle":"","family":"Sirotkin","given":"Karl","non-dropping-particle":"","parse-names":false,"suffix":""},{"dropping-particle":"","family":"Slotta","given":"Douglas","non-dropping-particle":"","parse-names":false,"suffix":""},{"dropping-particle":"","family":"Zhang","given":"Hua","non-dropping-particle":"","parse-names":false,"suffix":""},{"dropping-particle":"","family":"Barnes","given":"Kathleen C.","non-dropping-particle":"","parse-names":false,"suffix":""},{"dropping-particle":"","family":"Beiswanger","given":"Christine","non-dropping-particle":"","parse-names":false,"suffix":""},{"dropping-particle":"","family":"Cai","given":"Hongyu","non-dropping-particle":"","parse-names":false,"suffix":""},{"dropping-particle":"","family":"Cao","given":"Hongzhi","non-dropping-particle":"","parse-names":false,"suffix":""},{"dropping-particle":"","family":"Gharani","given":"Neda","non-dropping-particle":"","parse-names":false,"suffix":""},{"dropping-particle":"","family":"Henn","given":"Brenna","non-dropping-particle":"","parse-names":false,"suffix":""},{"dropping-particle":"","family":"Jones","given":"Danielle","non-dropping-particle":"","parse-names":false,"suffix":""},{"dropping-particle":"","family":"Kaye","given":"Jane S.","non-dropping-particle":"","parse-names":false,"suffix":""},{"dropping-particle":"","family":"Kent","given":"Alastair","non-dropping-particle":"","parse-names":false,"suffix":""},{"dropping-particle":"","family":"Kerasidou","given":"Angeliki","non-dropping-particle":"","parse-names":false,"suffix":""},{"dropping-particle":"","family":"Mathias","given":"Rasika","non-dropping-particle":"","parse-names":false,"suffix":""},{"dropping-particle":"","family":"Ossorio","given":"Pilar N.","non-dropping-particle":"","parse-names":false,"suffix":""},{"dropping-particle":"","family":"Parker","given":"Michael","non-dropping-particle":"","parse-names":false,"suffix":""},{"dropping-particle":"","family":"Reich","given":"David","non-dropping-particle":"","parse-names":false,"suffix":""},{"dropping-particle":"","family":"Rotimi","given":"Charles N.","non-dropping-particle":"","parse-names":false,"suffix":""},{"dropping-particle":"","family":"Royal","given":"Charmaine D.","non-dropping-particle":"","parse-names":false,"suffix":""},{"dropping-particle":"","family":"Sandoval","given":"Karla","non-dropping-particle":"","parse-names":false,"suffix":""},{"dropping-particle":"","family":"Su","given":"Yeyang","non-dropping-particle":"","parse-names":false,"suffix":""},{"dropping-particle":"","family":"Tian","given":"Zhongming","non-dropping-particle":"","parse-names":false,"suffix":""},{"dropping-particle":"","family":"Tishkoff","given":"Sarah","non-dropping-particle":"","parse-names":false,"suffix":""},{"dropping-particle":"","family":"Toji","given":"Lorraine H.","non-dropping-particle":"","parse-names":false,"suffix":""},{"dropping-particle":"","family":"Via","given":"Marc","non-dropping-particle":"","parse-names":false,"suffix":""},{"dropping-particle":"","family":"Wang","given":"Yuhong","non-dropping-particle":"","parse-names":false,"suffix":""},{"dropping-particle":"","family":"Yang","given":"Huanming","non-dropping-particle":"","parse-names":false,"suffix":""},{"dropping-particle":"","family":"Yang","given":"Ling","non-dropping-particle":"","parse-names":false,"suffix":""},{"dropping-particle":"","family":"Zhu","given":"Jiayong","non-dropping-particle":"","parse-names":false,"suffix":""},{"dropping-particle":"","family":"Bodmer","given":"Walter","non-dropping-particle":"","parse-names":false,"suffix":""},{"dropping-particle":"","family":"Bedoya","given":"Gabriel","non-dropping-particle":"","parse-names":false,"suffix":""},{"dropping-particle":"","family":"Ming","given":"Cai Zhi","non-dropping-particle":"","parse-names":false,"suffix":""},{"dropping-particle":"","family":"Yang","given":"Gao","non-dropping-particle":"","parse-names":false,"suffix":""},{"dropping-particle":"","family":"Jia You","given":"Chu","non-dropping-particle":"","parse-names":false,"suffix":""},{"dropping-particle":"","family":"Peltonen","given":"Leena","non-dropping-particle":"","parse-names":false,"suffix":""},{"dropping-particle":"","family":"Garcia-Montero","given":"Andres","non-dropping-particle":"","parse-names":false,"suffix":""},{"dropping-particle":"","family":"Orfao","given":"Alberto","non-dropping-particle":"","parse-names":false,"suffix":""},{"dropping-particle":"","family":"Dutil","given":"Julie","non-dropping-particle":"","parse-names":false,"suffix":""},{"dropping-particle":"","family":"Martinez-Cruzado","given":"Juan C.","non-dropping-particle":"","parse-names":false,"suffix":""},{"dropping-particle":"","family":"Brooks","given":"Lisa D.","non-dropping-particle":"","parse-names":false,"suffix":""},{"dropping-particle":"","family":"Felsenfeld","given":"Adam L.","non-dropping-particle":"","parse-names":false,"suffix":""},{"dropping-particle":"","family":"McEwen","given":"Jean E.","non-dropping-particle":"","parse-names":false,"suffix":""},{"dropping-particle":"","family":"Clemm","given":"Nicholas C.","non-dropping-particle":"","parse-names":false,"suffix":""},{"dropping-particle":"","family":"Duncanson","given":"Audrey","non-dropping-particle":"","parse-names":false,"suffix":""},{"dropping-particle":"","family":"Dunn","given":"Michael","non-dropping-particle":"","parse-names":false,"suffix":""},{"dropping-particle":"","family":"Guyer","given":"Mark S.","non-dropping-particle":"","parse-names":false,"suffix":""},{"dropping-particle":"","family":"Peterson","given":"Jane L.","non-dropping-particle":"","parse-names":false,"suffix":""},{"dropping-particle":"","family":"Lacroute","given":"Phil","non-dropping-particle":"","parse-names":false,"suffix":""}],"container-title":"Nature","id":"ITEM-2","issued":{"date-parts":[["2012"]]},"page":"56-65","title":"An integrated map of genetic variation from 1,092 human genomes","type":"article-journal","volume":"491"},"uris":["http://www.mendeley.com/documents/?uuid=4cc0cc18-de0e-47ae-8f0c-e8ef74ea4937"]}],"mendeley":{"formattedCitation":"(Altshuler &lt;i&gt;et al.&lt;/i&gt;, 2012; Das &lt;i&gt;et al.&lt;/i&gt;, 2016)","plainTextFormattedCitation":"(Altshuler et al., 2012; Das et al., 2016)","previouslyFormattedCitation":"(Altshuler &lt;i&gt;et al.&lt;/i&gt;, 2012; Das &lt;i&gt;et al.&lt;/i&gt;, 2016)"},"properties":{"noteIndex":0},"schema":"https://github.com/citation-style-language/schema/raw/master/csl-citation.json"}</w:instrText>
      </w:r>
      <w:r w:rsidR="00FE63EE" w:rsidRPr="00A35149">
        <w:rPr>
          <w:rFonts w:asciiTheme="majorBidi" w:hAnsiTheme="majorBidi" w:cstheme="majorBidi"/>
          <w:color w:val="4472C4" w:themeColor="accent1"/>
        </w:rPr>
        <w:fldChar w:fldCharType="separate"/>
      </w:r>
      <w:r w:rsidR="00FE63EE" w:rsidRPr="00A35149">
        <w:rPr>
          <w:rFonts w:asciiTheme="majorBidi" w:hAnsiTheme="majorBidi" w:cstheme="majorBidi"/>
          <w:noProof/>
          <w:color w:val="4472C4" w:themeColor="accent1"/>
        </w:rPr>
        <w:t xml:space="preserve">(Altshuler </w:t>
      </w:r>
      <w:r w:rsidR="00FE63EE" w:rsidRPr="00A35149">
        <w:rPr>
          <w:rFonts w:asciiTheme="majorBidi" w:hAnsiTheme="majorBidi" w:cstheme="majorBidi"/>
          <w:i/>
          <w:noProof/>
          <w:color w:val="4472C4" w:themeColor="accent1"/>
        </w:rPr>
        <w:t>et al.</w:t>
      </w:r>
      <w:r w:rsidR="00FE63EE" w:rsidRPr="00A35149">
        <w:rPr>
          <w:rFonts w:asciiTheme="majorBidi" w:hAnsiTheme="majorBidi" w:cstheme="majorBidi"/>
          <w:noProof/>
          <w:color w:val="4472C4" w:themeColor="accent1"/>
        </w:rPr>
        <w:t xml:space="preserve">, 2012; Das </w:t>
      </w:r>
      <w:r w:rsidR="00FE63EE" w:rsidRPr="00A35149">
        <w:rPr>
          <w:rFonts w:asciiTheme="majorBidi" w:hAnsiTheme="majorBidi" w:cstheme="majorBidi"/>
          <w:i/>
          <w:noProof/>
          <w:color w:val="4472C4" w:themeColor="accent1"/>
        </w:rPr>
        <w:t>et al.</w:t>
      </w:r>
      <w:r w:rsidR="00FE63EE" w:rsidRPr="00A35149">
        <w:rPr>
          <w:rFonts w:asciiTheme="majorBidi" w:hAnsiTheme="majorBidi" w:cstheme="majorBidi"/>
          <w:noProof/>
          <w:color w:val="4472C4" w:themeColor="accent1"/>
        </w:rPr>
        <w:t>, 2016)</w:t>
      </w:r>
      <w:r w:rsidR="00FE63EE" w:rsidRPr="00A35149">
        <w:rPr>
          <w:rFonts w:asciiTheme="majorBidi" w:hAnsiTheme="majorBidi" w:cstheme="majorBidi"/>
          <w:color w:val="4472C4" w:themeColor="accent1"/>
        </w:rPr>
        <w:fldChar w:fldCharType="end"/>
      </w:r>
      <w:r w:rsidR="00FE63EE" w:rsidRPr="00A35149">
        <w:rPr>
          <w:rFonts w:asciiTheme="majorBidi" w:hAnsiTheme="majorBidi" w:cstheme="majorBidi"/>
        </w:rPr>
        <w:t>.</w:t>
      </w:r>
      <w:r w:rsidRPr="00A35149">
        <w:rPr>
          <w:rFonts w:asciiTheme="majorBidi" w:hAnsiTheme="majorBidi" w:cstheme="majorBidi"/>
        </w:rPr>
        <w:t xml:space="preserve"> The genomes of these individuals constitute a mosaic of geographically and genetically distinct ancestral populations, and local ancestry tools aim to identify the chromosomal boundaries associated with each ancestral population.</w:t>
      </w:r>
    </w:p>
    <w:p w14:paraId="6CBEABB3" w14:textId="77777777" w:rsidR="00CF43EB" w:rsidRPr="00A35149" w:rsidRDefault="00CF43EB" w:rsidP="000C3BB7">
      <w:pPr>
        <w:rPr>
          <w:rFonts w:asciiTheme="majorBidi" w:hAnsiTheme="majorBidi" w:cstheme="majorBidi"/>
        </w:rPr>
      </w:pPr>
    </w:p>
    <w:p w14:paraId="6B8608F0" w14:textId="1A1B582A" w:rsidR="00FF0312" w:rsidRPr="00A35149" w:rsidRDefault="00CF43EB" w:rsidP="00FF0312">
      <w:pPr>
        <w:rPr>
          <w:rFonts w:asciiTheme="majorBidi" w:hAnsiTheme="majorBidi" w:cstheme="majorBidi"/>
        </w:rPr>
      </w:pPr>
      <w:r w:rsidRPr="00A35149">
        <w:rPr>
          <w:rFonts w:asciiTheme="majorBidi" w:hAnsiTheme="majorBidi" w:cstheme="majorBidi"/>
          <w:bCs/>
        </w:rPr>
        <w:t xml:space="preserve">However, the promise of comparing to a standard reference simultaneously allows the methods to scale sufficiently and allows comparison across datasets. The key unsolved questions, above those for unlinked methods, are around value. </w:t>
      </w:r>
      <w:r w:rsidRPr="00A35149">
        <w:rPr>
          <w:rFonts w:asciiTheme="majorBidi" w:hAnsiTheme="majorBidi" w:cstheme="majorBidi"/>
        </w:rPr>
        <w:t xml:space="preserve">This approach generates extremely large datasets of ancestry information potentially at each SNP. Storing and exploiting such information is a considerable ongoing challenge. </w:t>
      </w:r>
      <w:r w:rsidRPr="00A35149">
        <w:rPr>
          <w:rFonts w:asciiTheme="majorBidi" w:hAnsiTheme="majorBidi" w:cstheme="majorBidi"/>
          <w:bCs/>
        </w:rPr>
        <w:t xml:space="preserve">Would a fine-scale representation of ancestry help understand the distribution of traits? Does it replace, or complement, the simpler approach of representing ancestry as a proportion of the genome? </w:t>
      </w:r>
    </w:p>
    <w:p w14:paraId="017DB1DF" w14:textId="6883EAE4" w:rsidR="00C922AC" w:rsidRPr="00A35149" w:rsidRDefault="00684EB4" w:rsidP="00347B1A">
      <w:pPr>
        <w:pStyle w:val="Heading1"/>
        <w:rPr>
          <w:rFonts w:asciiTheme="majorBidi" w:hAnsiTheme="majorBidi"/>
          <w:color w:val="4472C4" w:themeColor="accent1"/>
        </w:rPr>
      </w:pPr>
      <w:bookmarkStart w:id="3" w:name="_Ref38286821"/>
      <w:r w:rsidRPr="00A35149">
        <w:rPr>
          <w:rFonts w:asciiTheme="majorBidi" w:hAnsiTheme="majorBidi"/>
          <w:color w:val="4472C4" w:themeColor="accent1"/>
        </w:rPr>
        <w:t>USAGE</w:t>
      </w:r>
      <w:bookmarkEnd w:id="3"/>
    </w:p>
    <w:p w14:paraId="4AC9230A" w14:textId="77777777" w:rsidR="00A96FA7" w:rsidRPr="00A35149" w:rsidRDefault="00A96FA7">
      <w:pPr>
        <w:widowControl w:val="0"/>
        <w:rPr>
          <w:rFonts w:asciiTheme="majorBidi" w:hAnsiTheme="majorBidi" w:cstheme="majorBidi"/>
          <w:color w:val="4472C4" w:themeColor="accent1"/>
        </w:rPr>
      </w:pPr>
    </w:p>
    <w:p w14:paraId="0E018F03" w14:textId="5A6320D5" w:rsidR="00C922AC" w:rsidRPr="00A35149" w:rsidRDefault="003017D1" w:rsidP="002E1E3A">
      <w:pPr>
        <w:pStyle w:val="Heading3"/>
        <w:rPr>
          <w:rFonts w:asciiTheme="majorBidi" w:hAnsiTheme="majorBidi"/>
          <w:color w:val="4472C4" w:themeColor="accent1"/>
        </w:rPr>
      </w:pPr>
      <w:r w:rsidRPr="00A35149">
        <w:rPr>
          <w:rFonts w:asciiTheme="majorBidi" w:hAnsiTheme="majorBidi"/>
          <w:color w:val="4472C4" w:themeColor="accent1"/>
        </w:rPr>
        <w:t>Markers for Ancestry</w:t>
      </w:r>
    </w:p>
    <w:p w14:paraId="4057E126" w14:textId="77777777" w:rsidR="003E5653" w:rsidRPr="00A35149" w:rsidRDefault="003E5653" w:rsidP="00347B1A">
      <w:pPr>
        <w:widowControl w:val="0"/>
        <w:rPr>
          <w:rFonts w:asciiTheme="majorBidi" w:hAnsiTheme="majorBidi" w:cstheme="majorBidi"/>
        </w:rPr>
      </w:pPr>
    </w:p>
    <w:p w14:paraId="00000078" w14:textId="23C891A4" w:rsidR="007F6EEB" w:rsidRPr="00A35149" w:rsidRDefault="009E0A90" w:rsidP="00A02618">
      <w:pPr>
        <w:widowControl w:val="0"/>
        <w:ind w:firstLine="720"/>
        <w:rPr>
          <w:rFonts w:asciiTheme="majorBidi" w:hAnsiTheme="majorBidi" w:cstheme="majorBidi"/>
        </w:rPr>
      </w:pPr>
      <w:r w:rsidRPr="00A35149">
        <w:rPr>
          <w:rFonts w:asciiTheme="majorBidi" w:hAnsiTheme="majorBidi" w:cstheme="majorBidi"/>
        </w:rPr>
        <w:t>AIMs</w:t>
      </w:r>
      <w:r w:rsidR="0026635A" w:rsidRPr="00A35149">
        <w:rPr>
          <w:rFonts w:asciiTheme="majorBidi" w:hAnsiTheme="majorBidi" w:cstheme="majorBidi"/>
        </w:rPr>
        <w:t xml:space="preserve"> are </w:t>
      </w:r>
      <w:r w:rsidRPr="00A35149">
        <w:rPr>
          <w:rFonts w:asciiTheme="majorBidi" w:hAnsiTheme="majorBidi" w:cstheme="majorBidi"/>
        </w:rPr>
        <w:t>identif</w:t>
      </w:r>
      <w:r w:rsidR="0026635A" w:rsidRPr="00A35149">
        <w:rPr>
          <w:rFonts w:asciiTheme="majorBidi" w:hAnsiTheme="majorBidi" w:cstheme="majorBidi"/>
        </w:rPr>
        <w:t>ied</w:t>
      </w:r>
      <w:r w:rsidRPr="00A35149">
        <w:rPr>
          <w:rFonts w:asciiTheme="majorBidi" w:hAnsiTheme="majorBidi" w:cstheme="majorBidi"/>
        </w:rPr>
        <w:t xml:space="preserve"> by </w:t>
      </w:r>
      <w:r w:rsidR="0026635A" w:rsidRPr="00A35149">
        <w:rPr>
          <w:rFonts w:asciiTheme="majorBidi" w:hAnsiTheme="majorBidi" w:cstheme="majorBidi"/>
        </w:rPr>
        <w:t xml:space="preserve">finding </w:t>
      </w:r>
      <w:r w:rsidRPr="00A35149">
        <w:rPr>
          <w:rFonts w:asciiTheme="majorBidi" w:hAnsiTheme="majorBidi" w:cstheme="majorBidi"/>
        </w:rPr>
        <w:t xml:space="preserve">SNPs that are particularly associated with particular </w:t>
      </w:r>
      <w:r w:rsidR="00430C7C" w:rsidRPr="00A35149">
        <w:rPr>
          <w:rFonts w:asciiTheme="majorBidi" w:hAnsiTheme="majorBidi" w:cstheme="majorBidi"/>
        </w:rPr>
        <w:t>populations or geographic regions.</w:t>
      </w:r>
      <w:r w:rsidRPr="00A35149">
        <w:rPr>
          <w:rFonts w:asciiTheme="majorBidi" w:hAnsiTheme="majorBidi" w:cstheme="majorBidi"/>
        </w:rPr>
        <w:t xml:space="preserve"> </w:t>
      </w:r>
      <w:r w:rsidR="0026635A" w:rsidRPr="00A35149">
        <w:rPr>
          <w:rFonts w:asciiTheme="majorBidi" w:hAnsiTheme="majorBidi" w:cstheme="majorBidi"/>
        </w:rPr>
        <w:t>Although many sets of AIMs have been published</w:t>
      </w:r>
      <w:r w:rsidR="00FE63EE" w:rsidRPr="00A35149">
        <w:rPr>
          <w:rFonts w:asciiTheme="majorBidi" w:hAnsiTheme="majorBidi" w:cstheme="majorBidi"/>
        </w:rPr>
        <w:t xml:space="preserve"> </w:t>
      </w:r>
      <w:r w:rsidR="00FE63EE" w:rsidRPr="00A35149">
        <w:rPr>
          <w:rFonts w:asciiTheme="majorBidi" w:hAnsiTheme="majorBidi" w:cstheme="majorBidi"/>
          <w:color w:val="4472C4" w:themeColor="accent1"/>
        </w:rPr>
        <w:fldChar w:fldCharType="begin" w:fldLock="1"/>
      </w:r>
      <w:r w:rsidR="00E37331" w:rsidRPr="00A35149">
        <w:rPr>
          <w:rFonts w:asciiTheme="majorBidi" w:hAnsiTheme="majorBidi" w:cstheme="majorBidi"/>
          <w:color w:val="4472C4" w:themeColor="accent1"/>
        </w:rPr>
        <w:instrText>ADDIN CSL_CITATION {"citationItems":[{"id":"ITEM-1","itemData":{"DOI":"10.1093/gbe/evt066","ISSN":"17596653","abstract":"The Genographic Project is an international effort aimed at charting human migratory history. The project is nonprofit and nonmedical, and, through its Legacy Fund, supports locally led efforts to preserve indigenous and traditional cultures. Although the first phase of the project was focused on uniparentally inherited markers on the Y-chromosome and mitochondrial DNA (mtDNA), the current phase focuses on markers from across the entire genome to obtain a more complete understanding of human genetic variation. Although many commercial arrays exist for genome-wide single-nucleotide polymorphism (SNP) genotyping, they were designed for medical genetic studies and contain medically related markers that are inappropriate for global population genetic studies. GenoChip, the Genographic Project's new genotyping array, was designed to resolve these issues and enable higher resolution research into outstanding questions in genetic anthropology. The GenoChip includes ancestry informative markers obtained for over 450 human populations, an ancient human (Saqqaq), and two archaic hominins (Neanderthal and Denisovan) and was designed to identify all known Y-chromosome and mtDNA haplogroups. The chip was carefully vetted to avoid inclusion of medically relevant markers. To demonstrate its capabilities, we compared the FST distributions of GenoChip SNPs to those of two commercial arrays. Although all arrays yielded similarly shaped (inverse J) FST distributions, the GenoChip autosomal and X-chromosomal distributions had the highest mean FST, attesting to its ability to discern subpopulations. The chip performances are illustrated in a principal component analysis for 14 worldwide populations. In summary, the GenoChip is a dedicated genotyping platform for genetic anthropology. With an unprecedented number of approximately 12,000 Y-chromosomal and approximately 3,300 mtDNA SNPs and over 130,000 autosomal and X-chromosomal SNPs without any known health, medical, or phenotypic relevance, the GenoChip is a useful tool for genetic anthropology and population genetics. © The Author(s) 2013. Published by Oxford University Press on behalf of the Society for Molecular Biology and Evolution.","author":[{"dropping-particle":"","family":"Elhaik","given":"Eran","non-dropping-particle":"","parse-names":false,"suffix":""},{"dropping-particle":"","family":"Greenspan","given":"Elliott","non-dropping-particle":"","parse-names":false,"suffix":""},{"dropping-particle":"","family":"Staats","given":"Sean","non-dropping-particle":"","parse-names":false,"suffix":""},{"dropping-particle":"","family":"Krahn","given":"Thomas","non-dropping-particle":"","parse-names":false,"suffix":""},{"dropping-particle":"","family":"Tyler-Smith","given":"Chris","non-dropping-particle":"","parse-names":false,"suffix":""},{"dropping-particle":"","family":"Xue","given":"Yali","non-dropping-particle":"","parse-names":false,"suffix":""},{"dropping-particle":"","family":"Tofanelli","given":"Sergio","non-dropping-particle":"","parse-names":false,"suffix":""},{"dropping-particle":"","family":"Francalacci","given":"Paolo","non-dropping-particle":"","parse-names":false,"suffix":""},{"dropping-particle":"","family":"Cucca","given":"Francesco","non-dropping-particle":"","parse-names":false,"suffix":""},{"dropping-particle":"","family":"Pagani","given":"Luca","non-dropping-particle":"","parse-names":false,"suffix":""},{"dropping-particle":"","family":"Jin","given":"Li","non-dropping-particle":"","parse-names":false,"suffix":""},{"dropping-particle":"","family":"Li","given":"Hui","non-dropping-particle":"","parse-names":false,"suffix":""},{"dropping-particle":"","family":"Schurr","given":"Theodore G.","non-dropping-particle":"","parse-names":false,"suffix":""},{"dropping-particle":"","family":"Greenspan","given":"Bennett","non-dropping-particle":"","parse-names":false,"suffix":""},{"dropping-particle":"","family":"Spencer Wells","given":"R.","non-dropping-particle":"","parse-names":false,"suffix":""},{"dropping-particle":"","family":"Acosta","given":"Oscar","non-dropping-particle":"","parse-names":false,"suffix":""},{"dropping-particle":"","family":"Adhikarla","given":"Syama","non-dropping-particle":"","parse-names":false,"suffix":""},{"dropping-particle":"","family":"Adler","given":"Christina J.","non-dropping-particle":"","parse-names":false,"suffix":""},{"dropping-particle":"","family":"Balanovska","given":"Elena","non-dropping-particle":"","parse-names":false,"suffix":""},{"dropping-particle":"","family":"Balanovsky","given":"Oleg","non-dropping-particle":"","parse-names":false,"suffix":""},{"dropping-particle":"","family":"Bertranpetit","given":"Jaume","non-dropping-particle":"","parse-names":false,"suffix":""},{"dropping-particle":"","family":"Clarke","given":"Andrew C.","non-dropping-particle":"","parse-names":false,"suffix":""},{"dropping-particle":"","family":"Comas","given":"David","non-dropping-particle":"","parse-names":false,"suffix":""},{"dropping-particle":"","family":"Cooper","given":"Alan","non-dropping-particle":"","parse-names":false,"suffix":""},{"dropping-particle":"","family":"Dulik","given":"Matthew C.","non-dropping-particle":"","parse-names":false,"suffix":""},{"dropping-particle":"","family":"Gaieski","given":"Jill B.","non-dropping-particle":"","parse-names":false,"suffix":""},{"dropping-particle":"","family":"Ganesh Prasad","given":"Arun Kumar","non-dropping-particle":"","parse-names":false,"suffix":""},{"dropping-particle":"","family":"Haak","given":"Wolfgang","non-dropping-particle":"","parse-names":false,"suffix":""},{"dropping-particle":"","family":"Haber","given":"Marc","non-dropping-particle":"","parse-names":false,"suffix":""},{"dropping-particle":"","family":"Kaplan","given":"Matthew E.","non-dropping-particle":"","parse-names":false,"suffix":""},{"dropping-particle":"","family":"Lacerda","given":"Daniela R.","non-dropping-particle":"","parse-names":false,"suffix":""},{"dropping-particle":"","family":"Li","given":"Shilin","non-dropping-particle":"","parse-names":false,"suffix":""},{"dropping-particle":"","family":"Martinez-Cruz","given":"Begona","non-dropping-particle":"","parse-names":false,"suffix":""},{"dropping-particle":"","family":"Matisoo-Smith","given":"Elizabeth A.","non-dropping-particle":"","parse-names":false,"suffix":""},{"dropping-particle":"","family":"Merchant","given":"Nirav C.","non-dropping-particle":"","parse-names":false,"suffix":""},{"dropping-particle":"","family":"Mitchell","given":"John R.","non-dropping-particle":"","parse-names":false,"suffix":""},{"dropping-particle":"","family":"Owings","given":"Amanda C.","non-dropping-particle":"","parse-names":false,"suffix":""},{"dropping-particle":"","family":"Parida","given":"Laxmi","non-dropping-particle":"","parse-names":false,"suffix":""},{"dropping-particle":"","family":"Pitchappan","given":"Ramasamy","non-dropping-particle":"","parse-names":false,"suffix":""},{"dropping-particle":"","family":"Platt","given":"Daniel E.","non-dropping-particle":"","parse-names":false,"suffix":""},{"dropping-particle":"","family":"Quintana-Murci","given":"Lluis","non-dropping-particle":"","parse-names":false,"suffix":""},{"dropping-particle":"","family":"Renfrew","given":"Colin","non-dropping-particle":"","parse-names":false,"suffix":""},{"dropping-particle":"","family":"Royyuru","given":"A. K.","non-dropping-particle":"","parse-names":false,"suffix":""},{"dropping-particle":"","family":"Sandoval","given":"Jose Raul","non-dropping-particle":"","parse-names":false,"suffix":""},{"dropping-particle":"","family":"Santhakumari","given":"Arun Varatharajan","non-dropping-particle":"","parse-names":false,"suffix":""},{"dropping-particle":"","family":"Santos","given":"Fabrıcio R.","non-dropping-particle":"","parse-names":false,"suffix":""},{"dropping-particle":"","family":"Sarkissian","given":"Clio S.I.","non-dropping-particle":"Der","parse-names":false,"suffix":""},{"dropping-particle":"","family":"Soodyall","given":"Himla","non-dropping-particle":"","parse-names":false,"suffix":""},{"dropping-particle":"","family":"Soria Hernanz","given":"David F.","non-dropping-particle":"","parse-names":false,"suffix":""},{"dropping-particle":"","family":"Swamikrishnan","given":"Pandikumar","non-dropping-particle":"","parse-names":false,"suffix":""},{"dropping-particle":"","family":"Vieira","given":"Pedro Paulo","non-dropping-particle":"","parse-names":false,"suffix":""},{"dropping-particle":"","family":"Vilar","given":"Miguel G.","non-dropping-particle":"","parse-names":false,"suffix":""},{"dropping-particle":"","family":"Zalloua","given":"Pierre A.","non-dropping-particle":"","parse-names":false,"suffix":""},{"dropping-particle":"","family":"Ziegle","given":"Janet S.","non-dropping-particle":"","parse-names":false,"suffix":""}],"container-title":"Genome Biology and Evolution","id":"ITEM-1","issue":"5","issued":{"date-parts":[["2013"]]},"page":"1021-1031","title":"The GenoChip: A new tool for genetic anthropology","type":"article-journal","volume":"5"},"uris":["http://www.mendeley.com/documents/?uuid=da808163-c6a9-4104-9b28-1686a2ab507e"]}],"mendeley":{"formattedCitation":"(Elhaik &lt;i&gt;et al.&lt;/i&gt;, 2013)","plainTextFormattedCitation":"(Elhaik et al., 2013)","previouslyFormattedCitation":"(Elhaik &lt;i&gt;et al.&lt;/i&gt;, 2013)"},"properties":{"noteIndex":0},"schema":"https://github.com/citation-style-language/schema/raw/master/csl-citation.json"}</w:instrText>
      </w:r>
      <w:r w:rsidR="00FE63EE" w:rsidRPr="00A35149">
        <w:rPr>
          <w:rFonts w:asciiTheme="majorBidi" w:hAnsiTheme="majorBidi" w:cstheme="majorBidi"/>
          <w:color w:val="4472C4" w:themeColor="accent1"/>
        </w:rPr>
        <w:fldChar w:fldCharType="separate"/>
      </w:r>
      <w:r w:rsidR="00FE63EE" w:rsidRPr="00A35149">
        <w:rPr>
          <w:rFonts w:asciiTheme="majorBidi" w:hAnsiTheme="majorBidi" w:cstheme="majorBidi"/>
          <w:noProof/>
          <w:color w:val="4472C4" w:themeColor="accent1"/>
        </w:rPr>
        <w:t xml:space="preserve">(Elhaik </w:t>
      </w:r>
      <w:r w:rsidR="00FE63EE" w:rsidRPr="00A35149">
        <w:rPr>
          <w:rFonts w:asciiTheme="majorBidi" w:hAnsiTheme="majorBidi" w:cstheme="majorBidi"/>
          <w:i/>
          <w:noProof/>
          <w:color w:val="4472C4" w:themeColor="accent1"/>
        </w:rPr>
        <w:t>et al.</w:t>
      </w:r>
      <w:r w:rsidR="00FE63EE" w:rsidRPr="00A35149">
        <w:rPr>
          <w:rFonts w:asciiTheme="majorBidi" w:hAnsiTheme="majorBidi" w:cstheme="majorBidi"/>
          <w:noProof/>
          <w:color w:val="4472C4" w:themeColor="accent1"/>
        </w:rPr>
        <w:t>, 2013)</w:t>
      </w:r>
      <w:r w:rsidR="00FE63EE" w:rsidRPr="00A35149">
        <w:rPr>
          <w:rFonts w:asciiTheme="majorBidi" w:hAnsiTheme="majorBidi" w:cstheme="majorBidi"/>
          <w:color w:val="4472C4" w:themeColor="accent1"/>
        </w:rPr>
        <w:fldChar w:fldCharType="end"/>
      </w:r>
      <w:r w:rsidR="00FE63EE" w:rsidRPr="00A35149">
        <w:rPr>
          <w:rFonts w:asciiTheme="majorBidi" w:hAnsiTheme="majorBidi" w:cstheme="majorBidi"/>
        </w:rPr>
        <w:t>,</w:t>
      </w:r>
      <w:r w:rsidR="0026635A" w:rsidRPr="00A35149">
        <w:rPr>
          <w:rFonts w:asciiTheme="majorBidi" w:hAnsiTheme="majorBidi" w:cstheme="majorBidi"/>
        </w:rPr>
        <w:t xml:space="preserve"> they were obtained from a handful of populations and their specificity was not validated on other populations. To identify AIMs, it is critical to first assemble a worldwide panel of populations. The search for AIMs is typically performed </w:t>
      </w:r>
      <w:proofErr w:type="gramStart"/>
      <w:r w:rsidR="0026635A" w:rsidRPr="00A35149">
        <w:rPr>
          <w:rFonts w:asciiTheme="majorBidi" w:hAnsiTheme="majorBidi" w:cstheme="majorBidi"/>
        </w:rPr>
        <w:t>genome-wide</w:t>
      </w:r>
      <w:proofErr w:type="gramEnd"/>
      <w:r w:rsidR="0026635A" w:rsidRPr="00A35149">
        <w:rPr>
          <w:rFonts w:asciiTheme="majorBidi" w:hAnsiTheme="majorBidi" w:cstheme="majorBidi"/>
        </w:rPr>
        <w:t xml:space="preserve">. The putative AIMs should then be evaluated for their specificity and sensitivity in identifying a fine population structure, ideally </w:t>
      </w:r>
      <w:r w:rsidR="00A02618" w:rsidRPr="00A35149">
        <w:rPr>
          <w:rFonts w:asciiTheme="majorBidi" w:hAnsiTheme="majorBidi" w:cstheme="majorBidi"/>
        </w:rPr>
        <w:t xml:space="preserve">using </w:t>
      </w:r>
      <w:r w:rsidR="0026635A" w:rsidRPr="00A35149">
        <w:rPr>
          <w:rFonts w:asciiTheme="majorBidi" w:hAnsiTheme="majorBidi" w:cstheme="majorBidi"/>
        </w:rPr>
        <w:t>a different panel</w:t>
      </w:r>
      <w:r w:rsidR="00E37331" w:rsidRPr="00A35149">
        <w:rPr>
          <w:rFonts w:asciiTheme="majorBidi" w:hAnsiTheme="majorBidi" w:cstheme="majorBidi"/>
        </w:rPr>
        <w:t xml:space="preserve"> </w:t>
      </w:r>
      <w:r w:rsidR="00E37331" w:rsidRPr="00A35149">
        <w:rPr>
          <w:rFonts w:asciiTheme="majorBidi" w:hAnsiTheme="majorBidi" w:cstheme="majorBidi"/>
          <w:color w:val="4472C4" w:themeColor="accent1"/>
        </w:rPr>
        <w:fldChar w:fldCharType="begin" w:fldLock="1"/>
      </w:r>
      <w:r w:rsidR="00374E93" w:rsidRPr="00A35149">
        <w:rPr>
          <w:rFonts w:asciiTheme="majorBidi" w:hAnsiTheme="majorBidi" w:cstheme="majorBidi"/>
          <w:color w:val="4472C4" w:themeColor="accent1"/>
        </w:rPr>
        <w:instrText>ADDIN CSL_CITATION {"citationItems":[{"id":"ITEM-1","itemData":{"DOI":"10.3390/genes9120625","ISSN":"20734425","abstract":"The rapid accumulation of ancient human genomes from various areas and time periods potentially enables the expansion of studies of biodiversity, biogeography, forensics, population history, and epidemiology into past populations. However, most ancient DNA (aDNA) data were generated through microarrays designed for modern-day populations, which are known to misrepresent the population structure. Past studies addressed these problems by using ancestry informative markers (AIMs). It is, thereby, unclear whether AIMs derived from contemporary human genomes can capture ancient population structures, and whether AIM-finding methods are applicable to aDNA, provided that the high missingness rates in ancient—and oftentimes haploid— DNA can also distort the population structure. Here, we define ancient AIMs (aAIMs) and develop a framework to evaluate established and novel AIM-finding methods in identifying the most informative markers. We show that aAIMs identified by a novel principal component analysis (PCA)-based method outperform all of the competing methods in classifying ancient individuals into populations and identifying admixed individuals. In some cases, predictions made using the aAIMs were more accurate than those made with a complete marker set. We discuss the features of the ancient Eurasian population structure and strategies to identify aAIMs. This work informs the design of single nucleotide polymorphism (SNP) microarrays and the interpretation of aDNA results, which enables a population-wide testing of primordialist theories.","author":[{"dropping-particle":"","family":"Esposito","given":"Umberto","non-dropping-particle":"","parse-names":false,"suffix":""},{"dropping-particle":"","family":"Das","given":"Ranajit","non-dropping-particle":"","parse-names":false,"suffix":""},{"dropping-particle":"","family":"Syed","given":"Syakir","non-dropping-particle":"","parse-names":false,"suffix":""},{"dropping-particle":"","family":"Pirooznia","given":"Mehdi","non-dropping-particle":"","parse-names":false,"suffix":""},{"dropping-particle":"","family":"Elhaik","given":"Eran","non-dropping-particle":"","parse-names":false,"suffix":""}],"container-title":"Genes","id":"ITEM-1","issue":"12","issued":{"date-parts":[["2018"]]},"title":"Ancient ancestry informative markers for identifying fine-scale ancient population structure in eurasians","type":"article-journal","volume":"9"},"uris":["http://www.mendeley.com/documents/?uuid=fdda564a-8b10-4551-a2dc-e6862273f22f"]}],"mendeley":{"formattedCitation":"(Esposito &lt;i&gt;et al.&lt;/i&gt;, 2018)","plainTextFormattedCitation":"(Esposito et al., 2018)","previouslyFormattedCitation":"(Esposito &lt;i&gt;et al.&lt;/i&gt;, 2018)"},"properties":{"noteIndex":0},"schema":"https://github.com/citation-style-language/schema/raw/master/csl-citation.json"}</w:instrText>
      </w:r>
      <w:r w:rsidR="00E37331" w:rsidRPr="00A35149">
        <w:rPr>
          <w:rFonts w:asciiTheme="majorBidi" w:hAnsiTheme="majorBidi" w:cstheme="majorBidi"/>
          <w:color w:val="4472C4" w:themeColor="accent1"/>
        </w:rPr>
        <w:fldChar w:fldCharType="separate"/>
      </w:r>
      <w:r w:rsidR="00E37331" w:rsidRPr="00A35149">
        <w:rPr>
          <w:rFonts w:asciiTheme="majorBidi" w:hAnsiTheme="majorBidi" w:cstheme="majorBidi"/>
          <w:noProof/>
          <w:color w:val="4472C4" w:themeColor="accent1"/>
        </w:rPr>
        <w:t xml:space="preserve">(Esposito </w:t>
      </w:r>
      <w:r w:rsidR="00E37331" w:rsidRPr="00A35149">
        <w:rPr>
          <w:rFonts w:asciiTheme="majorBidi" w:hAnsiTheme="majorBidi" w:cstheme="majorBidi"/>
          <w:i/>
          <w:noProof/>
          <w:color w:val="4472C4" w:themeColor="accent1"/>
        </w:rPr>
        <w:t>et al.</w:t>
      </w:r>
      <w:r w:rsidR="00E37331" w:rsidRPr="00A35149">
        <w:rPr>
          <w:rFonts w:asciiTheme="majorBidi" w:hAnsiTheme="majorBidi" w:cstheme="majorBidi"/>
          <w:noProof/>
          <w:color w:val="4472C4" w:themeColor="accent1"/>
        </w:rPr>
        <w:t>, 2018)</w:t>
      </w:r>
      <w:r w:rsidR="00E37331" w:rsidRPr="00A35149">
        <w:rPr>
          <w:rFonts w:asciiTheme="majorBidi" w:hAnsiTheme="majorBidi" w:cstheme="majorBidi"/>
          <w:color w:val="4472C4" w:themeColor="accent1"/>
        </w:rPr>
        <w:fldChar w:fldCharType="end"/>
      </w:r>
      <w:r w:rsidR="00E37331" w:rsidRPr="00A35149">
        <w:rPr>
          <w:rFonts w:asciiTheme="majorBidi" w:hAnsiTheme="majorBidi" w:cstheme="majorBidi"/>
        </w:rPr>
        <w:t>.</w:t>
      </w:r>
      <w:r w:rsidR="00A02618" w:rsidRPr="00A35149">
        <w:rPr>
          <w:rFonts w:asciiTheme="majorBidi" w:hAnsiTheme="majorBidi" w:cstheme="majorBidi"/>
        </w:rPr>
        <w:t xml:space="preserve"> Finally,</w:t>
      </w:r>
      <w:r w:rsidR="00430C7C" w:rsidRPr="00A35149">
        <w:rPr>
          <w:rFonts w:asciiTheme="majorBidi" w:hAnsiTheme="majorBidi" w:cstheme="majorBidi"/>
        </w:rPr>
        <w:t xml:space="preserve"> global ancestry tools </w:t>
      </w:r>
      <w:r w:rsidR="00A02618" w:rsidRPr="00A35149">
        <w:rPr>
          <w:rFonts w:asciiTheme="majorBidi" w:hAnsiTheme="majorBidi" w:cstheme="majorBidi"/>
        </w:rPr>
        <w:t xml:space="preserve">can </w:t>
      </w:r>
      <w:r w:rsidR="001A1EA5" w:rsidRPr="00A35149">
        <w:rPr>
          <w:rFonts w:asciiTheme="majorBidi" w:hAnsiTheme="majorBidi" w:cstheme="majorBidi"/>
        </w:rPr>
        <w:t>average</w:t>
      </w:r>
      <w:r w:rsidR="00430C7C" w:rsidRPr="00A35149">
        <w:rPr>
          <w:rFonts w:asciiTheme="majorBidi" w:hAnsiTheme="majorBidi" w:cstheme="majorBidi"/>
        </w:rPr>
        <w:t xml:space="preserve"> the ancestry of each contributing population across the individual’s </w:t>
      </w:r>
      <w:r w:rsidR="00A02618" w:rsidRPr="00A35149">
        <w:rPr>
          <w:rFonts w:asciiTheme="majorBidi" w:hAnsiTheme="majorBidi" w:cstheme="majorBidi"/>
        </w:rPr>
        <w:t>AIMs</w:t>
      </w:r>
      <w:r w:rsidR="00430C7C" w:rsidRPr="00A35149">
        <w:rPr>
          <w:rFonts w:asciiTheme="majorBidi" w:hAnsiTheme="majorBidi" w:cstheme="majorBidi"/>
        </w:rPr>
        <w:t xml:space="preserve"> and report the average proportion contributed by each ancestral or parental population</w:t>
      </w:r>
      <w:r w:rsidR="009E2CB6" w:rsidRPr="00A35149">
        <w:rPr>
          <w:rFonts w:asciiTheme="majorBidi" w:hAnsiTheme="majorBidi" w:cstheme="majorBidi"/>
        </w:rPr>
        <w:t>.</w:t>
      </w:r>
      <w:r w:rsidR="00430C7C" w:rsidRPr="00A35149">
        <w:rPr>
          <w:rFonts w:asciiTheme="majorBidi" w:hAnsiTheme="majorBidi" w:cstheme="majorBidi"/>
        </w:rPr>
        <w:t xml:space="preserve"> </w:t>
      </w:r>
    </w:p>
    <w:p w14:paraId="0000007A" w14:textId="54E18DF3"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1AE08F7" w14:textId="60E29070" w:rsidR="00C922AC" w:rsidRPr="00A35149" w:rsidRDefault="003017D1" w:rsidP="002E1E3A">
      <w:pPr>
        <w:pStyle w:val="Heading3"/>
        <w:rPr>
          <w:rFonts w:asciiTheme="majorBidi" w:hAnsiTheme="majorBidi"/>
          <w:color w:val="4472C4" w:themeColor="accent1"/>
        </w:rPr>
      </w:pPr>
      <w:r w:rsidRPr="00A35149">
        <w:rPr>
          <w:rFonts w:asciiTheme="majorBidi" w:hAnsiTheme="majorBidi"/>
          <w:color w:val="4472C4" w:themeColor="accent1"/>
        </w:rPr>
        <w:t>Ancestry as a mixture</w:t>
      </w:r>
    </w:p>
    <w:p w14:paraId="2BD60F59" w14:textId="77777777" w:rsidR="00767117" w:rsidRPr="00A35149" w:rsidRDefault="00767117">
      <w:pPr>
        <w:widowControl w:val="0"/>
        <w:ind w:firstLine="720"/>
        <w:rPr>
          <w:rFonts w:asciiTheme="majorBidi" w:hAnsiTheme="majorBidi" w:cstheme="majorBidi"/>
          <w:i/>
        </w:rPr>
      </w:pPr>
    </w:p>
    <w:p w14:paraId="403A1DD2" w14:textId="0E9F9463" w:rsidR="00865345" w:rsidRPr="00A35149" w:rsidRDefault="00C922AC" w:rsidP="003017D1">
      <w:pPr>
        <w:widowControl w:val="0"/>
        <w:ind w:firstLine="720"/>
        <w:rPr>
          <w:rFonts w:asciiTheme="majorBidi" w:hAnsiTheme="majorBidi" w:cstheme="majorBidi"/>
        </w:rPr>
      </w:pPr>
      <w:r w:rsidRPr="00A35149">
        <w:rPr>
          <w:rFonts w:asciiTheme="majorBidi" w:hAnsiTheme="majorBidi" w:cstheme="majorBidi"/>
        </w:rPr>
        <w:t xml:space="preserve">Global genomic ancestry tools can be categorised as shown in </w:t>
      </w:r>
      <w:r w:rsidRPr="00A35149">
        <w:rPr>
          <w:rFonts w:asciiTheme="majorBidi" w:hAnsiTheme="majorBidi" w:cstheme="majorBidi"/>
          <w:color w:val="4472C4"/>
        </w:rPr>
        <w:t>(Figure S1) (Table S1)</w:t>
      </w:r>
      <w:r w:rsidRPr="00A35149">
        <w:rPr>
          <w:rFonts w:asciiTheme="majorBidi" w:hAnsiTheme="majorBidi" w:cstheme="majorBidi"/>
        </w:rPr>
        <w:t xml:space="preserve">.  </w:t>
      </w:r>
      <w:r w:rsidR="00334D34" w:rsidRPr="00A35149">
        <w:rPr>
          <w:rFonts w:asciiTheme="majorBidi" w:hAnsiTheme="majorBidi" w:cstheme="majorBidi"/>
        </w:rPr>
        <w:t xml:space="preserve">Whilst </w:t>
      </w:r>
      <w:r w:rsidR="00334D34" w:rsidRPr="00A35149">
        <w:rPr>
          <w:rFonts w:asciiTheme="majorBidi" w:hAnsiTheme="majorBidi" w:cstheme="majorBidi"/>
          <w:i/>
          <w:iCs/>
        </w:rPr>
        <w:t>STRUCTURE</w:t>
      </w:r>
      <w:r w:rsidR="00334D34" w:rsidRPr="00A35149">
        <w:rPr>
          <w:rFonts w:asciiTheme="majorBidi" w:hAnsiTheme="majorBidi" w:cstheme="majorBidi"/>
        </w:rPr>
        <w:t xml:space="preserve"> was initially the most popular approach, it </w:t>
      </w:r>
      <w:r w:rsidR="003017D1" w:rsidRPr="00A35149">
        <w:rPr>
          <w:rFonts w:asciiTheme="majorBidi" w:hAnsiTheme="majorBidi" w:cstheme="majorBidi"/>
        </w:rPr>
        <w:t xml:space="preserve">suffered from several disadvantages. First, its accuracy and reliability have been a source of concern </w:t>
      </w:r>
      <w:r w:rsidR="007D4A7E" w:rsidRPr="00A35149">
        <w:rPr>
          <w:rFonts w:asciiTheme="majorBidi" w:hAnsiTheme="majorBidi" w:cstheme="majorBidi"/>
          <w:color w:val="4472C4" w:themeColor="accent1"/>
        </w:rPr>
        <w:fldChar w:fldCharType="begin" w:fldLock="1"/>
      </w:r>
      <w:r w:rsidR="009E234A" w:rsidRPr="00A35149">
        <w:rPr>
          <w:rFonts w:asciiTheme="majorBidi" w:hAnsiTheme="majorBidi" w:cstheme="majorBidi"/>
          <w:color w:val="4472C4" w:themeColor="accent1"/>
        </w:rPr>
        <w:instrText>ADDIN CSL_CITATION {"citationItems":[{"id":"ITEM-1","itemData":{"DOI":"10.1038/hdy.2010.95","ISSN":"0018067X","abstract":"One of the primary goals of population genetics is to succinctly describe genetic relationships among populations, and the computer program STRUCTURE is one of the most frequently used tools for doing so. The mathematical model used by STRUCTURE was designed to sort individuals into Hardy-Weinberg populations, but the program is also frequently used to group individuals from a large number of populations into a small number of clusters that are supposed to represent the main genetic divisions within species. In this study, I used computer simulations to examine how well STRUCTURE accomplishes this latter task. Simulations of populations that had a simple hierarchical history of fragmentation showed that when there were relatively long divergence times within evolutionary lineages, the clusters created by STRUCTURE were frequently not consistent with the evolutionary history of the populations. These difficulties can be attributed to forcing STRUCTURE to place individuals into too few clusters. Simulations also showed that the clusters produced by STRUCTURE can be strongly influenced by variation in sample size. In some circumstances, STRUCTURE simply put all of the individuals from the largest sample in the same cluster. A reanalysis of human population structure suggests that the problems I identified with STRUCTURE in simulations may have obscured relationships among human populations-particularly genetic similarity between Europeans and some African populations. © 2011 Macmillan Publishers Limited All rights reserved.","author":[{"dropping-particle":"","family":"Kalinowski","given":"S. T.","non-dropping-particle":"","parse-names":false,"suffix":""}],"container-title":"Heredity","id":"ITEM-1","issue":"4","issued":{"date-parts":[["2011"]]},"page":"625-632","title":"The computer program STRUCTURE does not reliably identify the main genetic clusters within species: Simulations and implications for human population structure","type":"article-journal","volume":"106"},"uris":["http://www.mendeley.com/documents/?uuid=107c3687-f128-44ae-9e25-09c00bfa1ad6"]},{"id":"ITEM-2","itemData":{"DOI":"10.1038/s41437-017-0042-1","ISSN":"13652540","abstract":"Population genetic methods are widely used to retrace the introduction routes of invasive species. The unsupervised Bayesian clustering algorithm implemented in STRUCTURE is amongst the most frequently used of these methods, but its ability to provide reliable information about introduction routes has never been assessed. We simulated microsatellite datasets to evaluate the extent to which the results provided by STRUCTURE were misleading for the inference of introduction routes. We focused on an invasion scenario involving one native and two independently introduced populations, because it is the sole scenario that can be rejected when obtaining a particular clustering with a STRUCTURE analysis at K = 2 (two clusters). Results were classified as “misleading” or “non-misleading”. We investigated the influence of effective size, bottleneck severity and number of loci on the type and frequency of misleading results. We showed that misleading STRUCTURE results were obtained for 10% of all simulated datasets. Our results highlighted two categories of misleading output. The first occurs when the native population has a low level of diversity. In this case, the two introduced populations may be very similar, despite their independent introduction histories. The second category results from convergence issues in STRUCTURE for K = 2, with strong bottleneck severity and/or large numbers of loci resulting in high levels of differentiation between the three populations. Overall, the risk of being misled by STRUCTURE in the context of introduction routes inferences is moderate, but it is important to remain cautious when low genetic diversity or genuine multimodality between runs are involved.","author":[{"dropping-particle":"","family":"Lombaert","given":"Eric","non-dropping-particle":"","parse-names":false,"suffix":""},{"dropping-particle":"","family":"Guillemaud","given":"Thomas","non-dropping-particle":"","parse-names":false,"suffix":""},{"dropping-particle":"","family":"Deleury","given":"Emeline","non-dropping-particle":"","parse-names":false,"suffix":""}],"container-title":"Heredity","id":"ITEM-2","issue":"6","issued":{"date-parts":[["2018"]]},"page":"485-499","title":"Biases of STRUCTURE software when exploring introduction routes of invasive species","type":"article-journal","volume":"120"},"uris":["http://www.mendeley.com/documents/?uuid=342b1486-4a60-4a6d-b7f8-d37d5dea95ce"]}],"mendeley":{"formattedCitation":"(Kalinowski, 2011; Lombaert, Guillemaud and Deleury, 2018)","plainTextFormattedCitation":"(Kalinowski, 2011; Lombaert, Guillemaud and Deleury, 2018)","previouslyFormattedCitation":"(Kalinowski, 2011; Lombaert, Guillemaud and Deleury, 2018)"},"properties":{"noteIndex":0},"schema":"https://github.com/citation-style-language/schema/raw/master/csl-citation.json"}</w:instrText>
      </w:r>
      <w:r w:rsidR="007D4A7E" w:rsidRPr="00A35149">
        <w:rPr>
          <w:rFonts w:asciiTheme="majorBidi" w:hAnsiTheme="majorBidi" w:cstheme="majorBidi"/>
          <w:color w:val="4472C4" w:themeColor="accent1"/>
        </w:rPr>
        <w:fldChar w:fldCharType="separate"/>
      </w:r>
      <w:r w:rsidR="007D4A7E" w:rsidRPr="00A35149">
        <w:rPr>
          <w:rFonts w:asciiTheme="majorBidi" w:hAnsiTheme="majorBidi" w:cstheme="majorBidi"/>
          <w:noProof/>
          <w:color w:val="4472C4" w:themeColor="accent1"/>
        </w:rPr>
        <w:t>(Kalinowski, 2011; Lombaert, Guillemaud and Deleury, 2018)</w:t>
      </w:r>
      <w:r w:rsidR="007D4A7E" w:rsidRPr="00A35149">
        <w:rPr>
          <w:rFonts w:asciiTheme="majorBidi" w:hAnsiTheme="majorBidi" w:cstheme="majorBidi"/>
          <w:color w:val="4472C4" w:themeColor="accent1"/>
        </w:rPr>
        <w:fldChar w:fldCharType="end"/>
      </w:r>
      <w:r w:rsidR="007D4A7E" w:rsidRPr="00A35149">
        <w:rPr>
          <w:rFonts w:asciiTheme="majorBidi" w:hAnsiTheme="majorBidi" w:cstheme="majorBidi"/>
        </w:rPr>
        <w:t xml:space="preserve">. </w:t>
      </w:r>
      <w:r w:rsidR="003017D1" w:rsidRPr="00A35149">
        <w:rPr>
          <w:rFonts w:asciiTheme="majorBidi" w:hAnsiTheme="majorBidi" w:cstheme="majorBidi"/>
        </w:rPr>
        <w:t xml:space="preserve">When the diversity of the native population is low, </w:t>
      </w:r>
      <w:r w:rsidR="003017D1" w:rsidRPr="00A35149">
        <w:rPr>
          <w:rFonts w:asciiTheme="majorBidi" w:hAnsiTheme="majorBidi" w:cstheme="majorBidi"/>
          <w:i/>
        </w:rPr>
        <w:t>STRUCTURE</w:t>
      </w:r>
      <w:r w:rsidR="003017D1" w:rsidRPr="00A35149">
        <w:rPr>
          <w:rFonts w:asciiTheme="majorBidi" w:hAnsiTheme="majorBidi" w:cstheme="majorBidi"/>
        </w:rPr>
        <w:t xml:space="preserve"> was shown to produce particularly misleading results </w:t>
      </w:r>
      <w:r w:rsidR="003017D1" w:rsidRPr="00A35149">
        <w:rPr>
          <w:rFonts w:asciiTheme="majorBidi" w:hAnsiTheme="majorBidi" w:cstheme="majorBidi"/>
          <w:color w:val="4472C4" w:themeColor="accent1"/>
        </w:rPr>
        <w:fldChar w:fldCharType="begin" w:fldLock="1"/>
      </w:r>
      <w:r w:rsidR="003017D1" w:rsidRPr="00A35149">
        <w:rPr>
          <w:rFonts w:asciiTheme="majorBidi" w:hAnsiTheme="majorBidi" w:cstheme="majorBidi"/>
          <w:color w:val="4472C4" w:themeColor="accent1"/>
        </w:rPr>
        <w:instrText>ADDIN CSL_CITATION {"citationItems":[{"id":"ITEM-1","itemData":{"DOI":"10.1038/s41437-017-0042-1","ISSN":"13652540","abstract":"Population genetic methods are widely used to retrace the introduction routes of invasive species. The unsupervised Bayesian clustering algorithm implemented in STRUCTURE is amongst the most frequently used of these methods, but its ability to provide reliable information about introduction routes has never been assessed. We simulated microsatellite datasets to evaluate the extent to which the results provided by STRUCTURE were misleading for the inference of introduction routes. We focused on an invasion scenario involving one native and two independently introduced populations, because it is the sole scenario that can be rejected when obtaining a particular clustering with a STRUCTURE analysis at K = 2 (two clusters). Results were classified as “misleading” or “non-misleading”. We investigated the influence of effective size, bottleneck severity and number of loci on the type and frequency of misleading results. We showed that misleading STRUCTURE results were obtained for 10% of all simulated datasets. Our results highlighted two categories of misleading output. The first occurs when the native population has a low level of diversity. In this case, the two introduced populations may be very similar, despite their independent introduction histories. The second category results from convergence issues in STRUCTURE for K = 2, with strong bottleneck severity and/or large numbers of loci resulting in high levels of differentiation between the three populations. Overall, the risk of being misled by STRUCTURE in the context of introduction routes inferences is moderate, but it is important to remain cautious when low genetic diversity or genuine multimodality between runs are involved.","author":[{"dropping-particle":"","family":"Lombaert","given":"Eric","non-dropping-particle":"","parse-names":false,"suffix":""},{"dropping-particle":"","family":"Guillemaud","given":"Thomas","non-dropping-particle":"","parse-names":false,"suffix":""},{"dropping-particle":"","family":"Deleury","given":"Emeline","non-dropping-particle":"","parse-names":false,"suffix":""}],"container-title":"Heredity","id":"ITEM-1","issue":"6","issued":{"date-parts":[["2018"]]},"page":"485-499","title":"Biases of STRUCTURE software when exploring introduction routes of invasive species","type":"article-journal","volume":"120"},"uris":["http://www.mendeley.com/documents/?uuid=342b1486-4a60-4a6d-b7f8-d37d5dea95ce"]}],"mendeley":{"formattedCitation":"(Lombaert, Guillemaud and Deleury, 2018)","plainTextFormattedCitation":"(Lombaert, Guillemaud and Deleury, 2018)","previouslyFormattedCitation":"(Lombaert, Guillemaud and Deleury, 2018)"},"properties":{"noteIndex":0},"schema":"https://github.com/citation-style-language/schema/raw/master/csl-citation.json"}</w:instrText>
      </w:r>
      <w:r w:rsidR="003017D1" w:rsidRPr="00A35149">
        <w:rPr>
          <w:rFonts w:asciiTheme="majorBidi" w:hAnsiTheme="majorBidi" w:cstheme="majorBidi"/>
          <w:color w:val="4472C4" w:themeColor="accent1"/>
        </w:rPr>
        <w:fldChar w:fldCharType="separate"/>
      </w:r>
      <w:r w:rsidR="003017D1" w:rsidRPr="00A35149">
        <w:rPr>
          <w:rFonts w:asciiTheme="majorBidi" w:hAnsiTheme="majorBidi" w:cstheme="majorBidi"/>
          <w:noProof/>
          <w:color w:val="4472C4" w:themeColor="accent1"/>
        </w:rPr>
        <w:t>(Lombaert, Guillemaud and Deleury, 2018)</w:t>
      </w:r>
      <w:r w:rsidR="003017D1" w:rsidRPr="00A35149">
        <w:rPr>
          <w:rFonts w:asciiTheme="majorBidi" w:hAnsiTheme="majorBidi" w:cstheme="majorBidi"/>
          <w:color w:val="4472C4" w:themeColor="accent1"/>
        </w:rPr>
        <w:fldChar w:fldCharType="end"/>
      </w:r>
      <w:r w:rsidR="003017D1" w:rsidRPr="00A35149">
        <w:rPr>
          <w:rFonts w:asciiTheme="majorBidi" w:hAnsiTheme="majorBidi" w:cstheme="majorBidi"/>
          <w:color w:val="4472C4" w:themeColor="accent1"/>
        </w:rPr>
        <w:t xml:space="preserve">. </w:t>
      </w:r>
      <w:r w:rsidR="003017D1" w:rsidRPr="00A35149">
        <w:rPr>
          <w:rFonts w:asciiTheme="majorBidi" w:hAnsiTheme="majorBidi" w:cstheme="majorBidi"/>
        </w:rPr>
        <w:t xml:space="preserve">Finally, </w:t>
      </w:r>
      <w:r w:rsidR="003017D1" w:rsidRPr="00A35149">
        <w:rPr>
          <w:rFonts w:asciiTheme="majorBidi" w:hAnsiTheme="majorBidi" w:cstheme="majorBidi"/>
          <w:i/>
        </w:rPr>
        <w:t>STRUCTURE</w:t>
      </w:r>
      <w:r w:rsidR="003017D1" w:rsidRPr="00A35149">
        <w:rPr>
          <w:rFonts w:asciiTheme="majorBidi" w:hAnsiTheme="majorBidi" w:cstheme="majorBidi"/>
        </w:rPr>
        <w:t xml:space="preserve"> </w:t>
      </w:r>
      <w:r w:rsidR="00334D34" w:rsidRPr="00A35149">
        <w:rPr>
          <w:rFonts w:asciiTheme="majorBidi" w:hAnsiTheme="majorBidi" w:cstheme="majorBidi"/>
        </w:rPr>
        <w:t xml:space="preserve">is </w:t>
      </w:r>
      <w:r w:rsidR="003017D1" w:rsidRPr="00A35149">
        <w:rPr>
          <w:rFonts w:asciiTheme="majorBidi" w:hAnsiTheme="majorBidi" w:cstheme="majorBidi"/>
        </w:rPr>
        <w:t xml:space="preserve">a notoriously </w:t>
      </w:r>
      <w:r w:rsidR="00334D34" w:rsidRPr="00A35149">
        <w:rPr>
          <w:rFonts w:asciiTheme="majorBidi" w:hAnsiTheme="majorBidi" w:cstheme="majorBidi"/>
        </w:rPr>
        <w:t xml:space="preserve">slow </w:t>
      </w:r>
      <w:r w:rsidR="003017D1" w:rsidRPr="00A35149">
        <w:rPr>
          <w:rFonts w:asciiTheme="majorBidi" w:hAnsiTheme="majorBidi" w:cstheme="majorBidi"/>
        </w:rPr>
        <w:t xml:space="preserve">tool, which was soon </w:t>
      </w:r>
      <w:r w:rsidR="00334D34" w:rsidRPr="00A35149">
        <w:rPr>
          <w:rFonts w:asciiTheme="majorBidi" w:hAnsiTheme="majorBidi" w:cstheme="majorBidi"/>
        </w:rPr>
        <w:t>replaced by dramatically faster implementations.</w:t>
      </w:r>
    </w:p>
    <w:p w14:paraId="6682F228" w14:textId="77777777" w:rsidR="00E242D5" w:rsidRPr="00A35149" w:rsidRDefault="00E242D5" w:rsidP="00865345">
      <w:pPr>
        <w:widowControl w:val="0"/>
        <w:ind w:firstLine="720"/>
        <w:rPr>
          <w:rFonts w:asciiTheme="majorBidi" w:hAnsiTheme="majorBidi" w:cstheme="majorBidi"/>
        </w:rPr>
      </w:pPr>
    </w:p>
    <w:p w14:paraId="0000010A" w14:textId="40A229A1" w:rsidR="007F6EEB" w:rsidRPr="00A35149" w:rsidRDefault="00430C7C" w:rsidP="00325744">
      <w:pPr>
        <w:widowControl w:val="0"/>
        <w:ind w:firstLine="720"/>
        <w:rPr>
          <w:rFonts w:asciiTheme="majorBidi" w:hAnsiTheme="majorBidi" w:cstheme="majorBidi"/>
        </w:rPr>
      </w:pPr>
      <w:r w:rsidRPr="00A35149">
        <w:rPr>
          <w:rFonts w:asciiTheme="majorBidi" w:hAnsiTheme="majorBidi" w:cstheme="majorBidi"/>
        </w:rPr>
        <w:t xml:space="preserve"> </w:t>
      </w:r>
      <w:r w:rsidRPr="00A35149">
        <w:rPr>
          <w:rFonts w:asciiTheme="majorBidi" w:hAnsiTheme="majorBidi" w:cstheme="majorBidi"/>
          <w:i/>
        </w:rPr>
        <w:t>FRAPPE</w:t>
      </w:r>
      <w:r w:rsidRPr="00A35149">
        <w:rPr>
          <w:rFonts w:asciiTheme="majorBidi" w:hAnsiTheme="majorBidi" w:cstheme="majorBidi"/>
        </w:rPr>
        <w:t xml:space="preserve"> and </w:t>
      </w:r>
      <w:r w:rsidRPr="00A35149">
        <w:rPr>
          <w:rFonts w:asciiTheme="majorBidi" w:hAnsiTheme="majorBidi" w:cstheme="majorBidi"/>
          <w:i/>
        </w:rPr>
        <w:t>ADMIXTURE</w:t>
      </w:r>
      <w:r w:rsidRPr="00A35149">
        <w:rPr>
          <w:rFonts w:asciiTheme="majorBidi" w:hAnsiTheme="majorBidi" w:cstheme="majorBidi"/>
        </w:rPr>
        <w:t xml:space="preserve"> are based on a similar approach to </w:t>
      </w:r>
      <w:r w:rsidRPr="00A35149">
        <w:rPr>
          <w:rFonts w:asciiTheme="majorBidi" w:hAnsiTheme="majorBidi" w:cstheme="majorBidi"/>
          <w:i/>
        </w:rPr>
        <w:t>STRUCTURE</w:t>
      </w:r>
      <w:r w:rsidRPr="00A35149">
        <w:rPr>
          <w:rFonts w:asciiTheme="majorBidi" w:hAnsiTheme="majorBidi" w:cstheme="majorBidi"/>
        </w:rPr>
        <w:t xml:space="preserve">, but both use a maximum likelihood estimate approach to optimise the likelihood for allele frequencies and group memberships, using slightly different algorithms. By default, </w:t>
      </w:r>
      <w:r w:rsidRPr="00A35149">
        <w:rPr>
          <w:rFonts w:asciiTheme="majorBidi" w:hAnsiTheme="majorBidi" w:cstheme="majorBidi"/>
          <w:i/>
        </w:rPr>
        <w:t>ADMIXTURE</w:t>
      </w:r>
      <w:r w:rsidRPr="00A35149">
        <w:rPr>
          <w:rFonts w:asciiTheme="majorBidi" w:hAnsiTheme="majorBidi" w:cstheme="majorBidi"/>
        </w:rPr>
        <w:t xml:space="preserve"> uses a block relaxation algorithm that allows for fast convergence and highly accurate parameter estimates </w:t>
      </w:r>
      <w:r w:rsidR="00614AA1" w:rsidRPr="00A35149">
        <w:rPr>
          <w:rFonts w:asciiTheme="majorBidi" w:hAnsiTheme="majorBidi" w:cstheme="majorBidi"/>
          <w:color w:val="4472C4" w:themeColor="accent1"/>
        </w:rPr>
        <w:fldChar w:fldCharType="begin" w:fldLock="1"/>
      </w:r>
      <w:r w:rsidR="00614AA1" w:rsidRPr="00A35149">
        <w:rPr>
          <w:rFonts w:asciiTheme="majorBidi" w:hAnsiTheme="majorBidi" w:cstheme="majorBidi"/>
          <w:color w:val="4472C4" w:themeColor="accent1"/>
        </w:rPr>
        <w:instrText>ADDIN CSL_CITATION {"citationItems":[{"id":"ITEM-1","itemData":{"DOI":"10.1101/gr.094052.109","ISSN":"1549-5469","PMID":"19648217","abstract":"Population stratification has long been recognized as a confounding factor in genetic association studies. Estimated ancestries, derived from multi-locus genotype data, can be used to perform a statistical correction for population stratification. One popular technique for estimation of ancestry is the model-based approach embodied by the widely applied program structure. Another approach, implemented in the program EIGENSTRAT, relies on Principal Component Analysis rather than model-based estimation and does not directly deliver admixture fractions. EIGENSTRAT has gained in popularity in part owing to its remarkable speed in comparison to structure. We present a new algorithm and a program, ADMIXTURE, for model-based estimation of ancestry in unrelated individuals. ADMIXTURE adopts the likelihood model embedded in structure. However, ADMIXTURE runs considerably faster, solving problems in minutes that take structure hours. In many of our experiments, we have found that ADMIXTURE is almost as fast as EIGENSTRAT. The runtime improvements of ADMIXTURE rely on a fast block relaxation scheme using sequential quadratic programming for block updates, coupled with a novel quasi-Newton acceleration of convergence. Our algorithm also runs faster and with greater accuracy than the implementation of an Expectation-Maximization (EM) algorithm incorporated in the program FRAPPE. Our simulations show that ADMIXTURE's maximum likelihood estimates of the underlying admixture coefficients and ancestral allele frequencies are as accurate as structure's Bayesian estimates. On real-world data sets, ADMIXTURE's estimates are directly comparable to those from structure and EIGENSTRAT. Taken together, our results show that ADMIXTURE's computational speed opens up the possibility of using a much larger set of markers in model-based ancestry estimation and that its estimates are suitable for use in correcting for population stratification in association studies.","author":[{"dropping-particle":"","family":"Alexander","given":"David H","non-dropping-particle":"","parse-names":false,"suffix":""},{"dropping-particle":"","family":"Novembre","given":"John","non-dropping-particle":"","parse-names":false,"suffix":""},{"dropping-particle":"","family":"Lange","given":"Kenneth","non-dropping-particle":"","parse-names":false,"suffix":""}],"container-title":"Genome research","id":"ITEM-1","issue":"9","issued":{"date-parts":[["2009"]]},"page":"1655-1664","title":"Fast model-based estimation of ancestry in unrelated individuals.","type":"article-journal","volume":"19"},"uris":["http://www.mendeley.com/documents/?uuid=1d76a9b1-8fbb-4480-952c-0d0f4f00eaf0"]}],"mendeley":{"formattedCitation":"(Alexander, Novembre and Lange, 2009)","plainTextFormattedCitation":"(Alexander, Novembre and Lange, 2009)","previouslyFormattedCitation":"(Alexander, Novembre and Lange, 2009)"},"properties":{"noteIndex":0},"schema":"https://github.com/citation-style-language/schema/raw/master/csl-citation.json"}</w:instrText>
      </w:r>
      <w:r w:rsidR="00614AA1" w:rsidRPr="00A35149">
        <w:rPr>
          <w:rFonts w:asciiTheme="majorBidi" w:hAnsiTheme="majorBidi" w:cstheme="majorBidi"/>
          <w:color w:val="4472C4" w:themeColor="accent1"/>
        </w:rPr>
        <w:fldChar w:fldCharType="separate"/>
      </w:r>
      <w:r w:rsidR="00614AA1" w:rsidRPr="00A35149">
        <w:rPr>
          <w:rFonts w:asciiTheme="majorBidi" w:hAnsiTheme="majorBidi" w:cstheme="majorBidi"/>
          <w:noProof/>
          <w:color w:val="4472C4" w:themeColor="accent1"/>
        </w:rPr>
        <w:t>(Alexander, Novembre and Lange, 2009)</w:t>
      </w:r>
      <w:r w:rsidR="00614AA1" w:rsidRPr="00A35149">
        <w:rPr>
          <w:rFonts w:asciiTheme="majorBidi" w:hAnsiTheme="majorBidi" w:cstheme="majorBidi"/>
          <w:color w:val="4472C4" w:themeColor="accent1"/>
        </w:rPr>
        <w:fldChar w:fldCharType="end"/>
      </w:r>
      <w:r w:rsidR="00614AA1" w:rsidRPr="00A35149">
        <w:rPr>
          <w:rFonts w:asciiTheme="majorBidi" w:hAnsiTheme="majorBidi" w:cstheme="majorBidi"/>
        </w:rPr>
        <w:t xml:space="preserve"> </w:t>
      </w:r>
      <w:r w:rsidRPr="00A35149">
        <w:rPr>
          <w:rFonts w:asciiTheme="majorBidi" w:hAnsiTheme="majorBidi" w:cstheme="majorBidi"/>
        </w:rPr>
        <w:t xml:space="preserve">and has an optional Expectation-Maximisation (EM) algorithm. </w:t>
      </w:r>
      <w:r w:rsidRPr="00A35149">
        <w:rPr>
          <w:rFonts w:asciiTheme="majorBidi" w:hAnsiTheme="majorBidi" w:cstheme="majorBidi"/>
          <w:i/>
        </w:rPr>
        <w:t>FRAPPE</w:t>
      </w:r>
      <w:r w:rsidRPr="00A35149">
        <w:rPr>
          <w:rFonts w:asciiTheme="majorBidi" w:hAnsiTheme="majorBidi" w:cstheme="majorBidi"/>
        </w:rPr>
        <w:t xml:space="preserve"> uses solely the EM algorithm </w:t>
      </w:r>
      <w:r w:rsidR="00614AA1" w:rsidRPr="00A35149">
        <w:rPr>
          <w:rFonts w:asciiTheme="majorBidi" w:hAnsiTheme="majorBidi" w:cstheme="majorBidi"/>
          <w:color w:val="4472C4" w:themeColor="accent1"/>
        </w:rPr>
        <w:fldChar w:fldCharType="begin" w:fldLock="1"/>
      </w:r>
      <w:r w:rsidR="00614AA1" w:rsidRPr="00A35149">
        <w:rPr>
          <w:rFonts w:asciiTheme="majorBidi" w:hAnsiTheme="majorBidi" w:cstheme="majorBidi"/>
          <w:color w:val="4472C4" w:themeColor="accent1"/>
        </w:rPr>
        <w:instrText>ADDIN CSL_CITATION {"citationItems":[{"id":"ITEM-1","itemData":{"DOI":"10.1002/gepi.20064","ISSN":"07410395","abstract":"The genome of an admixed individual represents a mixture of alleles from different ancestries. In the United States, the two largest minority groups, African-Americans and Hispanics, are both admixed. An understanding of the admixture proportion at an individual level (individual admixture, or IA) is valuable for both population geneticists and epidemiologists who conduct case-control association studies in these groups. Here we present an extension of a previously described frequentist (maximum likelihood or ML) approach to estimate individual admixture that allows for uncertainty in ancestral allele frequencies. We compare this approach both to prior partial likelihood based methods as well as more recently described Bayesian MCMC methods. Our full ML method demonstrates increased robustness when compared to an existing partial ML approach. Simulations also suggest that this frequentist estimator achieves similar efficiency, measured by the mean squared error criterion, as Bayesian methods but requires just a fraction of the computational time to produce point estimates, allowing for extensive analysis (e.g., simulations) not possible by Bayesian methods. Our simulation results demonstrate that inclusion of ancestral populations or their surrogates in the analysis is required by any method of IA estimation to obtain reasonable results.","author":[{"dropping-particle":"","family":"Tang","given":"Hua","non-dropping-particle":"","parse-names":false,"suffix":""},{"dropping-particle":"","family":"Peng","given":"Jie","non-dropping-particle":"","parse-names":false,"suffix":""},{"dropping-particle":"","family":"Wang","given":"Pei","non-dropping-particle":"","parse-names":false,"suffix":""},{"dropping-particle":"","family":"Risch","given":"Neil J.","non-dropping-particle":"","parse-names":false,"suffix":""}],"container-title":"Genetic Epidemiology","id":"ITEM-1","issue":"4","issued":{"date-parts":[["2005"]]},"page":"289-301","title":"Estimation of individual admixture: Analytical and study design considerations","type":"article-journal","volume":"28"},"uris":["http://www.mendeley.com/documents/?uuid=49cf09aa-4dfe-4cd5-b870-b6be5a93d0a5"]}],"mendeley":{"formattedCitation":"(Tang &lt;i&gt;et al.&lt;/i&gt;, 2005)","plainTextFormattedCitation":"(Tang et al., 2005)","previouslyFormattedCitation":"(Tang &lt;i&gt;et al.&lt;/i&gt;, 2005)"},"properties":{"noteIndex":0},"schema":"https://github.com/citation-style-language/schema/raw/master/csl-citation.json"}</w:instrText>
      </w:r>
      <w:r w:rsidR="00614AA1" w:rsidRPr="00A35149">
        <w:rPr>
          <w:rFonts w:asciiTheme="majorBidi" w:hAnsiTheme="majorBidi" w:cstheme="majorBidi"/>
          <w:color w:val="4472C4" w:themeColor="accent1"/>
        </w:rPr>
        <w:fldChar w:fldCharType="separate"/>
      </w:r>
      <w:r w:rsidR="00614AA1" w:rsidRPr="00A35149">
        <w:rPr>
          <w:rFonts w:asciiTheme="majorBidi" w:hAnsiTheme="majorBidi" w:cstheme="majorBidi"/>
          <w:noProof/>
          <w:color w:val="4472C4" w:themeColor="accent1"/>
        </w:rPr>
        <w:t xml:space="preserve">(Tang </w:t>
      </w:r>
      <w:r w:rsidR="00614AA1" w:rsidRPr="00A35149">
        <w:rPr>
          <w:rFonts w:asciiTheme="majorBidi" w:hAnsiTheme="majorBidi" w:cstheme="majorBidi"/>
          <w:i/>
          <w:noProof/>
          <w:color w:val="4472C4" w:themeColor="accent1"/>
        </w:rPr>
        <w:t>et al.</w:t>
      </w:r>
      <w:r w:rsidR="00614AA1" w:rsidRPr="00A35149">
        <w:rPr>
          <w:rFonts w:asciiTheme="majorBidi" w:hAnsiTheme="majorBidi" w:cstheme="majorBidi"/>
          <w:noProof/>
          <w:color w:val="4472C4" w:themeColor="accent1"/>
        </w:rPr>
        <w:t>, 2005)</w:t>
      </w:r>
      <w:r w:rsidR="00614AA1" w:rsidRPr="00A35149">
        <w:rPr>
          <w:rFonts w:asciiTheme="majorBidi" w:hAnsiTheme="majorBidi" w:cstheme="majorBidi"/>
          <w:color w:val="4472C4" w:themeColor="accent1"/>
        </w:rPr>
        <w:fldChar w:fldCharType="end"/>
      </w:r>
      <w:r w:rsidR="00614AA1" w:rsidRPr="00A35149">
        <w:rPr>
          <w:rFonts w:asciiTheme="majorBidi" w:hAnsiTheme="majorBidi" w:cstheme="majorBidi"/>
        </w:rPr>
        <w:t xml:space="preserve">, </w:t>
      </w:r>
      <w:r w:rsidRPr="00A35149">
        <w:rPr>
          <w:rFonts w:asciiTheme="majorBidi" w:hAnsiTheme="majorBidi" w:cstheme="majorBidi"/>
        </w:rPr>
        <w:t>which optimise</w:t>
      </w:r>
      <w:r w:rsidR="00F83174" w:rsidRPr="00A35149">
        <w:rPr>
          <w:rFonts w:asciiTheme="majorBidi" w:hAnsiTheme="majorBidi" w:cstheme="majorBidi"/>
        </w:rPr>
        <w:t>s</w:t>
      </w:r>
      <w:r w:rsidRPr="00A35149">
        <w:rPr>
          <w:rFonts w:asciiTheme="majorBidi" w:hAnsiTheme="majorBidi" w:cstheme="majorBidi"/>
        </w:rPr>
        <w:t xml:space="preserve"> the likelihood for both allele frequencies and fractional group memberships </w:t>
      </w:r>
      <w:r w:rsidR="00614AA1" w:rsidRPr="00A35149">
        <w:rPr>
          <w:rFonts w:asciiTheme="majorBidi" w:hAnsiTheme="majorBidi" w:cstheme="majorBidi"/>
          <w:color w:val="4472C4" w:themeColor="accent1"/>
        </w:rPr>
        <w:fldChar w:fldCharType="begin" w:fldLock="1"/>
      </w:r>
      <w:r w:rsidR="00614AA1" w:rsidRPr="00A35149">
        <w:rPr>
          <w:rFonts w:asciiTheme="majorBidi" w:hAnsiTheme="majorBidi" w:cstheme="majorBidi"/>
          <w:color w:val="4472C4" w:themeColor="accent1"/>
        </w:rPr>
        <w:instrText>ADDIN CSL_CITATION {"citationItems":[{"id":"ITEM-1","itemData":{"DOI":"10.1002/gepi.20064","ISSN":"07410395","abstract":"The genome of an admixed individual represents a mixture of alleles from different ancestries. In the United States, the two largest minority groups, African-Americans and Hispanics, are both admixed. An understanding of the admixture proportion at an individual level (individual admixture, or IA) is valuable for both population geneticists and epidemiologists who conduct case-control association studies in these groups. Here we present an extension of a previously described frequentist (maximum likelihood or ML) approach to estimate individual admixture that allows for uncertainty in ancestral allele frequencies. We compare this approach both to prior partial likelihood based methods as well as more recently described Bayesian MCMC methods. Our full ML method demonstrates increased robustness when compared to an existing partial ML approach. Simulations also suggest that this frequentist estimator achieves similar efficiency, measured by the mean squared error criterion, as Bayesian methods but requires just a fraction of the computational time to produce point estimates, allowing for extensive analysis (e.g., simulations) not possible by Bayesian methods. Our simulation results demonstrate that inclusion of ancestral populations or their surrogates in the analysis is required by any method of IA estimation to obtain reasonable results.","author":[{"dropping-particle":"","family":"Tang","given":"Hua","non-dropping-particle":"","parse-names":false,"suffix":""},{"dropping-particle":"","family":"Peng","given":"Jie","non-dropping-particle":"","parse-names":false,"suffix":""},{"dropping-particle":"","family":"Wang","given":"Pei","non-dropping-particle":"","parse-names":false,"suffix":""},{"dropping-particle":"","family":"Risch","given":"Neil J.","non-dropping-particle":"","parse-names":false,"suffix":""}],"container-title":"Genetic Epidemiology","id":"ITEM-1","issue":"4","issued":{"date-parts":[["2005"]]},"page":"289-301","title":"Estimation of individual admixture: Analytical and study design considerations","type":"article-journal","volume":"28"},"uris":["http://www.mendeley.com/documents/?uuid=49cf09aa-4dfe-4cd5-b870-b6be5a93d0a5"]}],"mendeley":{"formattedCitation":"(Tang &lt;i&gt;et al.&lt;/i&gt;, 2005)","plainTextFormattedCitation":"(Tang et al., 2005)","previouslyFormattedCitation":"(Tang &lt;i&gt;et al.&lt;/i&gt;, 2005)"},"properties":{"noteIndex":0},"schema":"https://github.com/citation-style-language/schema/raw/master/csl-citation.json"}</w:instrText>
      </w:r>
      <w:r w:rsidR="00614AA1" w:rsidRPr="00A35149">
        <w:rPr>
          <w:rFonts w:asciiTheme="majorBidi" w:hAnsiTheme="majorBidi" w:cstheme="majorBidi"/>
          <w:color w:val="4472C4" w:themeColor="accent1"/>
        </w:rPr>
        <w:fldChar w:fldCharType="separate"/>
      </w:r>
      <w:r w:rsidR="00614AA1" w:rsidRPr="00A35149">
        <w:rPr>
          <w:rFonts w:asciiTheme="majorBidi" w:hAnsiTheme="majorBidi" w:cstheme="majorBidi"/>
          <w:noProof/>
          <w:color w:val="4472C4" w:themeColor="accent1"/>
        </w:rPr>
        <w:t xml:space="preserve">(Tang </w:t>
      </w:r>
      <w:r w:rsidR="00614AA1" w:rsidRPr="00A35149">
        <w:rPr>
          <w:rFonts w:asciiTheme="majorBidi" w:hAnsiTheme="majorBidi" w:cstheme="majorBidi"/>
          <w:i/>
          <w:noProof/>
          <w:color w:val="4472C4" w:themeColor="accent1"/>
        </w:rPr>
        <w:t>et al.</w:t>
      </w:r>
      <w:r w:rsidR="00614AA1" w:rsidRPr="00A35149">
        <w:rPr>
          <w:rFonts w:asciiTheme="majorBidi" w:hAnsiTheme="majorBidi" w:cstheme="majorBidi"/>
          <w:noProof/>
          <w:color w:val="4472C4" w:themeColor="accent1"/>
        </w:rPr>
        <w:t>, 2005)</w:t>
      </w:r>
      <w:r w:rsidR="00614AA1" w:rsidRPr="00A35149">
        <w:rPr>
          <w:rFonts w:asciiTheme="majorBidi" w:hAnsiTheme="majorBidi" w:cstheme="majorBidi"/>
          <w:color w:val="4472C4" w:themeColor="accent1"/>
        </w:rPr>
        <w:fldChar w:fldCharType="end"/>
      </w:r>
      <w:r w:rsidR="00614AA1" w:rsidRPr="00A35149">
        <w:rPr>
          <w:rFonts w:asciiTheme="majorBidi" w:hAnsiTheme="majorBidi" w:cstheme="majorBidi"/>
        </w:rPr>
        <w:t>.</w:t>
      </w:r>
      <w:r w:rsidR="00325744" w:rsidRPr="00A35149">
        <w:rPr>
          <w:rFonts w:asciiTheme="majorBidi" w:hAnsiTheme="majorBidi" w:cstheme="majorBidi"/>
        </w:rPr>
        <w:t xml:space="preserve"> </w:t>
      </w:r>
      <w:r w:rsidRPr="00A35149">
        <w:rPr>
          <w:rFonts w:asciiTheme="majorBidi" w:hAnsiTheme="majorBidi" w:cstheme="majorBidi"/>
          <w:i/>
        </w:rPr>
        <w:t>FRAPPE</w:t>
      </w:r>
      <w:r w:rsidRPr="00A35149">
        <w:rPr>
          <w:rFonts w:asciiTheme="majorBidi" w:hAnsiTheme="majorBidi" w:cstheme="majorBidi"/>
        </w:rPr>
        <w:t xml:space="preserve"> has been demonstrated to not only be much more computationally </w:t>
      </w:r>
      <w:r w:rsidRPr="00A35149">
        <w:rPr>
          <w:rFonts w:asciiTheme="majorBidi" w:hAnsiTheme="majorBidi" w:cstheme="majorBidi"/>
        </w:rPr>
        <w:lastRenderedPageBreak/>
        <w:t xml:space="preserve">efficient than </w:t>
      </w:r>
      <w:r w:rsidRPr="00A35149">
        <w:rPr>
          <w:rFonts w:asciiTheme="majorBidi" w:hAnsiTheme="majorBidi" w:cstheme="majorBidi"/>
          <w:i/>
        </w:rPr>
        <w:t>STRUCTURE</w:t>
      </w:r>
      <w:r w:rsidRPr="00A35149">
        <w:rPr>
          <w:rFonts w:asciiTheme="majorBidi" w:hAnsiTheme="majorBidi" w:cstheme="majorBidi"/>
        </w:rPr>
        <w:t xml:space="preserve">, but also to produce significantly fewer biased estimates </w:t>
      </w:r>
      <w:r w:rsidR="00614AA1" w:rsidRPr="00A35149">
        <w:rPr>
          <w:rFonts w:asciiTheme="majorBidi" w:hAnsiTheme="majorBidi" w:cstheme="majorBidi"/>
          <w:color w:val="4472C4" w:themeColor="accent1"/>
        </w:rPr>
        <w:fldChar w:fldCharType="begin" w:fldLock="1"/>
      </w:r>
      <w:r w:rsidR="00614AA1" w:rsidRPr="00A35149">
        <w:rPr>
          <w:rFonts w:asciiTheme="majorBidi" w:hAnsiTheme="majorBidi" w:cstheme="majorBidi"/>
          <w:color w:val="4472C4" w:themeColor="accent1"/>
        </w:rPr>
        <w:instrText>ADDIN CSL_CITATION {"citationItems":[{"id":"ITEM-1","itemData":{"DOI":"10.1002/gepi.20064","ISSN":"07410395","abstract":"The genome of an admixed individual represents a mixture of alleles from different ancestries. In the United States, the two largest minority groups, African-Americans and Hispanics, are both admixed. An understanding of the admixture proportion at an individual level (individual admixture, or IA) is valuable for both population geneticists and epidemiologists who conduct case-control association studies in these groups. Here we present an extension of a previously described frequentist (maximum likelihood or ML) approach to estimate individual admixture that allows for uncertainty in ancestral allele frequencies. We compare this approach both to prior partial likelihood based methods as well as more recently described Bayesian MCMC methods. Our full ML method demonstrates increased robustness when compared to an existing partial ML approach. Simulations also suggest that this frequentist estimator achieves similar efficiency, measured by the mean squared error criterion, as Bayesian methods but requires just a fraction of the computational time to produce point estimates, allowing for extensive analysis (e.g., simulations) not possible by Bayesian methods. Our simulation results demonstrate that inclusion of ancestral populations or their surrogates in the analysis is required by any method of IA estimation to obtain reasonable results.","author":[{"dropping-particle":"","family":"Tang","given":"Hua","non-dropping-particle":"","parse-names":false,"suffix":""},{"dropping-particle":"","family":"Peng","given":"Jie","non-dropping-particle":"","parse-names":false,"suffix":""},{"dropping-particle":"","family":"Wang","given":"Pei","non-dropping-particle":"","parse-names":false,"suffix":""},{"dropping-particle":"","family":"Risch","given":"Neil J.","non-dropping-particle":"","parse-names":false,"suffix":""}],"container-title":"Genetic Epidemiology","id":"ITEM-1","issue":"4","issued":{"date-parts":[["2005"]]},"page":"289-301","title":"Estimation of individual admixture: Analytical and study design considerations","type":"article-journal","volume":"28"},"uris":["http://www.mendeley.com/documents/?uuid=49cf09aa-4dfe-4cd5-b870-b6be5a93d0a5"]}],"mendeley":{"formattedCitation":"(Tang &lt;i&gt;et al.&lt;/i&gt;, 2005)","plainTextFormattedCitation":"(Tang et al., 2005)","previouslyFormattedCitation":"(Tang &lt;i&gt;et al.&lt;/i&gt;, 2005)"},"properties":{"noteIndex":0},"schema":"https://github.com/citation-style-language/schema/raw/master/csl-citation.json"}</w:instrText>
      </w:r>
      <w:r w:rsidR="00614AA1" w:rsidRPr="00A35149">
        <w:rPr>
          <w:rFonts w:asciiTheme="majorBidi" w:hAnsiTheme="majorBidi" w:cstheme="majorBidi"/>
          <w:color w:val="4472C4" w:themeColor="accent1"/>
        </w:rPr>
        <w:fldChar w:fldCharType="separate"/>
      </w:r>
      <w:r w:rsidR="00614AA1" w:rsidRPr="00A35149">
        <w:rPr>
          <w:rFonts w:asciiTheme="majorBidi" w:hAnsiTheme="majorBidi" w:cstheme="majorBidi"/>
          <w:noProof/>
          <w:color w:val="4472C4" w:themeColor="accent1"/>
        </w:rPr>
        <w:t xml:space="preserve">(Tang </w:t>
      </w:r>
      <w:r w:rsidR="00614AA1" w:rsidRPr="00A35149">
        <w:rPr>
          <w:rFonts w:asciiTheme="majorBidi" w:hAnsiTheme="majorBidi" w:cstheme="majorBidi"/>
          <w:i/>
          <w:noProof/>
          <w:color w:val="4472C4" w:themeColor="accent1"/>
        </w:rPr>
        <w:t>et al.</w:t>
      </w:r>
      <w:r w:rsidR="00614AA1" w:rsidRPr="00A35149">
        <w:rPr>
          <w:rFonts w:asciiTheme="majorBidi" w:hAnsiTheme="majorBidi" w:cstheme="majorBidi"/>
          <w:noProof/>
          <w:color w:val="4472C4" w:themeColor="accent1"/>
        </w:rPr>
        <w:t>, 2005)</w:t>
      </w:r>
      <w:r w:rsidR="00614AA1" w:rsidRPr="00A35149">
        <w:rPr>
          <w:rFonts w:asciiTheme="majorBidi" w:hAnsiTheme="majorBidi" w:cstheme="majorBidi"/>
          <w:color w:val="4472C4" w:themeColor="accent1"/>
        </w:rPr>
        <w:fldChar w:fldCharType="end"/>
      </w:r>
      <w:r w:rsidR="00614AA1" w:rsidRPr="00A35149">
        <w:rPr>
          <w:rFonts w:asciiTheme="majorBidi" w:hAnsiTheme="majorBidi" w:cstheme="majorBidi"/>
        </w:rPr>
        <w:t xml:space="preserve">. </w:t>
      </w:r>
      <w:r w:rsidRPr="00A35149">
        <w:rPr>
          <w:rFonts w:asciiTheme="majorBidi" w:hAnsiTheme="majorBidi" w:cstheme="majorBidi"/>
        </w:rPr>
        <w:t xml:space="preserve">However, due to its strict convergence criteria, </w:t>
      </w:r>
      <w:r w:rsidR="00325744" w:rsidRPr="00A35149">
        <w:rPr>
          <w:rFonts w:asciiTheme="majorBidi" w:hAnsiTheme="majorBidi" w:cstheme="majorBidi"/>
          <w:iCs/>
        </w:rPr>
        <w:t>its</w:t>
      </w:r>
      <w:r w:rsidR="00325744" w:rsidRPr="00A35149">
        <w:rPr>
          <w:rFonts w:asciiTheme="majorBidi" w:hAnsiTheme="majorBidi" w:cstheme="majorBidi"/>
          <w:i/>
        </w:rPr>
        <w:t xml:space="preserve"> </w:t>
      </w:r>
      <w:r w:rsidRPr="00A35149">
        <w:rPr>
          <w:rFonts w:asciiTheme="majorBidi" w:hAnsiTheme="majorBidi" w:cstheme="majorBidi"/>
        </w:rPr>
        <w:t xml:space="preserve">EM algorithm is computationally intensive and slower than </w:t>
      </w:r>
      <w:r w:rsidRPr="00A35149">
        <w:rPr>
          <w:rFonts w:asciiTheme="majorBidi" w:hAnsiTheme="majorBidi" w:cstheme="majorBidi"/>
          <w:i/>
        </w:rPr>
        <w:t>ADMIXTURE</w:t>
      </w:r>
      <w:r w:rsidR="00614AA1" w:rsidRPr="00A35149">
        <w:rPr>
          <w:rFonts w:asciiTheme="majorBidi" w:hAnsiTheme="majorBidi" w:cstheme="majorBidi"/>
          <w:i/>
        </w:rPr>
        <w:t xml:space="preserve"> </w:t>
      </w:r>
      <w:r w:rsidR="00614AA1" w:rsidRPr="00A35149">
        <w:rPr>
          <w:rFonts w:asciiTheme="majorBidi" w:hAnsiTheme="majorBidi" w:cstheme="majorBidi"/>
          <w:i/>
          <w:color w:val="4472C4" w:themeColor="accent1"/>
        </w:rPr>
        <w:fldChar w:fldCharType="begin" w:fldLock="1"/>
      </w:r>
      <w:r w:rsidR="00614AA1" w:rsidRPr="00A35149">
        <w:rPr>
          <w:rFonts w:asciiTheme="majorBidi" w:hAnsiTheme="majorBidi" w:cstheme="majorBidi"/>
          <w:i/>
          <w:color w:val="4472C4" w:themeColor="accent1"/>
        </w:rPr>
        <w:instrText>ADDIN CSL_CITATION {"citationItems":[{"id":"ITEM-1","itemData":{"DOI":"10.1101/gr.094052.109","ISSN":"1549-5469","PMID":"19648217","abstract":"Population stratification has long been recognized as a confounding factor in genetic association studies. Estimated ancestries, derived from multi-locus genotype data, can be used to perform a statistical correction for population stratification. One popular technique for estimation of ancestry is the model-based approach embodied by the widely applied program structure. Another approach, implemented in the program EIGENSTRAT, relies on Principal Component Analysis rather than model-based estimation and does not directly deliver admixture fractions. EIGENSTRAT has gained in popularity in part owing to its remarkable speed in comparison to structure. We present a new algorithm and a program, ADMIXTURE, for model-based estimation of ancestry in unrelated individuals. ADMIXTURE adopts the likelihood model embedded in structure. However, ADMIXTURE runs considerably faster, solving problems in minutes that take structure hours. In many of our experiments, we have found that ADMIXTURE is almost as fast as EIGENSTRAT. The runtime improvements of ADMIXTURE rely on a fast block relaxation scheme using sequential quadratic programming for block updates, coupled with a novel quasi-Newton acceleration of convergence. Our algorithm also runs faster and with greater accuracy than the implementation of an Expectation-Maximization (EM) algorithm incorporated in the program FRAPPE. Our simulations show that ADMIXTURE's maximum likelihood estimates of the underlying admixture coefficients and ancestral allele frequencies are as accurate as structure's Bayesian estimates. On real-world data sets, ADMIXTURE's estimates are directly comparable to those from structure and EIGENSTRAT. Taken together, our results show that ADMIXTURE's computational speed opens up the possibility of using a much larger set of markers in model-based ancestry estimation and that its estimates are suitable for use in correcting for population stratification in association studies.","author":[{"dropping-particle":"","family":"Alexander","given":"David H","non-dropping-particle":"","parse-names":false,"suffix":""},{"dropping-particle":"","family":"Novembre","given":"John","non-dropping-particle":"","parse-names":false,"suffix":""},{"dropping-particle":"","family":"Lange","given":"Kenneth","non-dropping-particle":"","parse-names":false,"suffix":""}],"container-title":"Genome research","id":"ITEM-1","issue":"9","issued":{"date-parts":[["2009"]]},"page":"1655-1664","title":"Fast model-based estimation of ancestry in unrelated individuals.","type":"article-journal","volume":"19"},"uris":["http://www.mendeley.com/documents/?uuid=1d76a9b1-8fbb-4480-952c-0d0f4f00eaf0"]}],"mendeley":{"formattedCitation":"(Alexander, Novembre and Lange, 2009)","plainTextFormattedCitation":"(Alexander, Novembre and Lange, 2009)","previouslyFormattedCitation":"(Alexander, Novembre and Lange, 2009)"},"properties":{"noteIndex":0},"schema":"https://github.com/citation-style-language/schema/raw/master/csl-citation.json"}</w:instrText>
      </w:r>
      <w:r w:rsidR="00614AA1" w:rsidRPr="00A35149">
        <w:rPr>
          <w:rFonts w:asciiTheme="majorBidi" w:hAnsiTheme="majorBidi" w:cstheme="majorBidi"/>
          <w:i/>
          <w:color w:val="4472C4" w:themeColor="accent1"/>
        </w:rPr>
        <w:fldChar w:fldCharType="separate"/>
      </w:r>
      <w:r w:rsidR="00614AA1" w:rsidRPr="00A35149">
        <w:rPr>
          <w:rFonts w:asciiTheme="majorBidi" w:hAnsiTheme="majorBidi" w:cstheme="majorBidi"/>
          <w:noProof/>
          <w:color w:val="4472C4" w:themeColor="accent1"/>
        </w:rPr>
        <w:t>(Alexander, Novembre and Lange, 2009)</w:t>
      </w:r>
      <w:r w:rsidR="00614AA1" w:rsidRPr="00A35149">
        <w:rPr>
          <w:rFonts w:asciiTheme="majorBidi" w:hAnsiTheme="majorBidi" w:cstheme="majorBidi"/>
          <w:i/>
          <w:color w:val="4472C4" w:themeColor="accent1"/>
        </w:rPr>
        <w:fldChar w:fldCharType="end"/>
      </w:r>
      <w:r w:rsidR="00325744" w:rsidRPr="00A35149">
        <w:rPr>
          <w:rFonts w:asciiTheme="majorBidi" w:hAnsiTheme="majorBidi" w:cstheme="majorBidi"/>
        </w:rPr>
        <w:t xml:space="preserve">, which </w:t>
      </w:r>
      <w:r w:rsidRPr="00A35149">
        <w:rPr>
          <w:rFonts w:asciiTheme="majorBidi" w:hAnsiTheme="majorBidi" w:cstheme="majorBidi"/>
        </w:rPr>
        <w:t xml:space="preserve">was reported to have a higher accuracy than </w:t>
      </w:r>
      <w:r w:rsidRPr="00A35149">
        <w:rPr>
          <w:rFonts w:asciiTheme="majorBidi" w:hAnsiTheme="majorBidi" w:cstheme="majorBidi"/>
          <w:i/>
        </w:rPr>
        <w:t>STRUCTURE</w:t>
      </w:r>
      <w:r w:rsidRPr="00A35149">
        <w:rPr>
          <w:rFonts w:asciiTheme="majorBidi" w:hAnsiTheme="majorBidi" w:cstheme="majorBidi"/>
        </w:rPr>
        <w:t xml:space="preserve"> and </w:t>
      </w:r>
      <w:r w:rsidRPr="00A35149">
        <w:rPr>
          <w:rFonts w:asciiTheme="majorBidi" w:hAnsiTheme="majorBidi" w:cstheme="majorBidi"/>
          <w:i/>
        </w:rPr>
        <w:t>FRAPPE</w:t>
      </w:r>
      <w:r w:rsidR="00E544DC" w:rsidRPr="00A35149">
        <w:rPr>
          <w:rFonts w:asciiTheme="majorBidi" w:hAnsiTheme="majorBidi" w:cstheme="majorBidi"/>
        </w:rPr>
        <w:t>.</w:t>
      </w:r>
      <w:r w:rsidRPr="00A35149">
        <w:rPr>
          <w:rFonts w:asciiTheme="majorBidi" w:hAnsiTheme="majorBidi" w:cstheme="majorBidi"/>
        </w:rPr>
        <w:t xml:space="preserve"> </w:t>
      </w:r>
    </w:p>
    <w:p w14:paraId="0000010B" w14:textId="44DFE0C8"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512941FF" w14:textId="04637DDF" w:rsidR="008A0253" w:rsidRPr="00A35149" w:rsidRDefault="008A0253" w:rsidP="008A0253">
      <w:pPr>
        <w:widowControl w:val="0"/>
        <w:ind w:firstLine="720"/>
        <w:rPr>
          <w:rFonts w:asciiTheme="majorBidi" w:hAnsiTheme="majorBidi" w:cstheme="majorBidi"/>
        </w:rPr>
      </w:pPr>
      <w:r w:rsidRPr="00A35149">
        <w:rPr>
          <w:rFonts w:asciiTheme="majorBidi" w:hAnsiTheme="majorBidi" w:cstheme="majorBidi"/>
        </w:rPr>
        <w:t xml:space="preserve">Spatial approaches, exemplified by </w:t>
      </w:r>
      <w:r w:rsidRPr="00A35149">
        <w:rPr>
          <w:rFonts w:asciiTheme="majorBidi" w:hAnsiTheme="majorBidi" w:cstheme="majorBidi"/>
          <w:i/>
        </w:rPr>
        <w:t>GENELAND</w:t>
      </w:r>
      <w:r w:rsidRPr="00A35149">
        <w:rPr>
          <w:rFonts w:asciiTheme="majorBidi" w:hAnsiTheme="majorBidi" w:cstheme="majorBidi"/>
        </w:rPr>
        <w:t xml:space="preserve"> </w:t>
      </w:r>
      <w:r w:rsidR="00614AA1" w:rsidRPr="00A35149">
        <w:rPr>
          <w:rFonts w:asciiTheme="majorBidi" w:hAnsiTheme="majorBidi" w:cstheme="majorBidi"/>
          <w:color w:val="4472C4"/>
        </w:rPr>
        <w:fldChar w:fldCharType="begin" w:fldLock="1"/>
      </w:r>
      <w:r w:rsidR="00614AA1" w:rsidRPr="00A35149">
        <w:rPr>
          <w:rFonts w:asciiTheme="majorBidi" w:hAnsiTheme="majorBidi" w:cstheme="majorBidi"/>
          <w:color w:val="4472C4"/>
        </w:rPr>
        <w:instrText>ADDIN CSL_CITATION {"citationItems":[{"id":"ITEM-1","itemData":{"DOI":"10.1111/j.1471-8286.2005.01031.x","ISSN":"14718278","abstract":"Geneland is a computer package that allows to make use of georeferenced individual multilocus genotypes for the inference of the number of populations and of the spatial loca-tion of genetic discontinuities between those populations. Main assumptions of the method are: (i) the number of populations is unknown and all values are considered a priori equally likely, (ii) populations are spread over areas given by a union of some polygons of unknown location in the spatial domain, (iii) Hardy–Weinberg equilibrium is assumed within each population and (iv) allele frequencies in each population are unknown and treated as random variable either following the so-called Dirichlet model or Falush model. Different algorithms implemented in Geneland to perform inferences are first briefly pre-sented. Then major running steps and outputs (i.e. histogram of number of populations and map of posterior probabilities of population membership) are illustrated from the analysis of a simulated data set, which was also produced by Geneland.","author":[{"dropping-particle":"","family":"Guillot","given":"Gilles","non-dropping-particle":"","parse-names":false,"suffix":""},{"dropping-particle":"","family":"Mortier","given":"Frédéric","non-dropping-particle":"","parse-names":false,"suffix":""},{"dropping-particle":"","family":"Estoup","given":"Arnaud","non-dropping-particle":"","parse-names":false,"suffix":""}],"container-title":"Molecular Ecology Notes","id":"ITEM-1","issue":"2","issued":{"date-parts":[["2005"]]},"page":"712-715","title":"GENELAND: A computer package for landscape genetics","type":"article-journal","volume":"5"},"uris":["http://www.mendeley.com/documents/?uuid=c1f79dfa-b8a1-4afb-9229-b99d35b5b0ba"]}],"mendeley":{"formattedCitation":"(Guillot, Mortier and Estoup, 2005)","plainTextFormattedCitation":"(Guillot, Mortier and Estoup, 2005)","previouslyFormattedCitation":"(Guillot, Mortier and Estoup, 2005)"},"properties":{"noteIndex":0},"schema":"https://github.com/citation-style-language/schema/raw/master/csl-citation.json"}</w:instrText>
      </w:r>
      <w:r w:rsidR="00614AA1" w:rsidRPr="00A35149">
        <w:rPr>
          <w:rFonts w:asciiTheme="majorBidi" w:hAnsiTheme="majorBidi" w:cstheme="majorBidi"/>
          <w:color w:val="4472C4"/>
        </w:rPr>
        <w:fldChar w:fldCharType="separate"/>
      </w:r>
      <w:r w:rsidR="00614AA1" w:rsidRPr="00A35149">
        <w:rPr>
          <w:rFonts w:asciiTheme="majorBidi" w:hAnsiTheme="majorBidi" w:cstheme="majorBidi"/>
          <w:noProof/>
          <w:color w:val="4472C4"/>
        </w:rPr>
        <w:t>(Guillot, Mortier and Estoup, 2005)</w:t>
      </w:r>
      <w:r w:rsidR="00614AA1" w:rsidRPr="00A35149">
        <w:rPr>
          <w:rFonts w:asciiTheme="majorBidi" w:hAnsiTheme="majorBidi" w:cstheme="majorBidi"/>
          <w:color w:val="4472C4"/>
        </w:rPr>
        <w:fldChar w:fldCharType="end"/>
      </w:r>
      <w:r w:rsidR="00614AA1" w:rsidRPr="00A35149">
        <w:rPr>
          <w:rFonts w:asciiTheme="majorBidi" w:hAnsiTheme="majorBidi" w:cstheme="majorBidi"/>
          <w:color w:val="4472C4"/>
        </w:rPr>
        <w:t xml:space="preserve">, </w:t>
      </w:r>
      <w:r w:rsidRPr="00A35149">
        <w:rPr>
          <w:rFonts w:asciiTheme="majorBidi" w:hAnsiTheme="majorBidi" w:cstheme="majorBidi"/>
          <w:i/>
        </w:rPr>
        <w:t>TESS</w:t>
      </w:r>
      <w:r w:rsidR="00614AA1" w:rsidRPr="00A35149">
        <w:rPr>
          <w:rFonts w:asciiTheme="majorBidi" w:hAnsiTheme="majorBidi" w:cstheme="majorBidi"/>
          <w:color w:val="4472C4"/>
        </w:rPr>
        <w:t xml:space="preserve"> </w:t>
      </w:r>
      <w:r w:rsidR="00614AA1" w:rsidRPr="00A35149">
        <w:rPr>
          <w:rFonts w:asciiTheme="majorBidi" w:hAnsiTheme="majorBidi" w:cstheme="majorBidi"/>
          <w:color w:val="4472C4"/>
        </w:rPr>
        <w:fldChar w:fldCharType="begin" w:fldLock="1"/>
      </w:r>
      <w:r w:rsidR="00614AA1" w:rsidRPr="00A35149">
        <w:rPr>
          <w:rFonts w:asciiTheme="majorBidi" w:hAnsiTheme="majorBidi" w:cstheme="majorBidi"/>
          <w:color w:val="4472C4"/>
        </w:rPr>
        <w:instrText>ADDIN CSL_CITATION {"citationItems":[{"id":"ITEM-1","itemData":{"DOI":"10.1093/molbev/msp106","ISSN":"07374038","abstract":"Genetic admixture of distinct gene pools is the consequence of complex spatiotemporal processes that could have involved massive migration and local mating during the history of a species. However, current methods for estimating individual admixture proportions lack the incorporation of such a piece of information. Here, we extend Bayesian clustering algorithms by including global trend surfaces and spatial autocorrelation in the prior distribution on individual admixture coefficients. We test our algorithm by using spatially explicit and realistic coalescent simulations of colonization followed by secondary contact. By coupling our multiscale spatial analyses with a Bayesian evaluation of model complexity and fit, we show that the algorithm provides a correct description of smooth clinal variation, while still detecting zones of sharp variation when they are present in the data. We also apply our approach to understand the population structure of the killifish, Fundulus heteroclitus, for which the algorithm uncovers a presumed contact zone in the Atlantic coast of North America.","author":[{"dropping-particle":"","family":"Durand","given":"Eric","non-dropping-particle":"","parse-names":false,"suffix":""},{"dropping-particle":"","family":"Jay","given":"Flora","non-dropping-particle":"","parse-names":false,"suffix":""},{"dropping-particle":"","family":"Gaggiotti","given":"Oscar E.","non-dropping-particle":"","parse-names":false,"suffix":""},{"dropping-particle":"","family":"François","given":"Olivier","non-dropping-particle":"","parse-names":false,"suffix":""}],"container-title":"Molecular Biology and Evolution","id":"ITEM-1","issue":"9","issued":{"date-parts":[["2009"]]},"page":"1963-1973","title":"Spatial inference of admixture proportions and secondary contact zones","type":"article-journal","volume":"26"},"uris":["http://www.mendeley.com/documents/?uuid=14bc70d1-d04b-4e31-b2ae-7049127c7b8c"]}],"mendeley":{"formattedCitation":"(Durand &lt;i&gt;et al.&lt;/i&gt;, 2009)","plainTextFormattedCitation":"(Durand et al., 2009)","previouslyFormattedCitation":"(Durand &lt;i&gt;et al.&lt;/i&gt;, 2009)"},"properties":{"noteIndex":0},"schema":"https://github.com/citation-style-language/schema/raw/master/csl-citation.json"}</w:instrText>
      </w:r>
      <w:r w:rsidR="00614AA1" w:rsidRPr="00A35149">
        <w:rPr>
          <w:rFonts w:asciiTheme="majorBidi" w:hAnsiTheme="majorBidi" w:cstheme="majorBidi"/>
          <w:color w:val="4472C4"/>
        </w:rPr>
        <w:fldChar w:fldCharType="separate"/>
      </w:r>
      <w:r w:rsidR="00614AA1" w:rsidRPr="00A35149">
        <w:rPr>
          <w:rFonts w:asciiTheme="majorBidi" w:hAnsiTheme="majorBidi" w:cstheme="majorBidi"/>
          <w:noProof/>
          <w:color w:val="4472C4"/>
        </w:rPr>
        <w:t xml:space="preserve">(Durand </w:t>
      </w:r>
      <w:r w:rsidR="00614AA1" w:rsidRPr="00A35149">
        <w:rPr>
          <w:rFonts w:asciiTheme="majorBidi" w:hAnsiTheme="majorBidi" w:cstheme="majorBidi"/>
          <w:i/>
          <w:noProof/>
          <w:color w:val="4472C4"/>
        </w:rPr>
        <w:t>et al.</w:t>
      </w:r>
      <w:r w:rsidR="00614AA1" w:rsidRPr="00A35149">
        <w:rPr>
          <w:rFonts w:asciiTheme="majorBidi" w:hAnsiTheme="majorBidi" w:cstheme="majorBidi"/>
          <w:noProof/>
          <w:color w:val="4472C4"/>
        </w:rPr>
        <w:t>, 2009)</w:t>
      </w:r>
      <w:r w:rsidR="00614AA1" w:rsidRPr="00A35149">
        <w:rPr>
          <w:rFonts w:asciiTheme="majorBidi" w:hAnsiTheme="majorBidi" w:cstheme="majorBidi"/>
          <w:color w:val="4472C4"/>
        </w:rPr>
        <w:fldChar w:fldCharType="end"/>
      </w:r>
      <w:r w:rsidRPr="00A35149">
        <w:rPr>
          <w:rFonts w:asciiTheme="majorBidi" w:hAnsiTheme="majorBidi" w:cstheme="majorBidi"/>
        </w:rPr>
        <w:t xml:space="preserve"> and </w:t>
      </w:r>
      <w:r w:rsidRPr="00A35149">
        <w:rPr>
          <w:rFonts w:asciiTheme="majorBidi" w:hAnsiTheme="majorBidi" w:cstheme="majorBidi"/>
          <w:i/>
        </w:rPr>
        <w:t>BAPS</w:t>
      </w:r>
      <w:r w:rsidRPr="00A35149">
        <w:rPr>
          <w:rFonts w:asciiTheme="majorBidi" w:hAnsiTheme="majorBidi" w:cstheme="majorBidi"/>
        </w:rPr>
        <w:t xml:space="preserve"> </w:t>
      </w:r>
      <w:r w:rsidR="00614AA1" w:rsidRPr="00A35149">
        <w:rPr>
          <w:rFonts w:asciiTheme="majorBidi" w:hAnsiTheme="majorBidi" w:cstheme="majorBidi"/>
          <w:color w:val="4472C4" w:themeColor="accent1"/>
        </w:rPr>
        <w:fldChar w:fldCharType="begin" w:fldLock="1"/>
      </w:r>
      <w:r w:rsidR="00614AA1" w:rsidRPr="00A35149">
        <w:rPr>
          <w:rFonts w:asciiTheme="majorBidi" w:hAnsiTheme="majorBidi" w:cstheme="majorBidi"/>
          <w:color w:val="4472C4" w:themeColor="accent1"/>
        </w:rPr>
        <w:instrText>ADDIN CSL_CITATION {"citationItems":[{"id":"ITEM-1","itemData":{"ISSN":"0016-6731","PMID":"12586722","abstract":"We introduce a Bayesian method for estimating hidden population substructure using multilocus molecular markers and geographical information provided by the sampling design. The joint posterior distribution of the substructure and allele frequencies of the respective populations is available in an analytical form when the number of populations is small, whereas an approximation based on a Markov chain Monte Carlo simulation approach can be obtained for a moderate or large number of populations. Using the joint posterior distribution, posteriors can also be derived for any evolutionary population parameters, such as the traditional fixation indices. A major advantage compared to most earlier methods is that the number of populations is treated here as an unknown parameter. What is traditionally considered as two genetically distinct populations, either recently founded or connected by considerable gene flow, is here considered as one panmictic population with a certain probability based on marker data and prior information. Analyses of previously published data on the Moroccan argan tree (Argania spinosa) and of simulated data sets suggest that our method is capable of estimating a population substructure, while not artificially enforcing a substructure when it does not exist. The software (BAPS) used for the computations is freely available from http://www.rni.helsinki.fi/~mjs.","author":[{"dropping-particle":"","family":"Corander","given":"Jukka","non-dropping-particle":"","parse-names":false,"suffix":""},{"dropping-particle":"","family":"Waldmann","given":"Patrik","non-dropping-particle":"","parse-names":false,"suffix":""},{"dropping-particle":"","family":"Sillanpää","given":"Mikko J","non-dropping-particle":"","parse-names":false,"suffix":""}],"container-title":"Genetics","id":"ITEM-1","issue":"1","issued":{"date-parts":[["2003"]]},"page":"367-374","title":"Bayesian analysis of genetic differentiation between populations.","type":"article-journal","volume":"163"},"uris":["http://www.mendeley.com/documents/?uuid=3c3619cd-9e5e-4b3e-88b0-630c86394068"]}],"mendeley":{"formattedCitation":"(Corander, Waldmann and Sillanpää, 2003)","plainTextFormattedCitation":"(Corander, Waldmann and Sillanpää, 2003)","previouslyFormattedCitation":"(Corander, Waldmann and Sillanpää, 2003)"},"properties":{"noteIndex":0},"schema":"https://github.com/citation-style-language/schema/raw/master/csl-citation.json"}</w:instrText>
      </w:r>
      <w:r w:rsidR="00614AA1" w:rsidRPr="00A35149">
        <w:rPr>
          <w:rFonts w:asciiTheme="majorBidi" w:hAnsiTheme="majorBidi" w:cstheme="majorBidi"/>
          <w:color w:val="4472C4" w:themeColor="accent1"/>
        </w:rPr>
        <w:fldChar w:fldCharType="separate"/>
      </w:r>
      <w:r w:rsidR="00614AA1" w:rsidRPr="00A35149">
        <w:rPr>
          <w:rFonts w:asciiTheme="majorBidi" w:hAnsiTheme="majorBidi" w:cstheme="majorBidi"/>
          <w:noProof/>
          <w:color w:val="4472C4" w:themeColor="accent1"/>
        </w:rPr>
        <w:t>(Corander, Waldmann and Sillanpää, 2003)</w:t>
      </w:r>
      <w:r w:rsidR="00614AA1" w:rsidRPr="00A35149">
        <w:rPr>
          <w:rFonts w:asciiTheme="majorBidi" w:hAnsiTheme="majorBidi" w:cstheme="majorBidi"/>
          <w:color w:val="4472C4" w:themeColor="accent1"/>
        </w:rPr>
        <w:fldChar w:fldCharType="end"/>
      </w:r>
      <w:r w:rsidRPr="00A35149">
        <w:rPr>
          <w:rFonts w:asciiTheme="majorBidi" w:hAnsiTheme="majorBidi" w:cstheme="majorBidi"/>
        </w:rPr>
        <w:t xml:space="preserve"> are conceptually similar to STRUCTURE, but consider geographical coordinates in their prior distributions, allowing identification of the spatial location of genetic variants between populations. Therefore, these software do not only group individuals genetically into clusters, but are also able to estimate the spatial distribution of these cluster</w:t>
      </w:r>
      <w:r w:rsidR="00614AA1" w:rsidRPr="00A35149">
        <w:rPr>
          <w:rFonts w:asciiTheme="majorBidi" w:hAnsiTheme="majorBidi" w:cstheme="majorBidi"/>
        </w:rPr>
        <w:t>s</w:t>
      </w:r>
      <w:r w:rsidR="00614AA1" w:rsidRPr="00A35149">
        <w:rPr>
          <w:rFonts w:asciiTheme="majorBidi" w:hAnsiTheme="majorBidi" w:cstheme="majorBidi"/>
          <w:color w:val="4472C4"/>
        </w:rPr>
        <w:t xml:space="preserve"> </w:t>
      </w:r>
      <w:r w:rsidR="00614AA1" w:rsidRPr="00A35149">
        <w:rPr>
          <w:rFonts w:asciiTheme="majorBidi" w:hAnsiTheme="majorBidi" w:cstheme="majorBidi"/>
          <w:color w:val="4472C4"/>
        </w:rPr>
        <w:fldChar w:fldCharType="begin" w:fldLock="1"/>
      </w:r>
      <w:r w:rsidR="00614AA1" w:rsidRPr="00A35149">
        <w:rPr>
          <w:rFonts w:asciiTheme="majorBidi" w:hAnsiTheme="majorBidi" w:cstheme="majorBidi"/>
          <w:color w:val="4472C4"/>
        </w:rPr>
        <w:instrText>ADDIN CSL_CITATION {"citationItems":[{"id":"ITEM-1","itemData":{"ISSN":"0016-6731","PMID":"12586722","abstract":"We introduce a Bayesian method for estimating hidden population substructure using multilocus molecular markers and geographical information provided by the sampling design. The joint posterior distribution of the substructure and allele frequencies of the respective populations is available in an analytical form when the number of populations is small, whereas an approximation based on a Markov chain Monte Carlo simulation approach can be obtained for a moderate or large number of populations. Using the joint posterior distribution, posteriors can also be derived for any evolutionary population parameters, such as the traditional fixation indices. A major advantage compared to most earlier methods is that the number of populations is treated here as an unknown parameter. What is traditionally considered as two genetically distinct populations, either recently founded or connected by considerable gene flow, is here considered as one panmictic population with a certain probability based on marker data and prior information. Analyses of previously published data on the Moroccan argan tree (Argania spinosa) and of simulated data sets suggest that our method is capable of estimating a population substructure, while not artificially enforcing a substructure when it does not exist. The software (BAPS) used for the computations is freely available from http://www.rni.helsinki.fi/~mjs.","author":[{"dropping-particle":"","family":"Corander","given":"Jukka","non-dropping-particle":"","parse-names":false,"suffix":""},{"dropping-particle":"","family":"Waldmann","given":"Patrik","non-dropping-particle":"","parse-names":false,"suffix":""},{"dropping-particle":"","family":"Sillanpää","given":"Mikko J","non-dropping-particle":"","parse-names":false,"suffix":""}],"container-title":"Genetics","id":"ITEM-1","issue":"1","issued":{"date-parts":[["2003"]]},"page":"367-374","title":"Bayesian analysis of genetic differentiation between populations.","type":"article-journal","volume":"163"},"uris":["http://www.mendeley.com/documents/?uuid=3c3619cd-9e5e-4b3e-88b0-630c86394068"]},{"id":"ITEM-2","itemData":{"DOI":"10.1111/j.1471-8286.2005.01031.x","ISSN":"14718278","abstract":"Geneland is a computer package that allows to make use of georeferenced individual multilocus genotypes for the inference of the number of populations and of the spatial loca-tion of genetic discontinuities between those populations. Main assumptions of the method are: (i) the number of populations is unknown and all values are considered a priori equally likely, (ii) populations are spread over areas given by a union of some polygons of unknown location in the spatial domain, (iii) Hardy–Weinberg equilibrium is assumed within each population and (iv) allele frequencies in each population are unknown and treated as random variable either following the so-called Dirichlet model or Falush model. Different algorithms implemented in Geneland to perform inferences are first briefly pre-sented. Then major running steps and outputs (i.e. histogram of number of populations and map of posterior probabilities of population membership) are illustrated from the analysis of a simulated data set, which was also produced by Geneland.","author":[{"dropping-particle":"","family":"Guillot","given":"Gilles","non-dropping-particle":"","parse-names":false,"suffix":""},{"dropping-particle":"","family":"Mortier","given":"Frédéric","non-dropping-particle":"","parse-names":false,"suffix":""},{"dropping-particle":"","family":"Estoup","given":"Arnaud","non-dropping-particle":"","parse-names":false,"suffix":""}],"container-title":"Molecular Ecology Notes","id":"ITEM-2","issue":"2","issued":{"date-parts":[["2005"]]},"page":"712-715","title":"GENELAND: A computer package for landscape genetics","type":"article-journal","volume":"5"},"uris":["http://www.mendeley.com/documents/?uuid=c1f79dfa-b8a1-4afb-9229-b99d35b5b0ba"]},{"id":"ITEM-3","itemData":{"DOI":"10.1093/molbev/msp106","ISSN":"07374038","abstract":"Genetic admixture of distinct gene pools is the consequence of complex spatiotemporal processes that could have involved massive migration and local mating during the history of a species. However, current methods for estimating individual admixture proportions lack the incorporation of such a piece of information. Here, we extend Bayesian clustering algorithms by including global trend surfaces and spatial autocorrelation in the prior distribution on individual admixture coefficients. We test our algorithm by using spatially explicit and realistic coalescent simulations of colonization followed by secondary contact. By coupling our multiscale spatial analyses with a Bayesian evaluation of model complexity and fit, we show that the algorithm provides a correct description of smooth clinal variation, while still detecting zones of sharp variation when they are present in the data. We also apply our approach to understand the population structure of the killifish, Fundulus heteroclitus, for which the algorithm uncovers a presumed contact zone in the Atlantic coast of North America.","author":[{"dropping-particle":"","family":"Durand","given":"Eric","non-dropping-particle":"","parse-names":false,"suffix":""},{"dropping-particle":"","family":"Jay","given":"Flora","non-dropping-particle":"","parse-names":false,"suffix":""},{"dropping-particle":"","family":"Gaggiotti","given":"Oscar E.","non-dropping-particle":"","parse-names":false,"suffix":""},{"dropping-particle":"","family":"François","given":"Olivier","non-dropping-particle":"","parse-names":false,"suffix":""}],"container-title":"Molecular Biology and Evolution","id":"ITEM-3","issue":"9","issued":{"date-parts":[["2009"]]},"page":"1963-1973","title":"Spatial inference of admixture proportions and secondary contact zones","type":"article-journal","volume":"26"},"uris":["http://www.mendeley.com/documents/?uuid=14bc70d1-d04b-4e31-b2ae-7049127c7b8c"]}],"mendeley":{"formattedCitation":"(Corander, Waldmann and Sillanpää, 2003; Guillot, Mortier and Estoup, 2005; Durand &lt;i&gt;et al.&lt;/i&gt;, 2009)","plainTextFormattedCitation":"(Corander, Waldmann and Sillanpää, 2003; Guillot, Mortier and Estoup, 2005; Durand et al., 2009)","previouslyFormattedCitation":"(Corander, Waldmann and Sillanpää, 2003; Guillot, Mortier and Estoup, 2005; Durand &lt;i&gt;et al.&lt;/i&gt;, 2009)"},"properties":{"noteIndex":0},"schema":"https://github.com/citation-style-language/schema/raw/master/csl-citation.json"}</w:instrText>
      </w:r>
      <w:r w:rsidR="00614AA1" w:rsidRPr="00A35149">
        <w:rPr>
          <w:rFonts w:asciiTheme="majorBidi" w:hAnsiTheme="majorBidi" w:cstheme="majorBidi"/>
          <w:color w:val="4472C4"/>
        </w:rPr>
        <w:fldChar w:fldCharType="separate"/>
      </w:r>
      <w:r w:rsidR="00614AA1" w:rsidRPr="00A35149">
        <w:rPr>
          <w:rFonts w:asciiTheme="majorBidi" w:hAnsiTheme="majorBidi" w:cstheme="majorBidi"/>
          <w:noProof/>
          <w:color w:val="4472C4"/>
        </w:rPr>
        <w:t xml:space="preserve">(Corander, Waldmann and Sillanpää, 2003; Guillot, Mortier and Estoup, 2005; Durand </w:t>
      </w:r>
      <w:r w:rsidR="00614AA1" w:rsidRPr="00A35149">
        <w:rPr>
          <w:rFonts w:asciiTheme="majorBidi" w:hAnsiTheme="majorBidi" w:cstheme="majorBidi"/>
          <w:i/>
          <w:noProof/>
          <w:color w:val="4472C4"/>
        </w:rPr>
        <w:t>et al.</w:t>
      </w:r>
      <w:r w:rsidR="00614AA1" w:rsidRPr="00A35149">
        <w:rPr>
          <w:rFonts w:asciiTheme="majorBidi" w:hAnsiTheme="majorBidi" w:cstheme="majorBidi"/>
          <w:noProof/>
          <w:color w:val="4472C4"/>
        </w:rPr>
        <w:t>, 2009)</w:t>
      </w:r>
      <w:r w:rsidR="00614AA1" w:rsidRPr="00A35149">
        <w:rPr>
          <w:rFonts w:asciiTheme="majorBidi" w:hAnsiTheme="majorBidi" w:cstheme="majorBidi"/>
          <w:color w:val="4472C4"/>
        </w:rPr>
        <w:fldChar w:fldCharType="end"/>
      </w:r>
      <w:r w:rsidRPr="00A35149">
        <w:rPr>
          <w:rFonts w:asciiTheme="majorBidi" w:hAnsiTheme="majorBidi" w:cstheme="majorBidi"/>
        </w:rPr>
        <w:t xml:space="preserve">. Mitigating privacy concerns, this has the advantage of replacing a real location with a </w:t>
      </w:r>
      <w:r w:rsidR="00325744" w:rsidRPr="00A35149">
        <w:rPr>
          <w:rFonts w:asciiTheme="majorBidi" w:hAnsiTheme="majorBidi" w:cstheme="majorBidi"/>
        </w:rPr>
        <w:t>genetically induced</w:t>
      </w:r>
      <w:r w:rsidRPr="00A35149">
        <w:rPr>
          <w:rFonts w:asciiTheme="majorBidi" w:hAnsiTheme="majorBidi" w:cstheme="majorBidi"/>
        </w:rPr>
        <w:t xml:space="preserve"> one. Yet the approaches are currently rather inaccurate (perhaps due to population structure being more complex than a simple mixture). There are also no scalable implementations.</w:t>
      </w:r>
    </w:p>
    <w:p w14:paraId="78386C02" w14:textId="77777777" w:rsidR="00E939C1" w:rsidRPr="00A35149" w:rsidRDefault="00E939C1">
      <w:pPr>
        <w:widowControl w:val="0"/>
        <w:ind w:firstLine="720"/>
        <w:rPr>
          <w:rFonts w:asciiTheme="majorBidi" w:hAnsiTheme="majorBidi" w:cstheme="majorBidi"/>
        </w:rPr>
      </w:pPr>
    </w:p>
    <w:p w14:paraId="0000010C" w14:textId="31F289C2" w:rsidR="007F6EEB" w:rsidRPr="00A35149" w:rsidRDefault="00430C7C" w:rsidP="0032511F">
      <w:pPr>
        <w:widowControl w:val="0"/>
        <w:ind w:firstLine="720"/>
        <w:rPr>
          <w:rFonts w:asciiTheme="majorBidi" w:hAnsiTheme="majorBidi" w:cstheme="majorBidi"/>
          <w:iCs/>
          <w:lang w:val="en-US"/>
        </w:rPr>
      </w:pPr>
      <w:r w:rsidRPr="00A35149">
        <w:rPr>
          <w:rFonts w:asciiTheme="majorBidi" w:hAnsiTheme="majorBidi" w:cstheme="majorBidi"/>
        </w:rPr>
        <w:t>Bayesian clustering models have been known to have different strengths and weaknesses that depend on the spatial genetic patterns present and on factors such as gene flow, dispersal distance and demography</w:t>
      </w:r>
      <w:r w:rsidR="00614AA1" w:rsidRPr="00A35149">
        <w:rPr>
          <w:rFonts w:asciiTheme="majorBidi" w:hAnsiTheme="majorBidi" w:cstheme="majorBidi"/>
        </w:rPr>
        <w:t xml:space="preserve">. </w:t>
      </w:r>
      <w:r w:rsidRPr="00A35149">
        <w:rPr>
          <w:rFonts w:asciiTheme="majorBidi" w:hAnsiTheme="majorBidi" w:cstheme="majorBidi"/>
          <w:i/>
        </w:rPr>
        <w:t>GENELAND</w:t>
      </w:r>
      <w:r w:rsidR="00374E93" w:rsidRPr="00A35149">
        <w:rPr>
          <w:rFonts w:asciiTheme="majorBidi" w:hAnsiTheme="majorBidi" w:cstheme="majorBidi"/>
          <w:i/>
        </w:rPr>
        <w:t xml:space="preserve"> </w:t>
      </w:r>
      <w:r w:rsidR="00374E93" w:rsidRPr="00A35149">
        <w:rPr>
          <w:rFonts w:asciiTheme="majorBidi" w:hAnsiTheme="majorBidi" w:cstheme="majorBidi"/>
          <w:i/>
          <w:color w:val="4472C4" w:themeColor="accent1"/>
        </w:rPr>
        <w:fldChar w:fldCharType="begin" w:fldLock="1"/>
      </w:r>
      <w:r w:rsidR="00A32CA5" w:rsidRPr="00A35149">
        <w:rPr>
          <w:rFonts w:asciiTheme="majorBidi" w:hAnsiTheme="majorBidi" w:cstheme="majorBidi"/>
          <w:i/>
          <w:color w:val="4472C4" w:themeColor="accent1"/>
        </w:rPr>
        <w:instrText>ADDIN CSL_CITATION {"citationItems":[{"id":"ITEM-1","itemData":{"DOI":"10.1534/genetics.104.033803","ISSN":"00166731","abstract":"Landscape genetics is a new discipline that aims to provide information on how landscape and environmental features influence population genetic structure. The first key step of landscape genetics is the spatial detection and location of genetic discontinuities between populations. However, efficient methods for achieving this task are lacking. In this article, we first clarify what is conceptually involved in the spatial modeling of genetic data. Then we describe a Bayesian model implemented in a Markov chain Monte Carlo scheme that allows inference of the location of such genetic discontinuities from individual geo-referenced multilocus genotypes, without a priori knowledge on populational units and limits. In this method, the global set of sampled individuals is modeled as a spatial mixture of panmictic populations, and the spatial organization of populations is modeled through the colored Voronoi tessellation. In addition to spatially locating genetic discontinuities, the method quantifies the amount of spatial dependence in the data set, estimates the number of populations in the studied area, assigns individuals to their population of origin, and detects individual migrants between populations, while taking into account uncertainty on the location of sampled individuals. The performance of the method is evaluated through the analysis of simulated data sets. Results show good performances for standard data sets (e.g., 100 individuals genotyped at 10 loci with 10 alleles per locus), with high but also low levels of population differentiation (e.g., FST&lt;0.05). The method is then applied to a set of 88 individuals of wolverines (Gulo gulo) sampled in the northwestern United States and genotyped at 10 microsatellites.","author":[{"dropping-particle":"","family":"Guillot","given":"Gilles","non-dropping-particle":"","parse-names":false,"suffix":""},{"dropping-particle":"","family":"Estoup","given":"Arnaud","non-dropping-particle":"","parse-names":false,"suffix":""},{"dropping-particle":"","family":"Mortier","given":"Frédéric","non-dropping-particle":"","parse-names":false,"suffix":""},{"dropping-particle":"","family":"Cosson","given":"Jean François","non-dropping-particle":"","parse-names":false,"suffix":""}],"container-title":"Genetics","id":"ITEM-1","issue":"3","issued":{"date-parts":[["2005"]]},"page":"1261-1280","title":"A spatial statistical model for landscape genetics","type":"article-journal","volume":"170"},"uris":["http://www.mendeley.com/documents/?uuid=4130840b-35f6-4e01-bb1b-3f86e9d63b25"]}],"mendeley":{"formattedCitation":"(Guillot &lt;i&gt;et al.&lt;/i&gt;, 2005)","plainTextFormattedCitation":"(Guillot et al., 2005)","previouslyFormattedCitation":"(Guillot &lt;i&gt;et al.&lt;/i&gt;, 2005)"},"properties":{"noteIndex":0},"schema":"https://github.com/citation-style-language/schema/raw/master/csl-citation.json"}</w:instrText>
      </w:r>
      <w:r w:rsidR="00374E93" w:rsidRPr="00A35149">
        <w:rPr>
          <w:rFonts w:asciiTheme="majorBidi" w:hAnsiTheme="majorBidi" w:cstheme="majorBidi"/>
          <w:i/>
          <w:color w:val="4472C4" w:themeColor="accent1"/>
        </w:rPr>
        <w:fldChar w:fldCharType="separate"/>
      </w:r>
      <w:r w:rsidR="00374E93" w:rsidRPr="00A35149">
        <w:rPr>
          <w:rFonts w:asciiTheme="majorBidi" w:hAnsiTheme="majorBidi" w:cstheme="majorBidi"/>
          <w:noProof/>
          <w:color w:val="4472C4" w:themeColor="accent1"/>
        </w:rPr>
        <w:t xml:space="preserve">(Guillot </w:t>
      </w:r>
      <w:r w:rsidR="00374E93" w:rsidRPr="00A35149">
        <w:rPr>
          <w:rFonts w:asciiTheme="majorBidi" w:hAnsiTheme="majorBidi" w:cstheme="majorBidi"/>
          <w:i/>
          <w:noProof/>
          <w:color w:val="4472C4" w:themeColor="accent1"/>
        </w:rPr>
        <w:t>et al.</w:t>
      </w:r>
      <w:r w:rsidR="00374E93" w:rsidRPr="00A35149">
        <w:rPr>
          <w:rFonts w:asciiTheme="majorBidi" w:hAnsiTheme="majorBidi" w:cstheme="majorBidi"/>
          <w:noProof/>
          <w:color w:val="4472C4" w:themeColor="accent1"/>
        </w:rPr>
        <w:t>, 2005)</w:t>
      </w:r>
      <w:r w:rsidR="00374E93" w:rsidRPr="00A35149">
        <w:rPr>
          <w:rFonts w:asciiTheme="majorBidi" w:hAnsiTheme="majorBidi" w:cstheme="majorBidi"/>
          <w:i/>
          <w:color w:val="4472C4" w:themeColor="accent1"/>
        </w:rPr>
        <w:fldChar w:fldCharType="end"/>
      </w:r>
      <w:r w:rsidR="0032511F" w:rsidRPr="00A35149">
        <w:rPr>
          <w:rFonts w:asciiTheme="majorBidi" w:hAnsiTheme="majorBidi" w:cstheme="majorBidi"/>
          <w:color w:val="4472C4" w:themeColor="accent1"/>
        </w:rPr>
        <w:t xml:space="preserve"> </w:t>
      </w:r>
      <w:r w:rsidRPr="00A35149">
        <w:rPr>
          <w:rFonts w:asciiTheme="majorBidi" w:hAnsiTheme="majorBidi" w:cstheme="majorBidi"/>
        </w:rPr>
        <w:t>has been demonstrated to be highly efficient when gene flow is low and genetic discontinuities correspond to simple shaped boundaries</w:t>
      </w:r>
      <w:r w:rsidR="00614AA1" w:rsidRPr="00A35149">
        <w:rPr>
          <w:rFonts w:asciiTheme="majorBidi" w:hAnsiTheme="majorBidi" w:cstheme="majorBidi"/>
          <w:color w:val="4472C4"/>
        </w:rPr>
        <w:t xml:space="preserve"> </w:t>
      </w:r>
      <w:r w:rsidR="00614AA1" w:rsidRPr="00A35149">
        <w:rPr>
          <w:rFonts w:asciiTheme="majorBidi" w:hAnsiTheme="majorBidi" w:cstheme="majorBidi"/>
          <w:color w:val="4472C4"/>
        </w:rPr>
        <w:fldChar w:fldCharType="begin" w:fldLock="1"/>
      </w:r>
      <w:r w:rsidR="00614AA1" w:rsidRPr="00A35149">
        <w:rPr>
          <w:rFonts w:asciiTheme="majorBidi" w:hAnsiTheme="majorBidi" w:cstheme="majorBidi"/>
          <w:color w:val="4472C4"/>
        </w:rPr>
        <w:instrText>ADDIN CSL_CITATION {"citationItems":[{"id":"ITEM-1","itemData":{"DOI":"10.1111/j.1471-8286.2007.01769.x","ISSN":"14718278","abstract":"On the basis of simulated data, this study compares the relative performances of the Bayesian clustering computer programs STRUCTURE, GENELAND, GENECLUST and a new program named TESS. While these four programs can detect population genetic structure from multilocus genotypes, only the last three ones include simultaneous analysis from geographical data. The programs are compared with respect to their abilities to infer the number of populations, to estimate membership probabilities, and to detect genetic discon- tinuities and clinal variation. The results suggest that combining analyses using TESS and STRUCTURE offers a convenient way to address inference of spatial population structure.","author":[{"dropping-particle":"","family":"Chen","given":"Chibiao","non-dropping-particle":"","parse-names":false,"suffix":""},{"dropping-particle":"","family":"Durand","given":"Eric","non-dropping-particle":"","parse-names":false,"suffix":""},{"dropping-particle":"","family":"Forbes","given":"Florence","non-dropping-particle":"","parse-names":false,"suffix":""},{"dropping-particle":"","family":"François","given":"Olivier","non-dropping-particle":"","parse-names":false,"suffix":""}],"container-title":"Molecular Ecology Notes","id":"ITEM-1","issue":"5","issued":{"date-parts":[["2007"]]},"title":"Bayesian clustering algorithms ascertaining spatial population structure: A new computer program and a comparison study","type":"article-journal","volume":"7"},"uris":["http://www.mendeley.com/documents/?uuid=4bf0f0e8-1c5a-4e71-a733-a54c45648a5e"]},{"id":"ITEM-2","itemData":{"DOI":"10.3390/ijms12020865","ISSN":"14220067","abstract":"Recently, techniques available for identifying clusters of individuals or boundaries between clusters using genetic data from natural populations have expanded rapidly. Consequently, there is a need to evaluate these different techniques. We used spatially-explicit simulation models to compare three spatial Bayesian clustering programs and two edge detection methods. Spatially-structured populations were simulated where a continuous population was subdivided by barriers. We evaluated the ability of each method to correctly identify boundary locations while varying: (i) time after divergence, (ii) strength of isolation by distance, (iii) level of genetic diversity, and (iv) amount of gene flow across barriers. To further evaluate the methods' effectiveness to detect genetic clusters in natural populations, we used previously published data on North American pumas and a European shrub. Our results show that with simulated and empirical data, the Bayesian spatial clustering algorithms outperformed direct edge detection methods. All methods incorrectly detected boundaries in the presence of strong patterns of isolation by distance. Based on this finding, we support the application of Bayesian spatial clustering algorithms for boundary detection in empirical datasets, with necessary tests for the influence of isolation by distance. © 2011 by the authors; licensee MDPI, Basel, Switzerland.","author":[{"dropping-particle":"","family":"Safner","given":"Toni","non-dropping-particle":"","parse-names":false,"suffix":""},{"dropping-particle":"","family":"Miller","given":"Mark P.","non-dropping-particle":"","parse-names":false,"suffix":""},{"dropping-particle":"","family":"McRae","given":"Brad H.","non-dropping-particle":"","parse-names":false,"suffix":""},{"dropping-particle":"","family":"Fortin","given":"Marie Josée","non-dropping-particle":"","parse-names":false,"suffix":""},{"dropping-particle":"","family":"Manel","given":"Stéphanie","non-dropping-particle":"","parse-names":false,"suffix":""}],"container-title":"International Journal of Molecular Sciences","id":"ITEM-2","issue":"2","issued":{"date-parts":[["2011"]]},"page":"865-889","title":"Comparison of Bayesian clustering and edge detection methods for inferring boundaries in landscape genetics","type":"article-journal","volume":"12"},"uris":["http://www.mendeley.com/documents/?uuid=6a048d2a-e540-4f7b-b935-5470a8b32722"]},{"id":"ITEM-3","itemData":{"DOI":"10.1111/j.1755-0998.2012.03151.x","ISSN":"17550998","abstract":"Different analytical techniques used on the same data set may lead to different conclusions about the existence and strength of genetic structure. Therefore, reliable interpretation of the results from different methods depends on the efficacy and reliability of different statistical methods. In this paper, we evaluated the performance of multiple analytical methods to detect the presence of a linear barrier dividing populations. We were specifically interested in determining if simulation conditions, such as dispersal ability and genetic equilibrium, affect the power of different analytical methods for detecting barriers. We evaluated two boundary detection methods (Monmonier's algorithm and WOMBLING), two spatial Bayesian clustering methods (TESS and GENELAND), an aspatial clustering approach (STRUCTURE), and two recently developed, non-Bayesian clustering methods [PSMIX and discriminant analysis of principal components (DAPC)]. We found that clustering methods had higher success rates than boundary detection methods and also detected the barrier more quickly. All methods detected the barrier more quickly when dispersal was long distance in comparison to short-distance dispersal scenarios. Bayesian clustering methods performed best overall, both in terms of highest success rates and lowest time to barrier detection, with GENELAND showing the highest power. None of the methods suggested a continuous linear barrier when the data were generated under an isolation-by-distance (IBD) model. However, the clustering methods had higher potential for leading to incorrect barrier inferences under IBD unless strict criteria for successful barrier detection were implemented. Based on our findings and those of previous simulation studies, we discuss the utility of different methods for detecting linear barriers to gene flow. © 2012 Blackwell Publishing Ltd.","author":[{"dropping-particle":"","family":"Blair","given":"Christopher","non-dropping-particle":"","parse-names":false,"suffix":""},{"dropping-particle":"","family":"Weigel","given":"Dana E.","non-dropping-particle":"","parse-names":false,"suffix":""},{"dropping-particle":"","family":"Balazik","given":"Matthew","non-dropping-particle":"","parse-names":false,"suffix":""},{"dropping-particle":"","family":"Keeley","given":"Annika T.H.","non-dropping-particle":"","parse-names":false,"suffix":""},{"dropping-particle":"","family":"Walker","given":"Faith M.","non-dropping-particle":"","parse-names":false,"suffix":""},{"dropping-particle":"","family":"Landguth","given":"Erin","non-dropping-particle":"","parse-names":false,"suffix":""},{"dropping-particle":"","family":"Cushman","given":"Sam","non-dropping-particle":"","parse-names":false,"suffix":""},{"dropping-particle":"","family":"Murphy","given":"Melanie","non-dropping-particle":"","parse-names":false,"suffix":""},{"dropping-particle":"","family":"Waits","given":"Lisette","non-dropping-particle":"","parse-names":false,"suffix":""},{"dropping-particle":"","family":"Balkenhol","given":"Niko","non-dropping-particle":"","parse-names":false,"suffix":""}],"container-title":"Molecular Ecology Resources","id":"ITEM-3","issue":"5","issued":{"date-parts":[["2012"]]},"page":"822-833","title":"A simulation-based evaluation of methods for inferring linear barriers to gene flow","type":"article-journal","volume":"12"},"uris":["http://www.mendeley.com/documents/?uuid=3d46fcbd-b86b-4f72-965a-997cb9ced4e8"]}],"mendeley":{"formattedCitation":"(Chen &lt;i&gt;et al.&lt;/i&gt;, 2007; Safner &lt;i&gt;et al.&lt;/i&gt;, 2011; Blair &lt;i&gt;et al.&lt;/i&gt;, 2012)","plainTextFormattedCitation":"(Chen et al., 2007; Safner et al., 2011; Blair et al., 2012)","previouslyFormattedCitation":"(Chen &lt;i&gt;et al.&lt;/i&gt;, 2007; Safner &lt;i&gt;et al.&lt;/i&gt;, 2011; Blair &lt;i&gt;et al.&lt;/i&gt;, 2012)"},"properties":{"noteIndex":0},"schema":"https://github.com/citation-style-language/schema/raw/master/csl-citation.json"}</w:instrText>
      </w:r>
      <w:r w:rsidR="00614AA1" w:rsidRPr="00A35149">
        <w:rPr>
          <w:rFonts w:asciiTheme="majorBidi" w:hAnsiTheme="majorBidi" w:cstheme="majorBidi"/>
          <w:color w:val="4472C4"/>
        </w:rPr>
        <w:fldChar w:fldCharType="separate"/>
      </w:r>
      <w:r w:rsidR="00614AA1" w:rsidRPr="00A35149">
        <w:rPr>
          <w:rFonts w:asciiTheme="majorBidi" w:hAnsiTheme="majorBidi" w:cstheme="majorBidi"/>
          <w:noProof/>
          <w:color w:val="4472C4"/>
        </w:rPr>
        <w:t xml:space="preserve">(Chen </w:t>
      </w:r>
      <w:r w:rsidR="00614AA1" w:rsidRPr="00A35149">
        <w:rPr>
          <w:rFonts w:asciiTheme="majorBidi" w:hAnsiTheme="majorBidi" w:cstheme="majorBidi"/>
          <w:i/>
          <w:noProof/>
          <w:color w:val="4472C4"/>
        </w:rPr>
        <w:t>et al.</w:t>
      </w:r>
      <w:r w:rsidR="00614AA1" w:rsidRPr="00A35149">
        <w:rPr>
          <w:rFonts w:asciiTheme="majorBidi" w:hAnsiTheme="majorBidi" w:cstheme="majorBidi"/>
          <w:noProof/>
          <w:color w:val="4472C4"/>
        </w:rPr>
        <w:t xml:space="preserve">, 2007; Safner </w:t>
      </w:r>
      <w:r w:rsidR="00614AA1" w:rsidRPr="00A35149">
        <w:rPr>
          <w:rFonts w:asciiTheme="majorBidi" w:hAnsiTheme="majorBidi" w:cstheme="majorBidi"/>
          <w:i/>
          <w:noProof/>
          <w:color w:val="4472C4"/>
        </w:rPr>
        <w:t>et al.</w:t>
      </w:r>
      <w:r w:rsidR="00614AA1" w:rsidRPr="00A35149">
        <w:rPr>
          <w:rFonts w:asciiTheme="majorBidi" w:hAnsiTheme="majorBidi" w:cstheme="majorBidi"/>
          <w:noProof/>
          <w:color w:val="4472C4"/>
        </w:rPr>
        <w:t xml:space="preserve">, 2011; Blair </w:t>
      </w:r>
      <w:r w:rsidR="00614AA1" w:rsidRPr="00A35149">
        <w:rPr>
          <w:rFonts w:asciiTheme="majorBidi" w:hAnsiTheme="majorBidi" w:cstheme="majorBidi"/>
          <w:i/>
          <w:noProof/>
          <w:color w:val="4472C4"/>
        </w:rPr>
        <w:t>et al.</w:t>
      </w:r>
      <w:r w:rsidR="00614AA1" w:rsidRPr="00A35149">
        <w:rPr>
          <w:rFonts w:asciiTheme="majorBidi" w:hAnsiTheme="majorBidi" w:cstheme="majorBidi"/>
          <w:noProof/>
          <w:color w:val="4472C4"/>
        </w:rPr>
        <w:t>, 2012)</w:t>
      </w:r>
      <w:r w:rsidR="00614AA1" w:rsidRPr="00A35149">
        <w:rPr>
          <w:rFonts w:asciiTheme="majorBidi" w:hAnsiTheme="majorBidi" w:cstheme="majorBidi"/>
          <w:color w:val="4472C4"/>
        </w:rPr>
        <w:fldChar w:fldCharType="end"/>
      </w:r>
      <w:r w:rsidR="0032511F" w:rsidRPr="00A35149">
        <w:rPr>
          <w:rFonts w:asciiTheme="majorBidi" w:hAnsiTheme="majorBidi" w:cstheme="majorBidi"/>
        </w:rPr>
        <w:t xml:space="preserve">, however it </w:t>
      </w:r>
      <w:r w:rsidR="00E939C1" w:rsidRPr="00A35149">
        <w:rPr>
          <w:rFonts w:asciiTheme="majorBidi" w:hAnsiTheme="majorBidi" w:cstheme="majorBidi"/>
        </w:rPr>
        <w:t xml:space="preserve">is sensitive to the level of genetic differentiation </w:t>
      </w:r>
      <w:r w:rsidR="00614AA1" w:rsidRPr="00A35149">
        <w:rPr>
          <w:rFonts w:asciiTheme="majorBidi" w:hAnsiTheme="majorBidi" w:cstheme="majorBidi"/>
          <w:color w:val="4472C4" w:themeColor="accent1"/>
        </w:rPr>
        <w:fldChar w:fldCharType="begin" w:fldLock="1"/>
      </w:r>
      <w:r w:rsidR="00614AA1" w:rsidRPr="00A35149">
        <w:rPr>
          <w:rFonts w:asciiTheme="majorBidi" w:hAnsiTheme="majorBidi" w:cstheme="majorBidi"/>
          <w:color w:val="4472C4" w:themeColor="accent1"/>
        </w:rPr>
        <w:instrText>ADDIN CSL_CITATION {"citationItems":[{"id":"ITEM-1","itemData":{"DOI":"10.1111/j.1365-294X.2006.02861.x","ISSN":"09621083","abstract":"The delimitation of population units is of primary importance in population management and conservation biology. Moreover, when coupled with landscape data, the description of population genetic structure can provide valuable knowledge about the permeability of landscape features, which is often difficult to assess by direct methods (e.g. telemetry). In this study, we investigated the genetic structuring of a roe deer population which recently recolonized a fragmented landscape. We sampled 1148 individuals from a 40 x 55-km area containing several putative barriers to deer movements, and hence to gene flow, namely a highway, rivers and several canals. In order to assess the effect of these landscape features on genetic structure, we implemented a spatial statistical model known as geneland which analyses genetic structure, explicitly taking into account the spatial nature of the problem. Two genetic units were inferred, exhibiting a very low level of differentiation (F ST = 0.008). The location of their boundaries suggested that there are no absolute barriers in this study area, but that the combination of several landscape features with low permeability can lead to population differentiation. Our analysis hence suggests that the landscape has a significant influence on the structuring of the population under study. It also illustrates the use of geneland as a powerful method to infer population structure, even in situations of young populations exhibiting low genetic differentiation. © 2005 Blackwell Publishing Ltd.","author":[{"dropping-particle":"","family":"Coulon","given":"A.","non-dropping-particle":"","parse-names":false,"suffix":""},{"dropping-particle":"","family":"Guillot","given":"G.","non-dropping-particle":"","parse-names":false,"suffix":""},{"dropping-particle":"","family":"Cosson","given":"J. F.","non-dropping-particle":"","parse-names":false,"suffix":""},{"dropping-particle":"","family":"Angibault","given":"J. M.A.","non-dropping-particle":"","parse-names":false,"suffix":""},{"dropping-particle":"","family":"Aulagnier","given":"S.","non-dropping-particle":"","parse-names":false,"suffix":""},{"dropping-particle":"","family":"Cargnelutti","given":"B.","non-dropping-particle":"","parse-names":false,"suffix":""},{"dropping-particle":"","family":"Galan","given":"M.","non-dropping-particle":"","parse-names":false,"suffix":""},{"dropping-particle":"","family":"Hewison","given":"A. J.M.","non-dropping-particle":"","parse-names":false,"suffix":""}],"container-title":"Molecular Ecology","id":"ITEM-1","issue":"6","issued":{"date-parts":[["2006"]]},"page":"1669-1679","title":"Genetic structure is influenced by landscape features: Empirical evidence from a roe deer population","type":"article-journal","volume":"15"},"uris":["http://www.mendeley.com/documents/?uuid=014b2810-a1b8-4f0f-8f8e-fa04c5bb511d"]},{"id":"ITEM-2","itemData":{"DOI":"10.1007/s10592-010-0099-3","ISSN":"15660621","abstract":"Individual-based clustering (IBC) methods have become increasingly popular for the characterization and delineation of genetic population units for numerous species. These methods delineate populations based on the genetic assumptions of a breeding unit which may provide a better representation of the behaviour of the species. The increasing use of IBC has resulted in the development of several analytical models all of which vary in their theoretical assumptions to infer genetic population structure. In this paper, we report a comparative strategy utilizing three IBC methods to characterize the spatial genetic structure of the boreal population of woodland caribou (Rangifer tarandus caribou) in central Canada. In addition, we implement both tests for isolation-by-distance (IBD) and frequency-based assignment tests to validate the consensus genetic clusters as defined by IBC. We also compare indirect metrics of genetic diversity and gene flow using both a priori defined herds and the IBC defined populations. Although our results show some concordance between both pre-defined herds and IBC derived genetic clusters, the IBC analyses identified a cluster that was cryptic to observation-based caribou herds and found no difference between several adjacent herds. By comparing multiple IBC methods and integrating both IBD and indirect genetic diversity metrics a posteriori, our strategy provides an effective means to delineate wildlife population structure and accurately assess genetic diversity and connectivity. © 2010 Springer Science+Business Media B.V.","author":[{"dropping-particle":"","family":"Ball","given":"Mark C.","non-dropping-particle":"","parse-names":false,"suffix":""},{"dropping-particle":"","family":"Finnegan","given":"Laura","non-dropping-particle":"","parse-names":false,"suffix":""},{"dropping-particle":"","family":"Manseau","given":"Micheline","non-dropping-particle":"","parse-names":false,"suffix":""},{"dropping-particle":"","family":"Wilson","given":"Paul","non-dropping-particle":"","parse-names":false,"suffix":""}],"container-title":"Conservation Genetics","id":"ITEM-2","issue":"6","issued":{"date-parts":[["2010"]]},"page":"2131-2143","title":"Integrating multiple analytical approaches to spatially delineate and characterize genetic population structure: An application to boreal caribou (Rangifer tarandus caribou) in central Canada","type":"article-journal","volume":"11"},"uris":["http://www.mendeley.com/documents/?uuid=7d3b815d-f66c-4b69-8773-ddf7621d0edf"]}],"mendeley":{"formattedCitation":"(Coulon &lt;i&gt;et al.&lt;/i&gt;, 2006; Ball &lt;i&gt;et al.&lt;/i&gt;, 2010)","plainTextFormattedCitation":"(Coulon et al., 2006; Ball et al., 2010)","previouslyFormattedCitation":"(Coulon &lt;i&gt;et al.&lt;/i&gt;, 2006; Ball &lt;i&gt;et al.&lt;/i&gt;, 2010)"},"properties":{"noteIndex":0},"schema":"https://github.com/citation-style-language/schema/raw/master/csl-citation.json"}</w:instrText>
      </w:r>
      <w:r w:rsidR="00614AA1" w:rsidRPr="00A35149">
        <w:rPr>
          <w:rFonts w:asciiTheme="majorBidi" w:hAnsiTheme="majorBidi" w:cstheme="majorBidi"/>
          <w:color w:val="4472C4" w:themeColor="accent1"/>
        </w:rPr>
        <w:fldChar w:fldCharType="separate"/>
      </w:r>
      <w:r w:rsidR="00614AA1" w:rsidRPr="00A35149">
        <w:rPr>
          <w:rFonts w:asciiTheme="majorBidi" w:hAnsiTheme="majorBidi" w:cstheme="majorBidi"/>
          <w:noProof/>
          <w:color w:val="4472C4" w:themeColor="accent1"/>
        </w:rPr>
        <w:t xml:space="preserve">(Coulon </w:t>
      </w:r>
      <w:r w:rsidR="00614AA1" w:rsidRPr="00A35149">
        <w:rPr>
          <w:rFonts w:asciiTheme="majorBidi" w:hAnsiTheme="majorBidi" w:cstheme="majorBidi"/>
          <w:i/>
          <w:noProof/>
          <w:color w:val="4472C4" w:themeColor="accent1"/>
        </w:rPr>
        <w:t>et al.</w:t>
      </w:r>
      <w:r w:rsidR="00614AA1" w:rsidRPr="00A35149">
        <w:rPr>
          <w:rFonts w:asciiTheme="majorBidi" w:hAnsiTheme="majorBidi" w:cstheme="majorBidi"/>
          <w:noProof/>
          <w:color w:val="4472C4" w:themeColor="accent1"/>
        </w:rPr>
        <w:t xml:space="preserve">, 2006; Ball </w:t>
      </w:r>
      <w:r w:rsidR="00614AA1" w:rsidRPr="00A35149">
        <w:rPr>
          <w:rFonts w:asciiTheme="majorBidi" w:hAnsiTheme="majorBidi" w:cstheme="majorBidi"/>
          <w:i/>
          <w:noProof/>
          <w:color w:val="4472C4" w:themeColor="accent1"/>
        </w:rPr>
        <w:t>et al.</w:t>
      </w:r>
      <w:r w:rsidR="00614AA1" w:rsidRPr="00A35149">
        <w:rPr>
          <w:rFonts w:asciiTheme="majorBidi" w:hAnsiTheme="majorBidi" w:cstheme="majorBidi"/>
          <w:noProof/>
          <w:color w:val="4472C4" w:themeColor="accent1"/>
        </w:rPr>
        <w:t>, 2010)</w:t>
      </w:r>
      <w:r w:rsidR="00614AA1" w:rsidRPr="00A35149">
        <w:rPr>
          <w:rFonts w:asciiTheme="majorBidi" w:hAnsiTheme="majorBidi" w:cstheme="majorBidi"/>
          <w:color w:val="4472C4" w:themeColor="accent1"/>
        </w:rPr>
        <w:fldChar w:fldCharType="end"/>
      </w:r>
      <w:r w:rsidR="00614AA1" w:rsidRPr="00A35149">
        <w:rPr>
          <w:rFonts w:asciiTheme="majorBidi" w:hAnsiTheme="majorBidi" w:cstheme="majorBidi"/>
        </w:rPr>
        <w:t xml:space="preserve"> </w:t>
      </w:r>
      <w:r w:rsidR="00E939C1" w:rsidRPr="00A35149">
        <w:rPr>
          <w:rFonts w:asciiTheme="majorBidi" w:hAnsiTheme="majorBidi" w:cstheme="majorBidi"/>
        </w:rPr>
        <w:t xml:space="preserve">and </w:t>
      </w:r>
      <w:r w:rsidR="00E939C1" w:rsidRPr="00A35149">
        <w:rPr>
          <w:rFonts w:asciiTheme="majorBidi" w:hAnsiTheme="majorBidi" w:cstheme="majorBidi"/>
          <w:iCs/>
        </w:rPr>
        <w:t>its</w:t>
      </w:r>
      <w:r w:rsidR="00E939C1" w:rsidRPr="00A35149">
        <w:rPr>
          <w:rFonts w:asciiTheme="majorBidi" w:hAnsiTheme="majorBidi" w:cstheme="majorBidi"/>
          <w:i/>
        </w:rPr>
        <w:t xml:space="preserve"> </w:t>
      </w:r>
      <w:r w:rsidRPr="00A35149">
        <w:rPr>
          <w:rFonts w:asciiTheme="majorBidi" w:hAnsiTheme="majorBidi" w:cstheme="majorBidi"/>
        </w:rPr>
        <w:t xml:space="preserve">accuracy </w:t>
      </w:r>
      <w:r w:rsidR="00614AA1" w:rsidRPr="00A35149">
        <w:rPr>
          <w:rFonts w:asciiTheme="majorBidi" w:hAnsiTheme="majorBidi" w:cstheme="majorBidi"/>
          <w:color w:val="4472C4" w:themeColor="accent1"/>
        </w:rPr>
        <w:fldChar w:fldCharType="begin" w:fldLock="1"/>
      </w:r>
      <w:r w:rsidR="00614AA1" w:rsidRPr="00A35149">
        <w:rPr>
          <w:rFonts w:asciiTheme="majorBidi" w:hAnsiTheme="majorBidi" w:cstheme="majorBidi"/>
          <w:color w:val="4472C4" w:themeColor="accent1"/>
        </w:rPr>
        <w:instrText>ADDIN CSL_CITATION {"citationItems":[{"id":"ITEM-1","itemData":{"DOI":"10.1007/s10592-005-9098-1","ISSN":"15660621","abstract":"Traditional methods for characterizing genetic differentiation among populations rely on a priori grouping of individuals. Bayesian clustering methods avoid this limitation by using linkage and Hardy-Weinberg disequilibrium to decompose a sample of individuals into genetically distinct groups. There are several software programs available for Bayesian clustering analyses, all of which describe a decrease in the ability to detect distinct clusters as levels of genetic differentiation among populations decrease. However, no study has yet compared the performance of such methods at low levels of population differentiation, which may be common in species where populations have experienced recent separation or high levels of gene flow. We used simulated data to evaluate the performance of three Bayesian clustering software programs, PARTITION, STRUCTURE, and BAPS, at levels of population differentiation below F-ST=0.1. PARTITION was unable to correctly identify the number of subpopulations until levels of F-ST reached around 0.09. Both STRUCTURE and BAPS performed very well at low levels of population differentiation, and were able to correctly identify the number of subpopulations at F-ST around 0.03. The average proportion of an individual's genome assigned to its true population of origin increased with increasing F-ST for both programs, reaching over 92% at an F-ST of 0.05. The average number of misassignments (assignments to the incorrect subpopulation) continued to decrease as F-ST increased, and when F-ST was 0.05, fewer than 3% of individuals were misassigned using either program. Both STRUCTURE and BAPS worked extremely well for inferring the number of clusters when clusters were not well-differentiated (F-ST=0.02-0.03), but our results suggest that F-ST must be at least 0.05 to reach an assignment accuracy of greater than 97%.","author":[{"dropping-particle":"","family":"Latch","given":"Emily K.","non-dropping-particle":"","parse-names":false,"suffix":""},{"dropping-particle":"","family":"Dharmarajan","given":"Guha","non-dropping-particle":"","parse-names":false,"suffix":""},{"dropping-particle":"","family":"Glaubitz","given":"Jeffrey C.","non-dropping-particle":"","parse-names":false,"suffix":""},{"dropping-particle":"","family":"Rhodes","given":"Olin E.","non-dropping-particle":"","parse-names":false,"suffix":""}],"container-title":"Conservation Genetics","id":"ITEM-1","issued":{"date-parts":[["2006"]]},"page":"295-302","title":"Relative performance of Bayesian clustering software for inferring population substructure and individual assignment at low levels of population differentiation","type":"article-journal","volume":"7"},"uris":["http://www.mendeley.com/documents/?uuid=adbe7a32-9999-4f78-85ef-93ef39c11f0c"]},{"id":"ITEM-2","itemData":{"DOI":"10.1111/j.1471-8286.2007.01769.x","ISSN":"14718278","abstract":"On the basis of simulated data, this study compares the relative performances of the Bayesian clustering computer programs STRUCTURE, GENELAND, GENECLUST and a new program named TESS. While these four programs can detect population genetic structure from multilocus genotypes, only the last three ones include simultaneous analysis from geographical data. The programs are compared with respect to their abilities to infer the number of populations, to estimate membership probabilities, and to detect genetic discon- tinuities and clinal variation. The results suggest that combining analyses using TESS and STRUCTURE offers a convenient way to address inference of spatial population structure.","author":[{"dropping-particle":"","family":"Chen","given":"Chibiao","non-dropping-particle":"","parse-names":false,"suffix":""},{"dropping-particle":"","family":"Durand","given":"Eric","non-dropping-particle":"","parse-names":false,"suffix":""},{"dropping-particle":"","family":"Forbes","given":"Florence","non-dropping-particle":"","parse-names":false,"suffix":""},{"dropping-particle":"","family":"François","given":"Olivier","non-dropping-particle":"","parse-names":false,"suffix":""}],"container-title":"Molecular Ecology Notes","id":"ITEM-2","issue":"5","issued":{"date-parts":[["2007"]]},"title":"Bayesian clustering algorithms ascertaining spatial population structure: A new computer program and a comparison study","type":"article-journal","volume":"7"},"uris":["http://www.mendeley.com/documents/?uuid=4bf0f0e8-1c5a-4e71-a733-a54c45648a5e"]}],"mendeley":{"formattedCitation":"(Latch &lt;i&gt;et al.&lt;/i&gt;, 2006; Chen &lt;i&gt;et al.&lt;/i&gt;, 2007)","plainTextFormattedCitation":"(Latch et al., 2006; Chen et al., 2007)","previouslyFormattedCitation":"(Latch &lt;i&gt;et al.&lt;/i&gt;, 2006; Chen &lt;i&gt;et al.&lt;/i&gt;, 2007)"},"properties":{"noteIndex":0},"schema":"https://github.com/citation-style-language/schema/raw/master/csl-citation.json"}</w:instrText>
      </w:r>
      <w:r w:rsidR="00614AA1" w:rsidRPr="00A35149">
        <w:rPr>
          <w:rFonts w:asciiTheme="majorBidi" w:hAnsiTheme="majorBidi" w:cstheme="majorBidi"/>
          <w:color w:val="4472C4" w:themeColor="accent1"/>
        </w:rPr>
        <w:fldChar w:fldCharType="separate"/>
      </w:r>
      <w:r w:rsidR="00614AA1" w:rsidRPr="00A35149">
        <w:rPr>
          <w:rFonts w:asciiTheme="majorBidi" w:hAnsiTheme="majorBidi" w:cstheme="majorBidi"/>
          <w:noProof/>
          <w:color w:val="4472C4" w:themeColor="accent1"/>
        </w:rPr>
        <w:t xml:space="preserve">(Latch </w:t>
      </w:r>
      <w:r w:rsidR="00614AA1" w:rsidRPr="00A35149">
        <w:rPr>
          <w:rFonts w:asciiTheme="majorBidi" w:hAnsiTheme="majorBidi" w:cstheme="majorBidi"/>
          <w:i/>
          <w:noProof/>
          <w:color w:val="4472C4" w:themeColor="accent1"/>
        </w:rPr>
        <w:t>et al.</w:t>
      </w:r>
      <w:r w:rsidR="00614AA1" w:rsidRPr="00A35149">
        <w:rPr>
          <w:rFonts w:asciiTheme="majorBidi" w:hAnsiTheme="majorBidi" w:cstheme="majorBidi"/>
          <w:noProof/>
          <w:color w:val="4472C4" w:themeColor="accent1"/>
        </w:rPr>
        <w:t xml:space="preserve">, 2006; Chen </w:t>
      </w:r>
      <w:r w:rsidR="00614AA1" w:rsidRPr="00A35149">
        <w:rPr>
          <w:rFonts w:asciiTheme="majorBidi" w:hAnsiTheme="majorBidi" w:cstheme="majorBidi"/>
          <w:i/>
          <w:noProof/>
          <w:color w:val="4472C4" w:themeColor="accent1"/>
        </w:rPr>
        <w:t>et al.</w:t>
      </w:r>
      <w:r w:rsidR="00614AA1" w:rsidRPr="00A35149">
        <w:rPr>
          <w:rFonts w:asciiTheme="majorBidi" w:hAnsiTheme="majorBidi" w:cstheme="majorBidi"/>
          <w:noProof/>
          <w:color w:val="4472C4" w:themeColor="accent1"/>
        </w:rPr>
        <w:t>, 2007)</w:t>
      </w:r>
      <w:r w:rsidR="00614AA1" w:rsidRPr="00A35149">
        <w:rPr>
          <w:rFonts w:asciiTheme="majorBidi" w:hAnsiTheme="majorBidi" w:cstheme="majorBidi"/>
          <w:color w:val="4472C4" w:themeColor="accent1"/>
        </w:rPr>
        <w:fldChar w:fldCharType="end"/>
      </w:r>
      <w:r w:rsidR="0032511F" w:rsidRPr="00A35149">
        <w:rPr>
          <w:rFonts w:asciiTheme="majorBidi" w:hAnsiTheme="majorBidi" w:cstheme="majorBidi"/>
        </w:rPr>
        <w:t xml:space="preserve"> and speed in analysing large datasets </w:t>
      </w:r>
      <w:r w:rsidR="0032511F" w:rsidRPr="00A35149">
        <w:rPr>
          <w:rFonts w:asciiTheme="majorBidi" w:hAnsiTheme="majorBidi" w:cstheme="majorBidi"/>
          <w:color w:val="4472C4" w:themeColor="accent1"/>
        </w:rPr>
        <w:fldChar w:fldCharType="begin" w:fldLock="1"/>
      </w:r>
      <w:r w:rsidR="0032511F" w:rsidRPr="00A35149">
        <w:rPr>
          <w:rFonts w:asciiTheme="majorBidi" w:hAnsiTheme="majorBidi" w:cstheme="majorBidi"/>
          <w:color w:val="4472C4" w:themeColor="accent1"/>
        </w:rPr>
        <w:instrText>ADDIN CSL_CITATION {"citationItems":[{"id":"ITEM-1","itemData":{"DOI":"10.1111/j.1471-8286.2005.01031.x","ISSN":"14718278","abstract":"Geneland is a computer package that allows to make use of georeferenced individual multilocus genotypes for the inference of the number of populations and of the spatial loca-tion of genetic discontinuities between those populations. Main assumptions of the method are: (i) the number of populations is unknown and all values are considered a priori equally likely, (ii) populations are spread over areas given by a union of some polygons of unknown location in the spatial domain, (iii) Hardy–Weinberg equilibrium is assumed within each population and (iv) allele frequencies in each population are unknown and treated as random variable either following the so-called Dirichlet model or Falush model. Different algorithms implemented in Geneland to perform inferences are first briefly pre-sented. Then major running steps and outputs (i.e. histogram of number of populations and map of posterior probabilities of population membership) are illustrated from the analysis of a simulated data set, which was also produced by Geneland.","author":[{"dropping-particle":"","family":"Guillot","given":"Gilles","non-dropping-particle":"","parse-names":false,"suffix":""},{"dropping-particle":"","family":"Mortier","given":"Frédéric","non-dropping-particle":"","parse-names":false,"suffix":""},{"dropping-particle":"","family":"Estoup","given":"Arnaud","non-dropping-particle":"","parse-names":false,"suffix":""}],"container-title":"Molecular Ecology Notes","id":"ITEM-1","issue":"2","issued":{"date-parts":[["2005"]]},"page":"712-715","title":"GENELAND: A computer package for landscape genetics","type":"article-journal","volume":"5"},"uris":["http://www.mendeley.com/documents/?uuid=c1f79dfa-b8a1-4afb-9229-b99d35b5b0ba"]}],"mendeley":{"formattedCitation":"(Guillot, Mortier and Estoup, 2005)","plainTextFormattedCitation":"(Guillot, Mortier and Estoup, 2005)","previouslyFormattedCitation":"(Guillot, Mortier and Estoup, 2005)"},"properties":{"noteIndex":0},"schema":"https://github.com/citation-style-language/schema/raw/master/csl-citation.json"}</w:instrText>
      </w:r>
      <w:r w:rsidR="0032511F" w:rsidRPr="00A35149">
        <w:rPr>
          <w:rFonts w:asciiTheme="majorBidi" w:hAnsiTheme="majorBidi" w:cstheme="majorBidi"/>
          <w:color w:val="4472C4" w:themeColor="accent1"/>
        </w:rPr>
        <w:fldChar w:fldCharType="separate"/>
      </w:r>
      <w:r w:rsidR="0032511F" w:rsidRPr="00A35149">
        <w:rPr>
          <w:rFonts w:asciiTheme="majorBidi" w:hAnsiTheme="majorBidi" w:cstheme="majorBidi"/>
          <w:noProof/>
          <w:color w:val="4472C4" w:themeColor="accent1"/>
        </w:rPr>
        <w:t>(Guillot, Mortier and Estoup, 2005)</w:t>
      </w:r>
      <w:r w:rsidR="0032511F" w:rsidRPr="00A35149">
        <w:rPr>
          <w:rFonts w:asciiTheme="majorBidi" w:hAnsiTheme="majorBidi" w:cstheme="majorBidi"/>
          <w:color w:val="4472C4" w:themeColor="accent1"/>
        </w:rPr>
        <w:fldChar w:fldCharType="end"/>
      </w:r>
      <w:r w:rsidR="0032511F" w:rsidRPr="00A35149">
        <w:rPr>
          <w:rFonts w:asciiTheme="majorBidi" w:hAnsiTheme="majorBidi" w:cstheme="majorBidi"/>
          <w:color w:val="4472C4" w:themeColor="accent1"/>
        </w:rPr>
        <w:t xml:space="preserve"> </w:t>
      </w:r>
      <w:r w:rsidR="0032511F" w:rsidRPr="00A35149">
        <w:rPr>
          <w:rFonts w:asciiTheme="majorBidi" w:hAnsiTheme="majorBidi" w:cstheme="majorBidi"/>
        </w:rPr>
        <w:t xml:space="preserve">were criticised. Alternative tools like TESS and BAPS were shown to outperform </w:t>
      </w:r>
      <w:r w:rsidR="0032511F" w:rsidRPr="00A35149">
        <w:rPr>
          <w:rFonts w:asciiTheme="majorBidi" w:hAnsiTheme="majorBidi" w:cstheme="majorBidi"/>
          <w:i/>
        </w:rPr>
        <w:t>GENELAND</w:t>
      </w:r>
      <w:r w:rsidR="0032511F" w:rsidRPr="00A35149">
        <w:rPr>
          <w:rFonts w:asciiTheme="majorBidi" w:hAnsiTheme="majorBidi" w:cstheme="majorBidi"/>
          <w:iCs/>
        </w:rPr>
        <w:t xml:space="preserve"> and each other under some scenarios, but not in others </w:t>
      </w:r>
      <w:r w:rsidR="00A32CA5" w:rsidRPr="00A35149">
        <w:rPr>
          <w:rFonts w:asciiTheme="majorBidi" w:hAnsiTheme="majorBidi" w:cstheme="majorBidi"/>
          <w:iCs/>
          <w:color w:val="4472C4" w:themeColor="accent1"/>
        </w:rPr>
        <w:fldChar w:fldCharType="begin" w:fldLock="1"/>
      </w:r>
      <w:r w:rsidR="007D4A7E" w:rsidRPr="00A35149">
        <w:rPr>
          <w:rFonts w:asciiTheme="majorBidi" w:hAnsiTheme="majorBidi" w:cstheme="majorBidi"/>
          <w:iCs/>
          <w:color w:val="4472C4" w:themeColor="accent1"/>
        </w:rPr>
        <w:instrText>ADDIN CSL_CITATION {"citationItems":[{"id":"ITEM-1","itemData":{"DOI":"10.1007/s10592-005-9098-1","ISSN":"15660621","abstract":"Traditional methods for characterizing genetic differentiation among populations rely on a priori grouping of individuals. Bayesian clustering methods avoid this limitation by using linkage and Hardy-Weinberg disequilibrium to decompose a sample of individuals into genetically distinct groups. There are several software programs available for Bayesian clustering analyses, all of which describe a decrease in the ability to detect distinct clusters as levels of genetic differentiation among populations decrease. However, no study has yet compared the performance of such methods at low levels of population differentiation, which may be common in species where populations have experienced recent separation or high levels of gene flow. We used simulated data to evaluate the performance of three Bayesian clustering software programs, PARTITION, STRUCTURE, and BAPS, at levels of population differentiation below F-ST=0.1. PARTITION was unable to correctly identify the number of subpopulations until levels of F-ST reached around 0.09. Both STRUCTURE and BAPS performed very well at low levels of population differentiation, and were able to correctly identify the number of subpopulations at F-ST around 0.03. The average proportion of an individual's genome assigned to its true population of origin increased with increasing F-ST for both programs, reaching over 92% at an F-ST of 0.05. The average number of misassignments (assignments to the incorrect subpopulation) continued to decrease as F-ST increased, and when F-ST was 0.05, fewer than 3% of individuals were misassigned using either program. Both STRUCTURE and BAPS worked extremely well for inferring the number of clusters when clusters were not well-differentiated (F-ST=0.02-0.03), but our results suggest that F-ST must be at least 0.05 to reach an assignment accuracy of greater than 97%.","author":[{"dropping-particle":"","family":"Latch","given":"Emily K.","non-dropping-particle":"","parse-names":false,"suffix":""},{"dropping-particle":"","family":"Dharmarajan","given":"Guha","non-dropping-particle":"","parse-names":false,"suffix":""},{"dropping-particle":"","family":"Glaubitz","given":"Jeffrey C.","non-dropping-particle":"","parse-names":false,"suffix":""},{"dropping-particle":"","family":"Rhodes","given":"Olin E.","non-dropping-particle":"","parse-names":false,"suffix":""}],"container-title":"Conservation Genetics","id":"ITEM-1","issued":{"date-parts":[["2006"]]},"page":"295-302","title":"Relative performance of Bayesian clustering software for inferring population substructure and individual assignment at low levels of population differentiation","type":"article-journal","volume":"7"},"uris":["http://www.mendeley.com/documents/?uuid=adbe7a32-9999-4f78-85ef-93ef39c11f0c"]},{"id":"ITEM-2","itemData":{"DOI":"10.1534/genetics.104.033803","ISSN":"00166731","abstract":"Landscape genetics is a new discipline that aims to provide information on how landscape and environmental features influence population genetic structure. The first key step of landscape genetics is the spatial detection and location of genetic discontinuities between populations. However, efficient methods for achieving this task are lacking. In this article, we first clarify what is conceptually involved in the spatial modeling of genetic data. Then we describe a Bayesian model implemented in a Markov chain Monte Carlo scheme that allows inference of the location of such genetic discontinuities from individual geo-referenced multilocus genotypes, without a priori knowledge on populational units and limits. In this method, the global set of sampled individuals is modeled as a spatial mixture of panmictic populations, and the spatial organization of populations is modeled through the colored Voronoi tessellation. In addition to spatially locating genetic discontinuities, the method quantifies the amount of spatial dependence in the data set, estimates the number of populations in the studied area, assigns individuals to their population of origin, and detects individual migrants between populations, while taking into account uncertainty on the location of sampled individuals. The performance of the method is evaluated through the analysis of simulated data sets. Results show good performances for standard data sets (e.g., 100 individuals genotyped at 10 loci with 10 alleles per locus), with high but also low levels of population differentiation (e.g., FST&lt;0.05). The method is then applied to a set of 88 individuals of wolverines (Gulo gulo) sampled in the northwestern United States and genotyped at 10 microsatellites.","author":[{"dropping-particle":"","family":"Guillot","given":"Gilles","non-dropping-particle":"","parse-names":false,"suffix":""},{"dropping-particle":"","family":"Estoup","given":"Arnaud","non-dropping-particle":"","parse-names":false,"suffix":""},{"dropping-particle":"","family":"Mortier","given":"Frédéric","non-dropping-particle":"","parse-names":false,"suffix":""},{"dropping-particle":"","family":"Cosson","given":"Jean François","non-dropping-particle":"","parse-names":false,"suffix":""}],"container-title":"Genetics","id":"ITEM-2","issue":"3","issued":{"date-parts":[["2005"]]},"page":"1261-1280","title":"A spatial statistical model for landscape genetics","type":"article-journal","volume":"170"},"uris":["http://www.mendeley.com/documents/?uuid=4130840b-35f6-4e01-bb1b-3f86e9d63b25"]},{"id":"ITEM-3","itemData":{"ISSN":"0016-6731","PMID":"12586722","abstract":"We introduce a Bayesian method for estimating hidden population substructure using multilocus molecular markers and geographical information provided by the sampling design. The joint posterior distribution of the substructure and allele frequencies of the respective populations is available in an analytical form when the number of populations is small, whereas an approximation based on a Markov chain Monte Carlo simulation approach can be obtained for a moderate or large number of populations. Using the joint posterior distribution, posteriors can also be derived for any evolutionary population parameters, such as the traditional fixation indices. A major advantage compared to most earlier methods is that the number of populations is treated here as an unknown parameter. What is traditionally considered as two genetically distinct populations, either recently founded or connected by considerable gene flow, is here considered as one panmictic population with a certain probability based on marker data and prior information. Analyses of previously published data on the Moroccan argan tree (Argania spinosa) and of simulated data sets suggest that our method is capable of estimating a population substructure, while not artificially enforcing a substructure when it does not exist. The software (BAPS) used for the computations is freely available from http://www.rni.helsinki.fi/~mjs.","author":[{"dropping-particle":"","family":"Corander","given":"Jukka","non-dropping-particle":"","parse-names":false,"suffix":""},{"dropping-particle":"","family":"Waldmann","given":"Patrik","non-dropping-particle":"","parse-names":false,"suffix":""},{"dropping-particle":"","family":"Sillanpää","given":"Mikko J","non-dropping-particle":"","parse-names":false,"suffix":""}],"container-title":"Genetics","id":"ITEM-3","issue":"1","issued":{"date-parts":[["2003"]]},"page":"367-374","title":"Bayesian analysis of genetic differentiation between populations.","type":"article-journal","volume":"163"},"uris":["http://www.mendeley.com/documents/?uuid=3c3619cd-9e5e-4b3e-88b0-630c86394068"]}],"mendeley":{"formattedCitation":"(Corander, Waldmann and Sillanpää, 2003; Guillot &lt;i&gt;et al.&lt;/i&gt;, 2005; Latch &lt;i&gt;et al.&lt;/i&gt;, 2006)","plainTextFormattedCitation":"(Corander, Waldmann and Sillanpää, 2003; Guillot et al., 2005; Latch et al., 2006)","previouslyFormattedCitation":"(Corander, Waldmann and Sillanpää, 2003; Guillot &lt;i&gt;et al.&lt;/i&gt;, 2005; Latch &lt;i&gt;et al.&lt;/i&gt;, 2006)"},"properties":{"noteIndex":0},"schema":"https://github.com/citation-style-language/schema/raw/master/csl-citation.json"}</w:instrText>
      </w:r>
      <w:r w:rsidR="00A32CA5" w:rsidRPr="00A35149">
        <w:rPr>
          <w:rFonts w:asciiTheme="majorBidi" w:hAnsiTheme="majorBidi" w:cstheme="majorBidi"/>
          <w:iCs/>
          <w:color w:val="4472C4" w:themeColor="accent1"/>
        </w:rPr>
        <w:fldChar w:fldCharType="separate"/>
      </w:r>
      <w:r w:rsidR="00A32CA5" w:rsidRPr="00A35149">
        <w:rPr>
          <w:rFonts w:asciiTheme="majorBidi" w:hAnsiTheme="majorBidi" w:cstheme="majorBidi"/>
          <w:iCs/>
          <w:noProof/>
          <w:color w:val="4472C4" w:themeColor="accent1"/>
        </w:rPr>
        <w:t xml:space="preserve">(Corander, Waldmann and Sillanpää, 2003; Guillot </w:t>
      </w:r>
      <w:r w:rsidR="00A32CA5" w:rsidRPr="00A35149">
        <w:rPr>
          <w:rFonts w:asciiTheme="majorBidi" w:hAnsiTheme="majorBidi" w:cstheme="majorBidi"/>
          <w:i/>
          <w:iCs/>
          <w:noProof/>
          <w:color w:val="4472C4" w:themeColor="accent1"/>
        </w:rPr>
        <w:t>et al.</w:t>
      </w:r>
      <w:r w:rsidR="00A32CA5" w:rsidRPr="00A35149">
        <w:rPr>
          <w:rFonts w:asciiTheme="majorBidi" w:hAnsiTheme="majorBidi" w:cstheme="majorBidi"/>
          <w:iCs/>
          <w:noProof/>
          <w:color w:val="4472C4" w:themeColor="accent1"/>
        </w:rPr>
        <w:t xml:space="preserve">, 2005; Latch </w:t>
      </w:r>
      <w:r w:rsidR="00A32CA5" w:rsidRPr="00A35149">
        <w:rPr>
          <w:rFonts w:asciiTheme="majorBidi" w:hAnsiTheme="majorBidi" w:cstheme="majorBidi"/>
          <w:i/>
          <w:iCs/>
          <w:noProof/>
          <w:color w:val="4472C4" w:themeColor="accent1"/>
        </w:rPr>
        <w:t>et al.</w:t>
      </w:r>
      <w:r w:rsidR="00A32CA5" w:rsidRPr="00A35149">
        <w:rPr>
          <w:rFonts w:asciiTheme="majorBidi" w:hAnsiTheme="majorBidi" w:cstheme="majorBidi"/>
          <w:iCs/>
          <w:noProof/>
          <w:color w:val="4472C4" w:themeColor="accent1"/>
        </w:rPr>
        <w:t>, 2006)</w:t>
      </w:r>
      <w:r w:rsidR="00A32CA5" w:rsidRPr="00A35149">
        <w:rPr>
          <w:rFonts w:asciiTheme="majorBidi" w:hAnsiTheme="majorBidi" w:cstheme="majorBidi"/>
          <w:iCs/>
          <w:color w:val="4472C4" w:themeColor="accent1"/>
        </w:rPr>
        <w:fldChar w:fldCharType="end"/>
      </w:r>
      <w:r w:rsidR="0032511F" w:rsidRPr="00A35149">
        <w:rPr>
          <w:rFonts w:asciiTheme="majorBidi" w:hAnsiTheme="majorBidi" w:cstheme="majorBidi"/>
          <w:lang w:val="en-US"/>
        </w:rPr>
        <w:t>.</w:t>
      </w:r>
      <w:r w:rsidR="0032511F" w:rsidRPr="00A35149">
        <w:rPr>
          <w:rFonts w:asciiTheme="majorBidi" w:hAnsiTheme="majorBidi" w:cstheme="majorBidi"/>
          <w:iCs/>
          <w:lang w:val="en-US"/>
        </w:rPr>
        <w:t xml:space="preserve"> </w:t>
      </w:r>
      <w:r w:rsidR="00EF786E" w:rsidRPr="00A35149">
        <w:rPr>
          <w:rFonts w:asciiTheme="majorBidi" w:hAnsiTheme="majorBidi" w:cstheme="majorBidi"/>
        </w:rPr>
        <w:t>I</w:t>
      </w:r>
      <w:r w:rsidRPr="00A35149">
        <w:rPr>
          <w:rFonts w:asciiTheme="majorBidi" w:hAnsiTheme="majorBidi" w:cstheme="majorBidi"/>
        </w:rPr>
        <w:t>nteresting</w:t>
      </w:r>
      <w:r w:rsidR="00EF786E" w:rsidRPr="00A35149">
        <w:rPr>
          <w:rFonts w:asciiTheme="majorBidi" w:hAnsiTheme="majorBidi" w:cstheme="majorBidi"/>
        </w:rPr>
        <w:t>ly</w:t>
      </w:r>
      <w:r w:rsidR="0032511F" w:rsidRPr="00A35149">
        <w:rPr>
          <w:rFonts w:asciiTheme="majorBidi" w:hAnsiTheme="majorBidi" w:cstheme="majorBidi"/>
        </w:rPr>
        <w:t>,</w:t>
      </w:r>
      <w:r w:rsidRPr="00A35149">
        <w:rPr>
          <w:rFonts w:asciiTheme="majorBidi" w:hAnsiTheme="majorBidi" w:cstheme="majorBidi"/>
        </w:rPr>
        <w:t xml:space="preserve"> Bayesian clustering models are known to overestimate genetic structure in the presence of </w:t>
      </w:r>
      <w:r w:rsidR="0032511F" w:rsidRPr="00A35149">
        <w:rPr>
          <w:rFonts w:asciiTheme="majorBidi" w:hAnsiTheme="majorBidi" w:cstheme="majorBidi"/>
        </w:rPr>
        <w:t xml:space="preserve">IBD </w:t>
      </w:r>
      <w:r w:rsidR="00614AA1" w:rsidRPr="00A35149">
        <w:rPr>
          <w:rFonts w:asciiTheme="majorBidi" w:hAnsiTheme="majorBidi" w:cstheme="majorBidi"/>
          <w:color w:val="4472C4" w:themeColor="accent1"/>
        </w:rPr>
        <w:fldChar w:fldCharType="begin" w:fldLock="1"/>
      </w:r>
      <w:r w:rsidR="00614AA1" w:rsidRPr="00A35149">
        <w:rPr>
          <w:rFonts w:asciiTheme="majorBidi" w:hAnsiTheme="majorBidi" w:cstheme="majorBidi"/>
          <w:color w:val="4472C4" w:themeColor="accent1"/>
          <w:lang w:val="en-US"/>
        </w:rPr>
        <w:instrText>ADDIN CSL_CITATION {"citationItems":[{"id":"ITEM-1","itemData":{"DOI":"10.1111/j.1365-2664.2008.01606.x","ISSN":"00218901","abstract":"1. Spatially explicit Bayesian clustering techniques offer a powerful tool for ecology and wildlife management, as genetic divisions can be correlated with landscape features. We used these methods to analyse the genetic structure of a population of European wild boar Sus scrofa with the aim of identifying effective barriers for disease management units. However, it has been suggested that the methods could produce biased results when faced with deviations from random mating not caused by genetic discontinuities, such as isolation by distance (IBD). 2. We analysed a data set consisting of 697 wild boar multilocus genotypes using spatially explicit (baps, geneland) and non-explicit (structure) Bayesian methods. We also simulated and analysed data sets characterized by different degrees of IBD, with and without genetic discontinuities. 3. When analysing the empirical data set, different programs did not converge on the same clustering solution and some clusters were difficult to explain biologically. Results from the simulated data showed that IBD, also present in the empirical data set, could cause the Bayesian methods to overestimate genetic structure. Simulated barriers were identified correctly, but the programs superimposed further clusters at higher IBD levels. 4. It was not possible to ascertain with confidence whether the clustering solutions offered by the various programs were an accurate reflection of population genetic structure in our empirical data set or were artefacts created by the underlying IBD pattern. 5. Synthesis and applications: We show that Bayesian clustering methods can overestimate genetic structure when analysing an individual-based data set characterized by isolation by distance. This bias could lead to the erroneous delimitation of management or conservation units. Investigators should be critical and suspicious of clusters that cannot be explained biologically. Data sets should be tested for isolation by distance and conclusions should not be based on the output from just one method. © 2009 British Ecological Society.","author":[{"dropping-particle":"","family":"Frantz","given":"A. C.","non-dropping-particle":"","parse-names":false,"suffix":""},{"dropping-particle":"","family":"Cellina","given":"S.","non-dropping-particle":"","parse-names":false,"suffix":""},{"dropping-particle":"","family":"Krier","given":"A.","non-dropping-particle":"","parse-names":false,"suffix":""},{"dropping-particle":"","family":"Schley","given":"L.","non-dropping-particle":"","parse-names":false,"suffix":""},{"dropping-particle":"","family":"Burke","given":"T.","non-dropping-particle":"","parse-names":fals</w:instrText>
      </w:r>
      <w:r w:rsidR="00614AA1" w:rsidRPr="00A35149">
        <w:rPr>
          <w:rFonts w:asciiTheme="majorBidi" w:hAnsiTheme="majorBidi" w:cstheme="majorBidi"/>
          <w:color w:val="4472C4" w:themeColor="accent1"/>
        </w:rPr>
        <w:instrText>e,"suffix":""}],"container-title":"Journal of Applied Ecology","id":"ITEM-1","issue":"2","issued":{"date-parts":[["2009"]]},"page":"493-505","title":"Using spatial Bayesian methods to determine the genetic structure of a continuously distributed population: Clusters or isolation by distance?","type":"article-journal","volume":"46"},"uris":["http://www.mendeley.com/documents/?uuid=c864a62f-a97d-4b5c-a16d-c2fbecd40aa4"]},{"id":"ITEM-2","itemData":{"DOI":"10.3390/ijms12020865","ISSN":"14220067","abstract":"Recently, techniques available for identifying clusters of individuals or boundaries between clusters using genetic data from natural populations have expanded rapidly. Consequently, there is a need to evaluate these different techniques. We used spatially-explicit simulation models to compare three spatial Bayesian clustering programs and two edge detection methods. Spatially-structured populations were simulated where a continuous population was subdivided by barriers. We evaluated the ability of each method to correctly identify boundary locations while varying: (i) time after divergence, (ii) strength of isolation by distance, (iii) level of genetic diversity, and (iv) amount of gene flow across barriers. To further evaluate the methods' effectiveness to detect genetic clusters in natural populations, we used previously published data on North American pumas and a European shrub. Our results show that with simulated and empirical data, the Bayesian spatial clustering algorithms outperformed direct edge detection methods. All methods incorrectly detected boundaries in the presence of strong patterns of isolation by distance. Based on this finding, we support the application of Bayesian spatial clustering algorithms for boundary detection in empirical datasets, with necessary tests for the influence of isolation by distance. © 2011 by the authors; licensee MDPI, Basel, Switzerland.","author":[{"dropping-particle":"","family":"Safner","given":"Toni","non-dropping-particle":"","parse-names":false,"suffix":""},{"dropping-particle":"","family":"Miller","given":"Mark P.","non-dropping-particle":"","parse-names":false,"suffix":""},{"dropping-particle":"","family":"McRae","given":"Brad H.","non-dropping-particle":"","parse-names":false,"suffix":""},{"dropping-particle":"","family":"Fortin","given":"Marie Josée","non-dropping-particle":"","parse-names":false,"suffix":""},{"dropping-particle":"","family":"Manel","given":"Stéphanie","non-dropping-particle":"","parse-names":false,"suffix":""}],"container-title":"International Journal of Molecular Sciences","id":"ITEM-2","issue":"2","issued":{"date-parts":[["2011"]]},"page":"865-889","title":"Comparison of Bayesian clustering and edge detection methods for inferring boundaries in landscape genetics","type":"article-journal","volume":"12"},"uris":["http://www.mendeley.com/documents/?uuid=6a048d2a-e540-4f7b-b935-5470a8b32722"]}],"mendeley":{"formattedCitation":"(Frantz &lt;i&gt;et al.&lt;/i&gt;, 2009; Safner &lt;i&gt;et al.&lt;/i&gt;, 2011)","plainTextFormattedCitation":"(Frantz et al., 2009; Safner et al., 2011)","previouslyFormattedCitation":"(Frantz &lt;i&gt;et al.&lt;/i&gt;, 2009; Safner &lt;i&gt;et al.&lt;/i&gt;, 2011)"},"properties":{"noteIndex":0},"schema":"https://github.com/citation-style-language/schema/raw/master/csl-citation.json"}</w:instrText>
      </w:r>
      <w:r w:rsidR="00614AA1" w:rsidRPr="00A35149">
        <w:rPr>
          <w:rFonts w:asciiTheme="majorBidi" w:hAnsiTheme="majorBidi" w:cstheme="majorBidi"/>
          <w:color w:val="4472C4" w:themeColor="accent1"/>
        </w:rPr>
        <w:fldChar w:fldCharType="separate"/>
      </w:r>
      <w:r w:rsidR="00614AA1" w:rsidRPr="00A35149">
        <w:rPr>
          <w:rFonts w:asciiTheme="majorBidi" w:hAnsiTheme="majorBidi" w:cstheme="majorBidi"/>
          <w:noProof/>
          <w:color w:val="4472C4" w:themeColor="accent1"/>
        </w:rPr>
        <w:t xml:space="preserve">(Frantz </w:t>
      </w:r>
      <w:r w:rsidR="00614AA1" w:rsidRPr="00A35149">
        <w:rPr>
          <w:rFonts w:asciiTheme="majorBidi" w:hAnsiTheme="majorBidi" w:cstheme="majorBidi"/>
          <w:i/>
          <w:noProof/>
          <w:color w:val="4472C4" w:themeColor="accent1"/>
        </w:rPr>
        <w:t>et al.</w:t>
      </w:r>
      <w:r w:rsidR="00614AA1" w:rsidRPr="00A35149">
        <w:rPr>
          <w:rFonts w:asciiTheme="majorBidi" w:hAnsiTheme="majorBidi" w:cstheme="majorBidi"/>
          <w:noProof/>
          <w:color w:val="4472C4" w:themeColor="accent1"/>
        </w:rPr>
        <w:t xml:space="preserve">, 2009; Safner </w:t>
      </w:r>
      <w:r w:rsidR="00614AA1" w:rsidRPr="00A35149">
        <w:rPr>
          <w:rFonts w:asciiTheme="majorBidi" w:hAnsiTheme="majorBidi" w:cstheme="majorBidi"/>
          <w:i/>
          <w:noProof/>
          <w:color w:val="4472C4" w:themeColor="accent1"/>
        </w:rPr>
        <w:t>et al.</w:t>
      </w:r>
      <w:r w:rsidR="00614AA1" w:rsidRPr="00A35149">
        <w:rPr>
          <w:rFonts w:asciiTheme="majorBidi" w:hAnsiTheme="majorBidi" w:cstheme="majorBidi"/>
          <w:noProof/>
          <w:color w:val="4472C4" w:themeColor="accent1"/>
        </w:rPr>
        <w:t>, 2011)</w:t>
      </w:r>
      <w:r w:rsidR="00614AA1" w:rsidRPr="00A35149">
        <w:rPr>
          <w:rFonts w:asciiTheme="majorBidi" w:hAnsiTheme="majorBidi" w:cstheme="majorBidi"/>
          <w:color w:val="4472C4" w:themeColor="accent1"/>
        </w:rPr>
        <w:fldChar w:fldCharType="end"/>
      </w:r>
      <w:r w:rsidR="0032511F" w:rsidRPr="00A35149">
        <w:rPr>
          <w:rFonts w:asciiTheme="majorBidi" w:hAnsiTheme="majorBidi" w:cstheme="majorBidi"/>
        </w:rPr>
        <w:t xml:space="preserve">, which </w:t>
      </w:r>
      <w:r w:rsidRPr="00A35149">
        <w:rPr>
          <w:rFonts w:asciiTheme="majorBidi" w:hAnsiTheme="majorBidi" w:cstheme="majorBidi"/>
        </w:rPr>
        <w:t>highlights the importance of account</w:t>
      </w:r>
      <w:r w:rsidR="0032511F" w:rsidRPr="00A35149">
        <w:rPr>
          <w:rFonts w:asciiTheme="majorBidi" w:hAnsiTheme="majorBidi" w:cstheme="majorBidi"/>
        </w:rPr>
        <w:t>ing</w:t>
      </w:r>
      <w:r w:rsidRPr="00A35149">
        <w:rPr>
          <w:rFonts w:asciiTheme="majorBidi" w:hAnsiTheme="majorBidi" w:cstheme="majorBidi"/>
        </w:rPr>
        <w:t xml:space="preserve"> for other types of structure in the data such as cryptic relatedness. </w:t>
      </w:r>
      <w:r w:rsidR="0032511F" w:rsidRPr="00A35149">
        <w:rPr>
          <w:rFonts w:asciiTheme="majorBidi" w:hAnsiTheme="majorBidi" w:cstheme="majorBidi"/>
        </w:rPr>
        <w:t>A</w:t>
      </w:r>
      <w:r w:rsidRPr="00A35149">
        <w:rPr>
          <w:rFonts w:asciiTheme="majorBidi" w:hAnsiTheme="majorBidi" w:cstheme="majorBidi"/>
        </w:rPr>
        <w:t xml:space="preserve">ttention should be given to the priors used in Bayesian analyses and their effect on the final results </w:t>
      </w:r>
      <w:r w:rsidR="00614AA1" w:rsidRPr="00A35149">
        <w:rPr>
          <w:rFonts w:asciiTheme="majorBidi" w:hAnsiTheme="majorBidi" w:cstheme="majorBidi"/>
          <w:color w:val="4472C4" w:themeColor="accent1"/>
        </w:rPr>
        <w:fldChar w:fldCharType="begin" w:fldLock="1"/>
      </w:r>
      <w:r w:rsidR="00614AA1" w:rsidRPr="00A35149">
        <w:rPr>
          <w:rFonts w:asciiTheme="majorBidi" w:hAnsiTheme="majorBidi" w:cstheme="majorBidi"/>
          <w:color w:val="4472C4" w:themeColor="accent1"/>
        </w:rPr>
        <w:instrText>ADDIN CSL_CITATION {"citationItems":[{"id":"ITEM-1","itemData":{"DOI":"10.1017/sjp.2019.41","ISSN":"19882904","abstract":"Criticism of null hypothesis significance testing, confidence intervals, and frequentist statistics in general has evolved into advocacy of Bayesian analyses with informative priors for strong inference. This paper shows that Bayesian analysis with informative priors is formally equivalent to data falsification because the information carried by the prior can be expressed as the addition of fabricated observations whose statistical characteristics are determined by the parameters of the prior. This property of informative priors makes clear that only the use of non-informative, uniform priors in all types of Bayesian analyses is compatible with standards of research integrity. At the same time, though, Bayesian estimation with uniform priors yields point and interval estimates that are identical or nearly identical to those obtained with frequentist methods. At a qualitative level, frequentist and Bayesian outcomes have different interpretations but they are interchangeable when uniform priors are used. Yet, Bayesian interpretations require either the assumption that population parameters are random variables (which they are not) or an explicit acknowledgment that the posterior distribution (which is thus identical to the likelihood function except for a scale factor) only expresses the researcher's beliefs and not any information about the parameter of concern.","author":[{"dropping-particle":"","family":"García-Pérez","given":"Miguel Ángel","non-dropping-particle":"","parse-names":false,"suffix":""}],"container-title":"The Spanish journal of psychology","id":"ITEM-1","issued":{"date-parts":[["2019"]]},"title":"Bayesian Estimation with Informative Priors is Indistinguishable from Data Falsification","type":"article-journal","volume":"22"},"uris":["http://www.mendeley.com/documents/?uuid=b0892d69-7ffa-4c74-8346-a3fa0fcfe126"]}],"mendeley":{"formattedCitation":"(García-Pérez, 2019)","plainTextFormattedCitation":"(García-Pérez, 2019)","previouslyFormattedCitation":"(García-Pérez, 2019)"},"properties":{"noteIndex":0},"schema":"https://github.com/citation-style-language/schema/raw/master/csl-citation.json"}</w:instrText>
      </w:r>
      <w:r w:rsidR="00614AA1" w:rsidRPr="00A35149">
        <w:rPr>
          <w:rFonts w:asciiTheme="majorBidi" w:hAnsiTheme="majorBidi" w:cstheme="majorBidi"/>
          <w:color w:val="4472C4" w:themeColor="accent1"/>
        </w:rPr>
        <w:fldChar w:fldCharType="separate"/>
      </w:r>
      <w:r w:rsidR="00614AA1" w:rsidRPr="00A35149">
        <w:rPr>
          <w:rFonts w:asciiTheme="majorBidi" w:hAnsiTheme="majorBidi" w:cstheme="majorBidi"/>
          <w:noProof/>
          <w:color w:val="4472C4" w:themeColor="accent1"/>
        </w:rPr>
        <w:t>(García-Pérez, 2019)</w:t>
      </w:r>
      <w:r w:rsidR="00614AA1" w:rsidRPr="00A35149">
        <w:rPr>
          <w:rFonts w:asciiTheme="majorBidi" w:hAnsiTheme="majorBidi" w:cstheme="majorBidi"/>
          <w:color w:val="4472C4" w:themeColor="accent1"/>
        </w:rPr>
        <w:fldChar w:fldCharType="end"/>
      </w:r>
      <w:r w:rsidR="00614AA1" w:rsidRPr="00A35149">
        <w:rPr>
          <w:rFonts w:asciiTheme="majorBidi" w:hAnsiTheme="majorBidi" w:cstheme="majorBidi"/>
        </w:rPr>
        <w:t>.</w:t>
      </w:r>
    </w:p>
    <w:p w14:paraId="00000114" w14:textId="0D12EF1C" w:rsidR="007F6EEB" w:rsidRPr="00A35149" w:rsidRDefault="007F6EEB">
      <w:pPr>
        <w:widowControl w:val="0"/>
        <w:rPr>
          <w:rFonts w:asciiTheme="majorBidi" w:hAnsiTheme="majorBidi" w:cstheme="majorBidi"/>
        </w:rPr>
      </w:pPr>
    </w:p>
    <w:p w14:paraId="00000115" w14:textId="298D076C" w:rsidR="007F6EEB" w:rsidRPr="00A35149" w:rsidRDefault="00D568B1" w:rsidP="002E1E3A">
      <w:pPr>
        <w:pStyle w:val="Heading3"/>
        <w:rPr>
          <w:rFonts w:asciiTheme="majorBidi" w:hAnsiTheme="majorBidi"/>
          <w:color w:val="4472C4" w:themeColor="accent1"/>
        </w:rPr>
      </w:pPr>
      <w:r w:rsidRPr="00A35149">
        <w:rPr>
          <w:rFonts w:asciiTheme="majorBidi" w:hAnsiTheme="majorBidi"/>
          <w:color w:val="4472C4" w:themeColor="accent1"/>
        </w:rPr>
        <w:t>Local ancestry and haplotypes</w:t>
      </w:r>
    </w:p>
    <w:p w14:paraId="58F35F4A" w14:textId="77777777" w:rsidR="000711A7" w:rsidRPr="00A35149" w:rsidRDefault="00430C7C" w:rsidP="000711A7">
      <w:pPr>
        <w:widowControl w:val="0"/>
        <w:ind w:firstLine="720"/>
        <w:rPr>
          <w:rFonts w:asciiTheme="majorBidi" w:hAnsiTheme="majorBidi" w:cstheme="majorBidi"/>
        </w:rPr>
      </w:pPr>
      <w:r w:rsidRPr="00A35149">
        <w:rPr>
          <w:rFonts w:asciiTheme="majorBidi" w:hAnsiTheme="majorBidi" w:cstheme="majorBidi"/>
          <w:i/>
          <w:sz w:val="22"/>
          <w:szCs w:val="22"/>
        </w:rPr>
        <w:t xml:space="preserve"> </w:t>
      </w:r>
    </w:p>
    <w:p w14:paraId="05E62F30" w14:textId="5E8997F1" w:rsidR="00D1779C" w:rsidRPr="00A35149" w:rsidRDefault="00D1779C" w:rsidP="00D1779C">
      <w:pPr>
        <w:widowControl w:val="0"/>
        <w:ind w:firstLine="720"/>
        <w:rPr>
          <w:rFonts w:asciiTheme="majorBidi" w:hAnsiTheme="majorBidi" w:cstheme="majorBidi"/>
        </w:rPr>
      </w:pPr>
      <w:r w:rsidRPr="00A35149">
        <w:rPr>
          <w:rFonts w:asciiTheme="majorBidi" w:hAnsiTheme="majorBidi" w:cstheme="majorBidi"/>
        </w:rPr>
        <w:t>Local ancestry and haplotype tools can be divided into four categories. Here, we will discuss the four most popular tools</w:t>
      </w:r>
      <w:r w:rsidR="00082232" w:rsidRPr="00A35149">
        <w:rPr>
          <w:rFonts w:asciiTheme="majorBidi" w:hAnsiTheme="majorBidi" w:cstheme="majorBidi"/>
        </w:rPr>
        <w:t xml:space="preserve"> </w:t>
      </w:r>
      <w:r w:rsidR="00082232" w:rsidRPr="00A35149">
        <w:rPr>
          <w:rFonts w:asciiTheme="majorBidi" w:hAnsiTheme="majorBidi" w:cstheme="majorBidi"/>
          <w:color w:val="4472C4"/>
        </w:rPr>
        <w:t>(Figure S2)</w:t>
      </w:r>
      <w:r w:rsidRPr="00A35149">
        <w:rPr>
          <w:rFonts w:asciiTheme="majorBidi" w:hAnsiTheme="majorBidi" w:cstheme="majorBidi"/>
        </w:rPr>
        <w:t>:</w:t>
      </w:r>
      <w:r w:rsidRPr="00A35149">
        <w:rPr>
          <w:rFonts w:asciiTheme="majorBidi" w:hAnsiTheme="majorBidi" w:cstheme="majorBidi"/>
          <w:i/>
        </w:rPr>
        <w:t xml:space="preserve"> </w:t>
      </w:r>
      <w:r w:rsidR="002C2571" w:rsidRPr="00A35149">
        <w:rPr>
          <w:rFonts w:asciiTheme="majorBidi" w:hAnsiTheme="majorBidi" w:cstheme="majorBidi"/>
          <w:i/>
        </w:rPr>
        <w:t xml:space="preserve">HAPMIX, </w:t>
      </w:r>
      <w:proofErr w:type="spellStart"/>
      <w:r w:rsidRPr="00A35149">
        <w:rPr>
          <w:rFonts w:asciiTheme="majorBidi" w:hAnsiTheme="majorBidi" w:cstheme="majorBidi"/>
          <w:i/>
        </w:rPr>
        <w:t>ChromoPainter</w:t>
      </w:r>
      <w:proofErr w:type="spellEnd"/>
      <w:r w:rsidRPr="00A35149">
        <w:rPr>
          <w:rFonts w:asciiTheme="majorBidi" w:hAnsiTheme="majorBidi" w:cstheme="majorBidi"/>
          <w:i/>
        </w:rPr>
        <w:t>, LAMP, and LAMP-</w:t>
      </w:r>
      <w:proofErr w:type="gramStart"/>
      <w:r w:rsidRPr="00A35149">
        <w:rPr>
          <w:rFonts w:asciiTheme="majorBidi" w:hAnsiTheme="majorBidi" w:cstheme="majorBidi"/>
          <w:i/>
        </w:rPr>
        <w:t>LD</w:t>
      </w:r>
      <w:r w:rsidRPr="00A35149">
        <w:rPr>
          <w:rFonts w:asciiTheme="majorBidi" w:hAnsiTheme="majorBidi" w:cstheme="majorBidi"/>
        </w:rPr>
        <w:t xml:space="preserve"> </w:t>
      </w:r>
      <w:r w:rsidRPr="00A35149">
        <w:rPr>
          <w:rFonts w:asciiTheme="majorBidi" w:hAnsiTheme="majorBidi" w:cstheme="majorBidi"/>
          <w:color w:val="4472C4"/>
        </w:rPr>
        <w:t xml:space="preserve"> (</w:t>
      </w:r>
      <w:proofErr w:type="gramEnd"/>
      <w:r w:rsidRPr="00A35149">
        <w:rPr>
          <w:rFonts w:asciiTheme="majorBidi" w:hAnsiTheme="majorBidi" w:cstheme="majorBidi"/>
          <w:color w:val="4472C4"/>
        </w:rPr>
        <w:t>Table S2)</w:t>
      </w:r>
      <w:r w:rsidRPr="00A35149">
        <w:rPr>
          <w:rFonts w:asciiTheme="majorBidi" w:hAnsiTheme="majorBidi" w:cstheme="majorBidi"/>
        </w:rPr>
        <w:t>.</w:t>
      </w:r>
    </w:p>
    <w:p w14:paraId="01E78D95" w14:textId="77777777" w:rsidR="002C2571" w:rsidRPr="00A35149" w:rsidRDefault="002C2571" w:rsidP="00D1779C">
      <w:pPr>
        <w:widowControl w:val="0"/>
        <w:ind w:firstLine="720"/>
        <w:rPr>
          <w:rFonts w:asciiTheme="majorBidi" w:hAnsiTheme="majorBidi" w:cstheme="majorBidi"/>
        </w:rPr>
      </w:pPr>
    </w:p>
    <w:p w14:paraId="0B9B7633" w14:textId="0104F38B" w:rsidR="000711A7" w:rsidRPr="00A35149" w:rsidRDefault="000711A7" w:rsidP="000711A7">
      <w:pPr>
        <w:widowControl w:val="0"/>
        <w:ind w:firstLine="720"/>
        <w:rPr>
          <w:rFonts w:asciiTheme="majorBidi" w:hAnsiTheme="majorBidi" w:cstheme="majorBidi"/>
        </w:rPr>
      </w:pPr>
      <w:r w:rsidRPr="00A35149">
        <w:rPr>
          <w:rFonts w:asciiTheme="majorBidi" w:hAnsiTheme="majorBidi" w:cstheme="majorBidi"/>
          <w:i/>
        </w:rPr>
        <w:t>HAPMIX</w:t>
      </w:r>
      <w:r w:rsidRPr="00A35149">
        <w:rPr>
          <w:rFonts w:asciiTheme="majorBidi" w:hAnsiTheme="majorBidi" w:cstheme="majorBidi"/>
        </w:rPr>
        <w:t xml:space="preserve"> </w:t>
      </w:r>
      <w:r w:rsidRPr="00A35149">
        <w:rPr>
          <w:rFonts w:asciiTheme="majorBidi" w:hAnsiTheme="majorBidi" w:cstheme="majorBidi"/>
          <w:color w:val="4472C4"/>
        </w:rPr>
        <w:t xml:space="preserve">(Price </w:t>
      </w:r>
      <w:r w:rsidRPr="00A35149">
        <w:rPr>
          <w:rFonts w:asciiTheme="majorBidi" w:hAnsiTheme="majorBidi" w:cstheme="majorBidi"/>
          <w:i/>
          <w:color w:val="4472C4"/>
        </w:rPr>
        <w:t>et al.</w:t>
      </w:r>
      <w:r w:rsidRPr="00A35149">
        <w:rPr>
          <w:rFonts w:asciiTheme="majorBidi" w:hAnsiTheme="majorBidi" w:cstheme="majorBidi"/>
          <w:color w:val="4472C4"/>
        </w:rPr>
        <w:t xml:space="preserve">, 2009) </w:t>
      </w:r>
      <w:r w:rsidRPr="00A35149">
        <w:rPr>
          <w:rFonts w:asciiTheme="majorBidi" w:hAnsiTheme="majorBidi" w:cstheme="majorBidi"/>
        </w:rPr>
        <w:t>is a popular approach that was limited to only two source populations</w:t>
      </w:r>
      <w:r w:rsidR="002C2571" w:rsidRPr="00A35149">
        <w:rPr>
          <w:rFonts w:asciiTheme="majorBidi" w:hAnsiTheme="majorBidi" w:cstheme="majorBidi"/>
        </w:rPr>
        <w:t xml:space="preserve"> and is unsuitable to biobanks</w:t>
      </w:r>
      <w:r w:rsidRPr="00A35149">
        <w:rPr>
          <w:rFonts w:asciiTheme="majorBidi" w:hAnsiTheme="majorBidi" w:cstheme="majorBidi"/>
        </w:rPr>
        <w:t xml:space="preserve">. </w:t>
      </w:r>
      <w:r w:rsidR="002C2571" w:rsidRPr="00A35149">
        <w:rPr>
          <w:rFonts w:asciiTheme="majorBidi" w:hAnsiTheme="majorBidi" w:cstheme="majorBidi"/>
        </w:rPr>
        <w:t xml:space="preserve">The biological parameters that </w:t>
      </w:r>
      <w:r w:rsidR="002C2571" w:rsidRPr="00A35149">
        <w:rPr>
          <w:rFonts w:asciiTheme="majorBidi" w:hAnsiTheme="majorBidi" w:cstheme="majorBidi"/>
          <w:i/>
        </w:rPr>
        <w:t>HAPMIX</w:t>
      </w:r>
      <w:r w:rsidR="002C2571" w:rsidRPr="00A35149">
        <w:rPr>
          <w:rFonts w:asciiTheme="majorBidi" w:hAnsiTheme="majorBidi" w:cstheme="majorBidi"/>
        </w:rPr>
        <w:t xml:space="preserve"> requests (e.g., genetic maps, recombination and mutation rate, average ancestry coefficients, and the average number of generations since admixture) are typically unknown </w:t>
      </w:r>
      <w:r w:rsidR="002C2571" w:rsidRPr="00A35149">
        <w:rPr>
          <w:rFonts w:asciiTheme="majorBidi" w:hAnsiTheme="majorBidi" w:cstheme="majorBidi"/>
          <w:color w:val="4472C4" w:themeColor="accent1"/>
        </w:rPr>
        <w:fldChar w:fldCharType="begin" w:fldLock="1"/>
      </w:r>
      <w:r w:rsidR="002C2571" w:rsidRPr="00A35149">
        <w:rPr>
          <w:rFonts w:asciiTheme="majorBidi" w:hAnsiTheme="majorBidi" w:cstheme="majorBidi"/>
          <w:color w:val="4472C4" w:themeColor="accent1"/>
        </w:rPr>
        <w:instrText>ADDIN CSL_CITATION {"citationItems":[{"id":"ITEM-1","itemData":{"DOI":"10.1093/molbev/msy126","ISSN":"15371719","abstract":"Admixture between populations provides opportunity to study biological adaptation and phenotypic variation. Admixture studies can rely on local ancestry inference for admixed individuals, which consists of computing at each locus the number of copies that originate from ancestral source populations. Existing software packages for local ancestry inference are tuned to provide accurate results on human data and recent admixture events. Here, we introduce Loter, an open-source software package that does not require any biological parameter besides haplotype data in order to make local ancestry inference available for a wide range of species. Using simulations, we compare the performance of Loter to HAPMIX, LAMP-LD, and RFMix. HAPMIX is the only software severely impacted by imperfect haplotype reconstruction. Loter is the less impacted software by increasing admixture time when considering simulated and admixed human genotypes. LAMP-LD and RFMIX are the most accurate method when admixture took place 20 generations ago or less; Loter accuracy is comparable or better than RFMix accuracy when admixture took place of 50 or more generations; and its accuracy is the largest when admixture is more ancient than 150 generations. For simulations of admixed Populus genotypes, Loter and LAMP-LD are robust to increasing admixture times by contrast to RFMix. When comparing length of reconstructed and true ancestry tracts, Loter and LAMP-LD provide results whose accuracy is again more robust than RFMix to increasing admixture times. We apply Loter to admixed Populus individuals and lengths of ancestry tracts indicate that admixture took place around 100 generations ago.","author":[{"dropping-particle":"","family":"Dias-Alves","given":"Thomas","non-dropping-particle":"","parse-names":false,"suffix":""},{"dropping-particle":"","family":"Mairal","given":"Julien","non-dropping-particle":"","parse-names":false,"suffix":""},{"dropping-particle":"","family":"Blum","given":"Michael G.B.","non-dropping-particle":"","parse-names":false,"suffix":""}],"container-title":"Molecular Biology and Evolution","id":"ITEM-1","issue":"9","issued":{"date-parts":[["2018"]]},"page":"2318-2326","title":"Loter: A software package to infer local ancestry for a wide range of species","type":"article-journal","volume":"35"},"uris":["http://www.mendeley.com/documents/?uuid=fe83f7be-6588-4ec2-9837-427efc4fba31"]}],"mendeley":{"formattedCitation":"(Dias-Alves, Mairal and Blum, 2018)","plainTextFormattedCitation":"(Dias-Alves, Mairal and Blum, 2018)","previouslyFormattedCitation":"(Dias-Alves, Mairal and Blum, 2018)"},"properties":{"noteIndex":0},"schema":"https://github.com/citation-style-language/schema/raw/master/csl-citation.json"}</w:instrText>
      </w:r>
      <w:r w:rsidR="002C2571" w:rsidRPr="00A35149">
        <w:rPr>
          <w:rFonts w:asciiTheme="majorBidi" w:hAnsiTheme="majorBidi" w:cstheme="majorBidi"/>
          <w:color w:val="4472C4" w:themeColor="accent1"/>
        </w:rPr>
        <w:fldChar w:fldCharType="separate"/>
      </w:r>
      <w:r w:rsidR="002C2571" w:rsidRPr="00A35149">
        <w:rPr>
          <w:rFonts w:asciiTheme="majorBidi" w:hAnsiTheme="majorBidi" w:cstheme="majorBidi"/>
          <w:noProof/>
          <w:color w:val="4472C4" w:themeColor="accent1"/>
        </w:rPr>
        <w:t>(Dias-Alves, Mairal and Blum, 2018)</w:t>
      </w:r>
      <w:r w:rsidR="002C2571" w:rsidRPr="00A35149">
        <w:rPr>
          <w:rFonts w:asciiTheme="majorBidi" w:hAnsiTheme="majorBidi" w:cstheme="majorBidi"/>
          <w:color w:val="4472C4" w:themeColor="accent1"/>
        </w:rPr>
        <w:fldChar w:fldCharType="end"/>
      </w:r>
      <w:r w:rsidR="002C2571" w:rsidRPr="00A35149">
        <w:rPr>
          <w:rFonts w:asciiTheme="majorBidi" w:hAnsiTheme="majorBidi" w:cstheme="majorBidi"/>
        </w:rPr>
        <w:t xml:space="preserve">. </w:t>
      </w:r>
      <w:r w:rsidRPr="00A35149">
        <w:rPr>
          <w:rFonts w:asciiTheme="majorBidi" w:hAnsiTheme="majorBidi" w:cstheme="majorBidi"/>
        </w:rPr>
        <w:t xml:space="preserve">The more recent </w:t>
      </w:r>
      <w:r w:rsidRPr="00A35149">
        <w:rPr>
          <w:rFonts w:asciiTheme="majorBidi" w:hAnsiTheme="majorBidi" w:cstheme="majorBidi"/>
          <w:i/>
          <w:iCs/>
        </w:rPr>
        <w:t>MOSAIC</w:t>
      </w:r>
      <w:r w:rsidRPr="00A35149">
        <w:rPr>
          <w:rFonts w:asciiTheme="majorBidi" w:hAnsiTheme="majorBidi" w:cstheme="majorBidi"/>
        </w:rPr>
        <w:t xml:space="preserve"> </w:t>
      </w:r>
      <w:r w:rsidRPr="00A35149">
        <w:rPr>
          <w:rFonts w:asciiTheme="majorBidi" w:hAnsiTheme="majorBidi" w:cstheme="majorBidi"/>
          <w:color w:val="4472C4" w:themeColor="accent1"/>
        </w:rPr>
        <w:fldChar w:fldCharType="begin" w:fldLock="1"/>
      </w:r>
      <w:r w:rsidRPr="00A35149">
        <w:rPr>
          <w:rFonts w:asciiTheme="majorBidi" w:hAnsiTheme="majorBidi" w:cstheme="majorBidi"/>
          <w:color w:val="4472C4" w:themeColor="accent1"/>
        </w:rPr>
        <w:instrText>ADDIN CSL_CITATION {"citationItems":[{"id":"ITEM-1","itemData":{"DOI":"10.1534/genetics.119.302139","ISSN":"19432631","abstract":"We present an algorithm for inferring ancestry segments and characterizing admixture events, which involve an arbitrary number of genetically differentiated groups coming together. This allows inference of the demographic history of the species, properties of admixing groups, identification of signatures of natural selection, and may aid disease gene mapping. The algorithm employs nested hidden Markov models to obtain local ancestry estimation along the genome for each admixed individual. In a range of simulations, the accuracy of these estimates equals or exceeds leading existing methods. Moreover, and unlike these approaches, we do not require any prior knowledge of the relationship between subgroups of donor reference haplotypes and the unseen mixing ancestral populations. Our approach infers these in terms of conditional “copying probabilities.” In application to the Human Genome Diversity Project, we corroborate many previously inferred admixture events (e.g., an ancient admixture event in the Kalash). We further identify novel events such as complex four-way admixture in San-Khomani individuals, and show that Eastern European populations possess 123% ancestry from a group resembling modern-day central Asians. We also identify evidence of recent natural selection favoring sub-Saharan ancestry at the human leukocyte antigen (HLA) region, across North African individuals. We make available an R and C++ software library, which we term MOSAIC (which stands for MOSAIC Organizes Segments of Ancestry In Chromosomes).","author":[{"dropping-particle":"","family":"Salter-Townshend","given":"Michael","non-dropping-particle":"","parse-names":false,"suffix":""},{"dropping-particle":"","family":"Myers","given":"Simon","non-dropping-particle":"","parse-names":false,"suffix":""}],"container-title":"Genetics","id":"ITEM-1","issue":"3","issued":{"date-parts":[["2019"]]},"page":"869-889","title":"Fine-scale inference of ancestry segments without prior knowledge of admixing groups","type":"article-journal","volume":"212"},"uris":["http://www.mendeley.com/documents/?uuid=3b2fe130-9b0b-48de-a01f-460e2d76c3fb"]}],"mendeley":{"formattedCitation":"(Salter-Townshend and Myers, 2019)","plainTextFormattedCitation":"(Salter-Townshend and Myers, 2019)","previouslyFormattedCitation":"(Salter-Townshend and Myers, 2019)"},"properties":{"noteIndex":0},"schema":"https://github.com/citation-style-language/schema/raw/master/csl-citation.json"}</w:instrText>
      </w:r>
      <w:r w:rsidRPr="00A35149">
        <w:rPr>
          <w:rFonts w:asciiTheme="majorBidi" w:hAnsiTheme="majorBidi" w:cstheme="majorBidi"/>
          <w:color w:val="4472C4" w:themeColor="accent1"/>
        </w:rPr>
        <w:fldChar w:fldCharType="separate"/>
      </w:r>
      <w:r w:rsidRPr="00A35149">
        <w:rPr>
          <w:rFonts w:asciiTheme="majorBidi" w:hAnsiTheme="majorBidi" w:cstheme="majorBidi"/>
          <w:noProof/>
          <w:color w:val="4472C4" w:themeColor="accent1"/>
        </w:rPr>
        <w:t>(Salter-Townshend and Myers, 2019)</w:t>
      </w:r>
      <w:r w:rsidRPr="00A35149">
        <w:rPr>
          <w:rFonts w:asciiTheme="majorBidi" w:hAnsiTheme="majorBidi" w:cstheme="majorBidi"/>
          <w:color w:val="4472C4" w:themeColor="accent1"/>
        </w:rPr>
        <w:fldChar w:fldCharType="end"/>
      </w:r>
      <w:r w:rsidRPr="00A35149">
        <w:rPr>
          <w:rFonts w:asciiTheme="majorBidi" w:hAnsiTheme="majorBidi" w:cstheme="majorBidi"/>
          <w:color w:val="4472C4" w:themeColor="accent1"/>
        </w:rPr>
        <w:t>,</w:t>
      </w:r>
      <w:r w:rsidRPr="00A35149">
        <w:rPr>
          <w:rFonts w:asciiTheme="majorBidi" w:hAnsiTheme="majorBidi" w:cstheme="majorBidi"/>
        </w:rPr>
        <w:t xml:space="preserve"> places an HMM over the haplotype estimation performed by </w:t>
      </w:r>
      <w:proofErr w:type="spellStart"/>
      <w:r w:rsidRPr="00A35149">
        <w:rPr>
          <w:rFonts w:asciiTheme="majorBidi" w:hAnsiTheme="majorBidi" w:cstheme="majorBidi"/>
          <w:i/>
          <w:iCs/>
        </w:rPr>
        <w:t>Chromopainter</w:t>
      </w:r>
      <w:proofErr w:type="spellEnd"/>
      <w:r w:rsidRPr="00A35149">
        <w:rPr>
          <w:rFonts w:asciiTheme="majorBidi" w:hAnsiTheme="majorBidi" w:cstheme="majorBidi"/>
        </w:rPr>
        <w:t xml:space="preserve">, to learn how frequently haplotypes from different ancestries appear in unadmixed ancestries. </w:t>
      </w:r>
      <w:r w:rsidR="002C2571" w:rsidRPr="00A35149">
        <w:rPr>
          <w:rFonts w:asciiTheme="majorBidi" w:hAnsiTheme="majorBidi" w:cstheme="majorBidi"/>
        </w:rPr>
        <w:t>It is therefore plausible to run at biobank scales in principle, though considerable effort would be required to report and use the per-SNP ancestry information returned.</w:t>
      </w:r>
    </w:p>
    <w:p w14:paraId="41B1D4FD" w14:textId="704FCF01" w:rsidR="000A60C1" w:rsidRPr="00A35149" w:rsidRDefault="007D4A7E">
      <w:pPr>
        <w:widowControl w:val="0"/>
        <w:rPr>
          <w:rFonts w:asciiTheme="majorBidi" w:hAnsiTheme="majorBidi" w:cstheme="majorBidi"/>
        </w:rPr>
      </w:pPr>
      <w:r w:rsidRPr="00A35149">
        <w:rPr>
          <w:rFonts w:asciiTheme="majorBidi" w:hAnsiTheme="majorBidi" w:cstheme="majorBidi"/>
        </w:rPr>
        <w:tab/>
      </w:r>
    </w:p>
    <w:p w14:paraId="24F74844" w14:textId="4CA85714" w:rsidR="002C2571" w:rsidRPr="00A35149" w:rsidRDefault="007D4A7E">
      <w:pPr>
        <w:widowControl w:val="0"/>
        <w:rPr>
          <w:rFonts w:asciiTheme="majorBidi" w:hAnsiTheme="majorBidi" w:cstheme="majorBidi"/>
          <w:i/>
          <w:sz w:val="22"/>
          <w:szCs w:val="22"/>
        </w:rPr>
      </w:pPr>
      <w:r w:rsidRPr="00A35149">
        <w:rPr>
          <w:rFonts w:asciiTheme="majorBidi" w:hAnsiTheme="majorBidi" w:cstheme="majorBidi"/>
        </w:rPr>
        <w:tab/>
      </w:r>
      <w:r w:rsidR="000711A7" w:rsidRPr="00A35149">
        <w:rPr>
          <w:rFonts w:asciiTheme="majorBidi" w:hAnsiTheme="majorBidi" w:cstheme="majorBidi"/>
          <w:i/>
        </w:rPr>
        <w:t xml:space="preserve">LAMP </w:t>
      </w:r>
      <w:r w:rsidR="000711A7" w:rsidRPr="00A35149">
        <w:rPr>
          <w:rFonts w:asciiTheme="majorBidi" w:hAnsiTheme="majorBidi" w:cstheme="majorBidi"/>
          <w:iCs/>
        </w:rPr>
        <w:t>and</w:t>
      </w:r>
      <w:r w:rsidR="000711A7" w:rsidRPr="00A35149">
        <w:rPr>
          <w:rFonts w:asciiTheme="majorBidi" w:hAnsiTheme="majorBidi" w:cstheme="majorBidi"/>
          <w:i/>
        </w:rPr>
        <w:t xml:space="preserve"> LAMP-LD</w:t>
      </w:r>
      <w:r w:rsidR="000711A7" w:rsidRPr="00A35149">
        <w:rPr>
          <w:rFonts w:asciiTheme="majorBidi" w:hAnsiTheme="majorBidi" w:cstheme="majorBidi"/>
        </w:rPr>
        <w:t xml:space="preserve"> </w:t>
      </w:r>
      <w:r w:rsidR="002C2571" w:rsidRPr="00A35149">
        <w:rPr>
          <w:rFonts w:asciiTheme="majorBidi" w:hAnsiTheme="majorBidi" w:cstheme="majorBidi"/>
        </w:rPr>
        <w:t xml:space="preserve">work effectively with three-way admixture and </w:t>
      </w:r>
      <w:r w:rsidR="000711A7" w:rsidRPr="00A35149">
        <w:rPr>
          <w:rFonts w:asciiTheme="majorBidi" w:hAnsiTheme="majorBidi" w:cstheme="majorBidi"/>
        </w:rPr>
        <w:t xml:space="preserve">gain a computational advantage by ascribing ancestry to pre-defined windows, though neither scales beyond hundreds of samples or tens of thousands of SNPs </w:t>
      </w:r>
      <w:r w:rsidR="000711A7" w:rsidRPr="00A35149">
        <w:rPr>
          <w:rFonts w:asciiTheme="majorBidi" w:hAnsiTheme="majorBidi" w:cstheme="majorBidi"/>
          <w:color w:val="4472C4"/>
        </w:rPr>
        <w:fldChar w:fldCharType="begin" w:fldLock="1"/>
      </w:r>
      <w:r w:rsidR="000711A7" w:rsidRPr="00A35149">
        <w:rPr>
          <w:rFonts w:asciiTheme="majorBidi" w:hAnsiTheme="majorBidi" w:cstheme="majorBidi"/>
          <w:color w:val="4472C4"/>
        </w:rPr>
        <w:instrText>ADDIN CSL_CITATION {"citationItems":[{"id":"ITEM-1","itemData":{"DOI":"10.1093/bioinformatics/bts144","ISSN":"13674803","abstract":"MOTIVATION It is becoming increasingly evident that the analysis of genotype data from recently admixed populations is providing important insights into medical genetics and population history. Such analyses have been used to identify novel disease loci, to understand recombination rate variation and to detect recent selection events. The utility of such studies crucially depends on accurate and unbiased estimation of the ancestry at every genomic locus in recently admixed populations. Although various methods have been proposed and shown to be extremely accurate in two-way admixtures (e.g. African Americans), only a few approaches have been proposed and thoroughly benchmarked on multi-way admixtures (e.g. Latino populations of the Americas). RESULTS To address these challenges we introduce here methods for local ancestry inference which leverage the structure of linkage disequilibrium in the ancestral population (LAMP-LD), and incorporate the constraint of Mendelian segregation when inferring local ancestry in nuclear family trios (LAMP-HAP). Our algorithms uniquely combine hidden Markov models (HMMs) of haplotype diversity within a novel window-based framework to achieve superior accuracy as compared with published methods. Further, unlike previous methods, the structure of our HMM does not depend on the number of reference haplotypes but on a fixed constant, and it is thereby capable of utilizing large datasets while remaining highly efficient and robust to over-fitting. Through simulations and analysis of real data from 489 nuclear trio families from the mainland US, Puerto Rico and Mexico, we demonstrate that our methods achieve superior accuracy compared with published methods for local ancestry inference in Latinos.","author":[{"dropping-particle":"","family":"Baran","given":"Yael","non-dropping-particle":"","parse-names":false,"suffix":""},{"dropping-particle":"","family":"Pasaniuc","given":"Bogdan","non-dropping-particle":"","parse-names":false,"suffix":""},{"dropping-particle":"","family":"Sankararaman","given":"Sriram","non-dropping-particle":"","parse-names":false,"suffix":""},{"dropping-particle":"","family":"Torgerson","given":"Dara G.","non-dropping-particle":"","parse-names":false,"suffix":""},{"dropping-particle":"","family":"Gignoux","given":"Christopher","non-dropping-particle":"","parse-names":false,"suffix":""},{"dropping-particle":"","family":"Eng","given":"Celeste","non-dropping-particle":"","parse-names":false,"suffix":""},{"dropping-particle":"","family":"Rodriguez-Cintron","given":"William","non-dropping-particle":"","parse-names":false,"suffix":""},{"dropping-particle":"","family":"Chapela","given":"Rocio","non-dropping-particle":"","parse-names":false,"suffix":""},{"dropping-particle":"","family":"Ford","given":"Jean G.","non-dropping-particle":"","parse-names":false,"suffix":""},{"dropping-particle":"","family":"Avila","given":"Pedro C.","non-dropping-particle":"","parse-names":false,"suffix":""},{"dropping-particle":"","family":"Rodriguez-Santana","given":"Jose","non-dropping-particle":"","parse-names":false,"suffix":""},{"dropping-particle":"","family":"Burchard","given":"Esteban Gonzàlez","non-dropping-particle":"","parse-names":false,"suffix":""},{"dropping-particle":"","family":"Halperin","given":"Eran","non-dropping-particle":"","parse-names":false,"suffix":""}],"container-title":"Bioinformatics","id":"ITEM-1","issue":"10","issued":{"date-parts":[["2012"]]},"page":"1359-1367","title":"Fast and accurate inference of local ancestry in Latino populations","type":"article-journal","volume":"28"},"uris":["http://www.mendeley.com/documents/?uuid=41e93e6b-2d44-4a21-8156-3265cb233581"]}],"mendeley":{"formattedCitation":"(Baran &lt;i&gt;et al.&lt;/i&gt;, 2012)","plainTextFormattedCitation":"(Baran et al., 2012)","previouslyFormattedCitation":"(Baran &lt;i&gt;et al.&lt;/i&gt;, 2012)"},"properties":{"noteIndex":0},"schema":"https://github.com/citation-style-language/schema/raw/master/csl-citation.json"}</w:instrText>
      </w:r>
      <w:r w:rsidR="000711A7" w:rsidRPr="00A35149">
        <w:rPr>
          <w:rFonts w:asciiTheme="majorBidi" w:hAnsiTheme="majorBidi" w:cstheme="majorBidi"/>
          <w:color w:val="4472C4"/>
        </w:rPr>
        <w:fldChar w:fldCharType="separate"/>
      </w:r>
      <w:r w:rsidR="000711A7" w:rsidRPr="00A35149">
        <w:rPr>
          <w:rFonts w:asciiTheme="majorBidi" w:hAnsiTheme="majorBidi" w:cstheme="majorBidi"/>
          <w:noProof/>
          <w:color w:val="4472C4"/>
        </w:rPr>
        <w:t xml:space="preserve">(Baran </w:t>
      </w:r>
      <w:r w:rsidR="000711A7" w:rsidRPr="00A35149">
        <w:rPr>
          <w:rFonts w:asciiTheme="majorBidi" w:hAnsiTheme="majorBidi" w:cstheme="majorBidi"/>
          <w:i/>
          <w:noProof/>
          <w:color w:val="4472C4"/>
        </w:rPr>
        <w:t>et al.</w:t>
      </w:r>
      <w:r w:rsidR="000711A7" w:rsidRPr="00A35149">
        <w:rPr>
          <w:rFonts w:asciiTheme="majorBidi" w:hAnsiTheme="majorBidi" w:cstheme="majorBidi"/>
          <w:noProof/>
          <w:color w:val="4472C4"/>
        </w:rPr>
        <w:t>, 2012)</w:t>
      </w:r>
      <w:r w:rsidR="000711A7" w:rsidRPr="00A35149">
        <w:rPr>
          <w:rFonts w:asciiTheme="majorBidi" w:hAnsiTheme="majorBidi" w:cstheme="majorBidi"/>
          <w:color w:val="4472C4"/>
        </w:rPr>
        <w:fldChar w:fldCharType="end"/>
      </w:r>
      <w:r w:rsidR="000711A7" w:rsidRPr="00A35149">
        <w:rPr>
          <w:rFonts w:asciiTheme="majorBidi" w:hAnsiTheme="majorBidi" w:cstheme="majorBidi"/>
          <w:color w:val="4472C4"/>
        </w:rPr>
        <w:t xml:space="preserve"> </w:t>
      </w:r>
      <w:r w:rsidR="000711A7" w:rsidRPr="00A35149">
        <w:rPr>
          <w:rFonts w:asciiTheme="majorBidi" w:hAnsiTheme="majorBidi" w:cstheme="majorBidi"/>
        </w:rPr>
        <w:t xml:space="preserve">and are hence </w:t>
      </w:r>
      <w:r w:rsidR="000711A7" w:rsidRPr="00A35149">
        <w:rPr>
          <w:rFonts w:asciiTheme="majorBidi" w:hAnsiTheme="majorBidi" w:cstheme="majorBidi"/>
        </w:rPr>
        <w:lastRenderedPageBreak/>
        <w:t xml:space="preserve">both inapplicable for biobanks </w:t>
      </w:r>
      <w:r w:rsidR="000711A7" w:rsidRPr="00A35149">
        <w:rPr>
          <w:rFonts w:asciiTheme="majorBidi" w:hAnsiTheme="majorBidi" w:cstheme="majorBidi"/>
          <w:color w:val="4472C4" w:themeColor="accent1"/>
        </w:rPr>
        <w:fldChar w:fldCharType="begin" w:fldLock="1"/>
      </w:r>
      <w:r w:rsidR="000711A7" w:rsidRPr="00A35149">
        <w:rPr>
          <w:rFonts w:asciiTheme="majorBidi" w:hAnsiTheme="majorBidi" w:cstheme="majorBidi"/>
          <w:color w:val="4472C4" w:themeColor="accent1"/>
        </w:rPr>
        <w:instrText>ADDIN CSL_CITATION {"citationItems":[{"id":"ITEM-1","itemData":{"DOI":"10.1093/molbev/msy126","ISSN":"15371719","abstract":"Admixture between populations provides opportunity to study biological adaptation and phenotypic variation. Admixture studies can rely on local ancestry inference for admixed individuals, which consists of computing at each locus the number of copies that originate from ancestral source populations. Existing software packages for local ancestry inference are tuned to provide accurate results on human data and recent admixture events. Here, we introduce Loter, an open-source software package that does not require any biological parameter besides haplotype data in order to make local ancestry inference available for a wide range of species. Using simulations, we compare the performance of Loter to HAPMIX, LAMP-LD, and RFMix. HAPMIX is the only software severely impacted by imperfect haplotype reconstruction. Loter is the less impacted software by increasing admixture time when considering simulated and admixed human genotypes. LAMP-LD and RFMIX are the most accurate method when admixture took place 20 generations ago or less; Loter accuracy is comparable or better than RFMix accuracy when admixture took place of 50 or more generations; and its accuracy is the largest when admixture is more ancient than 150 generations. For simulations of admixed Populus genotypes, Loter and LAMP-LD are robust to increasing admixture times by contrast to RFMix. When comparing length of reconstructed and true ancestry tracts, Loter and LAMP-LD provide results whose accuracy is again more robust than RFMix to increasing admixture times. We apply Loter to admixed Populus individuals and lengths of ancestry tracts indicate that admixture took place around 100 generations ago.","author":[{"dropping-particle":"","family":"Dias-Alves","given":"Thomas","non-dropping-particle":"","parse-names":false,"suffix":""},{"dropping-particle":"","family":"Mairal","given":"Julien","non-dropping-particle":"","parse-names":false,"suffix":""},{"dropping-particle":"","family":"Blum","given":"Michael G.B.","non-dropping-particle":"","parse-names":false,"suffix":""}],"container-title":"Molecular Biology and Evolution","id":"ITEM-1","issue":"9","issued":{"date-parts":[["2018"]]},"page":"2318-2326","title":"Loter: A software package to infer local ancestry for a wide range of species","type":"article-journal","volume":"35"},"uris":["http://www.mendeley.com/documents/?uuid=fe83f7be-6588-4ec2-9837-427efc4fba31"]}],"mendeley":{"formattedCitation":"(Dias-Alves, Mairal and Blum, 2018)","plainTextFormattedCitation":"(Dias-Alves, Mairal and Blum, 2018)","previouslyFormattedCitation":"(Dias-Alves, Mairal and Blum, 2018)"},"properties":{"noteIndex":0},"schema":"https://github.com/citation-style-language/schema/raw/master/csl-citation.json"}</w:instrText>
      </w:r>
      <w:r w:rsidR="000711A7" w:rsidRPr="00A35149">
        <w:rPr>
          <w:rFonts w:asciiTheme="majorBidi" w:hAnsiTheme="majorBidi" w:cstheme="majorBidi"/>
          <w:color w:val="4472C4" w:themeColor="accent1"/>
        </w:rPr>
        <w:fldChar w:fldCharType="separate"/>
      </w:r>
      <w:r w:rsidR="000711A7" w:rsidRPr="00A35149">
        <w:rPr>
          <w:rFonts w:asciiTheme="majorBidi" w:hAnsiTheme="majorBidi" w:cstheme="majorBidi"/>
          <w:noProof/>
          <w:color w:val="4472C4" w:themeColor="accent1"/>
        </w:rPr>
        <w:t>(Dias-Alves, Mairal and Blum, 2018)</w:t>
      </w:r>
      <w:r w:rsidR="000711A7" w:rsidRPr="00A35149">
        <w:rPr>
          <w:rFonts w:asciiTheme="majorBidi" w:hAnsiTheme="majorBidi" w:cstheme="majorBidi"/>
          <w:color w:val="4472C4" w:themeColor="accent1"/>
        </w:rPr>
        <w:fldChar w:fldCharType="end"/>
      </w:r>
      <w:r w:rsidR="000711A7" w:rsidRPr="00A35149">
        <w:rPr>
          <w:rFonts w:asciiTheme="majorBidi" w:hAnsiTheme="majorBidi" w:cstheme="majorBidi"/>
        </w:rPr>
        <w:t xml:space="preserve">. </w:t>
      </w:r>
    </w:p>
    <w:p w14:paraId="05E72363" w14:textId="77777777" w:rsidR="007D4A7E" w:rsidRPr="00A35149" w:rsidRDefault="007D4A7E" w:rsidP="007D4A7E">
      <w:pPr>
        <w:widowControl w:val="0"/>
        <w:ind w:firstLine="720"/>
        <w:rPr>
          <w:rFonts w:asciiTheme="majorBidi" w:hAnsiTheme="majorBidi" w:cstheme="majorBidi"/>
        </w:rPr>
      </w:pPr>
    </w:p>
    <w:p w14:paraId="0C9AA746" w14:textId="79B09856" w:rsidR="008F481C" w:rsidRPr="00A35149" w:rsidRDefault="00430C7C" w:rsidP="007D4A7E">
      <w:pPr>
        <w:widowControl w:val="0"/>
        <w:ind w:firstLine="720"/>
        <w:rPr>
          <w:rFonts w:asciiTheme="majorBidi" w:hAnsiTheme="majorBidi" w:cstheme="majorBidi"/>
        </w:rPr>
      </w:pPr>
      <w:proofErr w:type="spellStart"/>
      <w:r w:rsidRPr="00A35149">
        <w:rPr>
          <w:rFonts w:asciiTheme="majorBidi" w:hAnsiTheme="majorBidi" w:cstheme="majorBidi"/>
          <w:i/>
        </w:rPr>
        <w:t>ChromoPainter</w:t>
      </w:r>
      <w:proofErr w:type="spellEnd"/>
      <w:r w:rsidR="00A43F3D" w:rsidRPr="00A35149">
        <w:rPr>
          <w:rFonts w:asciiTheme="majorBidi" w:hAnsiTheme="majorBidi" w:cstheme="majorBidi"/>
        </w:rPr>
        <w:t xml:space="preserve"> </w:t>
      </w:r>
      <w:r w:rsidRPr="00A35149">
        <w:rPr>
          <w:rFonts w:asciiTheme="majorBidi" w:hAnsiTheme="majorBidi" w:cstheme="majorBidi"/>
        </w:rPr>
        <w:t xml:space="preserve">is part of the </w:t>
      </w:r>
      <w:proofErr w:type="spellStart"/>
      <w:r w:rsidRPr="00A35149">
        <w:rPr>
          <w:rFonts w:asciiTheme="majorBidi" w:hAnsiTheme="majorBidi" w:cstheme="majorBidi"/>
          <w:i/>
        </w:rPr>
        <w:t>fineSTRUCTURE</w:t>
      </w:r>
      <w:proofErr w:type="spellEnd"/>
      <w:r w:rsidRPr="00A35149">
        <w:rPr>
          <w:rFonts w:asciiTheme="majorBidi" w:hAnsiTheme="majorBidi" w:cstheme="majorBidi"/>
        </w:rPr>
        <w:t xml:space="preserve"> pipeline </w:t>
      </w:r>
      <w:r w:rsidR="00614AA1" w:rsidRPr="00A35149">
        <w:rPr>
          <w:rFonts w:asciiTheme="majorBidi" w:hAnsiTheme="majorBidi" w:cstheme="majorBidi"/>
          <w:color w:val="4472C4" w:themeColor="accent1"/>
        </w:rPr>
        <w:fldChar w:fldCharType="begin" w:fldLock="1"/>
      </w:r>
      <w:r w:rsidR="00614AA1" w:rsidRPr="00A35149">
        <w:rPr>
          <w:rFonts w:asciiTheme="majorBidi" w:hAnsiTheme="majorBidi" w:cstheme="majorBidi"/>
          <w:color w:val="4472C4" w:themeColor="accent1"/>
        </w:rPr>
        <w:instrText>ADDIN CSL_CITATION {"citationItems":[{"id":"ITEM-1","itemData":{"DOI":"10.1371/journal.pgen.1002453","ISSN":"15537390","abstract":"The advent of genome-wide dense variation data provides an opportunity to investigate ancestry in unprecedented detail, but presents new statistical challenges. We propose a novel inference framework that aims to efficiently capture information on population structure provided by patterns of haplotype similarity. Each individual in a sample is considered in turn as a recipient, whose chromosomes are reconstructed using chunks of DNA donated by the other individuals. Results of this \"chromosome painting\" can be summarized as a \"coancestry matrix,\" which directly reveals key information about ancestral relationships among individuals. If markers are viewed as independent, we show that this matrix almost completely captures the information used by both standard Principal Components Analysis (PCA) and model-based approaches such as STRUCTURE in a unified manner. Furthermore, when markers are in linkage disequilibrium, the matrix combines information across successive markers to increase the ability to discern fine-scale population structure using PCA. In parallel, we have developed an efficient model-based approach to identify discrete populations using this matrix, which offers advantages over PCA in terms of interpretability and over existing clustering algorithms in terms of speed, number of separable populations, and sensitivity to subtle population structure. We analyse Human Genome Diversity Panel data for 938 individuals and 641,000 markers, and we identify 226 populations reflecting differences on continental, regional, local, and family scales. We present multiple lines of evidence that, while many methods capture similar information among strongly differentiated groups, more subtle population structure in human populations is consistently present at a much finer level than currently available geographic labels and is only captured by the haplotype-based approach. The software used for this article, ChromoPainter and fineSTRUCTURE, is available from http://www.paintmychromosomes.com/.","author":[{"dropping-particle":"","family":"Lawson","given":"Daniel John","non-dropping-particle":"","parse-names":false,"suffix":""},{"dropping-particle":"","family":"Hellenthal","given":"Garrett","non-dropping-particle":"","parse-names":false,"suffix":""},{"dropping-particle":"","family":"Myers","given":"Simon","non-dropping-particle":"","parse-names":false,"suffix":""},{"dropping-particle":"","family":"Falush","given":"Daniel","non-dropping-particle":"","parse-names":false,"suffix":""}],"container-title":"PLoS Genetics","id":"ITEM-1","issue":"1","issued":{"date-parts":[["2012"]]},"title":"Inference of population structure using dense haplotype data","type":"article-journal","volume":"8"},"uris":["http://www.mendeley.com/documents/?uuid=306c3f6f-3f86-46ad-b43a-489f54e8b432"]}],"mendeley":{"formattedCitation":"(Lawson &lt;i&gt;et al.&lt;/i&gt;, 2012)","plainTextFormattedCitation":"(Lawson et al., 2012)","previouslyFormattedCitation":"(Lawson &lt;i&gt;et al.&lt;/i&gt;, 2012)"},"properties":{"noteIndex":0},"schema":"https://github.com/citation-style-language/schema/raw/master/csl-citation.json"}</w:instrText>
      </w:r>
      <w:r w:rsidR="00614AA1" w:rsidRPr="00A35149">
        <w:rPr>
          <w:rFonts w:asciiTheme="majorBidi" w:hAnsiTheme="majorBidi" w:cstheme="majorBidi"/>
          <w:color w:val="4472C4" w:themeColor="accent1"/>
        </w:rPr>
        <w:fldChar w:fldCharType="separate"/>
      </w:r>
      <w:r w:rsidR="00614AA1" w:rsidRPr="00A35149">
        <w:rPr>
          <w:rFonts w:asciiTheme="majorBidi" w:hAnsiTheme="majorBidi" w:cstheme="majorBidi"/>
          <w:noProof/>
          <w:color w:val="4472C4" w:themeColor="accent1"/>
        </w:rPr>
        <w:t xml:space="preserve">(Lawson </w:t>
      </w:r>
      <w:r w:rsidR="00614AA1" w:rsidRPr="00A35149">
        <w:rPr>
          <w:rFonts w:asciiTheme="majorBidi" w:hAnsiTheme="majorBidi" w:cstheme="majorBidi"/>
          <w:i/>
          <w:noProof/>
          <w:color w:val="4472C4" w:themeColor="accent1"/>
        </w:rPr>
        <w:t>et al.</w:t>
      </w:r>
      <w:r w:rsidR="00614AA1" w:rsidRPr="00A35149">
        <w:rPr>
          <w:rFonts w:asciiTheme="majorBidi" w:hAnsiTheme="majorBidi" w:cstheme="majorBidi"/>
          <w:noProof/>
          <w:color w:val="4472C4" w:themeColor="accent1"/>
        </w:rPr>
        <w:t>, 2012)</w:t>
      </w:r>
      <w:r w:rsidR="00614AA1" w:rsidRPr="00A35149">
        <w:rPr>
          <w:rFonts w:asciiTheme="majorBidi" w:hAnsiTheme="majorBidi" w:cstheme="majorBidi"/>
          <w:color w:val="4472C4" w:themeColor="accent1"/>
        </w:rPr>
        <w:fldChar w:fldCharType="end"/>
      </w:r>
      <w:r w:rsidR="00614AA1" w:rsidRPr="00A35149">
        <w:rPr>
          <w:rFonts w:asciiTheme="majorBidi" w:hAnsiTheme="majorBidi" w:cstheme="majorBidi"/>
        </w:rPr>
        <w:t xml:space="preserve"> </w:t>
      </w:r>
      <w:r w:rsidR="007C383A" w:rsidRPr="00A35149">
        <w:rPr>
          <w:rFonts w:asciiTheme="majorBidi" w:hAnsiTheme="majorBidi" w:cstheme="majorBidi"/>
        </w:rPr>
        <w:t xml:space="preserve">which allows the </w:t>
      </w:r>
      <w:r w:rsidRPr="00A35149">
        <w:rPr>
          <w:rFonts w:asciiTheme="majorBidi" w:hAnsiTheme="majorBidi" w:cstheme="majorBidi"/>
        </w:rPr>
        <w:t>identif</w:t>
      </w:r>
      <w:r w:rsidR="007C383A" w:rsidRPr="00A35149">
        <w:rPr>
          <w:rFonts w:asciiTheme="majorBidi" w:hAnsiTheme="majorBidi" w:cstheme="majorBidi"/>
        </w:rPr>
        <w:t>ication</w:t>
      </w:r>
      <w:r w:rsidRPr="00A35149">
        <w:rPr>
          <w:rFonts w:asciiTheme="majorBidi" w:hAnsiTheme="majorBidi" w:cstheme="majorBidi"/>
        </w:rPr>
        <w:t xml:space="preserve"> </w:t>
      </w:r>
      <w:r w:rsidR="007C383A" w:rsidRPr="00A35149">
        <w:rPr>
          <w:rFonts w:asciiTheme="majorBidi" w:hAnsiTheme="majorBidi" w:cstheme="majorBidi"/>
        </w:rPr>
        <w:t>of</w:t>
      </w:r>
      <w:r w:rsidRPr="00A35149">
        <w:rPr>
          <w:rFonts w:asciiTheme="majorBidi" w:hAnsiTheme="majorBidi" w:cstheme="majorBidi"/>
        </w:rPr>
        <w:t xml:space="preserve"> </w:t>
      </w:r>
      <w:r w:rsidR="007C383A" w:rsidRPr="00A35149">
        <w:rPr>
          <w:rFonts w:asciiTheme="majorBidi" w:hAnsiTheme="majorBidi" w:cstheme="majorBidi"/>
        </w:rPr>
        <w:t>fine-scale population structure, that cannot be identified</w:t>
      </w:r>
      <w:r w:rsidR="0059584F" w:rsidRPr="00A35149">
        <w:rPr>
          <w:rFonts w:asciiTheme="majorBidi" w:hAnsiTheme="majorBidi" w:cstheme="majorBidi"/>
        </w:rPr>
        <w:t xml:space="preserve"> by PCA or related approaches </w:t>
      </w:r>
      <w:r w:rsidR="007F7A63" w:rsidRPr="00A35149">
        <w:rPr>
          <w:rFonts w:asciiTheme="majorBidi" w:hAnsiTheme="majorBidi" w:cstheme="majorBidi"/>
          <w:color w:val="4472C4" w:themeColor="accent1"/>
        </w:rPr>
        <w:fldChar w:fldCharType="begin" w:fldLock="1"/>
      </w:r>
      <w:r w:rsidR="007F7A63" w:rsidRPr="00A35149">
        <w:rPr>
          <w:rFonts w:asciiTheme="majorBidi" w:hAnsiTheme="majorBidi" w:cstheme="majorBidi"/>
          <w:color w:val="4472C4" w:themeColor="accent1"/>
        </w:rPr>
        <w:instrText>ADDIN CSL_CITATION {"citationItems":[{"id":"ITEM-1","itemData":{"DOI":"10.1038/nature14230","ISSN":"14764687","abstract":"Fine-scale genetic variation between human populations is interesting as a signature of historical demographic events and because of its potential for confounding disease studies. We use haplotype-based statistical methods to analyse genome-wide single nucleotide polymorphism (SNP) data from a carefully chosen geographically diverse sample of 2,039 individuals from the United Kingdom. This reveals a rich and detailed pattern of genetic differentiation with remarkable concordance between genetic clusters and geography. The regional genetic differentiation and differing patterns of shared ancestry with 6,209 individuals from across Europe carry clear signals of historical demographic events. We estimate the genetic contribution to southeastern England from Anglo-Saxon migrations to be under half, and identify the regions not carrying genetic material from these migrations. We suggest significant pre-Roman but post-Mesolithic movement into southeastern England from continental Europe, and show that in non-Saxon parts of the United Kingdom, there exist genetically differentiated subgroups rather than a general Celtic population.","author":[{"dropping-particle":"","family":"Leslie","given":"Stephen","non-dropping-particle":"","parse-names":false,"suffix":""},{"dropping-particle":"","family":"Winney","given":"Bruce","non-dropping-particle":"","parse-names":false,"suffix":""},{"dropping-particle":"","family":"Hellenthal","given":"Garrett","non-dropping-particle":"","parse-names":false,"suffix":""},{"dropping-particle":"","family":"Davison","given":"Dan","non-dropping-particle":"","parse-names":false,"suffix":""},{"dropping-particle":"","family":"Boumertit","given":"Abdelhamid","non-dropping-particle":"","parse-names":false,"suffix":""},{"dropping-particle":"","family":"Day","given":"Tammy","non-dropping-particle":"","parse-names":false,"suffix":""},{"dropping-particle":"","family":"Hutnik","given":"Katarzyna","non-dropping-particle":"","parse-names":false,"suffix":""},{"dropping-particle":"","family":"Royrvik","given":"Ellen C.","non-dropping-particle":"","parse-names":false,"suffix":""},{"dropping-particle":"","family":"Cunliffe","given":"Barry","non-dropping-particle":"","parse-names":false,"suffix":""},{"dropping-particle":"","family":"Lawson","given":"Daniel J.","non-dropping-particle":"","parse-names":false,"suffix":""},{"dropping-particle":"","family":"Falush","given":"Daniel","non-dropping-particle":"","parse-names":false,"suffix":""},{"dropping-particle":"","family":"Freeman","given":"Colin","non-dropping-particle":"","parse-names":false,"suffix":""},{"dropping-particle":"","family":"Pirinen","given":"Matti","non-dropping-particle":"","parse-names":false,"suffix":""},{"dropping-particle":"","family":"Myers","given":"Simon","non-dropping-particle":"","parse-names":false,"suffix":""},{"dropping-particle":"","family":"Robinson","given":"Mark","non-dropping-particle":"","parse-names":false,"suffix":""},{"dropping-particle":"","family":"Donnelly","given":"Peter","non-dropping-particle":"","parse-names":false,"suffix":""},{"dropping-particle":"","family":"Bodmer","given":"Walter","non-dropping-particle":"","parse-names":false,"suffix":""}],"container-title":"Nature","id":"ITEM-1","issue":"7543","issued":{"date-parts":[["2015"]]},"page":"309-314","title":"The fine-scale genetic structure of the British population","type":"article-journal","volume":"519"},"uris":["http://www.mendeley.com/documents/?uuid=abbd7456-ff60-4838-b830-7a1f0da0278d"]}],"mendeley":{"formattedCitation":"(Leslie &lt;i&gt;et al.&lt;/i&gt;, 2015)","plainTextFormattedCitation":"(Leslie et al., 2015)","previouslyFormattedCitation":"(Leslie &lt;i&gt;et al.&lt;/i&gt;, 2015)"},"properties":{"noteIndex":0},"schema":"https://github.com/citation-style-language/schema/raw/master/csl-citation.json"}</w:instrText>
      </w:r>
      <w:r w:rsidR="007F7A63" w:rsidRPr="00A35149">
        <w:rPr>
          <w:rFonts w:asciiTheme="majorBidi" w:hAnsiTheme="majorBidi" w:cstheme="majorBidi"/>
          <w:color w:val="4472C4" w:themeColor="accent1"/>
        </w:rPr>
        <w:fldChar w:fldCharType="separate"/>
      </w:r>
      <w:r w:rsidR="007F7A63" w:rsidRPr="00A35149">
        <w:rPr>
          <w:rFonts w:asciiTheme="majorBidi" w:hAnsiTheme="majorBidi" w:cstheme="majorBidi"/>
          <w:noProof/>
          <w:color w:val="4472C4" w:themeColor="accent1"/>
        </w:rPr>
        <w:t xml:space="preserve">(Leslie </w:t>
      </w:r>
      <w:r w:rsidR="007F7A63" w:rsidRPr="00A35149">
        <w:rPr>
          <w:rFonts w:asciiTheme="majorBidi" w:hAnsiTheme="majorBidi" w:cstheme="majorBidi"/>
          <w:i/>
          <w:noProof/>
          <w:color w:val="4472C4" w:themeColor="accent1"/>
        </w:rPr>
        <w:t>et al.</w:t>
      </w:r>
      <w:r w:rsidR="007F7A63" w:rsidRPr="00A35149">
        <w:rPr>
          <w:rFonts w:asciiTheme="majorBidi" w:hAnsiTheme="majorBidi" w:cstheme="majorBidi"/>
          <w:noProof/>
          <w:color w:val="4472C4" w:themeColor="accent1"/>
        </w:rPr>
        <w:t>, 2015)</w:t>
      </w:r>
      <w:r w:rsidR="007F7A63" w:rsidRPr="00A35149">
        <w:rPr>
          <w:rFonts w:asciiTheme="majorBidi" w:hAnsiTheme="majorBidi" w:cstheme="majorBidi"/>
          <w:color w:val="4472C4" w:themeColor="accent1"/>
        </w:rPr>
        <w:fldChar w:fldCharType="end"/>
      </w:r>
      <w:r w:rsidR="0059584F" w:rsidRPr="00A35149">
        <w:rPr>
          <w:rFonts w:asciiTheme="majorBidi" w:hAnsiTheme="majorBidi" w:cstheme="majorBidi"/>
          <w:color w:val="4472C4" w:themeColor="accent1"/>
        </w:rPr>
        <w:t xml:space="preserve"> </w:t>
      </w:r>
      <w:r w:rsidR="0059584F" w:rsidRPr="00A35149">
        <w:rPr>
          <w:rFonts w:asciiTheme="majorBidi" w:hAnsiTheme="majorBidi" w:cstheme="majorBidi"/>
        </w:rPr>
        <w:t xml:space="preserve">Chromosome painting is </w:t>
      </w:r>
      <w:r w:rsidR="00A43F3D" w:rsidRPr="00A35149">
        <w:rPr>
          <w:rFonts w:asciiTheme="majorBidi" w:hAnsiTheme="majorBidi" w:cstheme="majorBidi"/>
        </w:rPr>
        <w:t xml:space="preserve">applicable </w:t>
      </w:r>
      <w:r w:rsidR="0059584F" w:rsidRPr="00A35149">
        <w:rPr>
          <w:rFonts w:asciiTheme="majorBidi" w:hAnsiTheme="majorBidi" w:cstheme="majorBidi"/>
        </w:rPr>
        <w:t>for samples up to thousands but cannot be used at biobank scale</w:t>
      </w:r>
      <w:r w:rsidR="00832BDE" w:rsidRPr="00A35149">
        <w:rPr>
          <w:rFonts w:asciiTheme="majorBidi" w:hAnsiTheme="majorBidi" w:cstheme="majorBidi"/>
        </w:rPr>
        <w:t xml:space="preserve"> </w:t>
      </w:r>
      <w:r w:rsidR="00832BDE" w:rsidRPr="00A35149">
        <w:rPr>
          <w:rFonts w:asciiTheme="majorBidi" w:hAnsiTheme="majorBidi" w:cstheme="majorBidi"/>
          <w:color w:val="4472C4"/>
        </w:rPr>
        <w:t xml:space="preserve">(Pan </w:t>
      </w:r>
      <w:r w:rsidR="00832BDE" w:rsidRPr="00A35149">
        <w:rPr>
          <w:rFonts w:asciiTheme="majorBidi" w:hAnsiTheme="majorBidi" w:cstheme="majorBidi"/>
          <w:i/>
          <w:color w:val="4472C4"/>
        </w:rPr>
        <w:t>et al.</w:t>
      </w:r>
      <w:r w:rsidR="00832BDE" w:rsidRPr="00A35149">
        <w:rPr>
          <w:rFonts w:asciiTheme="majorBidi" w:hAnsiTheme="majorBidi" w:cstheme="majorBidi"/>
          <w:color w:val="4472C4"/>
        </w:rPr>
        <w:t>, 2017)</w:t>
      </w:r>
      <w:r w:rsidR="00832BDE" w:rsidRPr="00A35149">
        <w:rPr>
          <w:rFonts w:asciiTheme="majorBidi" w:hAnsiTheme="majorBidi" w:cstheme="majorBidi"/>
        </w:rPr>
        <w:t xml:space="preserve"> to examine variation within a sample.</w:t>
      </w:r>
      <w:r w:rsidR="0059584F" w:rsidRPr="00A35149">
        <w:rPr>
          <w:rFonts w:asciiTheme="majorBidi" w:hAnsiTheme="majorBidi" w:cstheme="majorBidi"/>
        </w:rPr>
        <w:t xml:space="preserve"> </w:t>
      </w:r>
      <w:r w:rsidR="00832BDE" w:rsidRPr="00A35149">
        <w:rPr>
          <w:rFonts w:asciiTheme="majorBidi" w:hAnsiTheme="majorBidi" w:cstheme="majorBidi"/>
        </w:rPr>
        <w:t xml:space="preserve">It can however be used to compare large biobank datasets to standardize references. </w:t>
      </w:r>
      <w:r w:rsidR="0059584F" w:rsidRPr="00A35149">
        <w:rPr>
          <w:rFonts w:asciiTheme="majorBidi" w:hAnsiTheme="majorBidi" w:cstheme="majorBidi"/>
        </w:rPr>
        <w:t xml:space="preserve">There is an unpublished fast approximation in the PBWT package </w:t>
      </w:r>
      <w:r w:rsidR="007F7A63" w:rsidRPr="00A35149">
        <w:rPr>
          <w:rFonts w:asciiTheme="majorBidi" w:hAnsiTheme="majorBidi" w:cstheme="majorBidi"/>
        </w:rPr>
        <w:fldChar w:fldCharType="begin" w:fldLock="1"/>
      </w:r>
      <w:r w:rsidR="00207E3B" w:rsidRPr="00A35149">
        <w:rPr>
          <w:rFonts w:asciiTheme="majorBidi" w:hAnsiTheme="majorBidi" w:cstheme="majorBidi"/>
        </w:rPr>
        <w:instrText>ADDIN CSL_CITATION {"citationItems":[{"id":"ITEM-1","itemData":{"DOI":"10.1093/bioinformatics/btu014","ISSN":"14602059","abstract":"Motivation: Over the last few years, methods based on suffix arrays using the Burrows-Wheeler Transform have been widely used for DNA sequence read matching and assembly. These provide very fast search algorithms, linear in the search pattern size, on a highly compressible representation of the dataset being searched. Meanwhile, algorithmic development for genotype data has concentrated on statistical methods for phasing and imputation, based on probabilistic matching to hidden Markov model representations of the reference data, which while powerful are much less computationally efficient. Here a theory of haplotype matching using suffix array ideas is developed, which should scale too much larger datasets than those currently handled by genotype algorithms. Results: Given M sequences with N bi-allelic variable sites, an O(NM) algorithm to derive a representation of the data based on positional prefix arrays is given, which is termed the positional Burrows-Wheeler transform (PBWT). On large datasets this compresses with run-length encoding by more than a factor of a hundred smaller than using gzip on the raw data. Using this representation a method is given to find all maximal haplotype matches within the set in O(NM) time rather than O(NM2) as expected from naive pairwise comparison, and also a fast algorithm, empirically independent of M given sufficient memory for indexes, to find maximal matches between a new sequence and the set. The discussion includes some proposals about how these approaches could be used for imputation and phasing. © The Author 2013. Published by Oxford University Press.","author":[{"dropping-particle":"","family":"Durbin","given":"Richard","non-dropping-particle":"","parse-names":false,"suffix":""}],"container-title":"Bioinformatics","id":"ITEM-1","issue":"9","issued":{"date-parts":[["2014"]]},"page":"1266-1272","title":"Efficient haplotype matching and storage using the positional Burrows-Wheeler transform (PBWT)","type":"article-journal","volume":"30"},"uris":["http://www.mendeley.com/documents/?uuid=e3c6b23e-cbfb-4232-a635-a45b813db668"]}],"mendeley":{"formattedCitation":"(Durbin, 2014)","plainTextFormattedCitation":"(Durbin, 2014)","previouslyFormattedCitation":"(Durbin, 2014)"},"properties":{"noteIndex":0},"schema":"https://github.com/citation-style-language/schema/raw/master/csl-citation.json"}</w:instrText>
      </w:r>
      <w:r w:rsidR="007F7A63" w:rsidRPr="00A35149">
        <w:rPr>
          <w:rFonts w:asciiTheme="majorBidi" w:hAnsiTheme="majorBidi" w:cstheme="majorBidi"/>
        </w:rPr>
        <w:fldChar w:fldCharType="separate"/>
      </w:r>
      <w:r w:rsidR="007F7A63" w:rsidRPr="00A35149">
        <w:rPr>
          <w:rFonts w:asciiTheme="majorBidi" w:hAnsiTheme="majorBidi" w:cstheme="majorBidi"/>
          <w:noProof/>
        </w:rPr>
        <w:t>(Durbin, 2014)</w:t>
      </w:r>
      <w:r w:rsidR="007F7A63" w:rsidRPr="00A35149">
        <w:rPr>
          <w:rFonts w:asciiTheme="majorBidi" w:hAnsiTheme="majorBidi" w:cstheme="majorBidi"/>
        </w:rPr>
        <w:fldChar w:fldCharType="end"/>
      </w:r>
      <w:r w:rsidR="007F7A63" w:rsidRPr="00A35149">
        <w:rPr>
          <w:rFonts w:asciiTheme="majorBidi" w:hAnsiTheme="majorBidi" w:cstheme="majorBidi"/>
        </w:rPr>
        <w:t xml:space="preserve"> </w:t>
      </w:r>
      <w:r w:rsidR="0059584F" w:rsidRPr="00A35149">
        <w:rPr>
          <w:rFonts w:asciiTheme="majorBidi" w:hAnsiTheme="majorBidi" w:cstheme="majorBidi"/>
        </w:rPr>
        <w:t>that can handle hundreds of thousands of samples</w:t>
      </w:r>
      <w:r w:rsidR="00832BDE" w:rsidRPr="00A35149">
        <w:rPr>
          <w:rFonts w:asciiTheme="majorBidi" w:hAnsiTheme="majorBidi" w:cstheme="majorBidi"/>
        </w:rPr>
        <w:t xml:space="preserve"> for analysing within-sample variation.</w:t>
      </w:r>
    </w:p>
    <w:p w14:paraId="0F406749" w14:textId="77777777" w:rsidR="008F481C" w:rsidRPr="00A35149" w:rsidRDefault="008F481C" w:rsidP="00C94536">
      <w:pPr>
        <w:widowControl w:val="0"/>
        <w:rPr>
          <w:rFonts w:asciiTheme="majorBidi" w:hAnsiTheme="majorBidi" w:cstheme="majorBidi"/>
          <w:color w:val="4472C4"/>
        </w:rPr>
      </w:pPr>
    </w:p>
    <w:p w14:paraId="00000182" w14:textId="23311C29" w:rsidR="007F6EEB" w:rsidRPr="00A35149" w:rsidRDefault="00430C7C">
      <w:pPr>
        <w:widowControl w:val="0"/>
        <w:ind w:firstLine="720"/>
        <w:rPr>
          <w:rFonts w:asciiTheme="majorBidi" w:hAnsiTheme="majorBidi" w:cstheme="majorBidi"/>
        </w:rPr>
      </w:pPr>
      <w:r w:rsidRPr="00A35149">
        <w:rPr>
          <w:rFonts w:asciiTheme="majorBidi" w:hAnsiTheme="majorBidi" w:cstheme="majorBidi"/>
        </w:rPr>
        <w:t xml:space="preserve">These methods allow </w:t>
      </w:r>
      <w:r w:rsidR="00CA656E" w:rsidRPr="00A35149">
        <w:rPr>
          <w:rFonts w:asciiTheme="majorBidi" w:hAnsiTheme="majorBidi" w:cstheme="majorBidi"/>
        </w:rPr>
        <w:t xml:space="preserve">characterisation </w:t>
      </w:r>
      <w:r w:rsidRPr="00A35149">
        <w:rPr>
          <w:rFonts w:asciiTheme="majorBidi" w:hAnsiTheme="majorBidi" w:cstheme="majorBidi"/>
        </w:rPr>
        <w:t xml:space="preserve">of LAI and gain power and resolution through analysis of haplotypes. </w:t>
      </w:r>
      <w:r w:rsidR="00CA656E" w:rsidRPr="00A35149">
        <w:rPr>
          <w:rFonts w:asciiTheme="majorBidi" w:hAnsiTheme="majorBidi" w:cstheme="majorBidi"/>
        </w:rPr>
        <w:t>One typical assumption is</w:t>
      </w:r>
      <w:r w:rsidRPr="00A35149">
        <w:rPr>
          <w:rFonts w:asciiTheme="majorBidi" w:hAnsiTheme="majorBidi" w:cstheme="majorBidi"/>
        </w:rPr>
        <w:t xml:space="preserve"> that admixture tract lengths are independent and exponentially differentiated; therefore, they are less effective when the admixture is strong because the admixture tracts are longer than expected under an exponential distribution</w:t>
      </w:r>
      <w:r w:rsidR="00443087" w:rsidRPr="00A35149">
        <w:rPr>
          <w:rFonts w:asciiTheme="majorBidi" w:hAnsiTheme="majorBidi" w:cstheme="majorBidi"/>
        </w:rPr>
        <w:t xml:space="preserve"> </w:t>
      </w:r>
      <w:r w:rsidR="00443087" w:rsidRPr="00A35149">
        <w:rPr>
          <w:rFonts w:asciiTheme="majorBidi" w:hAnsiTheme="majorBidi" w:cstheme="majorBidi"/>
          <w:color w:val="4472C4" w:themeColor="accent1"/>
        </w:rPr>
        <w:fldChar w:fldCharType="begin" w:fldLock="1"/>
      </w:r>
      <w:r w:rsidR="00A06285" w:rsidRPr="00A35149">
        <w:rPr>
          <w:rFonts w:asciiTheme="majorBidi" w:hAnsiTheme="majorBidi" w:cstheme="majorBidi"/>
          <w:color w:val="4472C4" w:themeColor="accent1"/>
        </w:rPr>
        <w:instrText>ADDIN CSL_CITATION {"citationItems":[{"id":"ITEM-1","itemData":{"DOI":"10.1038/nrg4005","ISSN":"14710064","abstract":"The genomes of contemporary humans contain considerable information about the history of our species. Although the general contours of human evolutionary history have been defined with increasing resolution throughout the past several decades, the continuing deluge of massively large sequencing data sets presents new opportunities and challenges for understanding human evolutionary history. Here, we review the signatures that demographic history imparts on patterns of DNA sequence variation, statistical methods that have been developed to leverage information contained in genome-scale data sets and insights gleaned from these studies. We also discuss the importance of using exploratory analyses to assess data quality, the strengths and limitations of commonly used population genomics methods, and factors that confound population genomics inferences.","author":[{"dropping-particle":"","family":"Schraiber","given":"Joshua G.","non-dropping-particle":"","parse-names":false,"suffix":""},{"dropping-particle":"","family":"Akey","given":"Joshua M.","non-dropping-particle":"","parse-names":false,"suffix":""}],"container-title":"Nature Reviews Genetics","id":"ITEM-1","issued":{"date-parts":[["2015"]]},"page":"727-740","title":"Methods and models for unravelling human evolutionary history","type":"article-journal","volume":"16"},"uris":["http://www.mendeley.com/documents/?uuid=f9c7c67f-0f76-4773-9e38-fc84a19fe374"]}],"mendeley":{"formattedCitation":"(Schraiber and Akey, 2015)","plainTextFormattedCitation":"(Schraiber and Akey, 2015)","previouslyFormattedCitation":"(Schraiber and Akey, 2015)"},"properties":{"noteIndex":0},"schema":"https://github.com/citation-style-language/schema/raw/master/csl-citation.json"}</w:instrText>
      </w:r>
      <w:r w:rsidR="00443087" w:rsidRPr="00A35149">
        <w:rPr>
          <w:rFonts w:asciiTheme="majorBidi" w:hAnsiTheme="majorBidi" w:cstheme="majorBidi"/>
          <w:color w:val="4472C4" w:themeColor="accent1"/>
        </w:rPr>
        <w:fldChar w:fldCharType="separate"/>
      </w:r>
      <w:r w:rsidR="00443087" w:rsidRPr="00A35149">
        <w:rPr>
          <w:rFonts w:asciiTheme="majorBidi" w:hAnsiTheme="majorBidi" w:cstheme="majorBidi"/>
          <w:noProof/>
          <w:color w:val="4472C4" w:themeColor="accent1"/>
        </w:rPr>
        <w:t>(Schraiber and Akey, 2015)</w:t>
      </w:r>
      <w:r w:rsidR="00443087" w:rsidRPr="00A35149">
        <w:rPr>
          <w:rFonts w:asciiTheme="majorBidi" w:hAnsiTheme="majorBidi" w:cstheme="majorBidi"/>
          <w:color w:val="4472C4" w:themeColor="accent1"/>
        </w:rPr>
        <w:fldChar w:fldCharType="end"/>
      </w:r>
      <w:r w:rsidRPr="00A35149">
        <w:rPr>
          <w:rFonts w:asciiTheme="majorBidi" w:hAnsiTheme="majorBidi" w:cstheme="majorBidi"/>
        </w:rPr>
        <w:t xml:space="preserve">. </w:t>
      </w:r>
      <w:r w:rsidR="00E62FF0" w:rsidRPr="00A35149">
        <w:rPr>
          <w:rFonts w:asciiTheme="majorBidi" w:hAnsiTheme="majorBidi" w:cstheme="majorBidi"/>
          <w:iCs/>
        </w:rPr>
        <w:t>Further, m</w:t>
      </w:r>
      <w:r w:rsidR="00832BDE" w:rsidRPr="00A35149">
        <w:rPr>
          <w:rFonts w:asciiTheme="majorBidi" w:hAnsiTheme="majorBidi" w:cstheme="majorBidi"/>
          <w:iCs/>
        </w:rPr>
        <w:t>any</w:t>
      </w:r>
      <w:r w:rsidR="00832BDE" w:rsidRPr="00A35149">
        <w:rPr>
          <w:rFonts w:asciiTheme="majorBidi" w:hAnsiTheme="majorBidi" w:cstheme="majorBidi"/>
        </w:rPr>
        <w:t xml:space="preserve"> require</w:t>
      </w:r>
      <w:r w:rsidRPr="00A35149">
        <w:rPr>
          <w:rFonts w:asciiTheme="majorBidi" w:hAnsiTheme="majorBidi" w:cstheme="majorBidi"/>
        </w:rPr>
        <w:t xml:space="preserve"> phased data and is therefore susceptible to phasing errors</w:t>
      </w:r>
      <w:r w:rsidR="007F7A63" w:rsidRPr="00A35149">
        <w:rPr>
          <w:rFonts w:asciiTheme="majorBidi" w:hAnsiTheme="majorBidi" w:cstheme="majorBidi"/>
        </w:rPr>
        <w:t xml:space="preserve">. </w:t>
      </w:r>
    </w:p>
    <w:p w14:paraId="00000183" w14:textId="0C8F42BF" w:rsidR="007F6EEB" w:rsidRPr="00A35149" w:rsidRDefault="007F6EEB">
      <w:pPr>
        <w:widowControl w:val="0"/>
        <w:ind w:firstLine="720"/>
        <w:rPr>
          <w:rFonts w:asciiTheme="majorBidi" w:hAnsiTheme="majorBidi" w:cstheme="majorBidi"/>
        </w:rPr>
      </w:pPr>
    </w:p>
    <w:p w14:paraId="5535334D" w14:textId="4B477BBE" w:rsidR="00684EB4" w:rsidRPr="00A35149" w:rsidRDefault="00430C7C" w:rsidP="00684EB4">
      <w:pPr>
        <w:rPr>
          <w:rFonts w:asciiTheme="majorBidi" w:hAnsiTheme="majorBidi" w:cstheme="majorBidi"/>
        </w:rPr>
      </w:pPr>
      <w:r w:rsidRPr="00A35149">
        <w:rPr>
          <w:rFonts w:asciiTheme="majorBidi" w:hAnsiTheme="majorBidi" w:cstheme="majorBidi"/>
        </w:rPr>
        <w:t xml:space="preserve">            Overall, the popular local ancestry tools are positioned along the extreme ends of limited models. On the one end, are mostly HMM-based that either do not consider LD or are limited to two or three reference populations. On the other hand, are more robust tools that aim to identify </w:t>
      </w:r>
      <w:r w:rsidR="00234F12" w:rsidRPr="00A35149">
        <w:rPr>
          <w:rFonts w:asciiTheme="majorBidi" w:hAnsiTheme="majorBidi" w:cstheme="majorBidi"/>
        </w:rPr>
        <w:t>haplotypes,</w:t>
      </w:r>
      <w:r w:rsidRPr="00A35149">
        <w:rPr>
          <w:rFonts w:asciiTheme="majorBidi" w:hAnsiTheme="majorBidi" w:cstheme="majorBidi"/>
        </w:rPr>
        <w:t xml:space="preserve"> but their high memory consumption limits their usage. An additional limitation of local ancestry approach is the challenging evaluation of the results in follow up analyses. Local ancestry approach should be preferred when the loci or region of interest are known, however in an exploratory GWA or MR analyses it is unclear how to analyse a large number of segments associated with various ancestral populations. In this case, grouping the ancestral populations into geographical regions may be an appropriate compromise between accuracy and power considerations.</w:t>
      </w:r>
    </w:p>
    <w:p w14:paraId="4CB898A3" w14:textId="4F6C0438" w:rsidR="00684EB4" w:rsidRPr="00A35149" w:rsidRDefault="00684EB4" w:rsidP="00684EB4">
      <w:pPr>
        <w:rPr>
          <w:rFonts w:asciiTheme="majorBidi" w:hAnsiTheme="majorBidi" w:cstheme="majorBidi"/>
        </w:rPr>
      </w:pPr>
    </w:p>
    <w:p w14:paraId="7DEABC12" w14:textId="726603A7" w:rsidR="00684EB4" w:rsidRPr="00A35149" w:rsidRDefault="00684EB4" w:rsidP="002E1E3A">
      <w:pPr>
        <w:pStyle w:val="Heading3"/>
        <w:rPr>
          <w:rFonts w:asciiTheme="majorBidi" w:hAnsiTheme="majorBidi"/>
          <w:color w:val="4472C4" w:themeColor="accent1"/>
        </w:rPr>
      </w:pPr>
      <w:r w:rsidRPr="00A35149">
        <w:rPr>
          <w:rFonts w:asciiTheme="majorBidi" w:hAnsiTheme="majorBidi"/>
          <w:color w:val="4472C4" w:themeColor="accent1"/>
        </w:rPr>
        <w:t>Sibship, Kinship, and Clanship</w:t>
      </w:r>
    </w:p>
    <w:p w14:paraId="703C2BDF" w14:textId="2E126C60" w:rsidR="00684EB4" w:rsidRPr="00A35149" w:rsidRDefault="00684EB4" w:rsidP="002E1E3A">
      <w:pPr>
        <w:rPr>
          <w:rFonts w:asciiTheme="majorBidi" w:hAnsiTheme="majorBidi" w:cstheme="majorBidi"/>
        </w:rPr>
      </w:pPr>
    </w:p>
    <w:p w14:paraId="00000189" w14:textId="133C2EC1" w:rsidR="007F6EEB" w:rsidRPr="00A35149" w:rsidRDefault="00430C7C">
      <w:pPr>
        <w:widowControl w:val="0"/>
        <w:ind w:firstLine="720"/>
        <w:rPr>
          <w:rFonts w:asciiTheme="majorBidi" w:hAnsiTheme="majorBidi" w:cstheme="majorBidi"/>
        </w:rPr>
      </w:pPr>
      <w:r w:rsidRPr="00A35149">
        <w:rPr>
          <w:rFonts w:asciiTheme="majorBidi" w:hAnsiTheme="majorBidi" w:cstheme="majorBidi"/>
        </w:rPr>
        <w:t xml:space="preserve">Relatedness inference tools exploit different statistical approaches in </w:t>
      </w:r>
      <w:r w:rsidR="00D11FD6" w:rsidRPr="00A35149">
        <w:rPr>
          <w:rFonts w:asciiTheme="majorBidi" w:hAnsiTheme="majorBidi" w:cstheme="majorBidi"/>
        </w:rPr>
        <w:t xml:space="preserve">analysing IBD segments and </w:t>
      </w:r>
      <w:r w:rsidRPr="00A35149">
        <w:rPr>
          <w:rFonts w:asciiTheme="majorBidi" w:hAnsiTheme="majorBidi" w:cstheme="majorBidi"/>
        </w:rPr>
        <w:t xml:space="preserve">identifying the correct level of relatedness. We will discuss the six most popular tools: </w:t>
      </w:r>
      <w:r w:rsidRPr="00A35149">
        <w:rPr>
          <w:rFonts w:asciiTheme="majorBidi" w:hAnsiTheme="majorBidi" w:cstheme="majorBidi"/>
          <w:i/>
        </w:rPr>
        <w:t xml:space="preserve">PLINK, KING, </w:t>
      </w:r>
      <w:proofErr w:type="spellStart"/>
      <w:r w:rsidRPr="00A35149">
        <w:rPr>
          <w:rFonts w:asciiTheme="majorBidi" w:hAnsiTheme="majorBidi" w:cstheme="majorBidi"/>
          <w:i/>
        </w:rPr>
        <w:t>fastIBD</w:t>
      </w:r>
      <w:proofErr w:type="spellEnd"/>
      <w:r w:rsidRPr="00A35149">
        <w:rPr>
          <w:rFonts w:asciiTheme="majorBidi" w:hAnsiTheme="majorBidi" w:cstheme="majorBidi"/>
          <w:i/>
        </w:rPr>
        <w:t>, GERMLINE, PC-Relate and REAP</w:t>
      </w:r>
      <w:r w:rsidRPr="00A35149">
        <w:rPr>
          <w:rFonts w:asciiTheme="majorBidi" w:hAnsiTheme="majorBidi" w:cstheme="majorBidi"/>
        </w:rPr>
        <w:t xml:space="preserve"> </w:t>
      </w:r>
      <w:r w:rsidRPr="00A35149">
        <w:rPr>
          <w:rFonts w:asciiTheme="majorBidi" w:hAnsiTheme="majorBidi" w:cstheme="majorBidi"/>
          <w:color w:val="4472C4"/>
        </w:rPr>
        <w:t xml:space="preserve">(Figure S3) (Table </w:t>
      </w:r>
      <w:r w:rsidR="003121E9" w:rsidRPr="00A35149">
        <w:rPr>
          <w:rFonts w:asciiTheme="majorBidi" w:hAnsiTheme="majorBidi" w:cstheme="majorBidi"/>
          <w:color w:val="4472C4"/>
        </w:rPr>
        <w:t>S</w:t>
      </w:r>
      <w:r w:rsidRPr="00A35149">
        <w:rPr>
          <w:rFonts w:asciiTheme="majorBidi" w:hAnsiTheme="majorBidi" w:cstheme="majorBidi"/>
          <w:color w:val="4472C4"/>
        </w:rPr>
        <w:t>3)</w:t>
      </w:r>
      <w:r w:rsidRPr="00A35149">
        <w:rPr>
          <w:rFonts w:asciiTheme="majorBidi" w:hAnsiTheme="majorBidi" w:cstheme="majorBidi"/>
        </w:rPr>
        <w:t>.</w:t>
      </w:r>
    </w:p>
    <w:p w14:paraId="000001F1" w14:textId="1ECC9814"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16932320" w14:textId="0093D939" w:rsidR="00AB67F2" w:rsidRPr="00A35149" w:rsidRDefault="00430C7C">
      <w:pPr>
        <w:widowControl w:val="0"/>
        <w:ind w:firstLine="720"/>
        <w:rPr>
          <w:rFonts w:asciiTheme="majorBidi" w:hAnsiTheme="majorBidi" w:cstheme="majorBidi"/>
        </w:rPr>
      </w:pPr>
      <w:r w:rsidRPr="00A35149">
        <w:rPr>
          <w:rFonts w:asciiTheme="majorBidi" w:hAnsiTheme="majorBidi" w:cstheme="majorBidi"/>
        </w:rPr>
        <w:t>Kinship can be inferred by kinship coefficient estimation or identity by descent (IBD) detection. Kinship coefficient is a classic measurement of relatedness and can be defined as the probability that two homologous alleles drawn from each of two individuals are identical by descent</w:t>
      </w:r>
      <w:r w:rsidR="00614AA1" w:rsidRPr="00A35149">
        <w:rPr>
          <w:rFonts w:asciiTheme="majorBidi" w:hAnsiTheme="majorBidi" w:cstheme="majorBidi"/>
          <w:color w:val="4472C4"/>
        </w:rPr>
        <w:t xml:space="preserve"> </w:t>
      </w:r>
      <w:r w:rsidR="00614AA1" w:rsidRPr="00A35149">
        <w:rPr>
          <w:rFonts w:asciiTheme="majorBidi" w:hAnsiTheme="majorBidi" w:cstheme="majorBidi"/>
          <w:color w:val="4472C4"/>
        </w:rPr>
        <w:fldChar w:fldCharType="begin" w:fldLock="1"/>
      </w:r>
      <w:r w:rsidR="009E234A" w:rsidRPr="00A35149">
        <w:rPr>
          <w:rFonts w:asciiTheme="majorBidi" w:hAnsiTheme="majorBidi" w:cstheme="majorBidi"/>
          <w:color w:val="4472C4"/>
        </w:rPr>
        <w:instrText>ADDIN CSL_CITATION {"citationItems":[{"id":"ITEM-1","itemData":{"DOI":"10.1111/j.1469-1809.1975.tb00120.x","ISSN":"14691809","PMID":"1052764","abstract":"Relationships between the individuals of a population have been previously studied from the point of view of prediction. Edwards (1967) suggested that the problem of detailed population structure could also be studied from the point of view of inference. Even where inferences of practical applicability cannot be made, such an approach can increase understanding of the relation between genealogical and genetic structure. In this paper we consider a specific problem which provides an introduction to the ideas and methods of genealogical inference. This is the problem of estimating the pairwise relationship between two individuals on the basis of their phenotypes at several loci. There is no theoretical problem in the extension from pairwise to joint relationship.","author":[{"dropping-particle":"","family":"THOMPSON","given":"E. A.","non-dropping-particle":"","parse-names":false,"suffix":""}],"container-title":"Annals of Human Genetics","id":"ITEM-1","issue":"2","issued":{"date-parts":[["1975"]]},"page":"173-188","title":"The estimation of pairwise relationships","type":"article-journal","volume":"39"},"uris":["http://www.mendeley.com/documents/?uuid=1783dc33-71c9-4f9a-b136-9a550074e204"]},{"id":"ITEM-2","itemData":{"DOI":"10.1038/nrg3821","ISSN":"14710064","abstract":"Relatedness is a fundamental concept in genetics but is surprisingly hard to define in a rigorous yet useful way. Traditional relatedness coefficients specify expected genome sharing between individuals in pedigrees, but actual genome sharing can differ considerably from these expected values, which in any case vary according to the pedigree that happens to be available. Nowadays, we can measure genome sharing directly from genome-wide single-nucleotide polymorphism (SNP) data; however, there are many such measures in current use, and we lack good criteria for choosing among them. Here, we review SNP-based measures of relatedness and criteria for comparing them. We discuss how useful pedigree-based concepts remain today and highlight opportunities for further advances in quantitative genetics, with a focus on heritability estimation and phenotype prediction.","author":[{"dropping-particle":"","family":"Speed","given":"Doug","non-dropping-particle":"","parse-names":false,"suffix":""},{"dropping-particle":"","family":"Balding","given":"David J.","non-dropping-particle":"","parse-names":false,"suffix":""}],"container-title":"Nature Reviews Genetics","id":"ITEM-2","issue":"1","issued":{"date-parts":[["2015"]]},"page":"33-44","title":"Relatedness in the post-genomic era: Is it still useful?","type":"article-journal","volume":"16"},"uris":["http://www.mendeley.com/documents/?uuid=e9f027e4-95b8-4040-b841-ef046ef52a3a"]}],"mendeley":{"formattedCitation":"(THOMPSON, 1975; Speed and Balding, 2015)","manualFormatting":"(Thompson, 1975; Speed and Balding, 2015)","plainTextFormattedCitation":"(THOMPSON, 1975; Speed and Balding, 2015)","previouslyFormattedCitation":"(THOMPSON, 1975; Speed and Balding, 2015)"},"properties":{"noteIndex":0},"schema":"https://github.com/citation-style-language/schema/raw/master/csl-citation.json"}</w:instrText>
      </w:r>
      <w:r w:rsidR="00614AA1" w:rsidRPr="00A35149">
        <w:rPr>
          <w:rFonts w:asciiTheme="majorBidi" w:hAnsiTheme="majorBidi" w:cstheme="majorBidi"/>
          <w:color w:val="4472C4"/>
        </w:rPr>
        <w:fldChar w:fldCharType="separate"/>
      </w:r>
      <w:r w:rsidR="00614AA1" w:rsidRPr="00A35149">
        <w:rPr>
          <w:rFonts w:asciiTheme="majorBidi" w:hAnsiTheme="majorBidi" w:cstheme="majorBidi"/>
          <w:noProof/>
          <w:color w:val="4472C4"/>
        </w:rPr>
        <w:t>(T</w:t>
      </w:r>
      <w:r w:rsidR="009E234A" w:rsidRPr="00A35149">
        <w:rPr>
          <w:rFonts w:asciiTheme="majorBidi" w:hAnsiTheme="majorBidi" w:cstheme="majorBidi"/>
          <w:noProof/>
          <w:color w:val="4472C4"/>
        </w:rPr>
        <w:t>hompson</w:t>
      </w:r>
      <w:r w:rsidR="00614AA1" w:rsidRPr="00A35149">
        <w:rPr>
          <w:rFonts w:asciiTheme="majorBidi" w:hAnsiTheme="majorBidi" w:cstheme="majorBidi"/>
          <w:noProof/>
          <w:color w:val="4472C4"/>
        </w:rPr>
        <w:t>, 1975; Speed and Balding, 2015)</w:t>
      </w:r>
      <w:r w:rsidR="00614AA1" w:rsidRPr="00A35149">
        <w:rPr>
          <w:rFonts w:asciiTheme="majorBidi" w:hAnsiTheme="majorBidi" w:cstheme="majorBidi"/>
          <w:color w:val="4472C4"/>
        </w:rPr>
        <w:fldChar w:fldCharType="end"/>
      </w:r>
      <w:r w:rsidRPr="00A35149">
        <w:rPr>
          <w:rFonts w:asciiTheme="majorBidi" w:hAnsiTheme="majorBidi" w:cstheme="majorBidi"/>
        </w:rPr>
        <w:t xml:space="preserve">. Software that estimate the kinship coefficient often use relatedness estimators to calculate the kinship coefficient, which fall into two categories based on the method that they use: moment estimators used by </w:t>
      </w:r>
      <w:r w:rsidRPr="00A35149">
        <w:rPr>
          <w:rFonts w:asciiTheme="majorBidi" w:hAnsiTheme="majorBidi" w:cstheme="majorBidi"/>
          <w:i/>
        </w:rPr>
        <w:t>KING, REAP</w:t>
      </w:r>
      <w:r w:rsidRPr="00A35149">
        <w:rPr>
          <w:rFonts w:asciiTheme="majorBidi" w:hAnsiTheme="majorBidi" w:cstheme="majorBidi"/>
        </w:rPr>
        <w:t xml:space="preserve"> and </w:t>
      </w:r>
      <w:r w:rsidRPr="00A35149">
        <w:rPr>
          <w:rFonts w:asciiTheme="majorBidi" w:hAnsiTheme="majorBidi" w:cstheme="majorBidi"/>
          <w:i/>
        </w:rPr>
        <w:t>PC-Relate</w:t>
      </w:r>
      <w:r w:rsidRPr="00A35149">
        <w:rPr>
          <w:rFonts w:asciiTheme="majorBidi" w:hAnsiTheme="majorBidi" w:cstheme="majorBidi"/>
        </w:rPr>
        <w:t xml:space="preserve">, and maximum likelihood (ML) estimators  </w:t>
      </w:r>
      <w:r w:rsidR="00614AA1" w:rsidRPr="00A35149">
        <w:rPr>
          <w:rFonts w:asciiTheme="majorBidi" w:hAnsiTheme="majorBidi" w:cstheme="majorBidi"/>
          <w:color w:val="4472C4"/>
        </w:rPr>
        <w:fldChar w:fldCharType="begin" w:fldLock="1"/>
      </w:r>
      <w:r w:rsidR="00614AA1" w:rsidRPr="00A35149">
        <w:rPr>
          <w:rFonts w:asciiTheme="majorBidi" w:hAnsiTheme="majorBidi" w:cstheme="majorBidi"/>
          <w:color w:val="4472C4"/>
        </w:rPr>
        <w:instrText>ADDIN CSL_CITATION {"citationItems":[{"id":"ITEM-1","itemData":{"ISSN":"00166731","abstract":"I propose a new estimator for jointly estimating two-gene and four-gene coefficients of relatedness between individuals from an outbreeding population with data on codominant genetic markers and compare it, by Monte Carlo simulations, to previous ones in precision and accuracy for different distributions of population allele frequencies, numbers of alleles per locus, actual relationships, sample sizes, and proportions of relatives included in samples. In contrast to several previous estimators, the new estimator is well behaved and applies to any number of alleles per locus and any allele frequency distribution. The estimates for two- and four-gene coefficients of relatedness from the new estimator are unbiased irrespective of the sample size and have sampling variances decreasing consistently with an increasing number of alleles per locus to the minimum asymptotic values determined by the variation in identity-by-descent among loci per se, regardless of the actual relationship. The new estimator is also robust for small sample sizes and for unknown relatives being included in samples for estimating allele frequencies. Compared to previous estimators, the new one is generally advantageous, especially for highly polymorphic loci and/or small sample sizes.","author":[{"dropping-particle":"","family":"Wang","given":"Jinliang","non-dropping-particle":"","parse-names":false,"suffix":""}],"container-title":"Genetics","id":"ITEM-1","issue":"3","issued":{"date-parts":[["2002"]]},"page":"1203-1215","title":"An estimator for pairwise relatedness using molecular markers","type":"article-journal","volume":"160"},"uris":["http://www.mendeley.com/documents/?uuid=df731393-2363-4e6c-902b-34fdccd2718e"]}],"mendeley":{"formattedCitation":"(Wang, 2002)","plainTextFormattedCitation":"(Wang, 2002)","previouslyFormattedCitation":"(Wang, 2002)"},"properties":{"noteIndex":0},"schema":"https://github.com/citation-style-language/schema/raw/master/csl-citation.json"}</w:instrText>
      </w:r>
      <w:r w:rsidR="00614AA1" w:rsidRPr="00A35149">
        <w:rPr>
          <w:rFonts w:asciiTheme="majorBidi" w:hAnsiTheme="majorBidi" w:cstheme="majorBidi"/>
          <w:color w:val="4472C4"/>
        </w:rPr>
        <w:fldChar w:fldCharType="separate"/>
      </w:r>
      <w:r w:rsidR="00614AA1" w:rsidRPr="00A35149">
        <w:rPr>
          <w:rFonts w:asciiTheme="majorBidi" w:hAnsiTheme="majorBidi" w:cstheme="majorBidi"/>
          <w:noProof/>
          <w:color w:val="4472C4"/>
        </w:rPr>
        <w:t>(Wang, 2002)</w:t>
      </w:r>
      <w:r w:rsidR="00614AA1" w:rsidRPr="00A35149">
        <w:rPr>
          <w:rFonts w:asciiTheme="majorBidi" w:hAnsiTheme="majorBidi" w:cstheme="majorBidi"/>
          <w:color w:val="4472C4"/>
        </w:rPr>
        <w:fldChar w:fldCharType="end"/>
      </w:r>
      <w:r w:rsidRPr="00A35149">
        <w:rPr>
          <w:rFonts w:asciiTheme="majorBidi" w:hAnsiTheme="majorBidi" w:cstheme="majorBidi"/>
        </w:rPr>
        <w:t>.</w:t>
      </w:r>
    </w:p>
    <w:p w14:paraId="04A866D3" w14:textId="77777777" w:rsidR="00AB67F2" w:rsidRPr="00A35149" w:rsidRDefault="00AB67F2">
      <w:pPr>
        <w:widowControl w:val="0"/>
        <w:ind w:firstLine="720"/>
        <w:rPr>
          <w:rFonts w:asciiTheme="majorBidi" w:hAnsiTheme="majorBidi" w:cstheme="majorBidi"/>
        </w:rPr>
      </w:pPr>
    </w:p>
    <w:p w14:paraId="000001F2" w14:textId="47EF0E2A" w:rsidR="007F6EEB" w:rsidRPr="00A35149" w:rsidRDefault="00430C7C">
      <w:pPr>
        <w:widowControl w:val="0"/>
        <w:ind w:firstLine="720"/>
        <w:rPr>
          <w:rFonts w:asciiTheme="majorBidi" w:hAnsiTheme="majorBidi" w:cstheme="majorBidi"/>
        </w:rPr>
      </w:pPr>
      <w:r w:rsidRPr="00A35149">
        <w:rPr>
          <w:rFonts w:asciiTheme="majorBidi" w:hAnsiTheme="majorBidi" w:cstheme="majorBidi"/>
        </w:rPr>
        <w:t xml:space="preserve"> ML estimators mostly use an EM algorithm to estimate the </w:t>
      </w:r>
      <w:r w:rsidR="00AB67F2" w:rsidRPr="00A35149">
        <w:rPr>
          <w:rFonts w:asciiTheme="majorBidi" w:hAnsiTheme="majorBidi" w:cstheme="majorBidi"/>
          <w:i/>
          <w:iCs/>
        </w:rPr>
        <w:t>K</w:t>
      </w:r>
      <w:r w:rsidRPr="00A35149">
        <w:rPr>
          <w:rFonts w:asciiTheme="majorBidi" w:hAnsiTheme="majorBidi" w:cstheme="majorBidi"/>
        </w:rPr>
        <w:t xml:space="preserve"> coefficients, whilst moment estimators, used by </w:t>
      </w:r>
      <w:r w:rsidRPr="00A35149">
        <w:rPr>
          <w:rFonts w:asciiTheme="majorBidi" w:hAnsiTheme="majorBidi" w:cstheme="majorBidi"/>
          <w:i/>
        </w:rPr>
        <w:t>KING</w:t>
      </w:r>
      <w:r w:rsidRPr="00A35149">
        <w:rPr>
          <w:rFonts w:asciiTheme="majorBidi" w:hAnsiTheme="majorBidi" w:cstheme="majorBidi"/>
        </w:rPr>
        <w:t xml:space="preserve">, </w:t>
      </w:r>
      <w:r w:rsidRPr="00A35149">
        <w:rPr>
          <w:rFonts w:asciiTheme="majorBidi" w:hAnsiTheme="majorBidi" w:cstheme="majorBidi"/>
          <w:i/>
        </w:rPr>
        <w:t>REAP</w:t>
      </w:r>
      <w:r w:rsidRPr="00A35149">
        <w:rPr>
          <w:rFonts w:asciiTheme="majorBidi" w:hAnsiTheme="majorBidi" w:cstheme="majorBidi"/>
        </w:rPr>
        <w:t xml:space="preserve"> and </w:t>
      </w:r>
      <w:r w:rsidRPr="00A35149">
        <w:rPr>
          <w:rFonts w:asciiTheme="majorBidi" w:hAnsiTheme="majorBidi" w:cstheme="majorBidi"/>
          <w:i/>
        </w:rPr>
        <w:t>PC-Relate</w:t>
      </w:r>
      <w:r w:rsidRPr="00A35149">
        <w:rPr>
          <w:rFonts w:asciiTheme="majorBidi" w:hAnsiTheme="majorBidi" w:cstheme="majorBidi"/>
        </w:rPr>
        <w:t xml:space="preserve">, use the statistical method of moments to estimate the realised k coefficients; the proportion of genome at which two individuals share 0, 1, or 2 IBD genes </w:t>
      </w:r>
      <w:r w:rsidR="00614AA1" w:rsidRPr="00A35149">
        <w:rPr>
          <w:rFonts w:asciiTheme="majorBidi" w:hAnsiTheme="majorBidi" w:cstheme="majorBidi"/>
          <w:color w:val="4472C4" w:themeColor="accent1"/>
        </w:rPr>
        <w:fldChar w:fldCharType="begin" w:fldLock="1"/>
      </w:r>
      <w:r w:rsidR="00614AA1" w:rsidRPr="00A35149">
        <w:rPr>
          <w:rFonts w:asciiTheme="majorBidi" w:hAnsiTheme="majorBidi" w:cstheme="majorBidi"/>
          <w:color w:val="4472C4" w:themeColor="accent1"/>
        </w:rPr>
        <w:instrText>ADDIN CSL_CITATION {"citationItems":[{"id":"ITEM-1","itemData":{"DOI":"10.1534/genetics.XXX.XXXXXX","ISSN":"0016-6731","PMID":"27182951","abstract":"The characterization of the distribution of mutational effects is a key goal in evolutionary biology. Recently developed deep-sequencing approaches allow for accurate and simultaneous estimation of the fitness effects of hundreds of engineered mutations by monitoring their relative abundance across time points in a single bulk competition. Naturally, the achievable resolution of the estimated fitness effects depends on the specific experimental setup, the organism and type of mutations studied, the sequencing technology utilized, among other factors. By means of analytical approximations and simulations, we provide guidelines for optimizing time-sampled deep-sequencing bulk competition experiments, focusing on the number of mutants, the sequencing depth, and the number of sampled time points. Our analytical results show that sampling more time points together with extending the duration of the experiment improves the achievable precision disproportionately as compared with increasing the sequencing depth, or reducing the number of competing mutants. Even if the duration of the experiment is fixed, sampling more time points and clustering these at the beginning and the end of the experiment increases experimental power, and allows the efficient and precise assessment of the entire range of selection coefficients. Finally, we provide a formula for calculating the 95%-confidence interval for the measurement error estimate, which we implement as an interactive web tool. This allows for quantification of the maximum expected a priori precision of the experimental setup, as well as for a statistical threshold for determining deviations from neutrality for specific selection coefficient estimates.","author":[{"dropping-particle":"","family":"Wang","given":"Bowen","non-dropping-particle":"","parse-names":false,"suffix":""},{"dropping-particle":"","family":"Sverdlov","given":"Serge","non-dropping-particle":"","parse-names":false,"suffix":""},{"dropping-particle":"","family":"Thompson","given":"Elizatbeth","non-dropping-particle":"","parse-names":false,"suffix":""}],"container-title":"Genetics","id":"ITEM-1","issue":"3","issued":{"date-parts":[["2016"]]},"page":"1-23","title":"Efficient estimation of realized kinship from SNP genotypes","type":"article-journal","volume":"205"},"uris":["http://www.mendeley.com/documents/?uuid=996a35d6-3ca8-4c95-9fc8-f48f13c59ecc"]}],"mendeley":{"formattedCitation":"(Wang, Sverdlov and Thompson, 2016)","plainTextFormattedCitation":"(Wang, Sverdlov and Thompson, 2016)","previouslyFormattedCitation":"(Wang, Sverdlov and Thompson, 2016)"},"properties":{"noteIndex":0},"schema":"https://github.com/citation-style-language/schema/raw/master/csl-citation.json"}</w:instrText>
      </w:r>
      <w:r w:rsidR="00614AA1" w:rsidRPr="00A35149">
        <w:rPr>
          <w:rFonts w:asciiTheme="majorBidi" w:hAnsiTheme="majorBidi" w:cstheme="majorBidi"/>
          <w:color w:val="4472C4" w:themeColor="accent1"/>
        </w:rPr>
        <w:fldChar w:fldCharType="separate"/>
      </w:r>
      <w:r w:rsidR="00614AA1" w:rsidRPr="00A35149">
        <w:rPr>
          <w:rFonts w:asciiTheme="majorBidi" w:hAnsiTheme="majorBidi" w:cstheme="majorBidi"/>
          <w:noProof/>
          <w:color w:val="4472C4" w:themeColor="accent1"/>
        </w:rPr>
        <w:t>(Wang, Sverdlov and Thompson, 2016)</w:t>
      </w:r>
      <w:r w:rsidR="00614AA1" w:rsidRPr="00A35149">
        <w:rPr>
          <w:rFonts w:asciiTheme="majorBidi" w:hAnsiTheme="majorBidi" w:cstheme="majorBidi"/>
          <w:color w:val="4472C4" w:themeColor="accent1"/>
        </w:rPr>
        <w:fldChar w:fldCharType="end"/>
      </w:r>
      <w:r w:rsidR="00614AA1" w:rsidRPr="00A35149">
        <w:rPr>
          <w:rFonts w:asciiTheme="majorBidi" w:hAnsiTheme="majorBidi" w:cstheme="majorBidi"/>
        </w:rPr>
        <w:t xml:space="preserve">. </w:t>
      </w:r>
      <w:r w:rsidRPr="00A35149">
        <w:rPr>
          <w:rFonts w:asciiTheme="majorBidi" w:hAnsiTheme="majorBidi" w:cstheme="majorBidi"/>
          <w:i/>
        </w:rPr>
        <w:t>KING</w:t>
      </w:r>
      <w:r w:rsidRPr="00A35149">
        <w:rPr>
          <w:rFonts w:asciiTheme="majorBidi" w:hAnsiTheme="majorBidi" w:cstheme="majorBidi"/>
        </w:rPr>
        <w:t xml:space="preserve"> can produce reliable inference for large sample sizes (millions of unrelated and thousands of relative pairs)</w:t>
      </w:r>
      <w:r w:rsidR="003121E9" w:rsidRPr="00A35149">
        <w:rPr>
          <w:rFonts w:asciiTheme="majorBidi" w:hAnsiTheme="majorBidi" w:cstheme="majorBidi"/>
        </w:rPr>
        <w:t xml:space="preserve"> </w:t>
      </w:r>
      <w:r w:rsidR="00614AA1" w:rsidRPr="00A35149">
        <w:rPr>
          <w:rFonts w:asciiTheme="majorBidi" w:hAnsiTheme="majorBidi" w:cstheme="majorBidi"/>
          <w:color w:val="4472C4" w:themeColor="accent1"/>
        </w:rPr>
        <w:fldChar w:fldCharType="begin" w:fldLock="1"/>
      </w:r>
      <w:r w:rsidR="00614AA1" w:rsidRPr="00A35149">
        <w:rPr>
          <w:rFonts w:asciiTheme="majorBidi" w:hAnsiTheme="majorBidi" w:cstheme="majorBidi"/>
          <w:color w:val="4472C4" w:themeColor="accent1"/>
        </w:rPr>
        <w:instrText>ADDIN CSL_CITATION {"citationItems":[{"id":"ITEM-1","itemData":{"DOI":"10.1093/bioinformatics/btq559","ISSN":"13674803","abstract":"MOTIVATION: Genome-wide association studies (GWASs) have been widely used to map loci contributing to variation in complex traits and risk of diseases in humans. Accurate specification of familial relationships is crucial for family-based GWAS, as well as in population-based GWAS with unknown (or unrecognized) family structure. The family structure in a GWAS should be routinely investigated using the SNP data prior to the analysis of population structure or phenotype. Existing algorithms for relationship inference have a major weakness of estimating allele frequencies at each SNP from the entire sample, under a strong assumption of homogeneous population structure. This assumption is often untenable. RESULTS: Here, we present a rapid algorithm for relationship inference using high-throughput genotype data typical of GWAS that allows the presence of unknown population substructure. The relationship of any pair of individuals can be precisely inferred by robust estimation of their kinship coefficient, independent of sample composition or population structure (sample invariance). We present simulation experiments to demonstrate that the algorithm has sufficient power to provide reliable inference on millions of unrelated pairs and thousands of relative pairs (up to 3rd-degree relationships). Application of our robust algorithm to HapMap and GWAS datasets demonstrates that it performs properly even under extreme population stratification, while algorithms assuming a homogeneous population give systematically biased results. Our extremely efficient implementation performs relationship inference on millions of pairs of individuals in a matter of minutes, dozens of times faster than the most efficient existing algorithm known to us. AVAILABILITY: Our robust relationship inference algorithm is implemented in a freely available software package, KING, available for download at http://people.virginia.edu/</w:instrText>
      </w:r>
      <w:r w:rsidR="00614AA1" w:rsidRPr="00A35149">
        <w:rPr>
          <w:rFonts w:ascii="Cambria Math" w:hAnsi="Cambria Math" w:cs="Cambria Math"/>
          <w:color w:val="4472C4" w:themeColor="accent1"/>
        </w:rPr>
        <w:instrText>∼</w:instrText>
      </w:r>
      <w:r w:rsidR="00614AA1" w:rsidRPr="00A35149">
        <w:rPr>
          <w:rFonts w:asciiTheme="majorBidi" w:hAnsiTheme="majorBidi" w:cstheme="majorBidi"/>
          <w:color w:val="4472C4" w:themeColor="accent1"/>
        </w:rPr>
        <w:instrText>wc9c/KING.","author":[{"dropping-particle":"","family":"Manichaikul","given":"Ani","non-dropping-particle":"","parse-names":false,"suffix":""},{"dropping-particle":"","family":"Mychaleckyj","given":"Josyf C.","non-dropping-particle":"","parse-names":false,"suffix":""},{"dropping-particle":"","family":"Rich","given":"Stephen S.","non-dropping-particle":"","parse-names":false,"suffix":""},{"dropping-particle":"","family":"Daly","given":"Kathy","non-dropping-particle":"","parse-names":false,"suffix":""},{"dropping-particle":"","family":"Sale","given":"Michèle","non-dropping-particle":"","parse-names":false,"suffix":""},{"dropping-particle":"","family":"Chen","given":"Wei Min","non-dropping-particle":"","parse-names":false,"suffix":""}],"container-title":"Bioinformatics","id":"ITEM-1","issue":"22","issued":{"date-parts":[["2010"]]},"page":"2867-2873","title":"Robust relationship inference in genome-wide association studies","type":"article-journal","volume":"26"},"uris":["http://www.mendeley.com/documents/?uuid=893d6e9a-943c-461a-9a2c-c6a249652a76"]}],"mendeley":{"formattedCitation":"(Manichaikul &lt;i&gt;et al.&lt;/i&gt;, 2010)","plainTextFormattedCitation":"(Manichaikul et al., 2010)","previouslyFormattedCitation":"(Manichaikul &lt;i&gt;et al.&lt;/i&gt;, 2010)"},"properties":{"noteIndex":0},"schema":"https://github.com/citation-style-language/schema/raw/master/csl-citation.json"}</w:instrText>
      </w:r>
      <w:r w:rsidR="00614AA1" w:rsidRPr="00A35149">
        <w:rPr>
          <w:rFonts w:asciiTheme="majorBidi" w:hAnsiTheme="majorBidi" w:cstheme="majorBidi"/>
          <w:color w:val="4472C4" w:themeColor="accent1"/>
        </w:rPr>
        <w:fldChar w:fldCharType="separate"/>
      </w:r>
      <w:r w:rsidR="00614AA1" w:rsidRPr="00A35149">
        <w:rPr>
          <w:rFonts w:asciiTheme="majorBidi" w:hAnsiTheme="majorBidi" w:cstheme="majorBidi"/>
          <w:noProof/>
          <w:color w:val="4472C4" w:themeColor="accent1"/>
        </w:rPr>
        <w:t xml:space="preserve">(Manichaikul </w:t>
      </w:r>
      <w:r w:rsidR="00614AA1" w:rsidRPr="00A35149">
        <w:rPr>
          <w:rFonts w:asciiTheme="majorBidi" w:hAnsiTheme="majorBidi" w:cstheme="majorBidi"/>
          <w:i/>
          <w:noProof/>
          <w:color w:val="4472C4" w:themeColor="accent1"/>
        </w:rPr>
        <w:t>et al.</w:t>
      </w:r>
      <w:r w:rsidR="00614AA1" w:rsidRPr="00A35149">
        <w:rPr>
          <w:rFonts w:asciiTheme="majorBidi" w:hAnsiTheme="majorBidi" w:cstheme="majorBidi"/>
          <w:noProof/>
          <w:color w:val="4472C4" w:themeColor="accent1"/>
        </w:rPr>
        <w:t>, 2010)</w:t>
      </w:r>
      <w:r w:rsidR="00614AA1" w:rsidRPr="00A35149">
        <w:rPr>
          <w:rFonts w:asciiTheme="majorBidi" w:hAnsiTheme="majorBidi" w:cstheme="majorBidi"/>
          <w:color w:val="4472C4" w:themeColor="accent1"/>
        </w:rPr>
        <w:fldChar w:fldCharType="end"/>
      </w:r>
      <w:r w:rsidR="00614AA1" w:rsidRPr="00A35149">
        <w:rPr>
          <w:rFonts w:asciiTheme="majorBidi" w:hAnsiTheme="majorBidi" w:cstheme="majorBidi"/>
        </w:rPr>
        <w:t xml:space="preserve">. </w:t>
      </w:r>
      <w:r w:rsidRPr="00A35149">
        <w:rPr>
          <w:rFonts w:asciiTheme="majorBidi" w:hAnsiTheme="majorBidi" w:cstheme="majorBidi"/>
        </w:rPr>
        <w:t xml:space="preserve">However, </w:t>
      </w:r>
      <w:r w:rsidRPr="00A35149">
        <w:rPr>
          <w:rFonts w:asciiTheme="majorBidi" w:hAnsiTheme="majorBidi" w:cstheme="majorBidi"/>
          <w:i/>
          <w:iCs/>
        </w:rPr>
        <w:t>KING</w:t>
      </w:r>
      <w:r w:rsidRPr="00A35149">
        <w:rPr>
          <w:rFonts w:asciiTheme="majorBidi" w:hAnsiTheme="majorBidi" w:cstheme="majorBidi"/>
        </w:rPr>
        <w:t xml:space="preserve"> is prone to biased estimates in admixed populations and in the presence of population structure, due to the violation of simplifying assumptions that do not hold in the presence of population structure and/or ancestry admixture</w:t>
      </w:r>
      <w:r w:rsidR="00614AA1" w:rsidRPr="00A35149">
        <w:rPr>
          <w:rFonts w:asciiTheme="majorBidi" w:hAnsiTheme="majorBidi" w:cstheme="majorBidi"/>
          <w:color w:val="4472C4"/>
        </w:rPr>
        <w:t xml:space="preserve"> </w:t>
      </w:r>
      <w:r w:rsidR="00614AA1" w:rsidRPr="00A35149">
        <w:rPr>
          <w:rFonts w:asciiTheme="majorBidi" w:hAnsiTheme="majorBidi" w:cstheme="majorBidi"/>
          <w:color w:val="4472C4"/>
        </w:rPr>
        <w:fldChar w:fldCharType="begin" w:fldLock="1"/>
      </w:r>
      <w:r w:rsidR="00614AA1" w:rsidRPr="00A35149">
        <w:rPr>
          <w:rFonts w:asciiTheme="majorBidi" w:hAnsiTheme="majorBidi" w:cstheme="majorBidi"/>
          <w:color w:val="4472C4"/>
        </w:rPr>
        <w:instrText>ADDIN CSL_CITATION {"citationItems":[{"id":"ITEM-1","itemData":{"DOI":"10.1016/j.ajhg.2015.11.022","ISSN":"15376605","abstract":"Genealogical inference from genetic data is essential for a variety of applications in human genetics. In genome-wide and sequencing association studies, for example, accurate inference on both recent genetic relatedness, such as family structure, and more distant genetic relatedness, such as population structure, is necessary for protection against spurious associations. Distinguishing familial relatedness from population structure with genotype data, however, is difficult because both manifest as genetic similarity through the sharing of alleles. Existing approaches for inference on recent genetic relatedness have limitations in the presence of population structure, where they either (1) make strong and simplifying assumptions about population structure, which are often untenable, or (2) require correct specification of and appropriate reference population panels for the ancestries in the sample, which might be unknown or not well defined. Here, we propose PC-Relate, a model-free approach for estimating commonly used measures of recent genetic relatedness, such as kinship coefficients and IBD sharing probabilities, in the presence of unspecified structure. PC-Relate uses principal components calculated from genome-screen data to partition genetic correlations among sampled individuals due to the sharing of recent ancestors and more distant common ancestry into two separate components, without requiring specification of the ancestral populations or reference population panels. In simulation studies with population structure, including admixture, we demonstrate that PC-Relate provides accurate estimates of genetic relatedness and improved relationship classification over widely used approaches. We further demonstrate the utility of PC-Relate in applications to three ancestrally diverse samples that vary in both size and genealogical complexity.","author":[{"dropping-particle":"","family":"Conomos","given":"Matthew P.","non-dropping-particle":"","parse-names":false,"suffix":""},{"dropping-particle":"","family":"Reiner","given":"Alexander P.","non-dropping-particle":"","parse-names":false,"suffix":""},{"dropping-particle":"","family":"Weir","given":"Bruce S.","non-dropping-particle":"","parse-names":false,"suffix":""},{"dropping-particle":"","family":"Thornton","given":"Timothy A.","non-dropping-particle":"","parse-names":false,"suffix":""}],"container-title":"American Journal of Human Genetics","id":"ITEM-1","issue":"1","issued":{"date-parts":[["2016"]]},"page":"127-148","title":"Model-free Estimation of Recent Genetic Relatedness","type":"article-journal","volume":"98"},"uris":["http://www.mendeley.com/documents/?uuid=db0308db-380f-4666-9253-357e44964098"]}],"mendeley":{"formattedCitation":"(Conomos &lt;i&gt;et al.&lt;/i&gt;, 2016)","plainTextFormattedCitation":"(Conomos et al., 2016)","previouslyFormattedCitation":"(Conomos &lt;i&gt;et al.&lt;/i&gt;, 2016)"},"properties":{"noteIndex":0},"schema":"https://github.com/citation-style-language/schema/raw/master/csl-citation.json"}</w:instrText>
      </w:r>
      <w:r w:rsidR="00614AA1" w:rsidRPr="00A35149">
        <w:rPr>
          <w:rFonts w:asciiTheme="majorBidi" w:hAnsiTheme="majorBidi" w:cstheme="majorBidi"/>
          <w:color w:val="4472C4"/>
        </w:rPr>
        <w:fldChar w:fldCharType="separate"/>
      </w:r>
      <w:r w:rsidR="00614AA1" w:rsidRPr="00A35149">
        <w:rPr>
          <w:rFonts w:asciiTheme="majorBidi" w:hAnsiTheme="majorBidi" w:cstheme="majorBidi"/>
          <w:noProof/>
          <w:color w:val="4472C4"/>
        </w:rPr>
        <w:t xml:space="preserve">(Conomos </w:t>
      </w:r>
      <w:r w:rsidR="00614AA1" w:rsidRPr="00A35149">
        <w:rPr>
          <w:rFonts w:asciiTheme="majorBidi" w:hAnsiTheme="majorBidi" w:cstheme="majorBidi"/>
          <w:i/>
          <w:noProof/>
          <w:color w:val="4472C4"/>
        </w:rPr>
        <w:t>et al.</w:t>
      </w:r>
      <w:r w:rsidR="00614AA1" w:rsidRPr="00A35149">
        <w:rPr>
          <w:rFonts w:asciiTheme="majorBidi" w:hAnsiTheme="majorBidi" w:cstheme="majorBidi"/>
          <w:noProof/>
          <w:color w:val="4472C4"/>
        </w:rPr>
        <w:t xml:space="preserve">, </w:t>
      </w:r>
      <w:r w:rsidR="00614AA1" w:rsidRPr="00A35149">
        <w:rPr>
          <w:rFonts w:asciiTheme="majorBidi" w:hAnsiTheme="majorBidi" w:cstheme="majorBidi"/>
          <w:noProof/>
          <w:color w:val="4472C4"/>
        </w:rPr>
        <w:lastRenderedPageBreak/>
        <w:t>2016)</w:t>
      </w:r>
      <w:r w:rsidR="00614AA1" w:rsidRPr="00A35149">
        <w:rPr>
          <w:rFonts w:asciiTheme="majorBidi" w:hAnsiTheme="majorBidi" w:cstheme="majorBidi"/>
          <w:color w:val="4472C4"/>
        </w:rPr>
        <w:fldChar w:fldCharType="end"/>
      </w:r>
      <w:r w:rsidRPr="00A35149">
        <w:rPr>
          <w:rFonts w:asciiTheme="majorBidi" w:hAnsiTheme="majorBidi" w:cstheme="majorBidi"/>
        </w:rPr>
        <w:t xml:space="preserve">. Conversely, </w:t>
      </w:r>
      <w:r w:rsidRPr="00A35149">
        <w:rPr>
          <w:rFonts w:asciiTheme="majorBidi" w:hAnsiTheme="majorBidi" w:cstheme="majorBidi"/>
          <w:i/>
        </w:rPr>
        <w:t xml:space="preserve">REAP </w:t>
      </w:r>
      <w:r w:rsidR="00614AA1" w:rsidRPr="00A35149">
        <w:rPr>
          <w:rFonts w:asciiTheme="majorBidi" w:hAnsiTheme="majorBidi" w:cstheme="majorBidi"/>
          <w:i/>
          <w:color w:val="4472C4" w:themeColor="accent1"/>
        </w:rPr>
        <w:fldChar w:fldCharType="begin" w:fldLock="1"/>
      </w:r>
      <w:r w:rsidR="00614AA1" w:rsidRPr="00A35149">
        <w:rPr>
          <w:rFonts w:asciiTheme="majorBidi" w:hAnsiTheme="majorBidi" w:cstheme="majorBidi"/>
          <w:i/>
          <w:color w:val="4472C4" w:themeColor="accent1"/>
        </w:rPr>
        <w:instrText>ADDIN CSL_CITATION {"citationItems":[{"id":"ITEM-1","itemData":{"DOI":"10.1016/j.ajhg.2012.05.024","ISSN":"00029297","abstract":"Genome-wide association studies (GWASs) are commonly used for the mapping of genetic loci that influence complex traits. A problem that is often encountered in both population-based and family-based GWASs is that of identifying cryptic relatedness and population stratification because it is well known that failure to appropriately account for both pedigree and population structure can lead to spurious association. A number of methods have been proposed for identifying relatives in samples from homogeneous populations. A strong assumption of population homogeneity, however, is often untenable, and many GWASs include samples from structured populations. Here, we consider the problem of estimating relatedness in structured populations with admixed ancestry. We propose a method, REAP (relatedness estimation in admixed populations), for robust estimation of identity by descent (IBD)-sharing probabilities and kinship coefficients in admixed populations. REAP appropriately accounts for population structure and ancestry-related assortative mating by using individual-specific allele frequencies at SNPs that are calculated on the basis of ancestry derived from whole-genome analysis. In simulation studies with related individuals and admixture from highly divergent populations, we demonstrate that REAP gives accurate IBD-sharing probabilities and kinship coefficients. We apply REAP to the Mexican Americans in Los Angeles, California (MXL) population sample of release 3 of phase III of the International Haplotype Map Project; in this sample, we identify third- and fourth-degree relatives who have not previously been reported. We also apply REAP to the African American and Hispanic samples from the Women's Health Initiative SNP Health Association Resource (WHI-SHARe) study, in which hundreds of pairs of cryptically related individuals have been identified. © 2012 The American Society of Human Genetics.","author":[{"dropping-particle":"","family":"Thornton","given":"Timothy","non-dropping-particle":"","parse-names":false,"suffix":""},{"dropping-particle":"","family":"Tang","given":"Hua","non-dropping-particle":"","parse-names":false,"suffix":""},{"dropping-particle":"","family":"Hoffmann","given":"Thomas J.","non-dropping-particle":"","parse-names":false,"suffix":""},{"dropping-particle":"","family":"Ochs-Balcom","given":"Heather M.","non-dropping-particle":"","parse-names":false,"suffix":""},{"dropping-particle":"","family":"Caan","given":"Bette J.","non-dropping-particle":"","parse-names":false,"suffix":""},{"dropping-particle":"","family":"Risch","given":"Neil","non-dropping-particle":"","parse-names":false,"suffix":""}],"container-title":"American Journal of Human Genetics","id":"ITEM-1","issue":"1","issued":{"date-parts":[["2012"]]},"page":"122-138","title":"Estimating kinship in admixed populations","type":"article-journal","volume":"91"},"uris":["http://www.mendeley.com/documents/?uuid=3d99eca4-b960-43d0-90e4-4ab6bd13c0ea"]}],"mendeley":{"formattedCitation":"(Thornton &lt;i&gt;et al.&lt;/i&gt;, 2012)","plainTextFormattedCitation":"(Thornton et al., 2012)","previouslyFormattedCitation":"(Thornton &lt;i&gt;et al.&lt;/i&gt;, 2012)"},"properties":{"noteIndex":0},"schema":"https://github.com/citation-style-language/schema/raw/master/csl-citation.json"}</w:instrText>
      </w:r>
      <w:r w:rsidR="00614AA1" w:rsidRPr="00A35149">
        <w:rPr>
          <w:rFonts w:asciiTheme="majorBidi" w:hAnsiTheme="majorBidi" w:cstheme="majorBidi"/>
          <w:i/>
          <w:color w:val="4472C4" w:themeColor="accent1"/>
        </w:rPr>
        <w:fldChar w:fldCharType="separate"/>
      </w:r>
      <w:r w:rsidR="00614AA1" w:rsidRPr="00A35149">
        <w:rPr>
          <w:rFonts w:asciiTheme="majorBidi" w:hAnsiTheme="majorBidi" w:cstheme="majorBidi"/>
          <w:noProof/>
          <w:color w:val="4472C4" w:themeColor="accent1"/>
        </w:rPr>
        <w:t xml:space="preserve">(Thornton </w:t>
      </w:r>
      <w:r w:rsidR="00614AA1" w:rsidRPr="00A35149">
        <w:rPr>
          <w:rFonts w:asciiTheme="majorBidi" w:hAnsiTheme="majorBidi" w:cstheme="majorBidi"/>
          <w:i/>
          <w:noProof/>
          <w:color w:val="4472C4" w:themeColor="accent1"/>
        </w:rPr>
        <w:t>et al.</w:t>
      </w:r>
      <w:r w:rsidR="00614AA1" w:rsidRPr="00A35149">
        <w:rPr>
          <w:rFonts w:asciiTheme="majorBidi" w:hAnsiTheme="majorBidi" w:cstheme="majorBidi"/>
          <w:noProof/>
          <w:color w:val="4472C4" w:themeColor="accent1"/>
        </w:rPr>
        <w:t>, 2012)</w:t>
      </w:r>
      <w:r w:rsidR="00614AA1" w:rsidRPr="00A35149">
        <w:rPr>
          <w:rFonts w:asciiTheme="majorBidi" w:hAnsiTheme="majorBidi" w:cstheme="majorBidi"/>
          <w:i/>
          <w:color w:val="4472C4" w:themeColor="accent1"/>
        </w:rPr>
        <w:fldChar w:fldCharType="end"/>
      </w:r>
      <w:r w:rsidR="00614AA1" w:rsidRPr="00A35149">
        <w:rPr>
          <w:rFonts w:asciiTheme="majorBidi" w:hAnsiTheme="majorBidi" w:cstheme="majorBidi"/>
          <w:i/>
        </w:rPr>
        <w:t xml:space="preserve"> </w:t>
      </w:r>
      <w:r w:rsidRPr="00A35149">
        <w:rPr>
          <w:rFonts w:asciiTheme="majorBidi" w:hAnsiTheme="majorBidi" w:cstheme="majorBidi"/>
        </w:rPr>
        <w:t xml:space="preserve">and </w:t>
      </w:r>
      <w:r w:rsidRPr="00A35149">
        <w:rPr>
          <w:rFonts w:asciiTheme="majorBidi" w:hAnsiTheme="majorBidi" w:cstheme="majorBidi"/>
          <w:i/>
        </w:rPr>
        <w:t>PC-Relate</w:t>
      </w:r>
      <w:r w:rsidRPr="00A35149">
        <w:rPr>
          <w:rFonts w:asciiTheme="majorBidi" w:hAnsiTheme="majorBidi" w:cstheme="majorBidi"/>
        </w:rPr>
        <w:t xml:space="preserve"> </w:t>
      </w:r>
      <w:r w:rsidR="00614AA1" w:rsidRPr="00A35149">
        <w:rPr>
          <w:rFonts w:asciiTheme="majorBidi" w:hAnsiTheme="majorBidi" w:cstheme="majorBidi"/>
          <w:color w:val="4472C4" w:themeColor="accent1"/>
        </w:rPr>
        <w:fldChar w:fldCharType="begin" w:fldLock="1"/>
      </w:r>
      <w:r w:rsidR="00614AA1" w:rsidRPr="00A35149">
        <w:rPr>
          <w:rFonts w:asciiTheme="majorBidi" w:hAnsiTheme="majorBidi" w:cstheme="majorBidi"/>
          <w:color w:val="4472C4" w:themeColor="accent1"/>
        </w:rPr>
        <w:instrText>ADDIN CSL_CITATION {"citationItems":[{"id":"ITEM-1","itemData":{"DOI":"10.1016/j.ajhg.2015.11.022","ISSN":"15376605","abstract":"Genealogical inference from genetic data is essential for a variety of applications in human genetics. In genome-wide and sequencing association studies, for example, accurate inference on both recent genetic relatedness, such as family structure, and more distant genetic relatedness, such as population structure, is necessary for protection against spurious associations. Distinguishing familial relatedness from population structure with genotype data, however, is difficult because both manifest as genetic similarity through the sharing of alleles. Existing approaches for inference on recent genetic relatedness have limitations in the presence of population structure, where they either (1) make strong and simplifying assumptions about population structure, which are often untenable, or (2) require correct specification of and appropriate reference population panels for the ancestries in the sample, which might be unknown or not well defined. Here, we propose PC-Relate, a model-free approach for estimating commonly used measures of recent genetic relatedness, such as kinship coefficients and IBD sharing probabilities, in the presence of unspecified structure. PC-Relate uses principal components calculated from genome-screen data to partition genetic correlations among sampled individuals due to the sharing of recent ancestors and more distant common ancestry into two separate components, without requiring specification of the ancestral populations or reference population panels. In simulation studies with population structure, including admixture, we demonstrate that PC-Relate provides accurate estimates of genetic relatedness and improved relationship classification over widely used approaches. We further demonstrate the utility of PC-Relate in applications to three ancestrally diverse samples that vary in both size and genealogical complexity.","author":[{"dropping-particle":"","family":"Conomos","given":"Matthew P.","non-dropping-particle":"","parse-names":false,"suffix":""},{"dropping-particle":"","family":"Reiner","given":"Alexander P.","non-dropping-particle":"","parse-names":false,"suffix":""},{"dropping-particle":"","family":"Weir","given":"Bruce S.","non-dropping-particle":"","parse-names":false,"suffix":""},{"dropping-particle":"","family":"Thornton","given":"Timothy A.","non-dropping-particle":"","parse-names":false,"suffix":""}],"container-title":"American Journal of Human Genetics","id":"ITEM-1","issue":"1","issued":{"date-parts":[["2016"]]},"page":"127-148","title":"Model-free Estimation of Recent Genetic Relatedness","type":"article-journal","volume":"98"},"uris":["http://www.mendeley.com/documents/?uuid=db0308db-380f-4666-9253-357e44964098"]}],"mendeley":{"formattedCitation":"(Conomos &lt;i&gt;et al.&lt;/i&gt;, 2016)","plainTextFormattedCitation":"(Conomos et al., 2016)","previouslyFormattedCitation":"(Conomos &lt;i&gt;et al.&lt;/i&gt;, 2016)"},"properties":{"noteIndex":0},"schema":"https://github.com/citation-style-language/schema/raw/master/csl-citation.json"}</w:instrText>
      </w:r>
      <w:r w:rsidR="00614AA1" w:rsidRPr="00A35149">
        <w:rPr>
          <w:rFonts w:asciiTheme="majorBidi" w:hAnsiTheme="majorBidi" w:cstheme="majorBidi"/>
          <w:color w:val="4472C4" w:themeColor="accent1"/>
        </w:rPr>
        <w:fldChar w:fldCharType="separate"/>
      </w:r>
      <w:r w:rsidR="00614AA1" w:rsidRPr="00A35149">
        <w:rPr>
          <w:rFonts w:asciiTheme="majorBidi" w:hAnsiTheme="majorBidi" w:cstheme="majorBidi"/>
          <w:noProof/>
          <w:color w:val="4472C4" w:themeColor="accent1"/>
        </w:rPr>
        <w:t xml:space="preserve">(Conomos </w:t>
      </w:r>
      <w:r w:rsidR="00614AA1" w:rsidRPr="00A35149">
        <w:rPr>
          <w:rFonts w:asciiTheme="majorBidi" w:hAnsiTheme="majorBidi" w:cstheme="majorBidi"/>
          <w:i/>
          <w:noProof/>
          <w:color w:val="4472C4" w:themeColor="accent1"/>
        </w:rPr>
        <w:t>et al.</w:t>
      </w:r>
      <w:r w:rsidR="00614AA1" w:rsidRPr="00A35149">
        <w:rPr>
          <w:rFonts w:asciiTheme="majorBidi" w:hAnsiTheme="majorBidi" w:cstheme="majorBidi"/>
          <w:noProof/>
          <w:color w:val="4472C4" w:themeColor="accent1"/>
        </w:rPr>
        <w:t>, 2016)</w:t>
      </w:r>
      <w:r w:rsidR="00614AA1" w:rsidRPr="00A35149">
        <w:rPr>
          <w:rFonts w:asciiTheme="majorBidi" w:hAnsiTheme="majorBidi" w:cstheme="majorBidi"/>
          <w:color w:val="4472C4" w:themeColor="accent1"/>
        </w:rPr>
        <w:fldChar w:fldCharType="end"/>
      </w:r>
      <w:r w:rsidRPr="00A35149">
        <w:rPr>
          <w:rFonts w:asciiTheme="majorBidi" w:hAnsiTheme="majorBidi" w:cstheme="majorBidi"/>
        </w:rPr>
        <w:t xml:space="preserve"> are able to account for different ancestry background of admixed individuals by using individual-specific allele frequencies derived from model-based population structure analysis methods</w:t>
      </w:r>
      <w:r w:rsidR="00AB67F2" w:rsidRPr="00A35149">
        <w:rPr>
          <w:rFonts w:asciiTheme="majorBidi" w:hAnsiTheme="majorBidi" w:cstheme="majorBidi"/>
        </w:rPr>
        <w:t xml:space="preserve"> </w:t>
      </w:r>
      <w:r w:rsidR="00AB67F2" w:rsidRPr="00A35149">
        <w:rPr>
          <w:rFonts w:asciiTheme="majorBidi" w:hAnsiTheme="majorBidi" w:cstheme="majorBidi"/>
          <w:lang w:val="en-US"/>
        </w:rPr>
        <w:t xml:space="preserve">(e.g., </w:t>
      </w:r>
      <w:r w:rsidRPr="00A35149">
        <w:rPr>
          <w:rFonts w:asciiTheme="majorBidi" w:hAnsiTheme="majorBidi" w:cstheme="majorBidi"/>
          <w:i/>
        </w:rPr>
        <w:t>ADMIXTURE</w:t>
      </w:r>
      <w:r w:rsidR="00AB67F2" w:rsidRPr="00A35149">
        <w:rPr>
          <w:rFonts w:asciiTheme="majorBidi" w:hAnsiTheme="majorBidi" w:cstheme="majorBidi"/>
          <w:i/>
        </w:rPr>
        <w:t>)</w:t>
      </w:r>
      <w:r w:rsidRPr="00A35149">
        <w:rPr>
          <w:rFonts w:asciiTheme="majorBidi" w:hAnsiTheme="majorBidi" w:cstheme="majorBidi"/>
        </w:rPr>
        <w:t xml:space="preserve">. </w:t>
      </w:r>
      <w:r w:rsidR="00AB67F2" w:rsidRPr="00A35149">
        <w:rPr>
          <w:rFonts w:asciiTheme="majorBidi" w:hAnsiTheme="majorBidi" w:cstheme="majorBidi"/>
        </w:rPr>
        <w:t>B</w:t>
      </w:r>
      <w:r w:rsidRPr="00A35149">
        <w:rPr>
          <w:rFonts w:asciiTheme="majorBidi" w:hAnsiTheme="majorBidi" w:cstheme="majorBidi"/>
        </w:rPr>
        <w:t>ias in these allele frequencies can lead to significantly biased relatedness estimates</w:t>
      </w:r>
      <w:r w:rsidR="00614AA1" w:rsidRPr="00A35149">
        <w:rPr>
          <w:rFonts w:asciiTheme="majorBidi" w:hAnsiTheme="majorBidi" w:cstheme="majorBidi"/>
          <w:color w:val="4472C4"/>
        </w:rPr>
        <w:t xml:space="preserve"> </w:t>
      </w:r>
      <w:r w:rsidR="00614AA1" w:rsidRPr="00A35149">
        <w:rPr>
          <w:rFonts w:asciiTheme="majorBidi" w:hAnsiTheme="majorBidi" w:cstheme="majorBidi"/>
          <w:color w:val="4472C4"/>
        </w:rPr>
        <w:fldChar w:fldCharType="begin" w:fldLock="1"/>
      </w:r>
      <w:r w:rsidR="00614AA1" w:rsidRPr="00A35149">
        <w:rPr>
          <w:rFonts w:asciiTheme="majorBidi" w:hAnsiTheme="majorBidi" w:cstheme="majorBidi"/>
          <w:color w:val="4472C4"/>
        </w:rPr>
        <w:instrText>ADDIN CSL_CITATION {"citationItems":[{"id":"ITEM-1","itemData":{"DOI":"10.1016/j.ajhg.2015.11.022","ISSN":"15376605","abstract":"Genealogical inference from genetic data is essential for a variety of applications in human genetics. In genome-wide and sequencing association studies, for example, accurate inference on both recent genetic relatedness, such as family structure, and more distant genetic relatedness, such as population structure, is necessary for protection against spurious associations. Distinguishing familial relatedness from population structure with genotype data, however, is difficult because both manifest as genetic similarity through the sharing of alleles. Existing approaches for inference on recent genetic relatedness have limitations in the presence of population structure, where they either (1) make strong and simplifying assumptions about population structure, which are often untenable, or (2) require correct specification of and appropriate reference population panels for the ancestries in the sample, which might be unknown or not well defined. Here, we propose PC-Relate, a model-free approach for estimating commonly used measures of recent genetic relatedness, such as kinship coefficients and IBD sharing probabilities, in the presence of unspecified structure. PC-Relate uses principal components calculated from genome-screen data to partition genetic correlations among sampled individuals due to the sharing of recent ancestors and more distant common ancestry into two separate components, without requiring specification of the ancestral populations or reference population panels. In simulation studies with population structure, including admixture, we demonstrate that PC-Relate provides accurate estimates of genetic relatedness and improved relationship classification over widely used approaches. We further demonstrate the utility of PC-Relate in applications to three ancestrally diverse samples that vary in both size and genealogical complexity.","author":[{"dropping-particle":"","family":"Conomos","given":"Matthew P.","non-dropping-particle":"","parse-names":false,"suffix":""},{"dropping-particle":"","family":"Reiner","given":"Alexander P.","non-dropping-particle":"","parse-names":false,"suffix":""},{"dropping-particle":"","family":"Weir","given":"Bruce S.","non-dropping-particle":"","parse-names":false,"suffix":""},{"dropping-particle":"","family":"Thornton","given":"Timothy A.","non-dropping-particle":"","parse-names":false,"suffix":""}],"container-title":"American Journal of Human Genetics","id":"ITEM-1","issue":"1","issued":{"date-parts":[["2016"]]},"page":"127-148","title":"Model-free Estimation of Recent Genetic Relatedness","type":"article-journal","volume":"98"},"uris":["http://www.mendeley.com/documents/?uuid=db0308db-380f-4666-9253-357e44964098"]}],"mendeley":{"formattedCitation":"(Conomos &lt;i&gt;et al.&lt;/i&gt;, 2016)","plainTextFormattedCitation":"(Conomos et al., 2016)","previouslyFormattedCitation":"(Conomos &lt;i&gt;et al.&lt;/i&gt;, 2016)"},"properties":{"noteIndex":0},"schema":"https://github.com/citation-style-language/schema/raw/master/csl-citation.json"}</w:instrText>
      </w:r>
      <w:r w:rsidR="00614AA1" w:rsidRPr="00A35149">
        <w:rPr>
          <w:rFonts w:asciiTheme="majorBidi" w:hAnsiTheme="majorBidi" w:cstheme="majorBidi"/>
          <w:color w:val="4472C4"/>
        </w:rPr>
        <w:fldChar w:fldCharType="separate"/>
      </w:r>
      <w:r w:rsidR="00614AA1" w:rsidRPr="00A35149">
        <w:rPr>
          <w:rFonts w:asciiTheme="majorBidi" w:hAnsiTheme="majorBidi" w:cstheme="majorBidi"/>
          <w:noProof/>
          <w:color w:val="4472C4"/>
        </w:rPr>
        <w:t xml:space="preserve">(Conomos </w:t>
      </w:r>
      <w:r w:rsidR="00614AA1" w:rsidRPr="00A35149">
        <w:rPr>
          <w:rFonts w:asciiTheme="majorBidi" w:hAnsiTheme="majorBidi" w:cstheme="majorBidi"/>
          <w:i/>
          <w:noProof/>
          <w:color w:val="4472C4"/>
        </w:rPr>
        <w:t>et al.</w:t>
      </w:r>
      <w:r w:rsidR="00614AA1" w:rsidRPr="00A35149">
        <w:rPr>
          <w:rFonts w:asciiTheme="majorBidi" w:hAnsiTheme="majorBidi" w:cstheme="majorBidi"/>
          <w:noProof/>
          <w:color w:val="4472C4"/>
        </w:rPr>
        <w:t>, 2016)</w:t>
      </w:r>
      <w:r w:rsidR="00614AA1" w:rsidRPr="00A35149">
        <w:rPr>
          <w:rFonts w:asciiTheme="majorBidi" w:hAnsiTheme="majorBidi" w:cstheme="majorBidi"/>
          <w:color w:val="4472C4"/>
        </w:rPr>
        <w:fldChar w:fldCharType="end"/>
      </w:r>
      <w:r w:rsidRPr="00A35149">
        <w:rPr>
          <w:rFonts w:asciiTheme="majorBidi" w:hAnsiTheme="majorBidi" w:cstheme="majorBidi"/>
        </w:rPr>
        <w:t xml:space="preserve">. Despite this, </w:t>
      </w:r>
      <w:r w:rsidRPr="00A35149">
        <w:rPr>
          <w:rFonts w:asciiTheme="majorBidi" w:hAnsiTheme="majorBidi" w:cstheme="majorBidi"/>
          <w:i/>
        </w:rPr>
        <w:t>PC-Relate</w:t>
      </w:r>
      <w:r w:rsidRPr="00A35149">
        <w:rPr>
          <w:rFonts w:asciiTheme="majorBidi" w:hAnsiTheme="majorBidi" w:cstheme="majorBidi"/>
        </w:rPr>
        <w:t xml:space="preserve"> has an advantage over </w:t>
      </w:r>
      <w:r w:rsidRPr="00A35149">
        <w:rPr>
          <w:rFonts w:asciiTheme="majorBidi" w:hAnsiTheme="majorBidi" w:cstheme="majorBidi"/>
          <w:i/>
        </w:rPr>
        <w:t>KING</w:t>
      </w:r>
      <w:r w:rsidR="00AB67F2" w:rsidRPr="00A35149">
        <w:rPr>
          <w:rFonts w:asciiTheme="majorBidi" w:hAnsiTheme="majorBidi" w:cstheme="majorBidi"/>
          <w:i/>
        </w:rPr>
        <w:t xml:space="preserve"> </w:t>
      </w:r>
      <w:r w:rsidRPr="00A35149">
        <w:rPr>
          <w:rFonts w:asciiTheme="majorBidi" w:hAnsiTheme="majorBidi" w:cstheme="majorBidi"/>
        </w:rPr>
        <w:t xml:space="preserve">and </w:t>
      </w:r>
      <w:r w:rsidRPr="00A35149">
        <w:rPr>
          <w:rFonts w:asciiTheme="majorBidi" w:hAnsiTheme="majorBidi" w:cstheme="majorBidi"/>
          <w:i/>
        </w:rPr>
        <w:t>REAP</w:t>
      </w:r>
      <w:r w:rsidRPr="00A35149">
        <w:rPr>
          <w:rFonts w:asciiTheme="majorBidi" w:hAnsiTheme="majorBidi" w:cstheme="majorBidi"/>
        </w:rPr>
        <w:t xml:space="preserve">, because they, unlike </w:t>
      </w:r>
      <w:r w:rsidRPr="00A35149">
        <w:rPr>
          <w:rFonts w:asciiTheme="majorBidi" w:hAnsiTheme="majorBidi" w:cstheme="majorBidi"/>
          <w:i/>
        </w:rPr>
        <w:t>PC-Relate</w:t>
      </w:r>
      <w:r w:rsidRPr="00A35149">
        <w:rPr>
          <w:rFonts w:asciiTheme="majorBidi" w:hAnsiTheme="majorBidi" w:cstheme="majorBidi"/>
        </w:rPr>
        <w:t>, have difficulty separating unrelated individuals from more distantly related ones</w:t>
      </w:r>
      <w:r w:rsidR="00614AA1" w:rsidRPr="00A35149">
        <w:rPr>
          <w:rFonts w:asciiTheme="majorBidi" w:hAnsiTheme="majorBidi" w:cstheme="majorBidi"/>
          <w:color w:val="4472C4"/>
        </w:rPr>
        <w:t xml:space="preserve"> </w:t>
      </w:r>
      <w:r w:rsidR="00614AA1" w:rsidRPr="00A35149">
        <w:rPr>
          <w:rFonts w:asciiTheme="majorBidi" w:hAnsiTheme="majorBidi" w:cstheme="majorBidi"/>
          <w:color w:val="4472C4"/>
        </w:rPr>
        <w:fldChar w:fldCharType="begin" w:fldLock="1"/>
      </w:r>
      <w:r w:rsidR="00614AA1" w:rsidRPr="00A35149">
        <w:rPr>
          <w:rFonts w:asciiTheme="majorBidi" w:hAnsiTheme="majorBidi" w:cstheme="majorBidi"/>
          <w:color w:val="4472C4"/>
        </w:rPr>
        <w:instrText>ADDIN CSL_CITATION {"citationItems":[{"id":"ITEM-1","itemData":{"DOI":"10.1093/bioinformatics/btt652","ISSN":"14602059","abstract":"Motivation: Pairwise relatedness plays an important role in a range of genetic research fields. However, currently only few estimators exist for individuals that are admixed, i.e. have ancestry from more than one population, and these estimators fail in some situations.Results: We present a new software tool, RelateAdmix, for obtaining maximum likelihood estimates of pairwise relatedness from genetic data between admixed individuals. We show using simulated data that it gives rise to better estimates than three state-of-the-art software tools, REAP, KING and Plink, while still being fast enough to be applicable to large datasets.Availability and implementation: The software tool, implemented in C and R, is freely available from www.popgen.dk/software.Contact: albrecht@binf.ku.dkSupplementary information: Supplementary data are available at Bioinformatics online.","author":[{"dropping-particle":"","family":"Moltke","given":"Ida","non-dropping-particle":"","parse-names":false,"suffix":""},{"dropping-particle":"","family":"Albrechtsen","given":"Anders","non-dropping-particle":"","parse-names":false,"suffix":""}],"container-title":"Bioinformatics","id":"ITEM-1","issue":"7","issued":{"date-parts":[["2014"]]},"page":"1027-1028","title":"RelateAdmix: A software tool for estimating relatedness between admixed individuals","type":"article-journal","volume":"30"},"uris":["http://www.mendeley.com/documents/?uuid=fd307e04-077c-4ef4-bd5d-25f6d37c62b0"]}],"mendeley":{"formattedCitation":"(Moltke and Albrechtsen, 2014)","plainTextFormattedCitation":"(Moltke and Albrechtsen, 2014)","previouslyFormattedCitation":"(Moltke and Albrechtsen, 2014)"},"properties":{"noteIndex":0},"schema":"https://github.com/citation-style-language/schema/raw/master/csl-citation.json"}</w:instrText>
      </w:r>
      <w:r w:rsidR="00614AA1" w:rsidRPr="00A35149">
        <w:rPr>
          <w:rFonts w:asciiTheme="majorBidi" w:hAnsiTheme="majorBidi" w:cstheme="majorBidi"/>
          <w:color w:val="4472C4"/>
        </w:rPr>
        <w:fldChar w:fldCharType="separate"/>
      </w:r>
      <w:r w:rsidR="00614AA1" w:rsidRPr="00A35149">
        <w:rPr>
          <w:rFonts w:asciiTheme="majorBidi" w:hAnsiTheme="majorBidi" w:cstheme="majorBidi"/>
          <w:noProof/>
          <w:color w:val="4472C4"/>
        </w:rPr>
        <w:t>(Moltke and Albrechtsen, 2014)</w:t>
      </w:r>
      <w:r w:rsidR="00614AA1" w:rsidRPr="00A35149">
        <w:rPr>
          <w:rFonts w:asciiTheme="majorBidi" w:hAnsiTheme="majorBidi" w:cstheme="majorBidi"/>
          <w:color w:val="4472C4"/>
        </w:rPr>
        <w:fldChar w:fldCharType="end"/>
      </w:r>
      <w:r w:rsidRPr="00A35149">
        <w:rPr>
          <w:rFonts w:asciiTheme="majorBidi" w:hAnsiTheme="majorBidi" w:cstheme="majorBidi"/>
        </w:rPr>
        <w:t xml:space="preserve">. Both tools have relatively high accuracy for first through third degree classification; however, their accuracy decreased substantially to below 50% for fourth through seventh and unrelated classification </w:t>
      </w:r>
      <w:r w:rsidRPr="00A35149">
        <w:rPr>
          <w:rFonts w:asciiTheme="majorBidi" w:hAnsiTheme="majorBidi" w:cstheme="majorBidi"/>
          <w:color w:val="4472C4"/>
        </w:rPr>
        <w:t xml:space="preserve">(Table 4) </w:t>
      </w:r>
      <w:r w:rsidR="00614AA1" w:rsidRPr="00A35149">
        <w:rPr>
          <w:rFonts w:asciiTheme="majorBidi" w:hAnsiTheme="majorBidi" w:cstheme="majorBidi"/>
          <w:color w:val="4472C4"/>
        </w:rPr>
        <w:fldChar w:fldCharType="begin" w:fldLock="1"/>
      </w:r>
      <w:r w:rsidR="00614AA1" w:rsidRPr="00A35149">
        <w:rPr>
          <w:rFonts w:asciiTheme="majorBidi" w:hAnsiTheme="majorBidi" w:cstheme="majorBidi"/>
          <w:color w:val="4472C4"/>
        </w:rPr>
        <w:instrText>ADDIN CSL_CITATION {"citationItems":[{"id":"ITEM-1","itemData":{"DOI":"10.1534/genetics.117.1122","ISSN":"19432631","abstract":"© 2017 Ramstetter et al. Inferring relatedness from genomic data is an essential component of genetic association studies, population genetics, forensics, and genealogy. While numerous methods exist for inferring relatedness, thorough evaluation of these approaches in real data has been lacking. Here, we report an assessment of 12 state-of-the-art pairwise relatedness inference methods using a data set with 2485 individuals contained in several large pedigrees that span up to six generations. We find that all methods have high accuracy (92–99%) when detecting first- and second-degree relationships, but their accuracy dwindles to  &lt; 43% for seventh-degree relationships. However, most identical by descent (IBD) segment-based methods inferred seventh-degree relatives correct to within one relatedness degree for.76% of relative pairs. Overall, the most accurate methods are Estimation of Recent Shared Ancestry (ERSA) and approaches that compute total IBD sharing using the output from GERMLINE and Refined IBD to infer relatedness. Combining information from the most accurate methods provides little accuracy improvement, indicating that novel approaches, such as new methods that leverage relatedness signals from multiple samples, are needed to achieve a sizeable jump in performance.","author":[{"dropping-particle":"","family":"Ramstetter","given":"Monica D.","non-dropping-particle":"","parse-names":false,"suffix":""},{"dropping-particle":"","family":"Dyer","given":"Thomas D.","non-dropping-particle":"","parse-names":false,"suffix":""},{"dropping-particle":"","family":"Lehman","given":"Donna M.","non-dropping-particle":"","parse-names":false,"suffix":""},{"dropping-particle":"","family":"Curran","given":"Joanne E.","non-dropping-particle":"","parse-names":false,"suffix":""},{"dropping-particle":"","family":"Duggirala","given":"Ravindranath","non-dropping-particle":"","parse-names":false,"suffix":""},{"dropping-particle":"","family":"Blangero","given":"John","non-dropping-particle":"","parse-names":false,"suffix":""},{"dropping-particle":"","family":"Mezey","given":"Jason G.","non-dropping-particle":"","parse-names":false,"suffix":""},{"dropping-particle":"","family":"Williams","given":"Amy L.","non-dropping-particle":"","parse-names":false,"suffix":""}],"container-title":"Genetics","id":"ITEM-1","issue":"1","issued":{"date-parts":[["2017"]]},"page":"75-82","title":"Benchmarking relatedness inference methods with genome-wide data from thousands of relatives","type":"article-journal","volume":"207"},"uris":["http://www.mendeley.com/documents/?uuid=56a1e778-3fad-45c1-94c3-33d7c95ec352"]}],"mendeley":{"formattedCitation":"(Ramstetter &lt;i&gt;et al.&lt;/i&gt;, 2017)","plainTextFormattedCitation":"(Ramstetter et al., 2017)","previouslyFormattedCitation":"(Ramstetter &lt;i&gt;et al.&lt;/i&gt;, 2017)"},"properties":{"noteIndex":0},"schema":"https://github.com/citation-style-language/schema/raw/master/csl-citation.json"}</w:instrText>
      </w:r>
      <w:r w:rsidR="00614AA1" w:rsidRPr="00A35149">
        <w:rPr>
          <w:rFonts w:asciiTheme="majorBidi" w:hAnsiTheme="majorBidi" w:cstheme="majorBidi"/>
          <w:color w:val="4472C4"/>
        </w:rPr>
        <w:fldChar w:fldCharType="separate"/>
      </w:r>
      <w:r w:rsidR="00614AA1" w:rsidRPr="00A35149">
        <w:rPr>
          <w:rFonts w:asciiTheme="majorBidi" w:hAnsiTheme="majorBidi" w:cstheme="majorBidi"/>
          <w:noProof/>
          <w:color w:val="4472C4"/>
        </w:rPr>
        <w:t xml:space="preserve">(Ramstetter </w:t>
      </w:r>
      <w:r w:rsidR="00614AA1" w:rsidRPr="00A35149">
        <w:rPr>
          <w:rFonts w:asciiTheme="majorBidi" w:hAnsiTheme="majorBidi" w:cstheme="majorBidi"/>
          <w:i/>
          <w:noProof/>
          <w:color w:val="4472C4"/>
        </w:rPr>
        <w:t>et al.</w:t>
      </w:r>
      <w:r w:rsidR="00614AA1" w:rsidRPr="00A35149">
        <w:rPr>
          <w:rFonts w:asciiTheme="majorBidi" w:hAnsiTheme="majorBidi" w:cstheme="majorBidi"/>
          <w:noProof/>
          <w:color w:val="4472C4"/>
        </w:rPr>
        <w:t>, 2017)</w:t>
      </w:r>
      <w:r w:rsidR="00614AA1" w:rsidRPr="00A35149">
        <w:rPr>
          <w:rFonts w:asciiTheme="majorBidi" w:hAnsiTheme="majorBidi" w:cstheme="majorBidi"/>
          <w:color w:val="4472C4"/>
        </w:rPr>
        <w:fldChar w:fldCharType="end"/>
      </w:r>
      <w:r w:rsidRPr="00A35149">
        <w:rPr>
          <w:rFonts w:asciiTheme="majorBidi" w:hAnsiTheme="majorBidi" w:cstheme="majorBidi"/>
        </w:rPr>
        <w:t xml:space="preserve">. Overall, PC-Relate appears to be the most robust kinship coefficient estimation tool when compared with </w:t>
      </w:r>
      <w:r w:rsidRPr="00A35149">
        <w:rPr>
          <w:rFonts w:asciiTheme="majorBidi" w:hAnsiTheme="majorBidi" w:cstheme="majorBidi"/>
          <w:i/>
          <w:iCs/>
        </w:rPr>
        <w:t>KING</w:t>
      </w:r>
      <w:r w:rsidRPr="00A35149">
        <w:rPr>
          <w:rFonts w:asciiTheme="majorBidi" w:hAnsiTheme="majorBidi" w:cstheme="majorBidi"/>
        </w:rPr>
        <w:t xml:space="preserve"> and </w:t>
      </w:r>
      <w:r w:rsidRPr="00A35149">
        <w:rPr>
          <w:rFonts w:asciiTheme="majorBidi" w:hAnsiTheme="majorBidi" w:cstheme="majorBidi"/>
          <w:i/>
          <w:iCs/>
        </w:rPr>
        <w:t>REAP</w:t>
      </w:r>
      <w:r w:rsidRPr="00A35149">
        <w:rPr>
          <w:rFonts w:asciiTheme="majorBidi" w:hAnsiTheme="majorBidi" w:cstheme="majorBidi"/>
        </w:rPr>
        <w:t>, due to its ability to work effectively with admixed populations, whilst also being able to distinguish between unrelated individuals and more distantly related ones.</w:t>
      </w:r>
    </w:p>
    <w:p w14:paraId="000001F3" w14:textId="77777777" w:rsidR="007F6EEB" w:rsidRPr="00A35149" w:rsidRDefault="00430C7C">
      <w:pPr>
        <w:widowControl w:val="0"/>
        <w:ind w:firstLine="720"/>
        <w:rPr>
          <w:rFonts w:asciiTheme="majorBidi" w:hAnsiTheme="majorBidi" w:cstheme="majorBidi"/>
          <w:b/>
          <w:i/>
          <w:sz w:val="22"/>
          <w:szCs w:val="22"/>
        </w:rPr>
      </w:pPr>
      <w:r w:rsidRPr="00A35149">
        <w:rPr>
          <w:rFonts w:asciiTheme="majorBidi" w:hAnsiTheme="majorBidi" w:cstheme="majorBidi"/>
          <w:b/>
          <w:i/>
          <w:sz w:val="22"/>
          <w:szCs w:val="22"/>
        </w:rPr>
        <w:t xml:space="preserve"> </w:t>
      </w:r>
    </w:p>
    <w:p w14:paraId="000001F5" w14:textId="201E6221"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Methods for IBD detection identify similarity between haplotypes that are statistically unlikely to occur in the absence of IBD sharing </w:t>
      </w:r>
      <w:r w:rsidR="00614AA1" w:rsidRPr="00A35149">
        <w:rPr>
          <w:rFonts w:asciiTheme="majorBidi" w:hAnsiTheme="majorBidi" w:cstheme="majorBidi"/>
          <w:color w:val="4472C4"/>
        </w:rPr>
        <w:fldChar w:fldCharType="begin" w:fldLock="1"/>
      </w:r>
      <w:r w:rsidR="00E75576" w:rsidRPr="00A35149">
        <w:rPr>
          <w:rFonts w:asciiTheme="majorBidi" w:hAnsiTheme="majorBidi" w:cstheme="majorBidi"/>
          <w:color w:val="4472C4"/>
        </w:rPr>
        <w:instrText>ADDIN CSL_CITATION {"citationItems":[{"id":"ITEM-1","itemData":{"DOI":"10.1093/molbev/msu151","ISSN":"15371719","abstract":"Analysis of genomic segments shared identical-by-descent (IBD) between individuals is fundamental to many genetic applications, from demographic inference to estimating the heritability of diseases, but IBD detection accuracy in nonsimulated data is largely unknown. In principle, it can be evaluated using known pedigrees, as IBD segments are by definition inherited without recombination down a family tree. We extracted 25,432 genotyped European individuals containing 2,952 father-mother-child trios from the 23andMe, Inc. data set. We then used GERMLINE, a widely used IBD detection method, to detect IBD segments within this cohort. Exploiting known familial relationships, we identified a false-positive rate over 67% for 2-4 centiMorgan (cM) segments, in sharp contrast with accuracies reported in simulated data at these sizes. Nearly all false positives arose from the allowance of haplotype switch errors when detecting IBD, a necessity for retrieving long (&gt;6 cM) segments in the presence of imperfect phasing. We introduce HaploScore, a novel, computationally efficient metric that scores IBD segments proportional to the number of switch errors they contain. Applying HaploScore filtering to the IBD data at a precision of 0.8 produced a 13-fold increase in recall when compared with length-based filtering. We replicate the false IBD findings and demonstrate the generalizability of HaploScore to alternative data sources using an independent cohort of 555 European individuals from the 1000 Genomes project. HaploScore can improve the accuracy of segments reported by any IBD detection method, provided that estimates of the genotyping error rate and switch error rate are available.","author":[{"dropping-particle":"","family":"Durand","given":"Eric Y.","non-dropping-particle":"","parse-names":false,"suffix":""},{"dropping-particle":"","family":"Eriksson","given":"Nicholas","non-dropping-particle":"","parse-names":false,"suffix":""},{"dropping-particle":"","family":"Mclean","given":"Cory Y.","non-dropping-particle":"","parse-names":false,"suffix":""}],"container-title":"Molecular Biology and Evolution","id":"ITEM-1","issue":"8","issued":{"date-parts":[["2014"]]},"page":"2212-2222","title":"Reducing pervasive false-positive identical-by-descent segments detected by large-scale pedigree analysis","type":"article-journal","volume":"31"},"uris":["http://www.mendeley.com/documents/?uuid=e3a63e81-20ad-4d2f-ab2d-8026fe618715"]}],"mendeley":{"formattedCitation":"(Durand, Eriksson and Mclean, 2014)","plainTextFormattedCitation":"(Durand, Eriksson and Mclean, 2014)","previouslyFormattedCitation":"(Durand, Eriksson and Mclean, 2014)"},"properties":{"noteIndex":0},"schema":"https://github.com/citation-style-language/schema/raw/master/csl-citation.json"}</w:instrText>
      </w:r>
      <w:r w:rsidR="00614AA1" w:rsidRPr="00A35149">
        <w:rPr>
          <w:rFonts w:asciiTheme="majorBidi" w:hAnsiTheme="majorBidi" w:cstheme="majorBidi"/>
          <w:color w:val="4472C4"/>
        </w:rPr>
        <w:fldChar w:fldCharType="separate"/>
      </w:r>
      <w:r w:rsidR="00614AA1" w:rsidRPr="00A35149">
        <w:rPr>
          <w:rFonts w:asciiTheme="majorBidi" w:hAnsiTheme="majorBidi" w:cstheme="majorBidi"/>
          <w:noProof/>
          <w:color w:val="4472C4"/>
        </w:rPr>
        <w:t>(Durand, Eriksson and Mclean, 2014)</w:t>
      </w:r>
      <w:r w:rsidR="00614AA1" w:rsidRPr="00A35149">
        <w:rPr>
          <w:rFonts w:asciiTheme="majorBidi" w:hAnsiTheme="majorBidi" w:cstheme="majorBidi"/>
          <w:color w:val="4472C4"/>
        </w:rPr>
        <w:fldChar w:fldCharType="end"/>
      </w:r>
      <w:r w:rsidRPr="00A35149">
        <w:rPr>
          <w:rFonts w:asciiTheme="majorBidi" w:hAnsiTheme="majorBidi" w:cstheme="majorBidi"/>
        </w:rPr>
        <w:t xml:space="preserve">. </w:t>
      </w:r>
      <w:r w:rsidRPr="00A35149">
        <w:rPr>
          <w:rFonts w:asciiTheme="majorBidi" w:hAnsiTheme="majorBidi" w:cstheme="majorBidi"/>
          <w:i/>
        </w:rPr>
        <w:t>PLINK</w:t>
      </w:r>
      <w:r w:rsidR="00E75576" w:rsidRPr="00A35149">
        <w:rPr>
          <w:rFonts w:asciiTheme="majorBidi" w:hAnsiTheme="majorBidi" w:cstheme="majorBidi"/>
          <w:color w:val="4472C4"/>
        </w:rPr>
        <w:t xml:space="preserve"> </w:t>
      </w:r>
      <w:r w:rsidR="00E75576" w:rsidRPr="00A35149">
        <w:rPr>
          <w:rFonts w:asciiTheme="majorBidi" w:hAnsiTheme="majorBidi" w:cstheme="majorBidi"/>
          <w:color w:val="4472C4"/>
        </w:rPr>
        <w:fldChar w:fldCharType="begin" w:fldLock="1"/>
      </w:r>
      <w:r w:rsidR="00E75576" w:rsidRPr="00A35149">
        <w:rPr>
          <w:rFonts w:asciiTheme="majorBidi" w:hAnsiTheme="majorBidi" w:cstheme="majorBidi"/>
          <w:color w:val="4472C4"/>
        </w:rPr>
        <w:instrText>ADDIN CSL_CITATION {"citationItems":[{"id":"ITEM-1","itemData":{"DOI":"10.1086/519795","ISSN":"0002-9297","PMID":"17701901","abstract":"Whole-genome association studies (WGAS) bring new computational, as well as analytic, challenges to researchers. Many existing genetic-analysis tools are not designed to handle such large data sets in a convenient manner and do not necessarily exploit the new opportunities that whole-genome data bring. To address these issues, we developed PLINK, an open-source C/C++ WGAS tool set. With PLINK, large data sets comprising hundreds of thousands of markers genotyped for thousands of individuals can be rapidly manipulated and analyzed in their entirety. As well as providing tools to make the basic analytic steps computationally efficient, PLINK also supports some novel approaches to whole-genome data that take advantage of whole-genome coverage. We introduce PLINK and describe the five main domains of function: data management, summary statistics, population stratification, association analysis, and identity-by-descent estimation. In particular, we focus on the estimation and use of identity-by-state and identity-by-descent information in the context of population-based whole-genome studies. This information can be used to detect and correct for population stratification and to identify extended chromosomal segments that are shared identical by descent between very distantly related individuals. Analysis of the patterns of segmental sharing has the potential to map disease loci that contain multiple rare variants in a population-based linkage analysis.","author":[{"dropping-particle":"","family":"Purcell","given":"Shaun","non-dropping-particle":"","parse-names":false,"suffix":""},{"dropping-particle":"","family":"Neale","given":"Benjamin","non-dropping-particle":"","parse-names":false,"suffix":""},{"dropping-particle":"","family":"Todd-Brown","given":"Kathe","non-dropping-particle":"","parse-names":false,"suffix":""},{"dropping-particle":"","family":"Thomas","given":"Lori","non-dropping-particle":"","parse-names":false,"suffix":""},{"dropping-particle":"","family":"Ferreira","given":"Manuel A R","non-dropping-particle":"","parse-names":false,"suffix":""},{"dropping-particle":"","family":"Bender","given":"David","non-dropping-particle":"","parse-names":false,"suffix":""},{"dropping-particle":"","family":"Maller","given":"Julian","non-dropping-particle":"","parse-names":false,"suffix":""},{"dropping-particle":"","family":"Sklar","given":"Pamela","non-dropping-particle":"","parse-names":false,"suffix":""},{"dropping-particle":"","family":"Bakker","given":"Paul I W","non-dropping-particle":"de","parse-names":false,"suffix":""},{"dropping-particle":"","family":"Daly","given":"Mark J","non-dropping-particle":"","parse-names":false,"suffix":""},{"dropping-particle":"","family":"Sham","given":"Pak C","non-dropping-particle":"","parse-names":false,"suffix":""}],"container-title":"American journal of human genetics","id":"ITEM-1","issue":"3","issued":{"date-parts":[["2007"]]},"page":"559-75","title":"PLINK: a tool set for whole-genome association and population-based linkage analyses.","type":"article-journal","volume":"81"},"uris":["http://www.mendeley.com/documents/?uuid=d9c904d8-ced9-4075-b6d2-b6c2c80a50dc"]}],"mendeley":{"formattedCitation":"(Purcell &lt;i&gt;et al.&lt;/i&gt;, 2007)","plainTextFormattedCitation":"(Purcell et al., 2007)","previouslyFormattedCitation":"(Purcell &lt;i&gt;et al.&lt;/i&gt;, 2007)"},"properties":{"noteIndex":0},"schema":"https://github.com/citation-style-language/schema/raw/master/csl-citation.json"}</w:instrText>
      </w:r>
      <w:r w:rsidR="00E75576" w:rsidRPr="00A35149">
        <w:rPr>
          <w:rFonts w:asciiTheme="majorBidi" w:hAnsiTheme="majorBidi" w:cstheme="majorBidi"/>
          <w:color w:val="4472C4"/>
        </w:rPr>
        <w:fldChar w:fldCharType="separate"/>
      </w:r>
      <w:r w:rsidR="00E75576" w:rsidRPr="00A35149">
        <w:rPr>
          <w:rFonts w:asciiTheme="majorBidi" w:hAnsiTheme="majorBidi" w:cstheme="majorBidi"/>
          <w:noProof/>
          <w:color w:val="4472C4"/>
        </w:rPr>
        <w:t xml:space="preserve">(Purcell </w:t>
      </w:r>
      <w:r w:rsidR="00E75576" w:rsidRPr="00A35149">
        <w:rPr>
          <w:rFonts w:asciiTheme="majorBidi" w:hAnsiTheme="majorBidi" w:cstheme="majorBidi"/>
          <w:i/>
          <w:noProof/>
          <w:color w:val="4472C4"/>
        </w:rPr>
        <w:t>et al.</w:t>
      </w:r>
      <w:r w:rsidR="00E75576" w:rsidRPr="00A35149">
        <w:rPr>
          <w:rFonts w:asciiTheme="majorBidi" w:hAnsiTheme="majorBidi" w:cstheme="majorBidi"/>
          <w:noProof/>
          <w:color w:val="4472C4"/>
        </w:rPr>
        <w:t>, 2007)</w:t>
      </w:r>
      <w:r w:rsidR="00E75576" w:rsidRPr="00A35149">
        <w:rPr>
          <w:rFonts w:asciiTheme="majorBidi" w:hAnsiTheme="majorBidi" w:cstheme="majorBidi"/>
          <w:color w:val="4472C4"/>
        </w:rPr>
        <w:fldChar w:fldCharType="end"/>
      </w:r>
      <w:r w:rsidR="00E75576" w:rsidRPr="00A35149">
        <w:rPr>
          <w:rFonts w:asciiTheme="majorBidi" w:hAnsiTheme="majorBidi" w:cstheme="majorBidi"/>
          <w:color w:val="4472C4"/>
        </w:rPr>
        <w:t xml:space="preserve"> </w:t>
      </w:r>
      <w:r w:rsidRPr="00A35149">
        <w:rPr>
          <w:rFonts w:asciiTheme="majorBidi" w:hAnsiTheme="majorBidi" w:cstheme="majorBidi"/>
        </w:rPr>
        <w:t xml:space="preserve">incorporates a method of moments approach using </w:t>
      </w:r>
      <w:r w:rsidR="00AB67F2" w:rsidRPr="00A35149">
        <w:rPr>
          <w:rFonts w:asciiTheme="majorBidi" w:hAnsiTheme="majorBidi" w:cstheme="majorBidi"/>
        </w:rPr>
        <w:t>an</w:t>
      </w:r>
      <w:r w:rsidRPr="00A35149">
        <w:rPr>
          <w:rFonts w:asciiTheme="majorBidi" w:hAnsiTheme="majorBidi" w:cstheme="majorBidi"/>
        </w:rPr>
        <w:t xml:space="preserve"> HMM to infer underlying IBD in chromosomal segments based on observed IBS states. </w:t>
      </w:r>
      <w:r w:rsidRPr="00A35149">
        <w:rPr>
          <w:rFonts w:asciiTheme="majorBidi" w:hAnsiTheme="majorBidi" w:cstheme="majorBidi"/>
          <w:i/>
        </w:rPr>
        <w:t xml:space="preserve">PLINK </w:t>
      </w:r>
      <w:r w:rsidRPr="00A35149">
        <w:rPr>
          <w:rFonts w:asciiTheme="majorBidi" w:hAnsiTheme="majorBidi" w:cstheme="majorBidi"/>
        </w:rPr>
        <w:t>was criticised for producing a high level of false positives (individuals who are unrelated based on IBS sharing, but are called as related) for second-degree relationships</w:t>
      </w:r>
      <w:r w:rsidR="00E75576" w:rsidRPr="00A35149">
        <w:rPr>
          <w:rFonts w:asciiTheme="majorBidi" w:hAnsiTheme="majorBidi" w:cstheme="majorBidi"/>
          <w:color w:val="4472C4"/>
        </w:rPr>
        <w:t xml:space="preserve"> </w:t>
      </w:r>
      <w:r w:rsidR="00E75576" w:rsidRPr="00A35149">
        <w:rPr>
          <w:rFonts w:asciiTheme="majorBidi" w:hAnsiTheme="majorBidi" w:cstheme="majorBidi"/>
          <w:color w:val="4472C4"/>
        </w:rPr>
        <w:fldChar w:fldCharType="begin" w:fldLock="1"/>
      </w:r>
      <w:r w:rsidR="00E75576" w:rsidRPr="00A35149">
        <w:rPr>
          <w:rFonts w:asciiTheme="majorBidi" w:hAnsiTheme="majorBidi" w:cstheme="majorBidi"/>
          <w:color w:val="4472C4"/>
        </w:rPr>
        <w:instrText>ADDIN CSL_CITATION {"citationItems":[{"id":"ITEM-1","itemData":{"DOI":"10.1371/journal.pgen.1002287","ISSN":"15537390","abstract":"It is an assumption of large, population-based datasets that samples are annotated accurately whether they correspond to known relationships or unrelated individuals. These annotations are key for a broad range of genetics applications. While many methods are available to assess relatedness that involve estimates of identity-by-descent (IBD) and/or identity-by-state (IBS) allele-sharing proportions, we developed a novel approach that estimates IBD0, 1, and 2 based on observed IBS within windows. When combined with genome-wide IBS information, it provides an intuitive and practical graphical approach with the capacity to analyze datasets with thousands of samples without prior information about relatedness between individuals or haplotypes. We applied the method to a commonly used Human Variation Panel consisting of 400 nominally unrelated individuals. Surprisingly, we identified identical, parent-child, and full-sibling relationships and reconstructed pedigrees. In two instances non-sibling pairs of individuals in these pedigrees had unexpected IBD2 levels, as well as multiple regions of homozygosity, implying inbreeding. This combined method allowed us to distinguish related individuals from those having atypical heterozygosity rates and determine which individuals were outliers with respect to their designated population. Additionally, it becomes increasingly difficult to identify distant relatedness using genome-wide IBS methods alone. However, our IBD method further identified distant relatedness between individuals within populations, supported by the presence of megabase-scale regions lacking IBS0 across individual chromosomes. We benchmarked our approach against the hidden Markov model of a leading software package (PLINK), showing improved calling of distantly related individuals, and we validated it using a known pedigree from a clinical study. The application of this approach could improve genome-wide association, linkage, heterozygosity, and other population genomics studies that rely on SNP genotype data. © 2011 Stevens et al.","author":[{"dropping-particle":"","family":"Stevens","given":"Eric L.","non-dropping-particle":"","parse-names":false,"suffix":""},{"dropping-particle":"","family":"Heckenberg","given":"Greg","non-dropping-particle":"","parse-names":false,"suffix":""},{"dropping-particle":"","family":"Roberson","given":"Elisha D.O.","non-dropping-particle":"","parse-names":false,"suffix":""},{"dropping-particle":"","family":"Baugher","given":"Joseph D.","non-dropping-particle":"","parse-names":false,"suffix":""},{"dropping-particle":"","family":"Downey","given":"Thomas J.","non-dropping-particle":"","parse-names":false,"suffix":""},{"dropping-particle":"","family":"Pevsner","given":"Jonathan","non-dropping-particle":"","parse-names":false,"suffix":""}],"container-title":"PLoS Genetics","id":"ITEM-1","issue":"9","issued":{"date-parts":[["2011"]]},"title":"Inference of relationships in population data using identity-by-descent and identity-by-state","type":"article-journal","volume":"7"},"uris":["http://www.mendeley.com/documents/?uuid=7d015f84-9fab-4878-bd7e-c1109bd69142"]}],"mendeley":{"formattedCitation":"(Stevens &lt;i&gt;et al.&lt;/i&gt;, 2011)","plainTextFormattedCitation":"(Stevens et al., 2011)","previouslyFormattedCitation":"(Stevens &lt;i&gt;et al.&lt;/i&gt;, 2011)"},"properties":{"noteIndex":0},"schema":"https://github.com/citation-style-language/schema/raw/master/csl-citation.json"}</w:instrText>
      </w:r>
      <w:r w:rsidR="00E75576" w:rsidRPr="00A35149">
        <w:rPr>
          <w:rFonts w:asciiTheme="majorBidi" w:hAnsiTheme="majorBidi" w:cstheme="majorBidi"/>
          <w:color w:val="4472C4"/>
        </w:rPr>
        <w:fldChar w:fldCharType="separate"/>
      </w:r>
      <w:r w:rsidR="00E75576" w:rsidRPr="00A35149">
        <w:rPr>
          <w:rFonts w:asciiTheme="majorBidi" w:hAnsiTheme="majorBidi" w:cstheme="majorBidi"/>
          <w:noProof/>
          <w:color w:val="4472C4"/>
        </w:rPr>
        <w:t xml:space="preserve">(Stevens </w:t>
      </w:r>
      <w:r w:rsidR="00E75576" w:rsidRPr="00A35149">
        <w:rPr>
          <w:rFonts w:asciiTheme="majorBidi" w:hAnsiTheme="majorBidi" w:cstheme="majorBidi"/>
          <w:i/>
          <w:noProof/>
          <w:color w:val="4472C4"/>
        </w:rPr>
        <w:t>et al.</w:t>
      </w:r>
      <w:r w:rsidR="00E75576" w:rsidRPr="00A35149">
        <w:rPr>
          <w:rFonts w:asciiTheme="majorBidi" w:hAnsiTheme="majorBidi" w:cstheme="majorBidi"/>
          <w:noProof/>
          <w:color w:val="4472C4"/>
        </w:rPr>
        <w:t>, 2011)</w:t>
      </w:r>
      <w:r w:rsidR="00E75576" w:rsidRPr="00A35149">
        <w:rPr>
          <w:rFonts w:asciiTheme="majorBidi" w:hAnsiTheme="majorBidi" w:cstheme="majorBidi"/>
          <w:color w:val="4472C4"/>
        </w:rPr>
        <w:fldChar w:fldCharType="end"/>
      </w:r>
      <w:r w:rsidRPr="00A35149">
        <w:rPr>
          <w:rFonts w:asciiTheme="majorBidi" w:hAnsiTheme="majorBidi" w:cstheme="majorBidi"/>
        </w:rPr>
        <w:t xml:space="preserve">. </w:t>
      </w:r>
      <w:proofErr w:type="spellStart"/>
      <w:r w:rsidRPr="00A35149">
        <w:rPr>
          <w:rFonts w:asciiTheme="majorBidi" w:hAnsiTheme="majorBidi" w:cstheme="majorBidi"/>
          <w:i/>
        </w:rPr>
        <w:t>fastIBD</w:t>
      </w:r>
      <w:proofErr w:type="spellEnd"/>
      <w:r w:rsidR="00E75576" w:rsidRPr="00A35149">
        <w:rPr>
          <w:rFonts w:asciiTheme="majorBidi" w:hAnsiTheme="majorBidi" w:cstheme="majorBidi"/>
          <w:color w:val="4472C4"/>
        </w:rPr>
        <w:t xml:space="preserve"> </w:t>
      </w:r>
      <w:r w:rsidR="00E75576" w:rsidRPr="00A35149">
        <w:rPr>
          <w:rFonts w:asciiTheme="majorBidi" w:hAnsiTheme="majorBidi" w:cstheme="majorBidi"/>
          <w:color w:val="4472C4"/>
        </w:rPr>
        <w:fldChar w:fldCharType="begin" w:fldLock="1"/>
      </w:r>
      <w:r w:rsidR="00E75576" w:rsidRPr="00A35149">
        <w:rPr>
          <w:rFonts w:asciiTheme="majorBidi" w:hAnsiTheme="majorBidi" w:cstheme="majorBidi"/>
          <w:color w:val="4472C4"/>
        </w:rPr>
        <w:instrText>ADDIN CSL_CITATION {"citationItems":[{"id":"ITEM-1","itemData":{"DOI":"10.1016/j.ajhg.2011.01.010","ISSN":"00029297","abstract":"We present a method, fastIBD, for finding tracts of identity by descent (IBD) between pairs of individuals. FastIBD can be applied to thousands of samples across genome-wide SNP data and is significantly more powerful for finding short tracts of IBD than existing methods for finding IBD tracts in such data. We show that fastIBD can detect facets of population structure that are not revealed by other methods. In the Wellcome Trust Case Control Consortium bipolar disorder case-control data, we find a genome-wide excess of IBD in case-case pairs of individuals compared to control-control pairs. We show that this excess can be explained by the geographical clustering of cases. We also show that it is possible to use fastIBD to generate highly accurate estimates of genome-wide IBD sharing between pairs of distant relatives. This is useful for estimation of relationship and for adjusting for relatedness in association studies. FastIBD is incorporated in the freely available Beagle software package. © 2011 The American Society of Human Genetics. All rights reserved.","author":[{"dropping-particle":"","family":"Browning","given":"Brian L.","non-dropping-particle":"","parse-names":false,"suffix":""},{"dropping-particle":"","family":"Browning","given":"Sharon R.","non-dropping-particle":"","parse-names":false,"suffix":""}],"container-title":"American Journal of Human Genetics","id":"ITEM-1","issue":"2","issued":{"date-parts":[["2011"]]},"page":"173-182","title":"A fast, powerful method for detecting identity by descent","type":"article-journal","volume":"88"},"uris":["http://www.mendeley.com/documents/?uuid=bf992b9b-1f54-40b3-8833-b27ecc99e158"]}],"mendeley":{"formattedCitation":"(Browning and Browning, 2011)","plainTextFormattedCitation":"(Browning and Browning, 2011)","previouslyFormattedCitation":"(Browning and Browning, 2011)"},"properties":{"noteIndex":0},"schema":"https://github.com/citation-style-language/schema/raw/master/csl-citation.json"}</w:instrText>
      </w:r>
      <w:r w:rsidR="00E75576" w:rsidRPr="00A35149">
        <w:rPr>
          <w:rFonts w:asciiTheme="majorBidi" w:hAnsiTheme="majorBidi" w:cstheme="majorBidi"/>
          <w:color w:val="4472C4"/>
        </w:rPr>
        <w:fldChar w:fldCharType="separate"/>
      </w:r>
      <w:r w:rsidR="00E75576" w:rsidRPr="00A35149">
        <w:rPr>
          <w:rFonts w:asciiTheme="majorBidi" w:hAnsiTheme="majorBidi" w:cstheme="majorBidi"/>
          <w:noProof/>
          <w:color w:val="4472C4"/>
        </w:rPr>
        <w:t>(Browning and Browning, 2011)</w:t>
      </w:r>
      <w:r w:rsidR="00E75576" w:rsidRPr="00A35149">
        <w:rPr>
          <w:rFonts w:asciiTheme="majorBidi" w:hAnsiTheme="majorBidi" w:cstheme="majorBidi"/>
          <w:color w:val="4472C4"/>
        </w:rPr>
        <w:fldChar w:fldCharType="end"/>
      </w:r>
      <w:r w:rsidRPr="00A35149">
        <w:rPr>
          <w:rFonts w:asciiTheme="majorBidi" w:hAnsiTheme="majorBidi" w:cstheme="majorBidi"/>
        </w:rPr>
        <w:t xml:space="preserve"> and </w:t>
      </w:r>
      <w:r w:rsidRPr="00A35149">
        <w:rPr>
          <w:rFonts w:asciiTheme="majorBidi" w:hAnsiTheme="majorBidi" w:cstheme="majorBidi"/>
          <w:i/>
        </w:rPr>
        <w:t>GERMLINE</w:t>
      </w:r>
      <w:r w:rsidRPr="00A35149">
        <w:rPr>
          <w:rFonts w:asciiTheme="majorBidi" w:hAnsiTheme="majorBidi" w:cstheme="majorBidi"/>
        </w:rPr>
        <w:t xml:space="preserve"> </w:t>
      </w:r>
      <w:r w:rsidR="00E75576" w:rsidRPr="00A35149">
        <w:rPr>
          <w:rFonts w:asciiTheme="majorBidi" w:hAnsiTheme="majorBidi" w:cstheme="majorBidi"/>
          <w:color w:val="4472C4" w:themeColor="accent1"/>
        </w:rPr>
        <w:fldChar w:fldCharType="begin" w:fldLock="1"/>
      </w:r>
      <w:r w:rsidR="00E75576" w:rsidRPr="00A35149">
        <w:rPr>
          <w:rFonts w:asciiTheme="majorBidi" w:hAnsiTheme="majorBidi" w:cstheme="majorBidi"/>
          <w:color w:val="4472C4" w:themeColor="accent1"/>
        </w:rPr>
        <w:instrText>ADDIN CSL_CITATION {"citationItems":[{"id":"ITEM-1","itemData":{"DOI":"10.1101/gr.081398.108","ISSN":"10889051","abstract":"We present GERMLINE, a robust algorithm for identifying segmental sharing indicative of recent common ancestry between pairs of individuals. Unlike methods with comparable objectives, GERMLINE scales linearly with the number of samples, enabling analysis of whole-genome data in large cohorts. Our approach is based on a dictionary of haplotypes that is used to efficiently discover short exact matches between individuals. We then expand these matches using dynamic programming to identify long, nearly identical segmental sharing that is indicative of relatedness. We use GERMLINE to comprehensively survey hidden relatedness both in the HapMap as well as in a densely typed island population of 3000 individuals. We verify that GERMLINE is in concordance with other methods when they can process the data, and also facilitates analysis of larger scale studies. We bolster these results by demonstrating novel applications of precise analysis of hidden relatedness for (1) identification and resolution of phasing errors and (2) exposing polymorphic deletions that are otherwise challenging to detect. This finding is supported by concordance of detected deletions with other evidence from independent databases and statistical analyses of fluorescence intensity not used by GERMLINE.","author":[{"dropping-particle":"","family":"Gusev","given":"Alexander","non-dropping-particle":"","parse-names":false,"suffix":""},{"dropping-particle":"","family":"Lowe","given":"Jennifer K.","non-dropping-particle":"","parse-names":false,"suffix":""},{"dropping-particle":"","family":"Stoffel","given":"Markus","non-dropping-particle":"","parse-names":false,"suffix":""},{"dropping-particle":"","family":"Daly","given":"Mark J.","non-dropping-particle":"","parse-names":false,"suffix":""},{"dropping-particle":"","family":"Altshuler","given":"David","non-dropping-particle":"","parse-names":false,"suffix":""},{"dropping-particle":"","family":"Breslow","given":"Jan L.","non-dropping-particle":"","parse-names":false,"suffix":""},{"dropping-particle":"","family":"Friedman","given":"Jeffrey M.","non-dropping-particle":"","parse-names":false,"suffix":""},{"dropping-particle":"","family":"Pe'Er","given":"Itsik","non-dropping-particle":"","parse-names":false,"suffix":""}],"container-title":"Genome Research","id":"ITEM-1","issued":{"date-parts":[["2009"]]},"page":"318-326","title":"Whole population, genome-wide mapping of hidden relatedness","type":"article-journal","volume":"19"},"uris":["http://www.mendeley.com/documents/?uuid=f4d14182-6e22-4c0c-a898-d3f730fa3f14"]}],"mendeley":{"formattedCitation":"(Gusev &lt;i&gt;et al.&lt;/i&gt;, 2009)","plainTextFormattedCitation":"(Gusev et al., 2009)","previouslyFormattedCitation":"(Gusev &lt;i&gt;et al.&lt;/i&gt;, 2009)"},"properties":{"noteIndex":0},"schema":"https://github.com/citation-style-language/schema/raw/master/csl-citation.json"}</w:instrText>
      </w:r>
      <w:r w:rsidR="00E75576" w:rsidRPr="00A35149">
        <w:rPr>
          <w:rFonts w:asciiTheme="majorBidi" w:hAnsiTheme="majorBidi" w:cstheme="majorBidi"/>
          <w:color w:val="4472C4" w:themeColor="accent1"/>
        </w:rPr>
        <w:fldChar w:fldCharType="separate"/>
      </w:r>
      <w:r w:rsidR="00E75576" w:rsidRPr="00A35149">
        <w:rPr>
          <w:rFonts w:asciiTheme="majorBidi" w:hAnsiTheme="majorBidi" w:cstheme="majorBidi"/>
          <w:noProof/>
          <w:color w:val="4472C4" w:themeColor="accent1"/>
        </w:rPr>
        <w:t xml:space="preserve">(Gusev </w:t>
      </w:r>
      <w:r w:rsidR="00E75576" w:rsidRPr="00A35149">
        <w:rPr>
          <w:rFonts w:asciiTheme="majorBidi" w:hAnsiTheme="majorBidi" w:cstheme="majorBidi"/>
          <w:i/>
          <w:noProof/>
          <w:color w:val="4472C4" w:themeColor="accent1"/>
        </w:rPr>
        <w:t>et al.</w:t>
      </w:r>
      <w:r w:rsidR="00E75576" w:rsidRPr="00A35149">
        <w:rPr>
          <w:rFonts w:asciiTheme="majorBidi" w:hAnsiTheme="majorBidi" w:cstheme="majorBidi"/>
          <w:noProof/>
          <w:color w:val="4472C4" w:themeColor="accent1"/>
        </w:rPr>
        <w:t>, 2009)</w:t>
      </w:r>
      <w:r w:rsidR="00E75576" w:rsidRPr="00A35149">
        <w:rPr>
          <w:rFonts w:asciiTheme="majorBidi" w:hAnsiTheme="majorBidi" w:cstheme="majorBidi"/>
          <w:color w:val="4472C4" w:themeColor="accent1"/>
        </w:rPr>
        <w:fldChar w:fldCharType="end"/>
      </w:r>
      <w:r w:rsidRPr="00A35149">
        <w:rPr>
          <w:rFonts w:asciiTheme="majorBidi" w:hAnsiTheme="majorBidi" w:cstheme="majorBidi"/>
        </w:rPr>
        <w:t xml:space="preserve"> detect “seeds” of identical short haplotype matches and extend them to nearby sites. </w:t>
      </w:r>
      <w:proofErr w:type="spellStart"/>
      <w:r w:rsidRPr="00A35149">
        <w:rPr>
          <w:rFonts w:asciiTheme="majorBidi" w:hAnsiTheme="majorBidi" w:cstheme="majorBidi"/>
          <w:i/>
        </w:rPr>
        <w:t>fastIBD</w:t>
      </w:r>
      <w:proofErr w:type="spellEnd"/>
      <w:r w:rsidRPr="00A35149">
        <w:rPr>
          <w:rFonts w:asciiTheme="majorBidi" w:hAnsiTheme="majorBidi" w:cstheme="majorBidi"/>
        </w:rPr>
        <w:t xml:space="preserve"> can be applied to large sample sizes across genome-wide SNP data; however, it is obliged to carry out haplotype phasing and is therefore susceptible to phasing errors, particularly if the SNP set is small. Computer memory capacities may</w:t>
      </w:r>
      <w:r w:rsidR="003121E9" w:rsidRPr="00A35149">
        <w:rPr>
          <w:rFonts w:asciiTheme="majorBidi" w:hAnsiTheme="majorBidi" w:cstheme="majorBidi"/>
        </w:rPr>
        <w:t xml:space="preserve"> also</w:t>
      </w:r>
      <w:r w:rsidRPr="00A35149">
        <w:rPr>
          <w:rFonts w:asciiTheme="majorBidi" w:hAnsiTheme="majorBidi" w:cstheme="majorBidi"/>
        </w:rPr>
        <w:t xml:space="preserve"> limit the number of individuals that can be phased at one time</w:t>
      </w:r>
      <w:r w:rsidR="003121E9" w:rsidRPr="00A35149">
        <w:rPr>
          <w:rFonts w:asciiTheme="majorBidi" w:hAnsiTheme="majorBidi" w:cstheme="majorBidi"/>
        </w:rPr>
        <w:t>; therefore, i</w:t>
      </w:r>
      <w:r w:rsidRPr="00A35149">
        <w:rPr>
          <w:rFonts w:asciiTheme="majorBidi" w:hAnsiTheme="majorBidi" w:cstheme="majorBidi"/>
        </w:rPr>
        <w:t xml:space="preserve">n practicality, it is computationally </w:t>
      </w:r>
      <w:r w:rsidR="00AB67F2" w:rsidRPr="00A35149">
        <w:rPr>
          <w:rFonts w:asciiTheme="majorBidi" w:hAnsiTheme="majorBidi" w:cstheme="majorBidi"/>
        </w:rPr>
        <w:t>u</w:t>
      </w:r>
      <w:r w:rsidRPr="00A35149">
        <w:rPr>
          <w:rFonts w:asciiTheme="majorBidi" w:hAnsiTheme="majorBidi" w:cstheme="majorBidi"/>
        </w:rPr>
        <w:t xml:space="preserve">nfeasible to analyse over than 100,000 individuals. Whereas </w:t>
      </w:r>
      <w:proofErr w:type="spellStart"/>
      <w:r w:rsidRPr="00A35149">
        <w:rPr>
          <w:rFonts w:asciiTheme="majorBidi" w:hAnsiTheme="majorBidi" w:cstheme="majorBidi"/>
          <w:i/>
        </w:rPr>
        <w:t>fastIBD</w:t>
      </w:r>
      <w:proofErr w:type="spellEnd"/>
      <w:r w:rsidRPr="00A35149">
        <w:rPr>
          <w:rFonts w:asciiTheme="majorBidi" w:hAnsiTheme="majorBidi" w:cstheme="majorBidi"/>
          <w:i/>
        </w:rPr>
        <w:t xml:space="preserve"> </w:t>
      </w:r>
      <w:r w:rsidRPr="00A35149">
        <w:rPr>
          <w:rFonts w:asciiTheme="majorBidi" w:hAnsiTheme="majorBidi" w:cstheme="majorBidi"/>
        </w:rPr>
        <w:t>is based on shared haplotype frequency, GERMLINE is based on shared haplotype length.</w:t>
      </w:r>
    </w:p>
    <w:p w14:paraId="000001F7" w14:textId="31D17232" w:rsidR="007F6EEB" w:rsidRPr="00A35149" w:rsidRDefault="007F6EEB">
      <w:pPr>
        <w:widowControl w:val="0"/>
        <w:rPr>
          <w:rFonts w:asciiTheme="majorBidi" w:hAnsiTheme="majorBidi" w:cstheme="majorBidi"/>
        </w:rPr>
      </w:pPr>
    </w:p>
    <w:p w14:paraId="000001FA" w14:textId="7787C1F3" w:rsidR="007F6EEB" w:rsidRPr="00A35149" w:rsidRDefault="00430C7C">
      <w:pPr>
        <w:widowControl w:val="0"/>
        <w:ind w:firstLine="720"/>
        <w:rPr>
          <w:rFonts w:asciiTheme="majorBidi" w:hAnsiTheme="majorBidi" w:cstheme="majorBidi"/>
        </w:rPr>
      </w:pPr>
      <w:r w:rsidRPr="00A35149">
        <w:rPr>
          <w:rFonts w:asciiTheme="majorBidi" w:hAnsiTheme="majorBidi" w:cstheme="majorBidi"/>
          <w:color w:val="4472C4"/>
        </w:rPr>
        <w:t xml:space="preserve">Ramstetter </w:t>
      </w:r>
      <w:r w:rsidRPr="00A35149">
        <w:rPr>
          <w:rFonts w:asciiTheme="majorBidi" w:hAnsiTheme="majorBidi" w:cstheme="majorBidi"/>
          <w:i/>
          <w:color w:val="4472C4"/>
        </w:rPr>
        <w:t>et al.</w:t>
      </w:r>
      <w:r w:rsidRPr="00A35149">
        <w:rPr>
          <w:rFonts w:asciiTheme="majorBidi" w:hAnsiTheme="majorBidi" w:cstheme="majorBidi"/>
          <w:color w:val="4472C4"/>
        </w:rPr>
        <w:t xml:space="preserve"> (2017)</w:t>
      </w:r>
      <w:r w:rsidR="00C27031" w:rsidRPr="00A35149">
        <w:rPr>
          <w:rFonts w:asciiTheme="majorBidi" w:hAnsiTheme="majorBidi" w:cstheme="majorBidi"/>
          <w:color w:val="4472C4"/>
        </w:rPr>
        <w:t xml:space="preserve"> </w:t>
      </w:r>
      <w:r w:rsidR="00C27031" w:rsidRPr="00A35149">
        <w:rPr>
          <w:rFonts w:asciiTheme="majorBidi" w:hAnsiTheme="majorBidi" w:cstheme="majorBidi"/>
        </w:rPr>
        <w:t>tested the accuracy of relationship inference software on SNP data of large Mexican American pedigrees spanning up to six generations. They</w:t>
      </w:r>
      <w:r w:rsidR="00C27031" w:rsidRPr="00A35149">
        <w:rPr>
          <w:rFonts w:asciiTheme="majorBidi" w:hAnsiTheme="majorBidi" w:cstheme="majorBidi"/>
          <w:color w:val="4472C4"/>
        </w:rPr>
        <w:t xml:space="preserve"> </w:t>
      </w:r>
      <w:r w:rsidRPr="00A35149">
        <w:rPr>
          <w:rFonts w:asciiTheme="majorBidi" w:hAnsiTheme="majorBidi" w:cstheme="majorBidi"/>
        </w:rPr>
        <w:t xml:space="preserve">showed that there are no “one size fits all” IBD tool and that tools vary in their sensitivity to the IBD segment length, which correspond to the degree of relatedness. </w:t>
      </w:r>
      <w:r w:rsidR="00C27031" w:rsidRPr="00A35149">
        <w:rPr>
          <w:rFonts w:asciiTheme="majorBidi" w:hAnsiTheme="majorBidi" w:cstheme="majorBidi"/>
        </w:rPr>
        <w:t xml:space="preserve">The main </w:t>
      </w:r>
      <w:r w:rsidRPr="00A35149">
        <w:rPr>
          <w:rFonts w:asciiTheme="majorBidi" w:hAnsiTheme="majorBidi" w:cstheme="majorBidi"/>
        </w:rPr>
        <w:t xml:space="preserve">reason for this is that </w:t>
      </w:r>
      <w:r w:rsidR="00886F2E" w:rsidRPr="00A35149">
        <w:rPr>
          <w:rFonts w:asciiTheme="majorBidi" w:hAnsiTheme="majorBidi" w:cstheme="majorBidi"/>
        </w:rPr>
        <w:t>haplotype based</w:t>
      </w:r>
      <w:r w:rsidRPr="00A35149">
        <w:rPr>
          <w:rFonts w:asciiTheme="majorBidi" w:hAnsiTheme="majorBidi" w:cstheme="majorBidi"/>
        </w:rPr>
        <w:t xml:space="preserve"> IBD segment detection methods struggle to detect long IBD segments if the shared haplotype has discordant alleles due to genotype or phasing error. One solution is to use tools like Refined IBD</w:t>
      </w:r>
      <w:r w:rsidR="00E75576" w:rsidRPr="00A35149">
        <w:rPr>
          <w:rFonts w:asciiTheme="majorBidi" w:hAnsiTheme="majorBidi" w:cstheme="majorBidi"/>
          <w:color w:val="4472C4"/>
        </w:rPr>
        <w:t xml:space="preserve"> </w:t>
      </w:r>
      <w:r w:rsidR="00E75576" w:rsidRPr="00A35149">
        <w:rPr>
          <w:rFonts w:asciiTheme="majorBidi" w:hAnsiTheme="majorBidi" w:cstheme="majorBidi"/>
          <w:color w:val="4472C4"/>
        </w:rPr>
        <w:fldChar w:fldCharType="begin" w:fldLock="1"/>
      </w:r>
      <w:r w:rsidR="003E4435" w:rsidRPr="00A35149">
        <w:rPr>
          <w:rFonts w:asciiTheme="majorBidi" w:hAnsiTheme="majorBidi" w:cstheme="majorBidi"/>
          <w:color w:val="4472C4"/>
        </w:rPr>
        <w:instrText>ADDIN CSL_CITATION {"citationItems":[{"id":"ITEM-1","itemData":{"DOI":"10.1534/genetics.113.150029","ISSN":"00166731","abstract":"Segments of indentity-by-descent (IBD) detected from high-density genetic data are useful for many applications, including long-range phase determination, phasing family data, imputation, IBD mapping, and heritability analysis in founder populations. We present Refined IBD, a new method for IBD segment detection. Refined IBD achieves both computational efficiency and highly accurate IBD segment reporting by searching for IBD in two steps. The first step (identification) uses the GERMLINE algorithm to find shared haplotypes exceeding a length threshold. The second step (refinement) evaluates candidate segments with a probabilistic approach to assess the evidence for IBD. Like GERMLINE, Refined IBD allows for IBD reporting on a haplotype level, which facilitates determination of multi-individual IBD and allows for haplotype-based downstream analyses. To investigate the properties of Refined IBD, we simulate SNP data from a model with recent superexponential population growth that is designed to match United Kingdom data. The simulation results show that Refined IBD achieves a better power/accuracy profile than fastIBD or GERMLINE. We find that a single run of Refined IBD achieves greater power than 10 runs of fastIBD. We also apply Refined IBD to SNP data for samples from the United Kingdom and from Northern Finland and describe the IBD sharing in these data sets. Refined IBD is powerful, highly accurate, and easy to use and is implemented in Beagle version 4. © 2013 by the Genetics Society of America.","author":[{"dropping-particle":"","family":"Browning","given":"Brian L.","non-dropping-particle":"","parse-names":false,"suffix":""},{"dropping-particle":"","family":"Browning","given":"Sharon R.","non-dropping-particle":"","parse-names":false,"suffix":""}],"container-title":"Genetics","id":"ITEM-1","issue":"2","issued":{"date-parts":[["2013"]]},"page":"459-471","title":"Improving the accuracy and efficiency of identity-by-descent detection in population data","type":"article-journal","volume":"194"},"uris":["http://www.mendeley.com/documents/?uuid=911e72b1-cd81-4d2b-81f5-3775b5c49cd0"]}],"mendeley":{"formattedCitation":"(Browning and Browning, 2013)","plainTextFormattedCitation":"(Browning and Browning, 2013)","previouslyFormattedCitation":"(Browning and Browning, 2013)"},"properties":{"noteIndex":0},"schema":"https://github.com/citation-style-language/schema/raw/master/csl-citation.json"}</w:instrText>
      </w:r>
      <w:r w:rsidR="00E75576" w:rsidRPr="00A35149">
        <w:rPr>
          <w:rFonts w:asciiTheme="majorBidi" w:hAnsiTheme="majorBidi" w:cstheme="majorBidi"/>
          <w:color w:val="4472C4"/>
        </w:rPr>
        <w:fldChar w:fldCharType="separate"/>
      </w:r>
      <w:r w:rsidR="003E4435" w:rsidRPr="00A35149">
        <w:rPr>
          <w:rFonts w:asciiTheme="majorBidi" w:hAnsiTheme="majorBidi" w:cstheme="majorBidi"/>
          <w:noProof/>
          <w:color w:val="4472C4"/>
        </w:rPr>
        <w:t>(Browning and Browning, 2013)</w:t>
      </w:r>
      <w:r w:rsidR="00E75576" w:rsidRPr="00A35149">
        <w:rPr>
          <w:rFonts w:asciiTheme="majorBidi" w:hAnsiTheme="majorBidi" w:cstheme="majorBidi"/>
          <w:color w:val="4472C4"/>
        </w:rPr>
        <w:fldChar w:fldCharType="end"/>
      </w:r>
      <w:r w:rsidR="00E75576" w:rsidRPr="00A35149">
        <w:rPr>
          <w:rFonts w:asciiTheme="majorBidi" w:hAnsiTheme="majorBidi" w:cstheme="majorBidi"/>
        </w:rPr>
        <w:t xml:space="preserve"> </w:t>
      </w:r>
      <w:r w:rsidRPr="00A35149">
        <w:rPr>
          <w:rFonts w:asciiTheme="majorBidi" w:hAnsiTheme="majorBidi" w:cstheme="majorBidi"/>
        </w:rPr>
        <w:t xml:space="preserve"> and recover the long IBD segment by mending smaller ones using an external tool </w:t>
      </w:r>
      <w:r w:rsidR="00E75576" w:rsidRPr="00A35149">
        <w:rPr>
          <w:rFonts w:asciiTheme="majorBidi" w:hAnsiTheme="majorBidi" w:cstheme="majorBidi"/>
          <w:color w:val="4472C4" w:themeColor="accent1"/>
        </w:rPr>
        <w:fldChar w:fldCharType="begin" w:fldLock="1"/>
      </w:r>
      <w:r w:rsidR="003E4435" w:rsidRPr="00A35149">
        <w:rPr>
          <w:rFonts w:asciiTheme="majorBidi" w:hAnsiTheme="majorBidi" w:cstheme="majorBidi"/>
          <w:color w:val="4472C4" w:themeColor="accent1"/>
        </w:rPr>
        <w:instrText>ADDIN CSL_CITATION {"citationItems":[{"id":"ITEM-1","itemData":{"DOI":"10.1534/genetics.113.150029","ISSN":"00166731","abstract":"Segments of indentity-by-descent (IBD) detected from high-density genetic data are useful for many applications, including long-range phase determination, phasing family data, imputation, IBD mapping, and heritability analysis in founder populations. We present Refined IBD, a new method for IBD segment detection. Refined IBD achieves both computational efficiency and highly accurate IBD segment reporting by searching for IBD in two steps. The first step (identification) uses the GERMLINE algorithm to find shared haplotypes exceeding a length threshold. The second step (refinement) evaluates candidate segments with a probabilistic approach to assess the evidence for IBD. Like GERMLINE, Refined IBD allows for IBD reporting on a haplotype level, which facilitates determination of multi-individual IBD and allows for haplotype-based downstream analyses. To investigate the properties of Refined IBD, we simulate SNP data from a model with recent superexponential population growth that is designed to match United Kingdom data. The simulation results show that Refined IBD achieves a better power/accuracy profile than fastIBD or GERMLINE. We find that a single run of Refined IBD achieves greater power than 10 runs of fastIBD. We also apply Refined IBD to SNP data for samples from the United Kingdom and from Northern Finland and describe the IBD sharing in these data sets. Refined IBD is powerful, highly accurate, and easy to use and is implemented in Beagle version 4. © 2013 by the Genetics Society of America.","author":[{"dropping-particle":"","family":"Browning","given":"Brian L.","non-dropping-particle":"","parse-names":false,"suffix":""},{"dropping-particle":"","family":"Browning","given":"Sharon R.","non-dropping-particle":"","parse-names":false,"suffix":""}],"container-title":"Genetics","id":"ITEM-1","issue":"2","issued":{"date-parts":[["2013"]]},"page":"459-471","title":"Improving the accuracy and efficiency of identity-by-descent detection in population data","type":"article-journal","volume":"194"},"uris":["http://www.mendeley.com/documents/?uuid=911e72b1-cd81-4d2b-81f5-3775b5c49cd0"]}],"mendeley":{"formattedCitation":"(Browning and Browning, 2013)","plainTextFormattedCitation":"(Browning and Browning, 2013)","previouslyFormattedCitation":"(Browning and Browning, 2013)"},"properties":{"noteIndex":0},"schema":"https://github.com/citation-style-language/schema/raw/master/csl-citation.json"}</w:instrText>
      </w:r>
      <w:r w:rsidR="00E75576" w:rsidRPr="00A35149">
        <w:rPr>
          <w:rFonts w:asciiTheme="majorBidi" w:hAnsiTheme="majorBidi" w:cstheme="majorBidi"/>
          <w:color w:val="4472C4" w:themeColor="accent1"/>
        </w:rPr>
        <w:fldChar w:fldCharType="separate"/>
      </w:r>
      <w:r w:rsidR="003E4435" w:rsidRPr="00A35149">
        <w:rPr>
          <w:rFonts w:asciiTheme="majorBidi" w:hAnsiTheme="majorBidi" w:cstheme="majorBidi"/>
          <w:noProof/>
          <w:color w:val="4472C4" w:themeColor="accent1"/>
        </w:rPr>
        <w:t>(Browning and Browning, 2013)</w:t>
      </w:r>
      <w:r w:rsidR="00E75576" w:rsidRPr="00A35149">
        <w:rPr>
          <w:rFonts w:asciiTheme="majorBidi" w:hAnsiTheme="majorBidi" w:cstheme="majorBidi"/>
          <w:color w:val="4472C4" w:themeColor="accent1"/>
        </w:rPr>
        <w:fldChar w:fldCharType="end"/>
      </w:r>
      <w:r w:rsidR="00E75576" w:rsidRPr="00A35149">
        <w:rPr>
          <w:rFonts w:asciiTheme="majorBidi" w:hAnsiTheme="majorBidi" w:cstheme="majorBidi"/>
        </w:rPr>
        <w:t>.</w:t>
      </w:r>
      <w:r w:rsidRPr="00A35149">
        <w:rPr>
          <w:rFonts w:asciiTheme="majorBidi" w:hAnsiTheme="majorBidi" w:cstheme="majorBidi"/>
        </w:rPr>
        <w:t xml:space="preserve"> </w:t>
      </w:r>
      <w:r w:rsidR="002B7619" w:rsidRPr="00A35149">
        <w:rPr>
          <w:rFonts w:asciiTheme="majorBidi" w:hAnsiTheme="majorBidi" w:cstheme="majorBidi"/>
        </w:rPr>
        <w:t xml:space="preserve">Concurrent methods generally rely on diploid genotype data, which make them ineffective when dealing with ancient data which has a low concentration of endogenous DNA and fragmentation </w:t>
      </w:r>
      <w:r w:rsidR="00E75576" w:rsidRPr="00A35149">
        <w:rPr>
          <w:rFonts w:asciiTheme="majorBidi" w:hAnsiTheme="majorBidi" w:cstheme="majorBidi"/>
          <w:color w:val="4472C4" w:themeColor="accent1"/>
        </w:rPr>
        <w:fldChar w:fldCharType="begin" w:fldLock="1"/>
      </w:r>
      <w:r w:rsidR="00E75576" w:rsidRPr="00A35149">
        <w:rPr>
          <w:rFonts w:asciiTheme="majorBidi" w:hAnsiTheme="majorBidi" w:cstheme="majorBidi"/>
          <w:color w:val="4472C4" w:themeColor="accent1"/>
        </w:rPr>
        <w:instrText>ADDIN CSL_CITATION {"citationItems":[{"id":"ITEM-1","itemData":{"DOI":"10.1371/journal.pone.0195491","ISSN":"19326203","abstract":"Archaeogenomic research has proven to be a valuable tool to trace migrations of historic and prehistoric individuals and groups, whereas relationships within a group or burial site have not been investigated to a large extent. Knowing the genetic kinship of historic and prehistoric individuals would give important insights into social structures of ancient and historic cultures. Most archaeogenetic research concerning kinship has been restricted to uniparental markers, while studies using genome-wide information were mainly focused on comparisons between populations. Applications which infer the degree of relationship based on modern-day DNA information typically require diploid genotype data. Low concentration of endogenous DNA, fragmentation and other post-mortem damage to ancient DNA (aDNA) makes the application of such tools unfeasible for most archaeological samples. To infer family relationships for degraded samples, we developed the software READ (Relationship Estimation from Ancient DNA). We show that our heuristic approach can successfully infer up to second degree relationships with as little as 0.1x shotgun coverage per genome for pairs of individuals. We uncover previously unknown relationships among prehistoric individuals by applying READ to published aDNA data from several human remains excavated from different cultural contexts. In particular, we find a group of five closely related males from the same Corded Ware culture site in modern-day Germany, suggesting patrilocality, which highlights the possibility to uncover social structures of ancient populations by applying READ to genome-wide aDNA data. READ is publicly available from https://bitbucket.org/tguenther/read.","author":[{"dropping-particle":"","family":"Kuhn","given":"Jose Manuel Monroy","non-dropping-particle":"","parse-names":false,"suffix":""},{"dropping-particle":"","family":"Jakobsson","given":"Mattias","non-dropping-particle":"","parse-names":false,"suffix":""},{"dropping-particle":"","family":"Günther","given":"Torsten","non-dropping-particle":"","parse-names":false,"suffix":""}],"container-title":"PLoS ONE","id":"ITEM-1","issue":"4","issued":{"date-parts":[["2018"]]},"title":"Estimating genetic kin relationships in prehistoric populations","type":"article-journal","volume":"13"},"uris":["http://www.mendeley.com/documents/?uuid=94bd83d8-8d57-477d-bf96-9d14bbef2f5e"]}],"mendeley":{"formattedCitation":"(Kuhn, Jakobsson and Günther, 2018)","plainTextFormattedCitation":"(Kuhn, Jakobsson and Günther, 2018)","previouslyFormattedCitation":"(Kuhn, Jakobsson and Günther, 2018)"},"properties":{"noteIndex":0},"schema":"https://github.com/citation-style-language/schema/raw/master/csl-citation.json"}</w:instrText>
      </w:r>
      <w:r w:rsidR="00E75576" w:rsidRPr="00A35149">
        <w:rPr>
          <w:rFonts w:asciiTheme="majorBidi" w:hAnsiTheme="majorBidi" w:cstheme="majorBidi"/>
          <w:color w:val="4472C4" w:themeColor="accent1"/>
        </w:rPr>
        <w:fldChar w:fldCharType="separate"/>
      </w:r>
      <w:r w:rsidR="00E75576" w:rsidRPr="00A35149">
        <w:rPr>
          <w:rFonts w:asciiTheme="majorBidi" w:hAnsiTheme="majorBidi" w:cstheme="majorBidi"/>
          <w:noProof/>
          <w:color w:val="4472C4" w:themeColor="accent1"/>
        </w:rPr>
        <w:t>(Kuhn, Jakobsson and Günther, 2018)</w:t>
      </w:r>
      <w:r w:rsidR="00E75576" w:rsidRPr="00A35149">
        <w:rPr>
          <w:rFonts w:asciiTheme="majorBidi" w:hAnsiTheme="majorBidi" w:cstheme="majorBidi"/>
          <w:color w:val="4472C4" w:themeColor="accent1"/>
        </w:rPr>
        <w:fldChar w:fldCharType="end"/>
      </w:r>
      <w:r w:rsidR="002B7619" w:rsidRPr="00A35149">
        <w:rPr>
          <w:rFonts w:asciiTheme="majorBidi" w:hAnsiTheme="majorBidi" w:cstheme="majorBidi"/>
        </w:rPr>
        <w:t xml:space="preserve">. </w:t>
      </w:r>
      <w:r w:rsidR="00886F2E" w:rsidRPr="00A35149">
        <w:rPr>
          <w:rFonts w:asciiTheme="majorBidi" w:hAnsiTheme="majorBidi" w:cstheme="majorBidi"/>
        </w:rPr>
        <w:t xml:space="preserve">Since </w:t>
      </w:r>
      <w:r w:rsidRPr="00A35149">
        <w:rPr>
          <w:rFonts w:asciiTheme="majorBidi" w:hAnsiTheme="majorBidi" w:cstheme="majorBidi"/>
        </w:rPr>
        <w:t>all tools underperformed in inferring remote relatedness (over 3rd degree) in diverse samples</w:t>
      </w:r>
      <w:r w:rsidR="00886F2E" w:rsidRPr="00A35149">
        <w:rPr>
          <w:rFonts w:asciiTheme="majorBidi" w:hAnsiTheme="majorBidi" w:cstheme="majorBidi"/>
        </w:rPr>
        <w:t xml:space="preserve"> </w:t>
      </w:r>
      <w:r w:rsidR="00886F2E" w:rsidRPr="00A35149">
        <w:rPr>
          <w:rFonts w:asciiTheme="majorBidi" w:hAnsiTheme="majorBidi" w:cstheme="majorBidi"/>
          <w:color w:val="4472C4"/>
        </w:rPr>
        <w:t xml:space="preserve">Ramstetter </w:t>
      </w:r>
      <w:r w:rsidR="00886F2E" w:rsidRPr="00A35149">
        <w:rPr>
          <w:rFonts w:asciiTheme="majorBidi" w:hAnsiTheme="majorBidi" w:cstheme="majorBidi"/>
          <w:i/>
          <w:color w:val="4472C4"/>
        </w:rPr>
        <w:t>et al.</w:t>
      </w:r>
      <w:r w:rsidR="00886F2E" w:rsidRPr="00A35149">
        <w:rPr>
          <w:rFonts w:asciiTheme="majorBidi" w:hAnsiTheme="majorBidi" w:cstheme="majorBidi"/>
          <w:color w:val="4472C4"/>
        </w:rPr>
        <w:t xml:space="preserve"> (2017)</w:t>
      </w:r>
      <w:r w:rsidR="00886F2E" w:rsidRPr="00A35149">
        <w:rPr>
          <w:rFonts w:asciiTheme="majorBidi" w:hAnsiTheme="majorBidi" w:cstheme="majorBidi"/>
        </w:rPr>
        <w:t>, f</w:t>
      </w:r>
      <w:r w:rsidRPr="00A35149">
        <w:rPr>
          <w:rFonts w:asciiTheme="majorBidi" w:hAnsiTheme="majorBidi" w:cstheme="majorBidi"/>
        </w:rPr>
        <w:t xml:space="preserve">urther efforts should be made towards the development and testing of more robust tools. </w:t>
      </w:r>
    </w:p>
    <w:p w14:paraId="000001FD" w14:textId="5DBFCE11" w:rsidR="007F6EEB" w:rsidRPr="00A35149" w:rsidRDefault="007F6EEB">
      <w:pPr>
        <w:widowControl w:val="0"/>
        <w:rPr>
          <w:rFonts w:asciiTheme="majorBidi" w:hAnsiTheme="majorBidi" w:cstheme="majorBidi"/>
        </w:rPr>
      </w:pPr>
    </w:p>
    <w:p w14:paraId="4592A91E" w14:textId="6F0F2FF3" w:rsidR="00207E3B" w:rsidRPr="00A35149" w:rsidRDefault="00207E3B" w:rsidP="00347B1A">
      <w:pPr>
        <w:pStyle w:val="Heading1"/>
        <w:rPr>
          <w:rFonts w:asciiTheme="majorBidi" w:hAnsiTheme="majorBidi"/>
          <w:color w:val="4472C4" w:themeColor="accent1"/>
        </w:rPr>
      </w:pPr>
      <w:r w:rsidRPr="00A35149">
        <w:rPr>
          <w:rFonts w:asciiTheme="majorBidi" w:hAnsiTheme="majorBidi"/>
          <w:color w:val="4472C4" w:themeColor="accent1"/>
        </w:rPr>
        <w:t>DISCUSSION</w:t>
      </w:r>
    </w:p>
    <w:p w14:paraId="266EBBF1" w14:textId="77777777" w:rsidR="00207E3B" w:rsidRPr="00A35149" w:rsidRDefault="00207E3B" w:rsidP="00207E3B">
      <w:pPr>
        <w:rPr>
          <w:rFonts w:asciiTheme="majorBidi" w:hAnsiTheme="majorBidi" w:cstheme="majorBidi"/>
          <w:color w:val="000000"/>
        </w:rPr>
      </w:pPr>
      <w:r w:rsidRPr="00A35149">
        <w:rPr>
          <w:rFonts w:asciiTheme="majorBidi" w:hAnsiTheme="majorBidi" w:cstheme="majorBidi"/>
          <w:b/>
          <w:bCs/>
          <w:color w:val="000000"/>
          <w:sz w:val="28"/>
          <w:szCs w:val="28"/>
        </w:rPr>
        <w:t> </w:t>
      </w:r>
    </w:p>
    <w:p w14:paraId="65372FCA" w14:textId="77777777" w:rsidR="00334D34" w:rsidRPr="00A35149" w:rsidRDefault="00207E3B" w:rsidP="007E5D3E">
      <w:pPr>
        <w:ind w:firstLine="720"/>
        <w:rPr>
          <w:rFonts w:asciiTheme="majorBidi" w:hAnsiTheme="majorBidi" w:cstheme="majorBidi"/>
          <w:color w:val="000000"/>
        </w:rPr>
      </w:pPr>
      <w:r w:rsidRPr="00A35149">
        <w:rPr>
          <w:rFonts w:asciiTheme="majorBidi" w:hAnsiTheme="majorBidi" w:cstheme="majorBidi"/>
          <w:color w:val="000000"/>
        </w:rPr>
        <w:t xml:space="preserve">The rise of genomic biobanks and biological and computational biotechnology advancements have allowed for significant developments in the field of personalised medicine, making the vision of targeted therapies, accelerated diagnosis and early disease detection become more of a reality. However, the geographic differentiation of human genetic variation </w:t>
      </w:r>
      <w:r w:rsidRPr="00A35149">
        <w:rPr>
          <w:rFonts w:asciiTheme="majorBidi" w:hAnsiTheme="majorBidi" w:cstheme="majorBidi"/>
          <w:color w:val="000000"/>
        </w:rPr>
        <w:lastRenderedPageBreak/>
        <w:t>(population genetic structure) suggests that the frequencies of certain disease-causing genetic variants and variants in drug-metabolising genes may differ depending on geographic location, leading to geographic disparities in the susceptibility of an individual to a disease and/or specific drug treatment.</w:t>
      </w:r>
      <w:r w:rsidR="007E5D3E" w:rsidRPr="00A35149">
        <w:rPr>
          <w:rFonts w:asciiTheme="majorBidi" w:hAnsiTheme="majorBidi" w:cstheme="majorBidi"/>
          <w:color w:val="000000"/>
        </w:rPr>
        <w:t xml:space="preserve"> Therefore, the significant over-representation of Europeans in genomic studies currently limits the global understanding of disease risk and intervention efficacy. </w:t>
      </w:r>
    </w:p>
    <w:p w14:paraId="7D087B19" w14:textId="77777777" w:rsidR="00334D34" w:rsidRPr="00A35149" w:rsidRDefault="00334D34" w:rsidP="007E5D3E">
      <w:pPr>
        <w:ind w:firstLine="720"/>
        <w:rPr>
          <w:rFonts w:asciiTheme="majorBidi" w:hAnsiTheme="majorBidi" w:cstheme="majorBidi"/>
          <w:color w:val="000000"/>
        </w:rPr>
      </w:pPr>
    </w:p>
    <w:p w14:paraId="012CD071" w14:textId="318FB582" w:rsidR="00207E3B" w:rsidRPr="00A35149" w:rsidRDefault="007E5D3E" w:rsidP="000B75AA">
      <w:pPr>
        <w:ind w:firstLine="720"/>
        <w:rPr>
          <w:rFonts w:asciiTheme="majorBidi" w:hAnsiTheme="majorBidi" w:cstheme="majorBidi"/>
          <w:color w:val="000000"/>
        </w:rPr>
      </w:pPr>
      <w:r w:rsidRPr="00A35149">
        <w:rPr>
          <w:rFonts w:asciiTheme="majorBidi" w:hAnsiTheme="majorBidi" w:cstheme="majorBidi"/>
          <w:color w:val="000000"/>
        </w:rPr>
        <w:t>It is widely accepted that increased samples from a much more diverse range of populations is required</w:t>
      </w:r>
      <w:r w:rsidR="00334D34" w:rsidRPr="00A35149">
        <w:rPr>
          <w:rFonts w:asciiTheme="majorBidi" w:hAnsiTheme="majorBidi" w:cstheme="majorBidi"/>
          <w:color w:val="000000"/>
        </w:rPr>
        <w:t>.</w:t>
      </w:r>
      <w:r w:rsidRPr="00A35149">
        <w:rPr>
          <w:rFonts w:asciiTheme="majorBidi" w:hAnsiTheme="majorBidi" w:cstheme="majorBidi"/>
          <w:color w:val="000000"/>
        </w:rPr>
        <w:t xml:space="preserve"> </w:t>
      </w:r>
      <w:r w:rsidR="00D708F0" w:rsidRPr="00A35149">
        <w:rPr>
          <w:rFonts w:asciiTheme="majorBidi" w:hAnsiTheme="majorBidi" w:cstheme="majorBidi"/>
          <w:color w:val="000000"/>
        </w:rPr>
        <w:t>However</w:t>
      </w:r>
      <w:r w:rsidRPr="00A35149">
        <w:rPr>
          <w:rFonts w:asciiTheme="majorBidi" w:hAnsiTheme="majorBidi" w:cstheme="majorBidi"/>
          <w:color w:val="000000"/>
        </w:rPr>
        <w:t xml:space="preserve">, </w:t>
      </w:r>
      <w:r w:rsidR="00334D34" w:rsidRPr="00A35149">
        <w:rPr>
          <w:rFonts w:asciiTheme="majorBidi" w:hAnsiTheme="majorBidi" w:cstheme="majorBidi"/>
          <w:color w:val="000000"/>
        </w:rPr>
        <w:t>diversity</w:t>
      </w:r>
      <w:r w:rsidRPr="00A35149">
        <w:rPr>
          <w:rFonts w:asciiTheme="majorBidi" w:hAnsiTheme="majorBidi" w:cstheme="majorBidi"/>
          <w:color w:val="000000"/>
        </w:rPr>
        <w:t xml:space="preserve"> needs to be quantified, compared and annotated within</w:t>
      </w:r>
      <w:r w:rsidR="00334D34" w:rsidRPr="00A35149">
        <w:rPr>
          <w:rFonts w:asciiTheme="majorBidi" w:hAnsiTheme="majorBidi" w:cstheme="majorBidi"/>
          <w:color w:val="000000"/>
        </w:rPr>
        <w:t xml:space="preserve"> and between</w:t>
      </w:r>
      <w:r w:rsidRPr="00A35149">
        <w:rPr>
          <w:rFonts w:asciiTheme="majorBidi" w:hAnsiTheme="majorBidi" w:cstheme="majorBidi"/>
          <w:color w:val="000000"/>
        </w:rPr>
        <w:t xml:space="preserve"> biobanks in order to lead to insight. Biobanks must therefore contain genetic annotations that are comparable, computable and compatible across datasets. </w:t>
      </w:r>
      <w:r w:rsidR="000B75AA" w:rsidRPr="00A35149">
        <w:rPr>
          <w:rFonts w:asciiTheme="majorBidi" w:hAnsiTheme="majorBidi" w:cstheme="majorBidi"/>
          <w:color w:val="000000"/>
        </w:rPr>
        <w:t xml:space="preserve">Whereas previous studies explored the applicability of bioinformatics tools for association studies </w:t>
      </w:r>
      <w:r w:rsidR="000B75AA" w:rsidRPr="00A35149">
        <w:rPr>
          <w:rFonts w:asciiTheme="majorBidi" w:hAnsiTheme="majorBidi" w:cstheme="majorBidi"/>
        </w:rPr>
        <w:t>(e.g.,</w:t>
      </w:r>
      <w:r w:rsidR="00746C14" w:rsidRPr="00A35149">
        <w:rPr>
          <w:rFonts w:asciiTheme="majorBidi" w:hAnsiTheme="majorBidi" w:cstheme="majorBidi"/>
        </w:rPr>
        <w:t xml:space="preserve"> </w:t>
      </w:r>
      <w:r w:rsidR="00275CBA" w:rsidRPr="00A35149">
        <w:rPr>
          <w:rFonts w:asciiTheme="majorBidi" w:hAnsiTheme="majorBidi" w:cstheme="majorBidi"/>
        </w:rPr>
        <w:fldChar w:fldCharType="begin" w:fldLock="1"/>
      </w:r>
      <w:r w:rsidR="003E4435" w:rsidRPr="00A35149">
        <w:rPr>
          <w:rFonts w:asciiTheme="majorBidi" w:hAnsiTheme="majorBidi" w:cstheme="majorBidi"/>
        </w:rPr>
        <w:instrText>ADDIN CSL_CITATION {"citationItems":[{"id":"ITEM-1","itemData":{"DOI":"10.1002/cphg.48","ISSN":"19348258","abstract":"Population stratification (PS) is a primary consideration in studies of genetic determinants of human traits. Failure to control for PS may lead to confounding, causing a study to fail for lack of significant results, or resources to be wasted following false-positive signals. Here, historical and current approaches for addressing PS when performing genetic association studies in human populations are reviewed. Methods for detecting the presence of PS, including global and local ancestry methods, are described. Also described are approaches for accounting for PS when calculating association statistics, such that measures of association are not confounded. Many traits are being examined for the first time in minority populations, which may inherently feature PS. © 2017 by John Wiley &amp; Sons, Inc.","author":[{"dropping-particle":"","family":"Hellwege","given":"Jacklyn N.","non-dropping-particle":"","parse-names":false,"suffix":""},{"dropping-particle":"","family":"Keaton","given":"Jacob M.","non-dropping-particle":"","parse-names":false,"suffix":""},{"dropping-particle":"","family":"Giri","given":"Ayush","non-dropping-particle":"","parse-names":false,"suffix":""},{"dropping-particle":"","family":"Gao","given":"Xiaoyi","non-dropping-particle":"","parse-names":false,"suffix":""},{"dropping-particle":"","family":"Velez Edwards","given":"Digna R.","non-dropping-particle":"","parse-names":false,"suffix":""},{"dropping-particle":"","family":"Edwards","given":"Todd L.","non-dropping-particle":"","parse-names":false,"suffix":""}],"container-title":"Current protocols in human genetics","id":"ITEM-1","issued":{"date-parts":[["2017"]]},"page":"1.22.1-1.22.23","title":"Population Stratification in Genetic Association Studies","type":"article-journal","volume":"95"},"uris":["http://www.mendeley.com/documents/?uuid=76aaa439-c1c5-42f0-8f3a-593a4d7f6102"]}],"mendeley":{"formattedCitation":"(Hellwege &lt;i&gt;et al.&lt;/i&gt;, 2017)","manualFormatting":"Hellwege et al., 2017)","plainTextFormattedCitation":"(Hellwege et al., 2017)","previouslyFormattedCitation":"(Hellwege &lt;i&gt;et al.&lt;/i&gt;, 2017)"},"properties":{"noteIndex":0},"schema":"https://github.com/citation-style-language/schema/raw/master/csl-citation.json"}</w:instrText>
      </w:r>
      <w:r w:rsidR="00275CBA" w:rsidRPr="00A35149">
        <w:rPr>
          <w:rFonts w:asciiTheme="majorBidi" w:hAnsiTheme="majorBidi" w:cstheme="majorBidi"/>
        </w:rPr>
        <w:fldChar w:fldCharType="separate"/>
      </w:r>
      <w:r w:rsidR="00275CBA" w:rsidRPr="00A35149">
        <w:rPr>
          <w:rFonts w:asciiTheme="majorBidi" w:hAnsiTheme="majorBidi" w:cstheme="majorBidi"/>
          <w:noProof/>
          <w:color w:val="4472C4" w:themeColor="accent1"/>
        </w:rPr>
        <w:t xml:space="preserve">Hellwege </w:t>
      </w:r>
      <w:r w:rsidR="00275CBA" w:rsidRPr="00A35149">
        <w:rPr>
          <w:rFonts w:asciiTheme="majorBidi" w:hAnsiTheme="majorBidi" w:cstheme="majorBidi"/>
          <w:i/>
          <w:noProof/>
          <w:color w:val="4472C4" w:themeColor="accent1"/>
        </w:rPr>
        <w:t>et al.</w:t>
      </w:r>
      <w:r w:rsidR="00275CBA" w:rsidRPr="00A35149">
        <w:rPr>
          <w:rFonts w:asciiTheme="majorBidi" w:hAnsiTheme="majorBidi" w:cstheme="majorBidi"/>
          <w:noProof/>
          <w:color w:val="4472C4" w:themeColor="accent1"/>
        </w:rPr>
        <w:t>, 2017</w:t>
      </w:r>
      <w:r w:rsidR="00275CBA" w:rsidRPr="00A35149">
        <w:rPr>
          <w:rFonts w:asciiTheme="majorBidi" w:hAnsiTheme="majorBidi" w:cstheme="majorBidi"/>
          <w:noProof/>
        </w:rPr>
        <w:t>)</w:t>
      </w:r>
      <w:r w:rsidR="00275CBA" w:rsidRPr="00A35149">
        <w:rPr>
          <w:rFonts w:asciiTheme="majorBidi" w:hAnsiTheme="majorBidi" w:cstheme="majorBidi"/>
        </w:rPr>
        <w:fldChar w:fldCharType="end"/>
      </w:r>
      <w:r w:rsidR="00275CBA" w:rsidRPr="00A35149">
        <w:rPr>
          <w:rFonts w:asciiTheme="majorBidi" w:hAnsiTheme="majorBidi" w:cstheme="majorBidi"/>
        </w:rPr>
        <w:t>,</w:t>
      </w:r>
      <w:r w:rsidR="000B75AA" w:rsidRPr="00A35149">
        <w:rPr>
          <w:rFonts w:asciiTheme="majorBidi" w:hAnsiTheme="majorBidi" w:cstheme="majorBidi"/>
        </w:rPr>
        <w:t xml:space="preserve"> t</w:t>
      </w:r>
      <w:r w:rsidR="00207E3B" w:rsidRPr="00A35149">
        <w:rPr>
          <w:rFonts w:asciiTheme="majorBidi" w:hAnsiTheme="majorBidi" w:cstheme="majorBidi"/>
          <w:color w:val="000000"/>
        </w:rPr>
        <w:t xml:space="preserve">his </w:t>
      </w:r>
      <w:r w:rsidRPr="00A35149">
        <w:rPr>
          <w:rFonts w:asciiTheme="majorBidi" w:hAnsiTheme="majorBidi" w:cstheme="majorBidi"/>
          <w:color w:val="000000"/>
        </w:rPr>
        <w:t xml:space="preserve">review </w:t>
      </w:r>
      <w:r w:rsidR="00864811">
        <w:rPr>
          <w:rFonts w:asciiTheme="majorBidi" w:hAnsiTheme="majorBidi" w:cstheme="majorBidi"/>
          <w:color w:val="000000"/>
        </w:rPr>
        <w:t>focussed on whether tools are conceptually comparable, and whether they scale.</w:t>
      </w:r>
      <w:r w:rsidR="00207E3B" w:rsidRPr="00A35149">
        <w:rPr>
          <w:rFonts w:asciiTheme="majorBidi" w:hAnsiTheme="majorBidi" w:cstheme="majorBidi"/>
          <w:color w:val="000000"/>
        </w:rPr>
        <w:t xml:space="preserve"> </w:t>
      </w:r>
      <w:r w:rsidR="00864811">
        <w:rPr>
          <w:rFonts w:asciiTheme="majorBidi" w:hAnsiTheme="majorBidi" w:cstheme="majorBidi"/>
          <w:color w:val="000000"/>
        </w:rPr>
        <w:t xml:space="preserve">It therefore </w:t>
      </w:r>
      <w:r w:rsidRPr="00A35149">
        <w:rPr>
          <w:rFonts w:asciiTheme="majorBidi" w:hAnsiTheme="majorBidi" w:cstheme="majorBidi"/>
          <w:color w:val="000000"/>
        </w:rPr>
        <w:t>assess</w:t>
      </w:r>
      <w:r w:rsidR="00864811">
        <w:rPr>
          <w:rFonts w:asciiTheme="majorBidi" w:hAnsiTheme="majorBidi" w:cstheme="majorBidi"/>
          <w:color w:val="000000"/>
        </w:rPr>
        <w:t>es</w:t>
      </w:r>
      <w:r w:rsidRPr="00A35149">
        <w:rPr>
          <w:rFonts w:asciiTheme="majorBidi" w:hAnsiTheme="majorBidi" w:cstheme="majorBidi"/>
          <w:color w:val="000000"/>
        </w:rPr>
        <w:t xml:space="preserve"> the confounding effects of stratification bias through the </w:t>
      </w:r>
      <w:r w:rsidR="00207E3B" w:rsidRPr="00A35149">
        <w:rPr>
          <w:rFonts w:asciiTheme="majorBidi" w:hAnsiTheme="majorBidi" w:cstheme="majorBidi"/>
          <w:color w:val="000000"/>
        </w:rPr>
        <w:t>identif</w:t>
      </w:r>
      <w:r w:rsidRPr="00A35149">
        <w:rPr>
          <w:rFonts w:asciiTheme="majorBidi" w:hAnsiTheme="majorBidi" w:cstheme="majorBidi"/>
          <w:color w:val="000000"/>
        </w:rPr>
        <w:t>ication</w:t>
      </w:r>
      <w:r w:rsidR="00207E3B" w:rsidRPr="00A35149">
        <w:rPr>
          <w:rFonts w:asciiTheme="majorBidi" w:hAnsiTheme="majorBidi" w:cstheme="majorBidi"/>
          <w:color w:val="000000"/>
        </w:rPr>
        <w:t xml:space="preserve"> </w:t>
      </w:r>
      <w:r w:rsidRPr="00A35149">
        <w:rPr>
          <w:rFonts w:asciiTheme="majorBidi" w:hAnsiTheme="majorBidi" w:cstheme="majorBidi"/>
          <w:color w:val="000000"/>
        </w:rPr>
        <w:t>of</w:t>
      </w:r>
      <w:r w:rsidR="00207E3B" w:rsidRPr="00A35149">
        <w:rPr>
          <w:rFonts w:asciiTheme="majorBidi" w:hAnsiTheme="majorBidi" w:cstheme="majorBidi"/>
          <w:color w:val="000000"/>
        </w:rPr>
        <w:t xml:space="preserve"> population genetic structure</w:t>
      </w:r>
      <w:r w:rsidRPr="00A35149">
        <w:rPr>
          <w:rFonts w:asciiTheme="majorBidi" w:hAnsiTheme="majorBidi" w:cstheme="majorBidi"/>
          <w:color w:val="000000"/>
        </w:rPr>
        <w:t xml:space="preserve"> in a standardised and comparable manner</w:t>
      </w:r>
      <w:r w:rsidR="00207E3B" w:rsidRPr="00A35149">
        <w:rPr>
          <w:rFonts w:asciiTheme="majorBidi" w:hAnsiTheme="majorBidi" w:cstheme="majorBidi"/>
          <w:color w:val="000000"/>
        </w:rPr>
        <w:t xml:space="preserve">, </w:t>
      </w:r>
      <w:r w:rsidRPr="00A35149">
        <w:rPr>
          <w:rFonts w:asciiTheme="majorBidi" w:hAnsiTheme="majorBidi" w:cstheme="majorBidi"/>
          <w:color w:val="000000"/>
        </w:rPr>
        <w:t xml:space="preserve">with a view to improving biobanks, increasing the accuracy of association analyses, and informing developmental efforts. </w:t>
      </w:r>
      <w:r w:rsidR="00207E3B" w:rsidRPr="00A35149">
        <w:rPr>
          <w:rFonts w:asciiTheme="majorBidi" w:hAnsiTheme="majorBidi" w:cstheme="majorBidi"/>
          <w:color w:val="000000"/>
        </w:rPr>
        <w:t>These tools vary in their strengths and limitations</w:t>
      </w:r>
      <w:r w:rsidR="00AB4205" w:rsidRPr="00A35149">
        <w:rPr>
          <w:rFonts w:asciiTheme="majorBidi" w:hAnsiTheme="majorBidi" w:cstheme="majorBidi"/>
          <w:color w:val="000000"/>
        </w:rPr>
        <w:t>;</w:t>
      </w:r>
      <w:r w:rsidR="00207E3B" w:rsidRPr="00A35149">
        <w:rPr>
          <w:rFonts w:asciiTheme="majorBidi" w:hAnsiTheme="majorBidi" w:cstheme="majorBidi"/>
          <w:color w:val="000000"/>
        </w:rPr>
        <w:t xml:space="preserve"> therefore</w:t>
      </w:r>
      <w:r w:rsidR="00AB4205" w:rsidRPr="00A35149">
        <w:rPr>
          <w:rFonts w:asciiTheme="majorBidi" w:hAnsiTheme="majorBidi" w:cstheme="majorBidi"/>
          <w:color w:val="000000"/>
        </w:rPr>
        <w:t>,</w:t>
      </w:r>
      <w:r w:rsidR="00207E3B" w:rsidRPr="00A35149">
        <w:rPr>
          <w:rFonts w:asciiTheme="majorBidi" w:hAnsiTheme="majorBidi" w:cstheme="majorBidi"/>
          <w:color w:val="000000"/>
        </w:rPr>
        <w:t xml:space="preserve"> it is vital to review these characteristics in order to apply them appropriately. </w:t>
      </w:r>
    </w:p>
    <w:p w14:paraId="2F4521E5" w14:textId="77777777" w:rsidR="00207E3B" w:rsidRPr="00A35149" w:rsidRDefault="00207E3B" w:rsidP="00207E3B">
      <w:pPr>
        <w:rPr>
          <w:rFonts w:asciiTheme="majorBidi" w:hAnsiTheme="majorBidi" w:cstheme="majorBidi"/>
          <w:color w:val="000000"/>
        </w:rPr>
      </w:pPr>
    </w:p>
    <w:p w14:paraId="0A32136E" w14:textId="77777777" w:rsidR="00207E3B" w:rsidRPr="00A35149" w:rsidRDefault="00207E3B" w:rsidP="00207E3B">
      <w:pPr>
        <w:ind w:firstLine="720"/>
        <w:rPr>
          <w:rFonts w:asciiTheme="majorBidi" w:hAnsiTheme="majorBidi" w:cstheme="majorBidi"/>
          <w:color w:val="000000"/>
        </w:rPr>
      </w:pPr>
      <w:r w:rsidRPr="00A35149">
        <w:rPr>
          <w:rFonts w:asciiTheme="majorBidi" w:hAnsiTheme="majorBidi" w:cstheme="majorBidi"/>
          <w:color w:val="000000"/>
        </w:rPr>
        <w:t>Genomic ancestry inference encompasses tools that are able to identify the ancestry of an individual, by utilising specialised markers to compare the genetic similarity of an individual’s DNA to other individuals sampled from a variety of populations or geographic regions. Global genetic ancestry tools assess the average proportion contributed by each ancestral population across the whole of the individual’s genome, whilst local ancestry inference tools identify the ancestry of distinct segments within chromosomes.</w:t>
      </w:r>
    </w:p>
    <w:p w14:paraId="3E201BA5" w14:textId="2D96E8DB" w:rsidR="00207E3B" w:rsidRPr="00A35149" w:rsidRDefault="00207E3B" w:rsidP="00207E3B">
      <w:pPr>
        <w:rPr>
          <w:rFonts w:asciiTheme="majorBidi" w:hAnsiTheme="majorBidi" w:cstheme="majorBidi"/>
          <w:color w:val="000000"/>
        </w:rPr>
      </w:pPr>
    </w:p>
    <w:p w14:paraId="116FE0AB" w14:textId="2EBDB6DD" w:rsidR="0001395B" w:rsidRPr="00A35149" w:rsidRDefault="0001395B" w:rsidP="0093323D">
      <w:pPr>
        <w:ind w:firstLine="720"/>
        <w:rPr>
          <w:rFonts w:asciiTheme="majorBidi" w:hAnsiTheme="majorBidi" w:cstheme="majorBidi"/>
          <w:color w:val="000000"/>
        </w:rPr>
      </w:pPr>
      <w:r w:rsidRPr="00A35149">
        <w:rPr>
          <w:rFonts w:asciiTheme="majorBidi" w:hAnsiTheme="majorBidi" w:cstheme="majorBidi"/>
          <w:color w:val="000000"/>
        </w:rPr>
        <w:t>Simple descriptions such as Ancestry Informative Markers</w:t>
      </w:r>
      <w:r w:rsidR="000B089A" w:rsidRPr="00A35149">
        <w:rPr>
          <w:rFonts w:asciiTheme="majorBidi" w:hAnsiTheme="majorBidi" w:cstheme="majorBidi"/>
          <w:color w:val="000000"/>
        </w:rPr>
        <w:t xml:space="preserve"> (AIMs)</w:t>
      </w:r>
      <w:r w:rsidRPr="00A35149">
        <w:rPr>
          <w:rFonts w:asciiTheme="majorBidi" w:hAnsiTheme="majorBidi" w:cstheme="majorBidi"/>
          <w:color w:val="000000"/>
        </w:rPr>
        <w:t xml:space="preserve"> and Low Dimensional Representation with PCA are useful but insufficient. Current best-practice includes correcting for</w:t>
      </w:r>
      <w:r w:rsidR="0069726C" w:rsidRPr="00A35149">
        <w:rPr>
          <w:rFonts w:asciiTheme="majorBidi" w:hAnsiTheme="majorBidi" w:cstheme="majorBidi"/>
          <w:color w:val="000000"/>
        </w:rPr>
        <w:t xml:space="preserve"> kinship using </w:t>
      </w:r>
      <w:r w:rsidRPr="00A35149">
        <w:rPr>
          <w:rFonts w:asciiTheme="majorBidi" w:hAnsiTheme="majorBidi" w:cstheme="majorBidi"/>
          <w:color w:val="000000"/>
        </w:rPr>
        <w:t>the Genetic Relatedness Matrix, which may be valuable but does not provide a framework for</w:t>
      </w:r>
      <w:r w:rsidR="0069726C" w:rsidRPr="00A35149">
        <w:rPr>
          <w:rFonts w:asciiTheme="majorBidi" w:hAnsiTheme="majorBidi" w:cstheme="majorBidi"/>
          <w:color w:val="000000"/>
        </w:rPr>
        <w:t xml:space="preserve"> interpreting external datasets.</w:t>
      </w:r>
    </w:p>
    <w:p w14:paraId="65D0D9ED" w14:textId="77777777" w:rsidR="0001395B" w:rsidRPr="00A35149" w:rsidRDefault="0001395B" w:rsidP="00207E3B">
      <w:pPr>
        <w:rPr>
          <w:rFonts w:asciiTheme="majorBidi" w:hAnsiTheme="majorBidi" w:cstheme="majorBidi"/>
          <w:color w:val="000000"/>
        </w:rPr>
      </w:pPr>
    </w:p>
    <w:p w14:paraId="70D15F5E" w14:textId="64733CF6" w:rsidR="00207E3B" w:rsidRPr="00A35149" w:rsidRDefault="00207E3B" w:rsidP="00207E3B">
      <w:pPr>
        <w:ind w:firstLine="720"/>
        <w:rPr>
          <w:rFonts w:asciiTheme="majorBidi" w:hAnsiTheme="majorBidi" w:cstheme="majorBidi"/>
          <w:color w:val="000000"/>
        </w:rPr>
      </w:pPr>
      <w:r w:rsidRPr="00A35149">
        <w:rPr>
          <w:rFonts w:asciiTheme="majorBidi" w:hAnsiTheme="majorBidi" w:cstheme="majorBidi"/>
          <w:color w:val="000000"/>
        </w:rPr>
        <w:t>For global genetic ancestry inference</w:t>
      </w:r>
      <w:r w:rsidR="0069726C" w:rsidRPr="00A35149">
        <w:rPr>
          <w:rFonts w:asciiTheme="majorBidi" w:hAnsiTheme="majorBidi" w:cstheme="majorBidi"/>
          <w:color w:val="000000"/>
        </w:rPr>
        <w:t>, some tools do</w:t>
      </w:r>
      <w:r w:rsidR="0001395B" w:rsidRPr="00A35149">
        <w:rPr>
          <w:rFonts w:asciiTheme="majorBidi" w:hAnsiTheme="majorBidi" w:cstheme="majorBidi"/>
          <w:color w:val="000000"/>
        </w:rPr>
        <w:t xml:space="preserve"> scale well enough to be considered for biobanks</w:t>
      </w:r>
      <w:r w:rsidRPr="00A35149">
        <w:rPr>
          <w:rFonts w:asciiTheme="majorBidi" w:hAnsiTheme="majorBidi" w:cstheme="majorBidi"/>
          <w:color w:val="000000"/>
        </w:rPr>
        <w:t xml:space="preserve">. </w:t>
      </w:r>
      <w:r w:rsidR="000B089A" w:rsidRPr="00A35149">
        <w:rPr>
          <w:rFonts w:asciiTheme="majorBidi" w:hAnsiTheme="majorBidi" w:cstheme="majorBidi"/>
          <w:color w:val="000000"/>
        </w:rPr>
        <w:t>The</w:t>
      </w:r>
      <w:r w:rsidRPr="00A35149">
        <w:rPr>
          <w:rFonts w:asciiTheme="majorBidi" w:hAnsiTheme="majorBidi" w:cstheme="majorBidi"/>
          <w:color w:val="000000"/>
        </w:rPr>
        <w:t xml:space="preserve"> limitations includ</w:t>
      </w:r>
      <w:r w:rsidR="000B089A" w:rsidRPr="00A35149">
        <w:rPr>
          <w:rFonts w:asciiTheme="majorBidi" w:hAnsiTheme="majorBidi" w:cstheme="majorBidi"/>
          <w:color w:val="000000"/>
        </w:rPr>
        <w:t>e</w:t>
      </w:r>
      <w:r w:rsidRPr="00A35149">
        <w:rPr>
          <w:rFonts w:asciiTheme="majorBidi" w:hAnsiTheme="majorBidi" w:cstheme="majorBidi"/>
          <w:color w:val="000000"/>
        </w:rPr>
        <w:t xml:space="preserve"> unrealistic assumptions</w:t>
      </w:r>
      <w:r w:rsidR="000B089A" w:rsidRPr="00A35149">
        <w:rPr>
          <w:rFonts w:asciiTheme="majorBidi" w:hAnsiTheme="majorBidi" w:cstheme="majorBidi"/>
          <w:color w:val="000000"/>
        </w:rPr>
        <w:t>,</w:t>
      </w:r>
      <w:r w:rsidRPr="00A35149">
        <w:rPr>
          <w:rFonts w:asciiTheme="majorBidi" w:hAnsiTheme="majorBidi" w:cstheme="majorBidi"/>
          <w:color w:val="000000"/>
        </w:rPr>
        <w:t xml:space="preserve"> </w:t>
      </w:r>
      <w:r w:rsidR="000B089A" w:rsidRPr="00A35149">
        <w:rPr>
          <w:rFonts w:asciiTheme="majorBidi" w:hAnsiTheme="majorBidi" w:cstheme="majorBidi"/>
          <w:color w:val="000000"/>
        </w:rPr>
        <w:t xml:space="preserve">a </w:t>
      </w:r>
      <w:r w:rsidRPr="00A35149">
        <w:rPr>
          <w:rFonts w:asciiTheme="majorBidi" w:hAnsiTheme="majorBidi" w:cstheme="majorBidi"/>
          <w:color w:val="000000"/>
        </w:rPr>
        <w:t xml:space="preserve">tendency to </w:t>
      </w:r>
      <w:r w:rsidR="000B089A" w:rsidRPr="00A35149">
        <w:rPr>
          <w:rFonts w:asciiTheme="majorBidi" w:hAnsiTheme="majorBidi" w:cstheme="majorBidi"/>
          <w:color w:val="000000"/>
        </w:rPr>
        <w:t>mistake</w:t>
      </w:r>
      <w:r w:rsidRPr="00A35149">
        <w:rPr>
          <w:rFonts w:asciiTheme="majorBidi" w:hAnsiTheme="majorBidi" w:cstheme="majorBidi"/>
          <w:color w:val="000000"/>
        </w:rPr>
        <w:t xml:space="preserve"> cryptic relatedness</w:t>
      </w:r>
      <w:r w:rsidR="000B089A" w:rsidRPr="00A35149">
        <w:rPr>
          <w:rFonts w:asciiTheme="majorBidi" w:hAnsiTheme="majorBidi" w:cstheme="majorBidi"/>
          <w:color w:val="000000"/>
        </w:rPr>
        <w:t xml:space="preserve"> for genetic structure</w:t>
      </w:r>
      <w:r w:rsidR="0001395B" w:rsidRPr="00A35149">
        <w:rPr>
          <w:rFonts w:asciiTheme="majorBidi" w:hAnsiTheme="majorBidi" w:cstheme="majorBidi"/>
          <w:color w:val="000000"/>
        </w:rPr>
        <w:t>, conceptual issues in the interpretation of admixture</w:t>
      </w:r>
      <w:r w:rsidR="000B089A" w:rsidRPr="00A35149">
        <w:rPr>
          <w:rFonts w:asciiTheme="majorBidi" w:hAnsiTheme="majorBidi" w:cstheme="majorBidi"/>
          <w:color w:val="000000"/>
        </w:rPr>
        <w:t>,</w:t>
      </w:r>
      <w:r w:rsidR="0001395B" w:rsidRPr="00A35149">
        <w:rPr>
          <w:rFonts w:asciiTheme="majorBidi" w:hAnsiTheme="majorBidi" w:cstheme="majorBidi"/>
          <w:color w:val="000000"/>
        </w:rPr>
        <w:t xml:space="preserve"> and </w:t>
      </w:r>
      <w:r w:rsidR="000B089A" w:rsidRPr="00A35149">
        <w:rPr>
          <w:rFonts w:asciiTheme="majorBidi" w:hAnsiTheme="majorBidi" w:cstheme="majorBidi"/>
          <w:color w:val="000000"/>
        </w:rPr>
        <w:t>a lack of prior research into how global ancestry</w:t>
      </w:r>
      <w:r w:rsidR="0001395B" w:rsidRPr="00A35149">
        <w:rPr>
          <w:rFonts w:asciiTheme="majorBidi" w:hAnsiTheme="majorBidi" w:cstheme="majorBidi"/>
          <w:color w:val="000000"/>
        </w:rPr>
        <w:t xml:space="preserve"> can be usefully applied for association studies.</w:t>
      </w:r>
    </w:p>
    <w:p w14:paraId="68960906" w14:textId="011662F2" w:rsidR="006F2832" w:rsidRPr="00A35149" w:rsidRDefault="006F2832" w:rsidP="00207E3B">
      <w:pPr>
        <w:ind w:firstLine="720"/>
        <w:rPr>
          <w:rFonts w:asciiTheme="majorBidi" w:hAnsiTheme="majorBidi" w:cstheme="majorBidi"/>
          <w:color w:val="000000"/>
        </w:rPr>
      </w:pPr>
    </w:p>
    <w:p w14:paraId="5F71FA38" w14:textId="6DB4DE37" w:rsidR="00FB7FC8" w:rsidRPr="00A35149" w:rsidRDefault="00F743EF" w:rsidP="002F78EF">
      <w:pPr>
        <w:ind w:firstLine="720"/>
        <w:rPr>
          <w:rFonts w:asciiTheme="majorBidi" w:hAnsiTheme="majorBidi" w:cstheme="majorBidi"/>
          <w:color w:val="000000"/>
        </w:rPr>
      </w:pPr>
      <w:r w:rsidRPr="00A35149">
        <w:rPr>
          <w:rFonts w:asciiTheme="majorBidi" w:hAnsiTheme="majorBidi" w:cstheme="majorBidi"/>
          <w:color w:val="000000"/>
        </w:rPr>
        <w:t>GRM approaches</w:t>
      </w:r>
      <w:r w:rsidR="006F2832" w:rsidRPr="00A35149">
        <w:rPr>
          <w:rFonts w:asciiTheme="majorBidi" w:hAnsiTheme="majorBidi" w:cstheme="majorBidi"/>
          <w:color w:val="000000"/>
        </w:rPr>
        <w:t xml:space="preserve"> </w:t>
      </w:r>
      <w:r w:rsidR="00D708F0" w:rsidRPr="00A35149">
        <w:rPr>
          <w:rFonts w:asciiTheme="majorBidi" w:hAnsiTheme="majorBidi" w:cstheme="majorBidi"/>
          <w:color w:val="000000"/>
        </w:rPr>
        <w:t>can</w:t>
      </w:r>
      <w:r w:rsidR="006F2832" w:rsidRPr="00A35149">
        <w:rPr>
          <w:rFonts w:asciiTheme="majorBidi" w:hAnsiTheme="majorBidi" w:cstheme="majorBidi"/>
          <w:color w:val="000000"/>
        </w:rPr>
        <w:t xml:space="preserve"> </w:t>
      </w:r>
      <w:r w:rsidRPr="00A35149">
        <w:rPr>
          <w:rFonts w:asciiTheme="majorBidi" w:hAnsiTheme="majorBidi" w:cstheme="majorBidi"/>
          <w:color w:val="000000"/>
        </w:rPr>
        <w:t>jointly represent</w:t>
      </w:r>
      <w:r w:rsidR="006F2832" w:rsidRPr="00A35149">
        <w:rPr>
          <w:rFonts w:asciiTheme="majorBidi" w:hAnsiTheme="majorBidi" w:cstheme="majorBidi"/>
          <w:color w:val="000000"/>
        </w:rPr>
        <w:t xml:space="preserve"> population genetic structure and cryptic relatedness</w:t>
      </w:r>
      <w:r w:rsidRPr="00A35149">
        <w:rPr>
          <w:rFonts w:asciiTheme="majorBidi" w:hAnsiTheme="majorBidi" w:cstheme="majorBidi"/>
          <w:color w:val="000000"/>
        </w:rPr>
        <w:t xml:space="preserve">, which can </w:t>
      </w:r>
      <w:r w:rsidR="006F2832" w:rsidRPr="00A35149">
        <w:rPr>
          <w:rFonts w:asciiTheme="majorBidi" w:hAnsiTheme="majorBidi" w:cstheme="majorBidi"/>
          <w:color w:val="000000"/>
        </w:rPr>
        <w:t>avoid consequent false positive associations</w:t>
      </w:r>
      <w:r w:rsidRPr="00A35149">
        <w:rPr>
          <w:rFonts w:asciiTheme="majorBidi" w:hAnsiTheme="majorBidi" w:cstheme="majorBidi"/>
          <w:color w:val="000000"/>
        </w:rPr>
        <w:t xml:space="preserve"> in GWAS, within a single dataset</w:t>
      </w:r>
      <w:r w:rsidR="006F2832" w:rsidRPr="00A35149">
        <w:rPr>
          <w:rFonts w:asciiTheme="majorBidi" w:hAnsiTheme="majorBidi" w:cstheme="majorBidi"/>
          <w:color w:val="000000"/>
        </w:rPr>
        <w:t>.</w:t>
      </w:r>
      <w:r w:rsidR="002F78EF" w:rsidRPr="00A35149">
        <w:rPr>
          <w:rFonts w:asciiTheme="majorBidi" w:hAnsiTheme="majorBidi" w:cstheme="majorBidi"/>
          <w:color w:val="000000"/>
        </w:rPr>
        <w:t xml:space="preserve"> </w:t>
      </w:r>
      <w:r w:rsidRPr="00A35149">
        <w:rPr>
          <w:rFonts w:asciiTheme="majorBidi" w:hAnsiTheme="majorBidi" w:cstheme="majorBidi"/>
          <w:color w:val="000000"/>
        </w:rPr>
        <w:t xml:space="preserve">More fine-scaled representations exist in the form of kinship (measuring IBD) and haplotype similarity </w:t>
      </w:r>
      <w:r w:rsidR="00FB7FC8" w:rsidRPr="00A35149">
        <w:rPr>
          <w:rFonts w:asciiTheme="majorBidi" w:hAnsiTheme="majorBidi" w:cstheme="majorBidi"/>
          <w:color w:val="000000"/>
        </w:rPr>
        <w:t xml:space="preserve">(Chromosome Painting) </w:t>
      </w:r>
      <w:r w:rsidR="002F78EF" w:rsidRPr="00A35149">
        <w:rPr>
          <w:rFonts w:asciiTheme="majorBidi" w:hAnsiTheme="majorBidi" w:cstheme="majorBidi"/>
          <w:color w:val="000000"/>
        </w:rPr>
        <w:t>matri</w:t>
      </w:r>
      <w:r w:rsidRPr="00A35149">
        <w:rPr>
          <w:rFonts w:asciiTheme="majorBidi" w:hAnsiTheme="majorBidi" w:cstheme="majorBidi"/>
          <w:color w:val="000000"/>
        </w:rPr>
        <w:t>ces</w:t>
      </w:r>
      <w:r w:rsidR="00FB7FC8" w:rsidRPr="00A35149">
        <w:rPr>
          <w:rFonts w:asciiTheme="majorBidi" w:hAnsiTheme="majorBidi" w:cstheme="majorBidi"/>
          <w:color w:val="000000"/>
        </w:rPr>
        <w:t>, which are scalable</w:t>
      </w:r>
      <w:r w:rsidRPr="00A35149">
        <w:rPr>
          <w:rFonts w:asciiTheme="majorBidi" w:hAnsiTheme="majorBidi" w:cstheme="majorBidi"/>
          <w:color w:val="000000"/>
        </w:rPr>
        <w:t>.</w:t>
      </w:r>
      <w:r w:rsidR="002F78EF" w:rsidRPr="00A35149">
        <w:rPr>
          <w:rFonts w:asciiTheme="majorBidi" w:hAnsiTheme="majorBidi" w:cstheme="majorBidi"/>
          <w:color w:val="000000"/>
        </w:rPr>
        <w:t xml:space="preserve"> </w:t>
      </w:r>
      <w:r w:rsidRPr="00A35149">
        <w:rPr>
          <w:rFonts w:asciiTheme="majorBidi" w:hAnsiTheme="majorBidi" w:cstheme="majorBidi"/>
          <w:color w:val="000000"/>
        </w:rPr>
        <w:t>In all cases these capture</w:t>
      </w:r>
      <w:r w:rsidR="006F2832" w:rsidRPr="00A35149">
        <w:rPr>
          <w:rFonts w:asciiTheme="majorBidi" w:hAnsiTheme="majorBidi" w:cstheme="majorBidi"/>
          <w:color w:val="000000"/>
        </w:rPr>
        <w:t xml:space="preserve"> </w:t>
      </w:r>
      <w:r w:rsidR="002F78EF" w:rsidRPr="00A35149">
        <w:rPr>
          <w:rFonts w:asciiTheme="majorBidi" w:hAnsiTheme="majorBidi" w:cstheme="majorBidi"/>
          <w:color w:val="000000"/>
        </w:rPr>
        <w:t>an</w:t>
      </w:r>
      <w:r w:rsidR="006F2832" w:rsidRPr="00A35149">
        <w:rPr>
          <w:rFonts w:asciiTheme="majorBidi" w:hAnsiTheme="majorBidi" w:cstheme="majorBidi"/>
          <w:color w:val="000000"/>
        </w:rPr>
        <w:t xml:space="preserve"> inherently noisy and hence statistical property. Consequently, further efforts should be made towards the development of more robust tools for remote degrees of relatedness (over 3</w:t>
      </w:r>
      <w:r w:rsidR="006F2832" w:rsidRPr="00A35149">
        <w:rPr>
          <w:rFonts w:asciiTheme="majorBidi" w:hAnsiTheme="majorBidi" w:cstheme="majorBidi"/>
          <w:color w:val="000000"/>
          <w:vertAlign w:val="superscript"/>
        </w:rPr>
        <w:t>rd</w:t>
      </w:r>
      <w:r w:rsidR="006F2832" w:rsidRPr="00A35149">
        <w:rPr>
          <w:rFonts w:asciiTheme="majorBidi" w:hAnsiTheme="majorBidi" w:cstheme="majorBidi"/>
          <w:color w:val="000000"/>
        </w:rPr>
        <w:t xml:space="preserve"> degree) in diverse samples</w:t>
      </w:r>
      <w:r w:rsidR="00FB7FC8" w:rsidRPr="00A35149">
        <w:rPr>
          <w:rFonts w:asciiTheme="majorBidi" w:hAnsiTheme="majorBidi" w:cstheme="majorBidi"/>
          <w:color w:val="000000"/>
        </w:rPr>
        <w:t>, especially in the case of cross-dataset comparison</w:t>
      </w:r>
      <w:r w:rsidR="006F2832" w:rsidRPr="00A35149">
        <w:rPr>
          <w:rFonts w:asciiTheme="majorBidi" w:hAnsiTheme="majorBidi" w:cstheme="majorBidi"/>
          <w:color w:val="000000"/>
        </w:rPr>
        <w:t xml:space="preserve">. </w:t>
      </w:r>
      <w:r w:rsidR="00FB7FC8" w:rsidRPr="00A35149">
        <w:rPr>
          <w:rFonts w:asciiTheme="majorBidi" w:hAnsiTheme="majorBidi" w:cstheme="majorBidi"/>
          <w:color w:val="000000"/>
        </w:rPr>
        <w:t>Studies are needed explore the value of these fine-scale approaches for biobanks.</w:t>
      </w:r>
    </w:p>
    <w:p w14:paraId="2B449A2D" w14:textId="77777777" w:rsidR="00207E3B" w:rsidRPr="00A35149" w:rsidRDefault="00207E3B" w:rsidP="00207E3B">
      <w:pPr>
        <w:rPr>
          <w:rFonts w:asciiTheme="majorBidi" w:hAnsiTheme="majorBidi" w:cstheme="majorBidi"/>
          <w:color w:val="000000"/>
        </w:rPr>
      </w:pPr>
    </w:p>
    <w:p w14:paraId="01DB8219" w14:textId="4A42C154" w:rsidR="00207E3B" w:rsidRPr="00A35149" w:rsidRDefault="00207E3B" w:rsidP="00207E3B">
      <w:pPr>
        <w:rPr>
          <w:rFonts w:asciiTheme="majorBidi" w:hAnsiTheme="majorBidi" w:cstheme="majorBidi"/>
          <w:color w:val="000000"/>
        </w:rPr>
      </w:pPr>
      <w:r w:rsidRPr="00A35149">
        <w:rPr>
          <w:rFonts w:asciiTheme="majorBidi" w:hAnsiTheme="majorBidi" w:cstheme="majorBidi"/>
          <w:color w:val="000000"/>
        </w:rPr>
        <w:tab/>
      </w:r>
      <w:r w:rsidR="0069726C" w:rsidRPr="00A35149">
        <w:rPr>
          <w:rFonts w:asciiTheme="majorBidi" w:hAnsiTheme="majorBidi" w:cstheme="majorBidi"/>
          <w:color w:val="000000"/>
        </w:rPr>
        <w:t>L</w:t>
      </w:r>
      <w:r w:rsidRPr="00A35149">
        <w:rPr>
          <w:rFonts w:asciiTheme="majorBidi" w:hAnsiTheme="majorBidi" w:cstheme="majorBidi"/>
          <w:color w:val="000000"/>
        </w:rPr>
        <w:t>ocal ancestry inference</w:t>
      </w:r>
      <w:r w:rsidR="0069726C" w:rsidRPr="00A35149">
        <w:rPr>
          <w:rFonts w:asciiTheme="majorBidi" w:hAnsiTheme="majorBidi" w:cstheme="majorBidi"/>
          <w:color w:val="000000"/>
        </w:rPr>
        <w:t xml:space="preserve"> tools are still slower, though can be deployed similarly to phasing and imputation should a compelling use case be found. </w:t>
      </w:r>
      <w:r w:rsidRPr="00A35149">
        <w:rPr>
          <w:rFonts w:asciiTheme="majorBidi" w:hAnsiTheme="majorBidi" w:cstheme="majorBidi"/>
          <w:color w:val="000000"/>
        </w:rPr>
        <w:t>Efforts should be made to develop a new approach that addresses the common limitations</w:t>
      </w:r>
      <w:r w:rsidR="0069726C" w:rsidRPr="00A35149">
        <w:rPr>
          <w:rFonts w:asciiTheme="majorBidi" w:hAnsiTheme="majorBidi" w:cstheme="majorBidi"/>
          <w:color w:val="000000"/>
        </w:rPr>
        <w:t>, including a</w:t>
      </w:r>
      <w:r w:rsidRPr="00A35149">
        <w:rPr>
          <w:rFonts w:asciiTheme="majorBidi" w:hAnsiTheme="majorBidi" w:cstheme="majorBidi"/>
          <w:color w:val="000000"/>
        </w:rPr>
        <w:t xml:space="preserve"> requirement of phased data and consequent susceptibility to phasing errors, ability to model LD, and restrictions in terms of number of populations. The local ancestry approach is </w:t>
      </w:r>
      <w:r w:rsidR="00FB7FC8" w:rsidRPr="00A35149">
        <w:rPr>
          <w:rFonts w:asciiTheme="majorBidi" w:hAnsiTheme="majorBidi" w:cstheme="majorBidi"/>
          <w:color w:val="000000"/>
        </w:rPr>
        <w:t>clearly deployable</w:t>
      </w:r>
      <w:r w:rsidRPr="00A35149">
        <w:rPr>
          <w:rFonts w:asciiTheme="majorBidi" w:hAnsiTheme="majorBidi" w:cstheme="majorBidi"/>
          <w:color w:val="000000"/>
        </w:rPr>
        <w:t xml:space="preserve"> when the region of interest </w:t>
      </w:r>
      <w:r w:rsidR="0093323D" w:rsidRPr="00A35149">
        <w:rPr>
          <w:rFonts w:asciiTheme="majorBidi" w:hAnsiTheme="majorBidi" w:cstheme="majorBidi"/>
          <w:color w:val="000000"/>
        </w:rPr>
        <w:t>is</w:t>
      </w:r>
      <w:r w:rsidRPr="00A35149">
        <w:rPr>
          <w:rFonts w:asciiTheme="majorBidi" w:hAnsiTheme="majorBidi" w:cstheme="majorBidi"/>
          <w:color w:val="000000"/>
        </w:rPr>
        <w:t xml:space="preserve"> known</w:t>
      </w:r>
      <w:r w:rsidR="00FB7FC8" w:rsidRPr="00A35149">
        <w:rPr>
          <w:rFonts w:asciiTheme="majorBidi" w:hAnsiTheme="majorBidi" w:cstheme="majorBidi"/>
          <w:color w:val="000000"/>
        </w:rPr>
        <w:t>. I</w:t>
      </w:r>
      <w:r w:rsidRPr="00A35149">
        <w:rPr>
          <w:rFonts w:asciiTheme="majorBidi" w:hAnsiTheme="majorBidi" w:cstheme="majorBidi"/>
          <w:color w:val="000000"/>
        </w:rPr>
        <w:t xml:space="preserve">t may be useful to group the ancestral </w:t>
      </w:r>
      <w:r w:rsidRPr="00A35149">
        <w:rPr>
          <w:rFonts w:asciiTheme="majorBidi" w:hAnsiTheme="majorBidi" w:cstheme="majorBidi"/>
          <w:color w:val="000000"/>
        </w:rPr>
        <w:lastRenderedPageBreak/>
        <w:t>populations by geographic region as a way of compromising between accuracy and power considerations.</w:t>
      </w:r>
      <w:r w:rsidR="00386BF9" w:rsidRPr="00A35149">
        <w:rPr>
          <w:rFonts w:asciiTheme="majorBidi" w:hAnsiTheme="majorBidi" w:cstheme="majorBidi"/>
          <w:color w:val="000000"/>
        </w:rPr>
        <w:t xml:space="preserve"> Correctly deployed, local ancestry could correct for local genetic correlations in a way that is much more powerful than simple correlations as captured by LD, though the value for association studies is yet to be determined.</w:t>
      </w:r>
    </w:p>
    <w:p w14:paraId="5D1AB313" w14:textId="46505A21" w:rsidR="00207E3B" w:rsidRPr="00A35149" w:rsidRDefault="00207E3B" w:rsidP="00207E3B">
      <w:pPr>
        <w:rPr>
          <w:rFonts w:asciiTheme="majorBidi" w:hAnsiTheme="majorBidi" w:cstheme="majorBidi"/>
          <w:color w:val="000000"/>
        </w:rPr>
      </w:pPr>
    </w:p>
    <w:p w14:paraId="43A1306D" w14:textId="67BC4419" w:rsidR="00D708F0" w:rsidRPr="00A35149" w:rsidRDefault="00D708F0" w:rsidP="00D708F0">
      <w:pPr>
        <w:ind w:firstLine="720"/>
        <w:rPr>
          <w:rFonts w:asciiTheme="majorBidi" w:hAnsiTheme="majorBidi" w:cstheme="majorBidi"/>
          <w:color w:val="000000"/>
        </w:rPr>
      </w:pPr>
      <w:r w:rsidRPr="00A35149">
        <w:rPr>
          <w:rFonts w:asciiTheme="majorBidi" w:hAnsiTheme="majorBidi" w:cstheme="majorBidi"/>
          <w:color w:val="000000"/>
        </w:rPr>
        <w:t>Furthermore, the rise of paleogenomic medicine and rapid accumulation of ancient genomes have already shed light on several conditions (</w:t>
      </w:r>
      <w:r w:rsidR="00CE384A" w:rsidRPr="00A35149">
        <w:rPr>
          <w:rFonts w:asciiTheme="majorBidi" w:hAnsiTheme="majorBidi" w:cstheme="majorBidi"/>
          <w:color w:val="000000"/>
        </w:rPr>
        <w:t>e.g.,</w:t>
      </w:r>
      <w:r w:rsidR="009E234A" w:rsidRPr="00A35149">
        <w:rPr>
          <w:rFonts w:asciiTheme="majorBidi" w:hAnsiTheme="majorBidi" w:cstheme="majorBidi"/>
          <w:color w:val="000000"/>
        </w:rPr>
        <w:t xml:space="preserve"> </w:t>
      </w:r>
      <w:r w:rsidR="009E234A" w:rsidRPr="00A35149">
        <w:rPr>
          <w:rFonts w:asciiTheme="majorBidi" w:hAnsiTheme="majorBidi" w:cstheme="majorBidi"/>
          <w:color w:val="4472C4" w:themeColor="accent1"/>
        </w:rPr>
        <w:fldChar w:fldCharType="begin" w:fldLock="1"/>
      </w:r>
      <w:r w:rsidR="00AD369E" w:rsidRPr="00A35149">
        <w:rPr>
          <w:rFonts w:asciiTheme="majorBidi" w:hAnsiTheme="majorBidi" w:cstheme="majorBidi"/>
          <w:color w:val="4472C4" w:themeColor="accent1"/>
        </w:rPr>
        <w:instrText>ADDIN CSL_CITATION {"citationItems":[{"id":"ITEM-1","itemData":{"DOI":"10.1073/pnas.1518445113","ISSN":"10916490","abstract":"The Neolithic and Bronze Age transitions were profound cultural shifts catalyzed in parts of Europe by migrations, first of early farmers from the Near East and then Bronze Age herders from the Pontic Steppe. However, a decades-long, unresolved controversy is whether population change or cultural adoption occurred at the Atlantic edge, within the British Isles. We address this issue by using the first whole genome data from prehistoric Irish individuals. A Neolithic woman (3343-3020 cal BC) from a megalithic burial (10.3× coverage) possessed a genome of predominantly Near Eastern origin. She had some hunter-gatherer ancestry but belonged to a population of large effective size, suggesting a substantial influx of early farmers to the island. Three Bronze Age individuals from Rathlin Island (2026-1534 cal BC), including one high coverage (10.5×) genome, showed substantial Steppe genetic heritage indicating that the European population upheavals of the third millennium manifested all of the way from southern Siberia to the western ocean. This turnover invites the possibility of accompanying introduction of Indo-European, perhaps early Celtic, language. Irish Bronze Age haplotypic similarity is strongest within modern Irish, Scottish, and Welsh populations, and several important genetic variants that today show maximal or very high frequencies in Ireland appear at this horizon. These include those coding for lactase persistence, blue eye color, Y chromosome R1b haplotypes, and the hemochromatosis C282Y allele; to our knowledge, the first detection of a known Mendelian disease variant in prehistory. These findings together suggest the establishment of central attributes of the Irish genome 4,000 y ago.","author":[{"dropping-particle":"","family":"Cassidy","given":"Lara M.","non-dropping-particle":"","parse-names":false,"suffix":""},{"dropping-particle":"","family":"Martiniano","given":"Rui","non-dropping-particle":"","parse-names":false,"suffix":""},{"dropping-particle":"","family":"Murphy","given":"Eileen M.","non-dropping-particle":"","parse-names":false,"suffix":""},{"dropping-particle":"","family":"Teasdale","given":"Matthew D.","non-dropping-particle":"","parse-names":false,"suffix":""},{"dropping-particle":"","family":"Mallory","given":"James","non-dropping-particle":"","parse-names":false,"suffix":""},{"dropping-particle":"","family":"Hartwell","given":"Barrie","non-dropping-particle":"","parse-names":false,"suffix":""},{"dropping-particle":"","family":"Bradley","given":"Daniel G.","non-dropping-particle":"","parse-names":false,"suffix":""}],"container-title":"Proceedings of the National Academy of Sciences of the United States of America","id":"ITEM-1","issue":"2","issued":{"date-parts":[["2016"]]},"page":"368-373","title":"Neolithic and Bronze Age migration to Ireland and establishment of the insular atlantic genome","type":"article-journal","volume":"113"},"uris":["http://www.mendeley.com/documents/?uuid=936fc828-7d4a-400d-96df-c56b6bd2e484"]}],"mendeley":{"formattedCitation":"(Cassidy &lt;i&gt;et al.&lt;/i&gt;, 2016)","plainTextFormattedCitation":"(Cassidy et al., 2016)","previouslyFormattedCitation":"(Cassidy &lt;i&gt;et al.&lt;/i&gt;, 2016)"},"properties":{"noteIndex":0},"schema":"https://github.com/citation-style-language/schema/raw/master/csl-citation.json"}</w:instrText>
      </w:r>
      <w:r w:rsidR="009E234A" w:rsidRPr="00A35149">
        <w:rPr>
          <w:rFonts w:asciiTheme="majorBidi" w:hAnsiTheme="majorBidi" w:cstheme="majorBidi"/>
          <w:color w:val="4472C4" w:themeColor="accent1"/>
        </w:rPr>
        <w:fldChar w:fldCharType="separate"/>
      </w:r>
      <w:r w:rsidR="009E234A" w:rsidRPr="00A35149">
        <w:rPr>
          <w:rFonts w:asciiTheme="majorBidi" w:hAnsiTheme="majorBidi" w:cstheme="majorBidi"/>
          <w:noProof/>
          <w:color w:val="4472C4" w:themeColor="accent1"/>
        </w:rPr>
        <w:t xml:space="preserve">(Cassidy </w:t>
      </w:r>
      <w:r w:rsidR="009E234A" w:rsidRPr="00A35149">
        <w:rPr>
          <w:rFonts w:asciiTheme="majorBidi" w:hAnsiTheme="majorBidi" w:cstheme="majorBidi"/>
          <w:i/>
          <w:noProof/>
          <w:color w:val="4472C4" w:themeColor="accent1"/>
        </w:rPr>
        <w:t>et al.</w:t>
      </w:r>
      <w:r w:rsidR="009E234A" w:rsidRPr="00A35149">
        <w:rPr>
          <w:rFonts w:asciiTheme="majorBidi" w:hAnsiTheme="majorBidi" w:cstheme="majorBidi"/>
          <w:noProof/>
          <w:color w:val="4472C4" w:themeColor="accent1"/>
        </w:rPr>
        <w:t>, 2016)</w:t>
      </w:r>
      <w:r w:rsidR="009E234A" w:rsidRPr="00A35149">
        <w:rPr>
          <w:rFonts w:asciiTheme="majorBidi" w:hAnsiTheme="majorBidi" w:cstheme="majorBidi"/>
          <w:color w:val="4472C4" w:themeColor="accent1"/>
        </w:rPr>
        <w:fldChar w:fldCharType="end"/>
      </w:r>
      <w:r w:rsidR="00CE384A" w:rsidRPr="00A35149">
        <w:rPr>
          <w:rFonts w:asciiTheme="majorBidi" w:hAnsiTheme="majorBidi" w:cstheme="majorBidi"/>
          <w:color w:val="000000"/>
        </w:rPr>
        <w:t xml:space="preserve"> </w:t>
      </w:r>
      <w:r w:rsidRPr="00A35149">
        <w:rPr>
          <w:rFonts w:asciiTheme="majorBidi" w:hAnsiTheme="majorBidi" w:cstheme="majorBidi"/>
          <w:color w:val="000000"/>
        </w:rPr>
        <w:t xml:space="preserve">also requires the development of specialised kinship inference software that are capable of handling ancient DNA. At the moment, </w:t>
      </w:r>
      <w:r w:rsidR="00CE384A" w:rsidRPr="00A35149">
        <w:rPr>
          <w:rFonts w:asciiTheme="majorBidi" w:hAnsiTheme="majorBidi" w:cstheme="majorBidi"/>
          <w:color w:val="000000"/>
        </w:rPr>
        <w:t xml:space="preserve">however </w:t>
      </w:r>
      <w:r w:rsidRPr="00A35149">
        <w:rPr>
          <w:rFonts w:asciiTheme="majorBidi" w:hAnsiTheme="majorBidi" w:cstheme="majorBidi"/>
          <w:color w:val="000000"/>
        </w:rPr>
        <w:t>most current methods rely on diploid genotype data making them ineffective when handling ancient DNA. </w:t>
      </w:r>
    </w:p>
    <w:p w14:paraId="139E86AC" w14:textId="77777777" w:rsidR="00D708F0" w:rsidRPr="00A35149" w:rsidRDefault="00D708F0" w:rsidP="00207E3B">
      <w:pPr>
        <w:rPr>
          <w:rFonts w:asciiTheme="majorBidi" w:hAnsiTheme="majorBidi" w:cstheme="majorBidi"/>
          <w:color w:val="000000"/>
        </w:rPr>
      </w:pPr>
    </w:p>
    <w:p w14:paraId="50DCA5EE" w14:textId="476D50B8" w:rsidR="00207E3B" w:rsidRPr="00A35149" w:rsidRDefault="00207E3B" w:rsidP="00207E3B">
      <w:pPr>
        <w:ind w:firstLine="720"/>
        <w:rPr>
          <w:rFonts w:asciiTheme="majorBidi" w:hAnsiTheme="majorBidi" w:cstheme="majorBidi"/>
          <w:color w:val="000000"/>
        </w:rPr>
      </w:pPr>
      <w:r w:rsidRPr="00A35149">
        <w:rPr>
          <w:rFonts w:asciiTheme="majorBidi" w:hAnsiTheme="majorBidi" w:cstheme="majorBidi"/>
          <w:color w:val="000000"/>
        </w:rPr>
        <w:t>With rapid advances in technology and the dense amount of genetic variation data available, we can continue to expect development of new inference software and enhancements of existing ones. For example, there is much scope for improved modelling of LD to reduce error rates and improve ability to detect subtle population structure. However, a challenge for the future will be to develop inference methods that are computationally efficient and applicable to large sample sizes, whilst being able to fully exploit the rich information available in the form of haplotypes. There is also currently a lack of representation of non-European populations in genetic studies, and unless populations of diverse ancestries are included therefore incorporating a more equal knowledge of genetic variation across ancestry groups, it could contribute further to health disparities and negatively impact genomic interpretation.</w:t>
      </w:r>
      <w:r w:rsidRPr="00A35149">
        <w:rPr>
          <w:rFonts w:asciiTheme="majorBidi" w:hAnsiTheme="majorBidi" w:cstheme="majorBidi"/>
          <w:b/>
          <w:bCs/>
          <w:color w:val="000000"/>
        </w:rPr>
        <w:t xml:space="preserve"> </w:t>
      </w:r>
      <w:r w:rsidRPr="00A35149">
        <w:rPr>
          <w:rFonts w:asciiTheme="majorBidi" w:hAnsiTheme="majorBidi" w:cstheme="majorBidi"/>
          <w:color w:val="000000"/>
        </w:rPr>
        <w:t xml:space="preserve">Efforts should therefore be made to include data from more diverse populations in GWAS and develop robust population structure models that can reduce or eliminate the </w:t>
      </w:r>
      <w:r w:rsidRPr="00A35149">
        <w:rPr>
          <w:rFonts w:asciiTheme="majorBidi" w:hAnsiTheme="majorBidi" w:cstheme="majorBidi"/>
          <w:i/>
          <w:iCs/>
          <w:color w:val="000000"/>
        </w:rPr>
        <w:t xml:space="preserve">stratification bias </w:t>
      </w:r>
      <w:r w:rsidRPr="00A35149">
        <w:rPr>
          <w:rFonts w:asciiTheme="majorBidi" w:hAnsiTheme="majorBidi" w:cstheme="majorBidi"/>
          <w:color w:val="000000"/>
        </w:rPr>
        <w:t xml:space="preserve">from the cohort. </w:t>
      </w:r>
      <w:r w:rsidR="007E5D3E" w:rsidRPr="00A35149">
        <w:rPr>
          <w:rFonts w:asciiTheme="majorBidi" w:hAnsiTheme="majorBidi" w:cstheme="majorBidi"/>
          <w:color w:val="000000"/>
        </w:rPr>
        <w:t xml:space="preserve">Not only this, but biobanks must begin to incorporate individual level genetic annotations that are comparable, computable, and compatible across datasets. </w:t>
      </w:r>
      <w:r w:rsidRPr="00A35149">
        <w:rPr>
          <w:rFonts w:asciiTheme="majorBidi" w:hAnsiTheme="majorBidi" w:cstheme="majorBidi"/>
          <w:color w:val="000000"/>
        </w:rPr>
        <w:t>Clinicians must also be properly trained to understand their output so that they can make an informed decision as to whether or not a genetic variant may be causative or whether the association is likely the result of population stratification.</w:t>
      </w:r>
    </w:p>
    <w:p w14:paraId="3BD676B9" w14:textId="77777777" w:rsidR="00207E3B" w:rsidRPr="00A35149" w:rsidRDefault="00207E3B" w:rsidP="00207E3B">
      <w:pPr>
        <w:rPr>
          <w:rFonts w:asciiTheme="majorBidi" w:hAnsiTheme="majorBidi" w:cstheme="majorBidi"/>
          <w:color w:val="000000"/>
        </w:rPr>
      </w:pPr>
    </w:p>
    <w:p w14:paraId="2D957A30" w14:textId="565AFFC8" w:rsidR="00207E3B" w:rsidRPr="00A35149" w:rsidRDefault="00207E3B" w:rsidP="00207E3B">
      <w:pPr>
        <w:ind w:firstLine="720"/>
        <w:rPr>
          <w:rFonts w:asciiTheme="majorBidi" w:hAnsiTheme="majorBidi" w:cstheme="majorBidi"/>
          <w:color w:val="000000"/>
        </w:rPr>
      </w:pPr>
      <w:r w:rsidRPr="00A35149">
        <w:rPr>
          <w:rFonts w:asciiTheme="majorBidi" w:hAnsiTheme="majorBidi" w:cstheme="majorBidi"/>
          <w:color w:val="000000"/>
        </w:rPr>
        <w:t xml:space="preserve">Overall, with increased availability of large genomic datasets, a more equal representation of genetic variation across ancestry groups, continued improvement and development of genetic inference software, population structure inference will occur with finite detail and more effectively distinguish between closely related populations, </w:t>
      </w:r>
      <w:r w:rsidR="00C30D4C" w:rsidRPr="00A35149">
        <w:rPr>
          <w:rFonts w:asciiTheme="majorBidi" w:hAnsiTheme="majorBidi" w:cstheme="majorBidi"/>
          <w:color w:val="000000"/>
        </w:rPr>
        <w:t>in turn allowing for individual-level genetic annotations to be incorporated in biobanks and increasing the accuracy of association analyses.</w:t>
      </w:r>
    </w:p>
    <w:p w14:paraId="7C138886" w14:textId="77777777" w:rsidR="00886DAA" w:rsidRPr="00A35149" w:rsidRDefault="00886DAA" w:rsidP="00207E3B">
      <w:pPr>
        <w:ind w:firstLine="720"/>
        <w:rPr>
          <w:rFonts w:asciiTheme="majorBidi" w:hAnsiTheme="majorBidi" w:cstheme="majorBidi"/>
          <w:color w:val="000000"/>
        </w:rPr>
      </w:pPr>
    </w:p>
    <w:p w14:paraId="53215B48" w14:textId="46CD9371" w:rsidR="00012EE1" w:rsidRPr="00A35149" w:rsidRDefault="00AF119A" w:rsidP="00AF119A">
      <w:pPr>
        <w:widowControl w:val="0"/>
        <w:rPr>
          <w:rFonts w:asciiTheme="majorBidi" w:hAnsiTheme="majorBidi" w:cstheme="majorBidi"/>
        </w:rPr>
      </w:pPr>
      <w:r w:rsidRPr="00A35149">
        <w:rPr>
          <w:rFonts w:asciiTheme="majorBidi" w:hAnsiTheme="majorBidi" w:cstheme="majorBidi"/>
        </w:rPr>
        <w:t xml:space="preserve">            In summary, </w:t>
      </w:r>
      <w:r w:rsidR="00ED7886" w:rsidRPr="00A35149">
        <w:rPr>
          <w:rFonts w:asciiTheme="majorBidi" w:hAnsiTheme="majorBidi" w:cstheme="majorBidi"/>
        </w:rPr>
        <w:t xml:space="preserve">we have identified a gap in the literature concerning the design and standardization of biobanks. </w:t>
      </w:r>
      <w:r w:rsidR="0037654E" w:rsidRPr="00A35149">
        <w:rPr>
          <w:rFonts w:asciiTheme="majorBidi" w:hAnsiTheme="majorBidi" w:cstheme="majorBidi"/>
        </w:rPr>
        <w:t xml:space="preserve">Started as </w:t>
      </w:r>
      <w:r w:rsidR="00ED7886" w:rsidRPr="00A35149">
        <w:rPr>
          <w:rFonts w:asciiTheme="majorBidi" w:hAnsiTheme="majorBidi" w:cstheme="majorBidi"/>
        </w:rPr>
        <w:t xml:space="preserve">localized initiatives, the progress in sequencing technologies sparred the rapid growth of biobanks in size, diversity, and geography, although conceptually they are still thought of as local datasets. This perception limits the usefulness of biobanks and prevents banking on their resources in joint analyses. To overcome this limitation, </w:t>
      </w:r>
      <w:r w:rsidR="00A10183" w:rsidRPr="00A35149">
        <w:rPr>
          <w:rFonts w:asciiTheme="majorBidi" w:hAnsiTheme="majorBidi" w:cstheme="majorBidi"/>
        </w:rPr>
        <w:t xml:space="preserve">it is critical to develop a holistic solution to the problem of population structure. Current </w:t>
      </w:r>
      <w:r w:rsidRPr="00A35149">
        <w:rPr>
          <w:rFonts w:asciiTheme="majorBidi" w:hAnsiTheme="majorBidi" w:cstheme="majorBidi"/>
        </w:rPr>
        <w:t xml:space="preserve">strategies implemented in the various tools aim to expose different aspects of the data by ubiquitously mapping the ancestry of individuals, though none could be used as a complete solution to ancestry. One unsolved challenge is to create representations that are useful for meta-analysis without sharing individual-level data. Natural summaries of PCA or admixtures can be created from means and variances, but it is an open question to establish whether these are sufficiently accurate and whether alternative representations can protect privacy whilst maximising research benefits. PCA’s accuracy, in specific, has been challenged by several groups. Yet other tools also suffer from limitations related either to their design, which affect </w:t>
      </w:r>
      <w:r w:rsidRPr="00A35149">
        <w:rPr>
          <w:rFonts w:asciiTheme="majorBidi" w:hAnsiTheme="majorBidi" w:cstheme="majorBidi"/>
        </w:rPr>
        <w:lastRenderedPageBreak/>
        <w:t xml:space="preserve">their speed and accuracy or their basic assumptions concerning human populations, which, in turn, affect the usefulness of their output to the population genetics. These shortcomings, often unacknowledged, limit our ability to interpret the results and increase the burden of evidence when using these tools. Further efforts should be made to explore the limitations of these tools and optimal usage on global and massive datasets as well as to divide new approaches that overcome the most common limitations of running time, identification of admixture, and high specificity among human populations. </w:t>
      </w:r>
    </w:p>
    <w:p w14:paraId="5BB04E96" w14:textId="5D02E53E" w:rsidR="00AF119A" w:rsidRPr="00A35149" w:rsidRDefault="00AF119A" w:rsidP="00AF119A">
      <w:pPr>
        <w:widowControl w:val="0"/>
        <w:rPr>
          <w:rFonts w:asciiTheme="majorBidi" w:hAnsiTheme="majorBidi" w:cstheme="majorBidi"/>
        </w:rPr>
      </w:pPr>
    </w:p>
    <w:p w14:paraId="512D8E13" w14:textId="3EF8A847" w:rsidR="00AF119A" w:rsidRPr="00A35149" w:rsidRDefault="005F285C">
      <w:pPr>
        <w:ind w:firstLine="720"/>
        <w:rPr>
          <w:rFonts w:asciiTheme="majorBidi" w:hAnsiTheme="majorBidi" w:cstheme="majorBidi"/>
          <w:color w:val="000000"/>
        </w:rPr>
      </w:pPr>
      <w:r w:rsidRPr="00A35149">
        <w:rPr>
          <w:rFonts w:asciiTheme="majorBidi" w:hAnsiTheme="majorBidi" w:cstheme="majorBidi"/>
          <w:color w:val="000000"/>
        </w:rPr>
        <w:t xml:space="preserve">We end this review with five </w:t>
      </w:r>
      <w:r w:rsidR="00012EE1" w:rsidRPr="00A35149">
        <w:rPr>
          <w:rFonts w:asciiTheme="majorBidi" w:hAnsiTheme="majorBidi" w:cstheme="majorBidi"/>
          <w:color w:val="000000"/>
        </w:rPr>
        <w:t>take-away messages</w:t>
      </w:r>
      <w:r w:rsidRPr="00A35149">
        <w:rPr>
          <w:rFonts w:asciiTheme="majorBidi" w:hAnsiTheme="majorBidi" w:cstheme="majorBidi"/>
          <w:color w:val="000000"/>
        </w:rPr>
        <w:t xml:space="preserve">: </w:t>
      </w:r>
      <w:r w:rsidR="00012EE1" w:rsidRPr="00A35149">
        <w:rPr>
          <w:rFonts w:asciiTheme="majorBidi" w:hAnsiTheme="majorBidi" w:cstheme="majorBidi"/>
          <w:color w:val="000000"/>
        </w:rPr>
        <w:t xml:space="preserve">Firstly, more diverse data </w:t>
      </w:r>
      <w:r w:rsidRPr="00A35149">
        <w:rPr>
          <w:rFonts w:asciiTheme="majorBidi" w:hAnsiTheme="majorBidi" w:cstheme="majorBidi"/>
          <w:color w:val="000000"/>
        </w:rPr>
        <w:t xml:space="preserve">are </w:t>
      </w:r>
      <w:r w:rsidR="00012EE1" w:rsidRPr="00A35149">
        <w:rPr>
          <w:rFonts w:asciiTheme="majorBidi" w:hAnsiTheme="majorBidi" w:cstheme="majorBidi"/>
          <w:color w:val="000000"/>
        </w:rPr>
        <w:t xml:space="preserve">needed, worldwide, both from populous populations who will benefit from inclusion in datasets </w:t>
      </w:r>
      <w:proofErr w:type="spellStart"/>
      <w:r w:rsidR="00012EE1" w:rsidRPr="00A35149">
        <w:rPr>
          <w:rFonts w:asciiTheme="majorBidi" w:hAnsiTheme="majorBidi" w:cstheme="majorBidi"/>
          <w:i/>
          <w:iCs/>
          <w:color w:val="000000"/>
        </w:rPr>
        <w:t>en</w:t>
      </w:r>
      <w:proofErr w:type="spellEnd"/>
      <w:r w:rsidRPr="00A35149">
        <w:rPr>
          <w:rFonts w:asciiTheme="majorBidi" w:hAnsiTheme="majorBidi" w:cstheme="majorBidi"/>
          <w:i/>
          <w:iCs/>
          <w:color w:val="000000"/>
        </w:rPr>
        <w:t xml:space="preserve"> </w:t>
      </w:r>
      <w:r w:rsidR="00012EE1" w:rsidRPr="00A35149">
        <w:rPr>
          <w:rFonts w:asciiTheme="majorBidi" w:hAnsiTheme="majorBidi" w:cstheme="majorBidi"/>
          <w:i/>
          <w:iCs/>
          <w:color w:val="000000"/>
        </w:rPr>
        <w:t>mass</w:t>
      </w:r>
      <w:r w:rsidR="0037654E" w:rsidRPr="00A35149">
        <w:rPr>
          <w:rFonts w:asciiTheme="majorBidi" w:hAnsiTheme="majorBidi" w:cstheme="majorBidi"/>
          <w:i/>
          <w:iCs/>
          <w:color w:val="000000"/>
        </w:rPr>
        <w:t>e</w:t>
      </w:r>
      <w:r w:rsidR="00012EE1" w:rsidRPr="00A35149">
        <w:rPr>
          <w:rFonts w:asciiTheme="majorBidi" w:hAnsiTheme="majorBidi" w:cstheme="majorBidi"/>
          <w:color w:val="000000"/>
        </w:rPr>
        <w:t xml:space="preserve"> as well as pockets of genetic diversity that may shed light on biological processes that would otherwise remain undiscovered. Secondly, the methodology to interpret and harmonise results from diverse datasets is not ready. Thirdly, the main barrier is in the creation of sharable and comparable summary statistics from diverse data. Fourthly, these summary datasets should be carefully designed to allow effective association correction, as well as meta-analysis, which we argue requires placing the genetics into some type of model. Finally, clinicians, geneticists and epidemiological researchers will all have to learn how to exploit the information that comes from the genomic diversity revolution, when it comes.</w:t>
      </w:r>
    </w:p>
    <w:p w14:paraId="4F6A5AA0" w14:textId="3E237A5A" w:rsidR="00CD040D" w:rsidRPr="00A35149" w:rsidRDefault="00CD040D" w:rsidP="00CD040D">
      <w:pPr>
        <w:ind w:firstLine="720"/>
        <w:rPr>
          <w:rFonts w:asciiTheme="majorBidi" w:hAnsiTheme="majorBidi" w:cstheme="majorBidi"/>
          <w:color w:val="000000"/>
        </w:rPr>
      </w:pPr>
    </w:p>
    <w:p w14:paraId="55BCA8D1" w14:textId="29996C9E" w:rsidR="00CD040D" w:rsidRPr="00A35149" w:rsidRDefault="00CD040D" w:rsidP="00CD040D">
      <w:pPr>
        <w:ind w:firstLine="720"/>
        <w:rPr>
          <w:rFonts w:asciiTheme="majorBidi" w:hAnsiTheme="majorBidi" w:cstheme="majorBidi"/>
          <w:color w:val="000000"/>
        </w:rPr>
      </w:pPr>
      <w:r w:rsidRPr="00A35149">
        <w:rPr>
          <w:rFonts w:asciiTheme="majorBidi" w:hAnsiTheme="majorBidi" w:cstheme="majorBidi"/>
          <w:color w:val="000000"/>
        </w:rPr>
        <w:t>As this review is written at the heat of the COVID-19 pandemic and biobank data are internationally shared to improve diagnosis and treatment outcome, practically transforming our vision of international biobanks into reality, we hope that the our study would serve to improve the accuracy, reliability, and replicability of association studies and biobanks.</w:t>
      </w:r>
    </w:p>
    <w:p w14:paraId="0000033B" w14:textId="07B6B810" w:rsidR="007F6EEB" w:rsidRPr="00A35149" w:rsidRDefault="007F6EEB">
      <w:pPr>
        <w:widowControl w:val="0"/>
        <w:spacing w:before="240"/>
        <w:rPr>
          <w:rFonts w:asciiTheme="majorBidi" w:hAnsiTheme="majorBidi" w:cstheme="majorBidi"/>
          <w:b/>
          <w:sz w:val="28"/>
          <w:szCs w:val="28"/>
        </w:rPr>
      </w:pPr>
    </w:p>
    <w:p w14:paraId="0000034A" w14:textId="77777777" w:rsidR="007F6EEB" w:rsidRPr="00A35149" w:rsidRDefault="00430C7C">
      <w:pPr>
        <w:widowControl w:val="0"/>
        <w:spacing w:before="240"/>
        <w:rPr>
          <w:rFonts w:asciiTheme="majorBidi" w:hAnsiTheme="majorBidi" w:cstheme="majorBidi"/>
          <w:bCs/>
          <w:color w:val="4472C4" w:themeColor="accent1"/>
          <w:sz w:val="28"/>
          <w:szCs w:val="28"/>
        </w:rPr>
      </w:pPr>
      <w:r w:rsidRPr="00A35149">
        <w:rPr>
          <w:rFonts w:asciiTheme="majorBidi" w:hAnsiTheme="majorBidi" w:cstheme="majorBidi"/>
          <w:bCs/>
          <w:color w:val="4472C4" w:themeColor="accent1"/>
          <w:sz w:val="28"/>
          <w:szCs w:val="28"/>
        </w:rPr>
        <w:t>COMPETING INTERESTS</w:t>
      </w:r>
    </w:p>
    <w:p w14:paraId="0000034B"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000034C"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EE is consultant to DNA Diagnostic Centre.</w:t>
      </w:r>
    </w:p>
    <w:p w14:paraId="0000034D"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000034E" w14:textId="77777777" w:rsidR="007F6EEB" w:rsidRPr="00A35149" w:rsidRDefault="00430C7C">
      <w:pPr>
        <w:widowControl w:val="0"/>
        <w:spacing w:before="240"/>
        <w:rPr>
          <w:rFonts w:asciiTheme="majorBidi" w:hAnsiTheme="majorBidi" w:cstheme="majorBidi"/>
          <w:bCs/>
          <w:color w:val="4472C4" w:themeColor="accent1"/>
          <w:sz w:val="28"/>
          <w:szCs w:val="28"/>
        </w:rPr>
      </w:pPr>
      <w:r w:rsidRPr="00A35149">
        <w:rPr>
          <w:rFonts w:asciiTheme="majorBidi" w:hAnsiTheme="majorBidi" w:cstheme="majorBidi"/>
          <w:bCs/>
          <w:color w:val="4472C4" w:themeColor="accent1"/>
          <w:sz w:val="28"/>
          <w:szCs w:val="28"/>
        </w:rPr>
        <w:t>AUTHORS’ CONTRIBUTIONS</w:t>
      </w:r>
    </w:p>
    <w:p w14:paraId="0000034F" w14:textId="77777777"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0000350" w14:textId="63B9E41D"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EE initiated the study. HC did the </w:t>
      </w:r>
      <w:r w:rsidR="00203F39" w:rsidRPr="00A35149">
        <w:rPr>
          <w:rFonts w:asciiTheme="majorBidi" w:hAnsiTheme="majorBidi" w:cstheme="majorBidi"/>
        </w:rPr>
        <w:t>research</w:t>
      </w:r>
      <w:r w:rsidRPr="00A35149">
        <w:rPr>
          <w:rFonts w:asciiTheme="majorBidi" w:hAnsiTheme="majorBidi" w:cstheme="majorBidi"/>
        </w:rPr>
        <w:t>. HC</w:t>
      </w:r>
      <w:r w:rsidR="00334D34" w:rsidRPr="00A35149">
        <w:rPr>
          <w:rFonts w:asciiTheme="majorBidi" w:hAnsiTheme="majorBidi" w:cstheme="majorBidi"/>
        </w:rPr>
        <w:t>, DL</w:t>
      </w:r>
      <w:r w:rsidRPr="00A35149">
        <w:rPr>
          <w:rFonts w:asciiTheme="majorBidi" w:hAnsiTheme="majorBidi" w:cstheme="majorBidi"/>
        </w:rPr>
        <w:t xml:space="preserve"> and EE wrote the paper.</w:t>
      </w:r>
    </w:p>
    <w:p w14:paraId="00000351" w14:textId="13017582" w:rsidR="007F6EEB"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0988432B" w14:textId="3497E327" w:rsidR="00CF71E8" w:rsidRPr="00A35149" w:rsidRDefault="00CF71E8" w:rsidP="00CF71E8">
      <w:pPr>
        <w:widowControl w:val="0"/>
        <w:spacing w:before="240"/>
        <w:rPr>
          <w:rFonts w:asciiTheme="majorBidi" w:hAnsiTheme="majorBidi" w:cstheme="majorBidi"/>
          <w:bCs/>
          <w:color w:val="4472C4" w:themeColor="accent1"/>
          <w:sz w:val="28"/>
          <w:szCs w:val="28"/>
        </w:rPr>
      </w:pPr>
      <w:r w:rsidRPr="00A35149">
        <w:rPr>
          <w:rFonts w:asciiTheme="majorBidi" w:hAnsiTheme="majorBidi" w:cstheme="majorBidi"/>
          <w:bCs/>
          <w:color w:val="4472C4" w:themeColor="accent1"/>
          <w:sz w:val="28"/>
          <w:szCs w:val="28"/>
        </w:rPr>
        <w:t>ACKNOWLEDGEMENTS</w:t>
      </w:r>
    </w:p>
    <w:p w14:paraId="3ABCFDCE" w14:textId="77777777" w:rsidR="00476887" w:rsidRPr="00A35149" w:rsidRDefault="00476887">
      <w:pPr>
        <w:widowControl w:val="0"/>
        <w:rPr>
          <w:rFonts w:asciiTheme="majorBidi" w:hAnsiTheme="majorBidi" w:cstheme="majorBidi"/>
        </w:rPr>
      </w:pPr>
    </w:p>
    <w:p w14:paraId="3A05BF4A" w14:textId="49220F97" w:rsidR="00CF71E8" w:rsidRPr="00A35149" w:rsidRDefault="00CF71E8">
      <w:pPr>
        <w:widowControl w:val="0"/>
        <w:rPr>
          <w:rFonts w:asciiTheme="majorBidi" w:hAnsiTheme="majorBidi" w:cstheme="majorBidi"/>
        </w:rPr>
      </w:pPr>
      <w:r w:rsidRPr="00A35149">
        <w:rPr>
          <w:rFonts w:asciiTheme="majorBidi" w:hAnsiTheme="majorBidi" w:cstheme="majorBidi"/>
        </w:rPr>
        <w:t>This work was partially supported by the MRC (MR/R025126/1) to EE.</w:t>
      </w:r>
    </w:p>
    <w:p w14:paraId="32075A45" w14:textId="2D8236C4" w:rsidR="00072C0D" w:rsidRPr="00A35149" w:rsidRDefault="00430C7C">
      <w:pPr>
        <w:widowControl w:val="0"/>
        <w:rPr>
          <w:rFonts w:asciiTheme="majorBidi" w:hAnsiTheme="majorBidi" w:cstheme="majorBidi"/>
        </w:rPr>
      </w:pPr>
      <w:r w:rsidRPr="00A35149">
        <w:rPr>
          <w:rFonts w:asciiTheme="majorBidi" w:hAnsiTheme="majorBidi" w:cstheme="majorBidi"/>
        </w:rPr>
        <w:t xml:space="preserve"> </w:t>
      </w:r>
    </w:p>
    <w:p w14:paraId="3C5E8DB3" w14:textId="77777777" w:rsidR="00072C0D" w:rsidRPr="00A35149" w:rsidRDefault="00072C0D">
      <w:pPr>
        <w:widowControl w:val="0"/>
        <w:rPr>
          <w:rFonts w:asciiTheme="majorBidi" w:hAnsiTheme="majorBidi" w:cstheme="majorBidi"/>
        </w:rPr>
      </w:pPr>
    </w:p>
    <w:p w14:paraId="4B0FA284" w14:textId="77777777" w:rsidR="00A1250D" w:rsidRDefault="00A1250D">
      <w:pPr>
        <w:rPr>
          <w:rFonts w:asciiTheme="majorBidi" w:hAnsiTheme="majorBidi" w:cstheme="majorBidi"/>
          <w:color w:val="4472C4" w:themeColor="accent1"/>
          <w:sz w:val="28"/>
          <w:szCs w:val="28"/>
        </w:rPr>
      </w:pPr>
      <w:r>
        <w:rPr>
          <w:rFonts w:asciiTheme="majorBidi" w:hAnsiTheme="majorBidi" w:cstheme="majorBidi"/>
          <w:color w:val="4472C4" w:themeColor="accent1"/>
          <w:sz w:val="28"/>
          <w:szCs w:val="28"/>
        </w:rPr>
        <w:br w:type="page"/>
      </w:r>
    </w:p>
    <w:p w14:paraId="00000357" w14:textId="0FF52817" w:rsidR="007F6EEB" w:rsidRPr="00A35149" w:rsidRDefault="00430C7C" w:rsidP="0055332B">
      <w:pPr>
        <w:rPr>
          <w:rFonts w:asciiTheme="majorBidi" w:hAnsiTheme="majorBidi" w:cstheme="majorBidi"/>
          <w:b/>
          <w:sz w:val="28"/>
          <w:szCs w:val="28"/>
        </w:rPr>
      </w:pPr>
      <w:r w:rsidRPr="00A35149">
        <w:rPr>
          <w:rFonts w:asciiTheme="majorBidi" w:hAnsiTheme="majorBidi" w:cstheme="majorBidi"/>
          <w:color w:val="4472C4" w:themeColor="accent1"/>
          <w:sz w:val="28"/>
          <w:szCs w:val="28"/>
        </w:rPr>
        <w:lastRenderedPageBreak/>
        <w:t>REFERENCES</w:t>
      </w:r>
    </w:p>
    <w:p w14:paraId="79AE266A" w14:textId="77777777" w:rsidR="00494156" w:rsidRPr="00A35149" w:rsidRDefault="00494156" w:rsidP="00494156">
      <w:pPr>
        <w:widowControl w:val="0"/>
        <w:autoSpaceDE w:val="0"/>
        <w:autoSpaceDN w:val="0"/>
        <w:adjustRightInd w:val="0"/>
        <w:ind w:firstLine="720"/>
        <w:rPr>
          <w:rFonts w:asciiTheme="majorBidi" w:hAnsiTheme="majorBidi" w:cstheme="majorBidi"/>
        </w:rPr>
      </w:pPr>
    </w:p>
    <w:p w14:paraId="6FBB7DFD" w14:textId="03FD933D" w:rsidR="003E4435" w:rsidRPr="00A35149" w:rsidRDefault="00AD369E"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rPr>
        <w:fldChar w:fldCharType="begin" w:fldLock="1"/>
      </w:r>
      <w:r w:rsidRPr="00A35149">
        <w:rPr>
          <w:rFonts w:asciiTheme="majorBidi" w:hAnsiTheme="majorBidi" w:cstheme="majorBidi"/>
        </w:rPr>
        <w:instrText xml:space="preserve">ADDIN Mendeley Bibliography CSL_BIBLIOGRAPHY </w:instrText>
      </w:r>
      <w:r w:rsidRPr="00A35149">
        <w:rPr>
          <w:rFonts w:asciiTheme="majorBidi" w:hAnsiTheme="majorBidi" w:cstheme="majorBidi"/>
        </w:rPr>
        <w:fldChar w:fldCharType="separate"/>
      </w:r>
      <w:r w:rsidR="003E4435" w:rsidRPr="00A35149">
        <w:rPr>
          <w:rFonts w:asciiTheme="majorBidi" w:hAnsiTheme="majorBidi" w:cstheme="majorBidi"/>
          <w:noProof/>
        </w:rPr>
        <w:t xml:space="preserve">Adeyemo, A. and Rotimi, C. (2009) ‘Genetic variants associated with complex human diseases show wide variation across multiple populations’, </w:t>
      </w:r>
      <w:r w:rsidR="003E4435" w:rsidRPr="00A35149">
        <w:rPr>
          <w:rFonts w:asciiTheme="majorBidi" w:hAnsiTheme="majorBidi" w:cstheme="majorBidi"/>
          <w:i/>
          <w:iCs/>
          <w:noProof/>
        </w:rPr>
        <w:t>Public Health Genomics</w:t>
      </w:r>
      <w:r w:rsidR="003E4435" w:rsidRPr="00A35149">
        <w:rPr>
          <w:rFonts w:asciiTheme="majorBidi" w:hAnsiTheme="majorBidi" w:cstheme="majorBidi"/>
          <w:noProof/>
        </w:rPr>
        <w:t>, 13(2), pp. 72–79. doi: 10.1159/000218711.</w:t>
      </w:r>
    </w:p>
    <w:p w14:paraId="32064ADA"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06DD47BA" w14:textId="7777777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Alexander, D. H. and Lange, K. (2011) ‘Enhancements to the ADMIXTURE algorithm for individual ancestry estimation’, </w:t>
      </w:r>
      <w:r w:rsidRPr="00A35149">
        <w:rPr>
          <w:rFonts w:asciiTheme="majorBidi" w:hAnsiTheme="majorBidi" w:cstheme="majorBidi"/>
          <w:i/>
          <w:iCs/>
          <w:noProof/>
        </w:rPr>
        <w:t>BMC Bioinformatics</w:t>
      </w:r>
      <w:r w:rsidRPr="00A35149">
        <w:rPr>
          <w:rFonts w:asciiTheme="majorBidi" w:hAnsiTheme="majorBidi" w:cstheme="majorBidi"/>
          <w:noProof/>
        </w:rPr>
        <w:t>, 12. doi: 10.1186/1471-2105-12-246.</w:t>
      </w:r>
    </w:p>
    <w:p w14:paraId="721564F0" w14:textId="520A3FA8"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Alexander, D. H., Novembre, J. and Lange, K. (2009) ‘Fast model-based estimation of ancestry in unrelated individuals.’, </w:t>
      </w:r>
      <w:r w:rsidRPr="00A35149">
        <w:rPr>
          <w:rFonts w:asciiTheme="majorBidi" w:hAnsiTheme="majorBidi" w:cstheme="majorBidi"/>
          <w:i/>
          <w:iCs/>
          <w:noProof/>
        </w:rPr>
        <w:t>Genome research</w:t>
      </w:r>
      <w:r w:rsidRPr="00A35149">
        <w:rPr>
          <w:rFonts w:asciiTheme="majorBidi" w:hAnsiTheme="majorBidi" w:cstheme="majorBidi"/>
          <w:noProof/>
        </w:rPr>
        <w:t>, 19(9), pp. 1655–1664. doi: 10.1101/gr.094052.109.</w:t>
      </w:r>
    </w:p>
    <w:p w14:paraId="6E38EF56"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39CE3822" w14:textId="1942B83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Altshuler, D. M.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(2010) ‘Integrating common and rare genetic variation in diverse human populations’, </w:t>
      </w:r>
      <w:r w:rsidRPr="00A35149">
        <w:rPr>
          <w:rFonts w:asciiTheme="majorBidi" w:hAnsiTheme="majorBidi" w:cstheme="majorBidi"/>
          <w:i/>
          <w:iCs/>
          <w:noProof/>
        </w:rPr>
        <w:t>Nature</w:t>
      </w:r>
      <w:r w:rsidRPr="00A35149">
        <w:rPr>
          <w:rFonts w:asciiTheme="majorBidi" w:hAnsiTheme="majorBidi" w:cstheme="majorBidi"/>
          <w:noProof/>
        </w:rPr>
        <w:t>, 467(7311), pp. 52–58. doi: 10.1038/nature09298.</w:t>
      </w:r>
    </w:p>
    <w:p w14:paraId="2FA3020F"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374C4E63" w14:textId="1B92C3A1"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Altshuler, D. M.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(2012) ‘An integrated map of genetic variation from 1,092 human genomes’, </w:t>
      </w:r>
      <w:r w:rsidRPr="00A35149">
        <w:rPr>
          <w:rFonts w:asciiTheme="majorBidi" w:hAnsiTheme="majorBidi" w:cstheme="majorBidi"/>
          <w:i/>
          <w:iCs/>
          <w:noProof/>
        </w:rPr>
        <w:t>Nature</w:t>
      </w:r>
      <w:r w:rsidRPr="00A35149">
        <w:rPr>
          <w:rFonts w:asciiTheme="majorBidi" w:hAnsiTheme="majorBidi" w:cstheme="majorBidi"/>
          <w:noProof/>
        </w:rPr>
        <w:t>, 491, pp. 56–65. doi: 10.1038/nature11632.</w:t>
      </w:r>
    </w:p>
    <w:p w14:paraId="6867CA95"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0568043C" w14:textId="7777777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Arenas, M. </w:t>
      </w:r>
      <w:r w:rsidRPr="00A35149">
        <w:rPr>
          <w:rFonts w:asciiTheme="majorBidi" w:hAnsiTheme="majorBidi" w:cstheme="majorBidi"/>
          <w:i/>
          <w:iCs/>
          <w:noProof/>
        </w:rPr>
        <w:t>et al.</w:t>
      </w:r>
      <w:r w:rsidRPr="00A35149">
        <w:rPr>
          <w:rFonts w:asciiTheme="majorBidi" w:hAnsiTheme="majorBidi" w:cstheme="majorBidi"/>
          <w:noProof/>
        </w:rPr>
        <w:t xml:space="preserve"> (2013) ‘Influence of admixture and paleolithic range contractions on current European diversity gradients’, </w:t>
      </w:r>
      <w:r w:rsidRPr="00A35149">
        <w:rPr>
          <w:rFonts w:asciiTheme="majorBidi" w:hAnsiTheme="majorBidi" w:cstheme="majorBidi"/>
          <w:i/>
          <w:iCs/>
          <w:noProof/>
        </w:rPr>
        <w:t>Molecular Biology and Evolution</w:t>
      </w:r>
      <w:r w:rsidRPr="00A35149">
        <w:rPr>
          <w:rFonts w:asciiTheme="majorBidi" w:hAnsiTheme="majorBidi" w:cstheme="majorBidi"/>
          <w:noProof/>
        </w:rPr>
        <w:t>, 30(1), pp. 57–61. doi: 10.1093/molbev/mss203.</w:t>
      </w:r>
    </w:p>
    <w:p w14:paraId="01CDB1AC"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0277243A" w14:textId="70D3A0D3"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Van der Auwera, G. A.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(2013) ‘From fastQ data to high-confidence variant calls: The genome analysis toolkit best practices pipeline’, </w:t>
      </w:r>
      <w:r w:rsidRPr="00A35149">
        <w:rPr>
          <w:rFonts w:asciiTheme="majorBidi" w:hAnsiTheme="majorBidi" w:cstheme="majorBidi"/>
          <w:i/>
          <w:iCs/>
          <w:noProof/>
        </w:rPr>
        <w:t>Current Protocols in Bioinformatics</w:t>
      </w:r>
      <w:r w:rsidRPr="00A35149">
        <w:rPr>
          <w:rFonts w:asciiTheme="majorBidi" w:hAnsiTheme="majorBidi" w:cstheme="majorBidi"/>
          <w:noProof/>
        </w:rPr>
        <w:t>, (SUPL.43). doi: 10.1002/0471250953.bi1110s43.</w:t>
      </w:r>
    </w:p>
    <w:p w14:paraId="024628F2"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2FB581EA" w14:textId="4B25C011"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Ball, M. C.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(2010) ‘Integrating multiple analytical approaches to spatially delineate and characterize genetic population structure: An application to boreal caribou (Rangifer tarandus caribou) in central Canada’, </w:t>
      </w:r>
      <w:r w:rsidRPr="00A35149">
        <w:rPr>
          <w:rFonts w:asciiTheme="majorBidi" w:hAnsiTheme="majorBidi" w:cstheme="majorBidi"/>
          <w:i/>
          <w:iCs/>
          <w:noProof/>
        </w:rPr>
        <w:t>Conservation Genetics</w:t>
      </w:r>
      <w:r w:rsidRPr="00A35149">
        <w:rPr>
          <w:rFonts w:asciiTheme="majorBidi" w:hAnsiTheme="majorBidi" w:cstheme="majorBidi"/>
          <w:noProof/>
        </w:rPr>
        <w:t>, 11(6), pp. 2131–2143. doi: 10.1007/s10592-010-0099-3.</w:t>
      </w:r>
    </w:p>
    <w:p w14:paraId="2A21F40D"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6145B45E" w14:textId="589D6B1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Baran, Y. </w:t>
      </w:r>
      <w:r w:rsidRPr="00A35149">
        <w:rPr>
          <w:rFonts w:asciiTheme="majorBidi" w:hAnsiTheme="majorBidi" w:cstheme="majorBidi"/>
          <w:i/>
          <w:iCs/>
          <w:noProof/>
        </w:rPr>
        <w:t>et al.</w:t>
      </w:r>
      <w:r w:rsidRPr="00A35149">
        <w:rPr>
          <w:rFonts w:asciiTheme="majorBidi" w:hAnsiTheme="majorBidi" w:cstheme="majorBidi"/>
          <w:noProof/>
        </w:rPr>
        <w:t xml:space="preserve"> (2012) ‘Fast and accurate inference of local ancestry in Latino populations’, </w:t>
      </w:r>
      <w:r w:rsidRPr="00A35149">
        <w:rPr>
          <w:rFonts w:asciiTheme="majorBidi" w:hAnsiTheme="majorBidi" w:cstheme="majorBidi"/>
          <w:i/>
          <w:iCs/>
          <w:noProof/>
        </w:rPr>
        <w:t>Bioinformatics</w:t>
      </w:r>
      <w:r w:rsidRPr="00A35149">
        <w:rPr>
          <w:rFonts w:asciiTheme="majorBidi" w:hAnsiTheme="majorBidi" w:cstheme="majorBidi"/>
          <w:noProof/>
        </w:rPr>
        <w:t>, 28(10), pp. 1359–1367. doi: 10.1093/bioinformatics/bts144.</w:t>
      </w:r>
    </w:p>
    <w:p w14:paraId="51DC69E6"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4A255A22" w14:textId="739C650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De Barros Damgaard, P.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(2018) ‘137 ancient human genomes from across the Eurasian steppes’, </w:t>
      </w:r>
      <w:r w:rsidRPr="00A35149">
        <w:rPr>
          <w:rFonts w:asciiTheme="majorBidi" w:hAnsiTheme="majorBidi" w:cstheme="majorBidi"/>
          <w:i/>
          <w:iCs/>
          <w:noProof/>
        </w:rPr>
        <w:t>Nature</w:t>
      </w:r>
      <w:r w:rsidRPr="00A35149">
        <w:rPr>
          <w:rFonts w:asciiTheme="majorBidi" w:hAnsiTheme="majorBidi" w:cstheme="majorBidi"/>
          <w:noProof/>
        </w:rPr>
        <w:t>, 557(7705), pp. 369–374. doi: 10.1038/s41586-018-0094-2.</w:t>
      </w:r>
    </w:p>
    <w:p w14:paraId="5AF3AF2F"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15FF97FB" w14:textId="0FD78AC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Baughn, L. B.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(2018) ‘Differences in genomic abnormalities among African individuals with monoclonal gammopathies using calculated ancestry’, </w:t>
      </w:r>
      <w:r w:rsidRPr="00A35149">
        <w:rPr>
          <w:rFonts w:asciiTheme="majorBidi" w:hAnsiTheme="majorBidi" w:cstheme="majorBidi"/>
          <w:i/>
          <w:iCs/>
          <w:noProof/>
        </w:rPr>
        <w:t>Blood Cancer Journal</w:t>
      </w:r>
      <w:r w:rsidRPr="00A35149">
        <w:rPr>
          <w:rFonts w:asciiTheme="majorBidi" w:hAnsiTheme="majorBidi" w:cstheme="majorBidi"/>
          <w:noProof/>
        </w:rPr>
        <w:t>, 8(10). doi: 10.1038/s41408-018-0132-1.</w:t>
      </w:r>
    </w:p>
    <w:p w14:paraId="4C35AABA"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0976328E" w14:textId="5194956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Baughn, L. B.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(2020) ‘The CCND1 c.870G risk allele is enriched in individuals of African ancestry with plasma cell dyscrasias’, </w:t>
      </w:r>
      <w:r w:rsidRPr="00A35149">
        <w:rPr>
          <w:rFonts w:asciiTheme="majorBidi" w:hAnsiTheme="majorBidi" w:cstheme="majorBidi"/>
          <w:i/>
          <w:iCs/>
          <w:noProof/>
        </w:rPr>
        <w:t>Blood Cancer Journal</w:t>
      </w:r>
      <w:r w:rsidRPr="00A35149">
        <w:rPr>
          <w:rFonts w:asciiTheme="majorBidi" w:hAnsiTheme="majorBidi" w:cstheme="majorBidi"/>
          <w:noProof/>
        </w:rPr>
        <w:t>, 10(3). doi: 10.1038/s41408-020-0294-5.</w:t>
      </w:r>
    </w:p>
    <w:p w14:paraId="4D13D30F"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167E382C" w14:textId="41E36E86"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Belmont, J. W. </w:t>
      </w:r>
      <w:r w:rsidRPr="00A35149">
        <w:rPr>
          <w:rFonts w:asciiTheme="majorBidi" w:hAnsiTheme="majorBidi" w:cstheme="majorBidi"/>
          <w:i/>
          <w:iCs/>
          <w:noProof/>
        </w:rPr>
        <w:t>et al.</w:t>
      </w:r>
      <w:r w:rsidRPr="00A35149">
        <w:rPr>
          <w:rFonts w:asciiTheme="majorBidi" w:hAnsiTheme="majorBidi" w:cstheme="majorBidi"/>
          <w:noProof/>
        </w:rPr>
        <w:t xml:space="preserve"> (2005) ‘A haplotype map of the human genome’, </w:t>
      </w:r>
      <w:r w:rsidRPr="00A35149">
        <w:rPr>
          <w:rFonts w:asciiTheme="majorBidi" w:hAnsiTheme="majorBidi" w:cstheme="majorBidi"/>
          <w:i/>
          <w:iCs/>
          <w:noProof/>
        </w:rPr>
        <w:t>Nature</w:t>
      </w:r>
      <w:r w:rsidRPr="00A35149">
        <w:rPr>
          <w:rFonts w:asciiTheme="majorBidi" w:hAnsiTheme="majorBidi" w:cstheme="majorBidi"/>
          <w:noProof/>
        </w:rPr>
        <w:t>, 437(7063), pp. 1299–1320. doi: 10.1038/nature04226.</w:t>
      </w:r>
    </w:p>
    <w:p w14:paraId="444DC9C6"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033DA783" w14:textId="0C94D22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Berg, J. J.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(2019) ‘Reduced signal for polygenic adaptation of height in UK biobank’, </w:t>
      </w:r>
      <w:r w:rsidRPr="00A35149">
        <w:rPr>
          <w:rFonts w:asciiTheme="majorBidi" w:hAnsiTheme="majorBidi" w:cstheme="majorBidi"/>
          <w:i/>
          <w:iCs/>
          <w:noProof/>
        </w:rPr>
        <w:t>eLife</w:t>
      </w:r>
      <w:r w:rsidRPr="00A35149">
        <w:rPr>
          <w:rFonts w:asciiTheme="majorBidi" w:hAnsiTheme="majorBidi" w:cstheme="majorBidi"/>
          <w:noProof/>
        </w:rPr>
        <w:t>, 8. doi: 10.7554/eLife.39725.</w:t>
      </w:r>
    </w:p>
    <w:p w14:paraId="513F5D4E"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6F4FF08E" w14:textId="77429AF3"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Bergholdt, H. K. M., Nordestgaard, B. G. and Ellervik, C. (2015) ‘Milk intake is not associated with low risk of diabetes or overweight-obesity: A Mendelian randomization study in 97,811 Danish individuals’, </w:t>
      </w:r>
      <w:r w:rsidRPr="00A35149">
        <w:rPr>
          <w:rFonts w:asciiTheme="majorBidi" w:hAnsiTheme="majorBidi" w:cstheme="majorBidi"/>
          <w:i/>
          <w:iCs/>
          <w:noProof/>
        </w:rPr>
        <w:t>American Journal of Clinical Nutrition</w:t>
      </w:r>
      <w:r w:rsidRPr="00A35149">
        <w:rPr>
          <w:rFonts w:asciiTheme="majorBidi" w:hAnsiTheme="majorBidi" w:cstheme="majorBidi"/>
          <w:noProof/>
        </w:rPr>
        <w:t>, 102(2), pp. 487–496. doi: 10.3945/ajcn.114.105049.</w:t>
      </w:r>
    </w:p>
    <w:p w14:paraId="0BAC44FD"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68CC589E" w14:textId="06EB4B16"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Blair, C. </w:t>
      </w:r>
      <w:r w:rsidRPr="00A35149">
        <w:rPr>
          <w:rFonts w:asciiTheme="majorBidi" w:hAnsiTheme="majorBidi" w:cstheme="majorBidi"/>
          <w:i/>
          <w:iCs/>
          <w:noProof/>
        </w:rPr>
        <w:t>et al.</w:t>
      </w:r>
      <w:r w:rsidRPr="00A35149">
        <w:rPr>
          <w:rFonts w:asciiTheme="majorBidi" w:hAnsiTheme="majorBidi" w:cstheme="majorBidi"/>
          <w:noProof/>
        </w:rPr>
        <w:t xml:space="preserve"> (2012) ‘A simulation-based evaluation of methods for inferring linear barriers to gene flow’, </w:t>
      </w:r>
      <w:r w:rsidRPr="00A35149">
        <w:rPr>
          <w:rFonts w:asciiTheme="majorBidi" w:hAnsiTheme="majorBidi" w:cstheme="majorBidi"/>
          <w:i/>
          <w:iCs/>
          <w:noProof/>
        </w:rPr>
        <w:t>Molecular Ecology Resources</w:t>
      </w:r>
      <w:r w:rsidRPr="00A35149">
        <w:rPr>
          <w:rFonts w:asciiTheme="majorBidi" w:hAnsiTheme="majorBidi" w:cstheme="majorBidi"/>
          <w:noProof/>
        </w:rPr>
        <w:t>, 12(5), pp. 822–833. doi: 10.1111/j.1755-0998.2012.03151.x.</w:t>
      </w:r>
    </w:p>
    <w:p w14:paraId="17A62D95"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02709EDC" w14:textId="6ADF6803"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Border, R. </w:t>
      </w:r>
      <w:r w:rsidRPr="00A35149">
        <w:rPr>
          <w:rFonts w:asciiTheme="majorBidi" w:hAnsiTheme="majorBidi" w:cstheme="majorBidi"/>
          <w:i/>
          <w:iCs/>
          <w:noProof/>
        </w:rPr>
        <w:t>et al.</w:t>
      </w:r>
      <w:r w:rsidRPr="00A35149">
        <w:rPr>
          <w:rFonts w:asciiTheme="majorBidi" w:hAnsiTheme="majorBidi" w:cstheme="majorBidi"/>
          <w:noProof/>
        </w:rPr>
        <w:t xml:space="preserve"> (2019) ‘No support for historical candidate gene or candidate gene-by-interaction hypotheses for major depression across multiple large samples’, </w:t>
      </w:r>
      <w:r w:rsidRPr="00A35149">
        <w:rPr>
          <w:rFonts w:asciiTheme="majorBidi" w:hAnsiTheme="majorBidi" w:cstheme="majorBidi"/>
          <w:i/>
          <w:iCs/>
          <w:noProof/>
        </w:rPr>
        <w:t>American Journal of Psychiatry</w:t>
      </w:r>
      <w:r w:rsidRPr="00A35149">
        <w:rPr>
          <w:rFonts w:asciiTheme="majorBidi" w:hAnsiTheme="majorBidi" w:cstheme="majorBidi"/>
          <w:noProof/>
        </w:rPr>
        <w:t>, 176(5), pp. 376–387. doi: 10.1176/appi.ajp.2018.18070881.</w:t>
      </w:r>
    </w:p>
    <w:p w14:paraId="00BEC7C6" w14:textId="77777777" w:rsidR="00174BC2" w:rsidRPr="00A35149" w:rsidRDefault="00174BC2" w:rsidP="003E4435">
      <w:pPr>
        <w:widowControl w:val="0"/>
        <w:autoSpaceDE w:val="0"/>
        <w:autoSpaceDN w:val="0"/>
        <w:adjustRightInd w:val="0"/>
        <w:rPr>
          <w:rFonts w:asciiTheme="majorBidi" w:hAnsiTheme="majorBidi" w:cstheme="majorBidi"/>
          <w:noProof/>
        </w:rPr>
      </w:pPr>
    </w:p>
    <w:p w14:paraId="358B2242" w14:textId="5D2F759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Brieger, K. </w:t>
      </w:r>
      <w:r w:rsidRPr="00A35149">
        <w:rPr>
          <w:rFonts w:asciiTheme="majorBidi" w:hAnsiTheme="majorBidi" w:cstheme="majorBidi"/>
          <w:i/>
          <w:iCs/>
          <w:noProof/>
        </w:rPr>
        <w:t>et al.</w:t>
      </w:r>
      <w:r w:rsidRPr="00A35149">
        <w:rPr>
          <w:rFonts w:asciiTheme="majorBidi" w:hAnsiTheme="majorBidi" w:cstheme="majorBidi"/>
          <w:noProof/>
        </w:rPr>
        <w:t xml:space="preserve"> (2019) ‘Genes for Good: Engaging the Public in Genetics Research via Social Media’, </w:t>
      </w:r>
      <w:r w:rsidRPr="00A35149">
        <w:rPr>
          <w:rFonts w:asciiTheme="majorBidi" w:hAnsiTheme="majorBidi" w:cstheme="majorBidi"/>
          <w:i/>
          <w:iCs/>
          <w:noProof/>
        </w:rPr>
        <w:t>American Journal of Human Genetics</w:t>
      </w:r>
      <w:r w:rsidRPr="00A35149">
        <w:rPr>
          <w:rFonts w:asciiTheme="majorBidi" w:hAnsiTheme="majorBidi" w:cstheme="majorBidi"/>
          <w:noProof/>
        </w:rPr>
        <w:t>, 105(1), pp. 65–77. doi: 10.1016/j.ajhg.2019.05.006.</w:t>
      </w:r>
    </w:p>
    <w:p w14:paraId="328D2772"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35AE0AA2" w14:textId="643724D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Browning, B. L. and Browning, S. R. (2011) ‘A fast, powerful method for detecting identity by descent’, </w:t>
      </w:r>
      <w:r w:rsidRPr="00A35149">
        <w:rPr>
          <w:rFonts w:asciiTheme="majorBidi" w:hAnsiTheme="majorBidi" w:cstheme="majorBidi"/>
          <w:i/>
          <w:iCs/>
          <w:noProof/>
        </w:rPr>
        <w:t>American Journal of Human Genetics</w:t>
      </w:r>
      <w:r w:rsidRPr="00A35149">
        <w:rPr>
          <w:rFonts w:asciiTheme="majorBidi" w:hAnsiTheme="majorBidi" w:cstheme="majorBidi"/>
          <w:noProof/>
        </w:rPr>
        <w:t>, 88(2), pp. 173–182. doi: 10.1016/j.ajhg.2011.01.010.</w:t>
      </w:r>
    </w:p>
    <w:p w14:paraId="62B947B1"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70DAAC5C" w14:textId="6C2F03F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Browning, B. L. and Browning, S. R. (2013) ‘Improving the accuracy and efficiency of identity-by-descent detection in population data’, </w:t>
      </w:r>
      <w:r w:rsidRPr="00A35149">
        <w:rPr>
          <w:rFonts w:asciiTheme="majorBidi" w:hAnsiTheme="majorBidi" w:cstheme="majorBidi"/>
          <w:i/>
          <w:iCs/>
          <w:noProof/>
        </w:rPr>
        <w:t>Genetics</w:t>
      </w:r>
      <w:r w:rsidRPr="00A35149">
        <w:rPr>
          <w:rFonts w:asciiTheme="majorBidi" w:hAnsiTheme="majorBidi" w:cstheme="majorBidi"/>
          <w:noProof/>
        </w:rPr>
        <w:t>, 194(2), pp. 459–471. doi: 10.1534/genetics.113.150029.</w:t>
      </w:r>
    </w:p>
    <w:p w14:paraId="1BA85A85"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10133884" w14:textId="79004D74"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Bulik-Sullivan, B.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(2015) ‘LD score regression distinguishes confounding from polygenicity in genome-wide association studies’, </w:t>
      </w:r>
      <w:r w:rsidRPr="00A35149">
        <w:rPr>
          <w:rFonts w:asciiTheme="majorBidi" w:hAnsiTheme="majorBidi" w:cstheme="majorBidi"/>
          <w:i/>
          <w:iCs/>
          <w:noProof/>
        </w:rPr>
        <w:t>Nature Genetics</w:t>
      </w:r>
      <w:r w:rsidRPr="00A35149">
        <w:rPr>
          <w:rFonts w:asciiTheme="majorBidi" w:hAnsiTheme="majorBidi" w:cstheme="majorBidi"/>
          <w:noProof/>
        </w:rPr>
        <w:t>, 47(3), pp. 291–295. doi: 10.1038/ng.3211.</w:t>
      </w:r>
    </w:p>
    <w:p w14:paraId="7A15B02B"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C6BD36E" w14:textId="24A57211"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Burgess, S. and Thompson, S. G. (2015) </w:t>
      </w:r>
      <w:r w:rsidRPr="00A35149">
        <w:rPr>
          <w:rFonts w:asciiTheme="majorBidi" w:hAnsiTheme="majorBidi" w:cstheme="majorBidi"/>
          <w:i/>
          <w:iCs/>
          <w:noProof/>
        </w:rPr>
        <w:t>Mendelian randomization: Methods for using genetic variants in causal estimation</w:t>
      </w:r>
      <w:r w:rsidRPr="00A35149">
        <w:rPr>
          <w:rFonts w:asciiTheme="majorBidi" w:hAnsiTheme="majorBidi" w:cstheme="majorBidi"/>
          <w:noProof/>
        </w:rPr>
        <w:t xml:space="preserve">, </w:t>
      </w:r>
      <w:r w:rsidRPr="00A35149">
        <w:rPr>
          <w:rFonts w:asciiTheme="majorBidi" w:hAnsiTheme="majorBidi" w:cstheme="majorBidi"/>
          <w:i/>
          <w:iCs/>
          <w:noProof/>
        </w:rPr>
        <w:t>CRC Press</w:t>
      </w:r>
      <w:r w:rsidRPr="00A35149">
        <w:rPr>
          <w:rFonts w:asciiTheme="majorBidi" w:hAnsiTheme="majorBidi" w:cstheme="majorBidi"/>
          <w:noProof/>
        </w:rPr>
        <w:t>. doi: 10.1201/b18084.</w:t>
      </w:r>
    </w:p>
    <w:p w14:paraId="7F9E088E"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5F9AF4A2" w14:textId="2D14521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Bycroft, C. </w:t>
      </w:r>
      <w:r w:rsidRPr="00A35149">
        <w:rPr>
          <w:rFonts w:asciiTheme="majorBidi" w:hAnsiTheme="majorBidi" w:cstheme="majorBidi"/>
          <w:i/>
          <w:iCs/>
          <w:noProof/>
        </w:rPr>
        <w:t>et al.</w:t>
      </w:r>
      <w:r w:rsidRPr="00A35149">
        <w:rPr>
          <w:rFonts w:asciiTheme="majorBidi" w:hAnsiTheme="majorBidi" w:cstheme="majorBidi"/>
          <w:noProof/>
        </w:rPr>
        <w:t xml:space="preserve"> (2018) ‘The UK Biobank resource with deep phenotyping and genomic data’, </w:t>
      </w:r>
      <w:r w:rsidRPr="00A35149">
        <w:rPr>
          <w:rFonts w:asciiTheme="majorBidi" w:hAnsiTheme="majorBidi" w:cstheme="majorBidi"/>
          <w:i/>
          <w:iCs/>
          <w:noProof/>
        </w:rPr>
        <w:t>Nature</w:t>
      </w:r>
      <w:r w:rsidRPr="00A35149">
        <w:rPr>
          <w:rFonts w:asciiTheme="majorBidi" w:hAnsiTheme="majorBidi" w:cstheme="majorBidi"/>
          <w:noProof/>
        </w:rPr>
        <w:t>, 562(7726), pp. 203–209. doi: 10.1038/s41586-018-0579-z.</w:t>
      </w:r>
    </w:p>
    <w:p w14:paraId="62959C07"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56A7C43D" w14:textId="6CBB255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Byun, J. </w:t>
      </w:r>
      <w:r w:rsidRPr="00A35149">
        <w:rPr>
          <w:rFonts w:asciiTheme="majorBidi" w:hAnsiTheme="majorBidi" w:cstheme="majorBidi"/>
          <w:i/>
          <w:iCs/>
          <w:noProof/>
        </w:rPr>
        <w:t>et al.</w:t>
      </w:r>
      <w:r w:rsidRPr="00A35149">
        <w:rPr>
          <w:rFonts w:asciiTheme="majorBidi" w:hAnsiTheme="majorBidi" w:cstheme="majorBidi"/>
          <w:noProof/>
        </w:rPr>
        <w:t xml:space="preserve"> (2017) ‘Ancestry inference using principal component analysis and spatial analysis: A distance-based analysis to account for population substructure’, </w:t>
      </w:r>
      <w:r w:rsidRPr="00A35149">
        <w:rPr>
          <w:rFonts w:asciiTheme="majorBidi" w:hAnsiTheme="majorBidi" w:cstheme="majorBidi"/>
          <w:i/>
          <w:iCs/>
          <w:noProof/>
        </w:rPr>
        <w:t>BMC Genomics</w:t>
      </w:r>
      <w:r w:rsidRPr="00A35149">
        <w:rPr>
          <w:rFonts w:asciiTheme="majorBidi" w:hAnsiTheme="majorBidi" w:cstheme="majorBidi"/>
          <w:noProof/>
        </w:rPr>
        <w:t>, 18(789), pp. 1–12. doi: 10.1186/s12864-017-4166-8.</w:t>
      </w:r>
    </w:p>
    <w:p w14:paraId="443C4E3B"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7D204CBF" w14:textId="208FB5C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Campbell, C. D. </w:t>
      </w:r>
      <w:r w:rsidRPr="00A35149">
        <w:rPr>
          <w:rFonts w:asciiTheme="majorBidi" w:hAnsiTheme="majorBidi" w:cstheme="majorBidi"/>
          <w:i/>
          <w:iCs/>
          <w:noProof/>
        </w:rPr>
        <w:t>et al.</w:t>
      </w:r>
      <w:r w:rsidRPr="00A35149">
        <w:rPr>
          <w:rFonts w:asciiTheme="majorBidi" w:hAnsiTheme="majorBidi" w:cstheme="majorBidi"/>
          <w:noProof/>
        </w:rPr>
        <w:t xml:space="preserve"> (2005) ‘Demonstrating stratification in a European American population’, </w:t>
      </w:r>
      <w:r w:rsidRPr="00A35149">
        <w:rPr>
          <w:rFonts w:asciiTheme="majorBidi" w:hAnsiTheme="majorBidi" w:cstheme="majorBidi"/>
          <w:i/>
          <w:iCs/>
          <w:noProof/>
        </w:rPr>
        <w:t>Nature Genetics</w:t>
      </w:r>
      <w:r w:rsidRPr="00A35149">
        <w:rPr>
          <w:rFonts w:asciiTheme="majorBidi" w:hAnsiTheme="majorBidi" w:cstheme="majorBidi"/>
          <w:noProof/>
        </w:rPr>
        <w:t>, 37(8), pp. 868–872. doi: 10.1038/ng1607.</w:t>
      </w:r>
    </w:p>
    <w:p w14:paraId="76D18738"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5B2D2D80" w14:textId="58921236"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Cassidy, L. M. </w:t>
      </w:r>
      <w:r w:rsidRPr="00A35149">
        <w:rPr>
          <w:rFonts w:asciiTheme="majorBidi" w:hAnsiTheme="majorBidi" w:cstheme="majorBidi"/>
          <w:i/>
          <w:iCs/>
          <w:noProof/>
        </w:rPr>
        <w:t>et al.</w:t>
      </w:r>
      <w:r w:rsidRPr="00A35149">
        <w:rPr>
          <w:rFonts w:asciiTheme="majorBidi" w:hAnsiTheme="majorBidi" w:cstheme="majorBidi"/>
          <w:noProof/>
        </w:rPr>
        <w:t xml:space="preserve"> (2016) ‘Neolithic and Bronze Age migration to Ireland and establishment of the insular atlantic genome’, </w:t>
      </w:r>
      <w:r w:rsidRPr="00A35149">
        <w:rPr>
          <w:rFonts w:asciiTheme="majorBidi" w:hAnsiTheme="majorBidi" w:cstheme="majorBidi"/>
          <w:i/>
          <w:iCs/>
          <w:noProof/>
        </w:rPr>
        <w:t>Proceedings of the National Academy of Sciences of the United States of America</w:t>
      </w:r>
      <w:r w:rsidRPr="00A35149">
        <w:rPr>
          <w:rFonts w:asciiTheme="majorBidi" w:hAnsiTheme="majorBidi" w:cstheme="majorBidi"/>
          <w:noProof/>
        </w:rPr>
        <w:t>, 113(2), pp. 368–373. doi: 10.1073/pnas.1518445113.</w:t>
      </w:r>
    </w:p>
    <w:p w14:paraId="4EEDCDA5"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6F3779EA" w14:textId="5F3D54D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Caulfield, M. </w:t>
      </w:r>
      <w:r w:rsidRPr="00A35149">
        <w:rPr>
          <w:rFonts w:asciiTheme="majorBidi" w:hAnsiTheme="majorBidi" w:cstheme="majorBidi"/>
          <w:i/>
          <w:iCs/>
          <w:noProof/>
        </w:rPr>
        <w:t>et al.</w:t>
      </w:r>
      <w:r w:rsidRPr="00A35149">
        <w:rPr>
          <w:rFonts w:asciiTheme="majorBidi" w:hAnsiTheme="majorBidi" w:cstheme="majorBidi"/>
          <w:noProof/>
        </w:rPr>
        <w:t xml:space="preserve"> (2017) </w:t>
      </w:r>
      <w:r w:rsidRPr="00A35149">
        <w:rPr>
          <w:rFonts w:asciiTheme="majorBidi" w:hAnsiTheme="majorBidi" w:cstheme="majorBidi"/>
          <w:i/>
          <w:iCs/>
          <w:noProof/>
        </w:rPr>
        <w:t>The 100,000 Genomes Project Protocol</w:t>
      </w:r>
      <w:r w:rsidRPr="00A35149">
        <w:rPr>
          <w:rFonts w:asciiTheme="majorBidi" w:hAnsiTheme="majorBidi" w:cstheme="majorBidi"/>
          <w:noProof/>
        </w:rPr>
        <w:t xml:space="preserve">, </w:t>
      </w:r>
      <w:r w:rsidRPr="00A35149">
        <w:rPr>
          <w:rFonts w:asciiTheme="majorBidi" w:hAnsiTheme="majorBidi" w:cstheme="majorBidi"/>
          <w:i/>
          <w:iCs/>
          <w:noProof/>
        </w:rPr>
        <w:t>Genomics England</w:t>
      </w:r>
      <w:r w:rsidRPr="00A35149">
        <w:rPr>
          <w:rFonts w:asciiTheme="majorBidi" w:hAnsiTheme="majorBidi" w:cstheme="majorBidi"/>
          <w:noProof/>
        </w:rPr>
        <w:t>. doi: 10.6084/M9.FIGSHARE.4530893.V2.</w:t>
      </w:r>
    </w:p>
    <w:p w14:paraId="0A10AB0B"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3E4CEDDC" w14:textId="13F71C98"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lastRenderedPageBreak/>
        <w:t xml:space="preserve">Chacón-Duque, J. C.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(2018) ‘Latin Americans show wide-spread Converso ancestry and imprint of local Native ancestry on physical appearance’, </w:t>
      </w:r>
      <w:r w:rsidRPr="00A35149">
        <w:rPr>
          <w:rFonts w:asciiTheme="majorBidi" w:hAnsiTheme="majorBidi" w:cstheme="majorBidi"/>
          <w:i/>
          <w:iCs/>
          <w:noProof/>
        </w:rPr>
        <w:t>Nature Communications</w:t>
      </w:r>
      <w:r w:rsidRPr="00A35149">
        <w:rPr>
          <w:rFonts w:asciiTheme="majorBidi" w:hAnsiTheme="majorBidi" w:cstheme="majorBidi"/>
          <w:noProof/>
        </w:rPr>
        <w:t>, 9(1). doi: 10.1038/s41467-018-07748-z.</w:t>
      </w:r>
    </w:p>
    <w:p w14:paraId="5CBAD64A"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284DE179" w14:textId="3C7E84D6"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Chalmers, D. </w:t>
      </w:r>
      <w:r w:rsidRPr="00A35149">
        <w:rPr>
          <w:rFonts w:asciiTheme="majorBidi" w:hAnsiTheme="majorBidi" w:cstheme="majorBidi"/>
          <w:i/>
          <w:iCs/>
          <w:noProof/>
        </w:rPr>
        <w:t>et al.</w:t>
      </w:r>
      <w:r w:rsidRPr="00A35149">
        <w:rPr>
          <w:rFonts w:asciiTheme="majorBidi" w:hAnsiTheme="majorBidi" w:cstheme="majorBidi"/>
          <w:noProof/>
        </w:rPr>
        <w:t xml:space="preserve"> (2016) ‘Has the biobank bubble burst? Withstanding the challenges for sustainable biobanking in the digital era Donna Dickenson, Sandra Soo-Jin Lee, and Michael Morrison’, </w:t>
      </w:r>
      <w:r w:rsidRPr="00A35149">
        <w:rPr>
          <w:rFonts w:asciiTheme="majorBidi" w:hAnsiTheme="majorBidi" w:cstheme="majorBidi"/>
          <w:i/>
          <w:iCs/>
          <w:noProof/>
        </w:rPr>
        <w:t>BMC Medical Ethics</w:t>
      </w:r>
      <w:r w:rsidRPr="00A35149">
        <w:rPr>
          <w:rFonts w:asciiTheme="majorBidi" w:hAnsiTheme="majorBidi" w:cstheme="majorBidi"/>
          <w:noProof/>
        </w:rPr>
        <w:t>, 17(1). doi: 10.1186/s12910-016-0124-2.</w:t>
      </w:r>
    </w:p>
    <w:p w14:paraId="6AAECF6B"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ECF9C8C" w14:textId="06BBB8D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Chang, C. C.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(2015) ‘Second-generation PLINK: Rising to the challenge of larger and richer datasets’, </w:t>
      </w:r>
      <w:r w:rsidRPr="00A35149">
        <w:rPr>
          <w:rFonts w:asciiTheme="majorBidi" w:hAnsiTheme="majorBidi" w:cstheme="majorBidi"/>
          <w:i/>
          <w:iCs/>
          <w:noProof/>
        </w:rPr>
        <w:t>GigaScience</w:t>
      </w:r>
      <w:r w:rsidRPr="00A35149">
        <w:rPr>
          <w:rFonts w:asciiTheme="majorBidi" w:hAnsiTheme="majorBidi" w:cstheme="majorBidi"/>
          <w:noProof/>
        </w:rPr>
        <w:t>, 4(1). doi: 10.1186/s13742-015-0047-8.</w:t>
      </w:r>
    </w:p>
    <w:p w14:paraId="04117897"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0DB58C8A" w14:textId="4F58285E"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Chen, C. </w:t>
      </w:r>
      <w:r w:rsidRPr="00A35149">
        <w:rPr>
          <w:rFonts w:asciiTheme="majorBidi" w:hAnsiTheme="majorBidi" w:cstheme="majorBidi"/>
          <w:i/>
          <w:iCs/>
          <w:noProof/>
        </w:rPr>
        <w:t>et al.</w:t>
      </w:r>
      <w:r w:rsidRPr="00A35149">
        <w:rPr>
          <w:rFonts w:asciiTheme="majorBidi" w:hAnsiTheme="majorBidi" w:cstheme="majorBidi"/>
          <w:noProof/>
        </w:rPr>
        <w:t xml:space="preserve"> (2007) ‘Bayesian clustering algorithms ascertaining spatial population structure: A new computer program and a comparison study’, </w:t>
      </w:r>
      <w:r w:rsidRPr="00A35149">
        <w:rPr>
          <w:rFonts w:asciiTheme="majorBidi" w:hAnsiTheme="majorBidi" w:cstheme="majorBidi"/>
          <w:i/>
          <w:iCs/>
          <w:noProof/>
        </w:rPr>
        <w:t>Molecular Ecology Notes</w:t>
      </w:r>
      <w:r w:rsidRPr="00A35149">
        <w:rPr>
          <w:rFonts w:asciiTheme="majorBidi" w:hAnsiTheme="majorBidi" w:cstheme="majorBidi"/>
          <w:noProof/>
        </w:rPr>
        <w:t>, 7(5). doi: 10.1111/j.1471-8286.2007.01769.x.</w:t>
      </w:r>
    </w:p>
    <w:p w14:paraId="5617DAA5"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08DD5045" w14:textId="2D4BF58D"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Chikhi, L. </w:t>
      </w:r>
      <w:r w:rsidRPr="00A35149">
        <w:rPr>
          <w:rFonts w:asciiTheme="majorBidi" w:hAnsiTheme="majorBidi" w:cstheme="majorBidi"/>
          <w:i/>
          <w:iCs/>
          <w:noProof/>
        </w:rPr>
        <w:t>et al.</w:t>
      </w:r>
      <w:r w:rsidRPr="00A35149">
        <w:rPr>
          <w:rFonts w:asciiTheme="majorBidi" w:hAnsiTheme="majorBidi" w:cstheme="majorBidi"/>
          <w:noProof/>
        </w:rPr>
        <w:t xml:space="preserve"> (2010) ‘The confounding effects of population structure, genetic diversity and the sampling scheme on the detection and quantification of population size changes’, </w:t>
      </w:r>
      <w:r w:rsidRPr="00A35149">
        <w:rPr>
          <w:rFonts w:asciiTheme="majorBidi" w:hAnsiTheme="majorBidi" w:cstheme="majorBidi"/>
          <w:i/>
          <w:iCs/>
          <w:noProof/>
        </w:rPr>
        <w:t>Genetics</w:t>
      </w:r>
      <w:r w:rsidRPr="00A35149">
        <w:rPr>
          <w:rFonts w:asciiTheme="majorBidi" w:hAnsiTheme="majorBidi" w:cstheme="majorBidi"/>
          <w:noProof/>
        </w:rPr>
        <w:t>, 186(3), pp. 983–995. doi: 10.1534/genetics.110.118661.</w:t>
      </w:r>
    </w:p>
    <w:p w14:paraId="6504CA33"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2D5D1B25" w14:textId="6C2BBD29"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Clark, A. G. </w:t>
      </w:r>
      <w:r w:rsidRPr="00A35149">
        <w:rPr>
          <w:rFonts w:asciiTheme="majorBidi" w:hAnsiTheme="majorBidi" w:cstheme="majorBidi"/>
          <w:i/>
          <w:iCs/>
          <w:noProof/>
        </w:rPr>
        <w:t>et al.</w:t>
      </w:r>
      <w:r w:rsidRPr="00A35149">
        <w:rPr>
          <w:rFonts w:asciiTheme="majorBidi" w:hAnsiTheme="majorBidi" w:cstheme="majorBidi"/>
          <w:noProof/>
        </w:rPr>
        <w:t xml:space="preserve"> (2005) ‘Ascertainment bias in studies of human genome-wide polymorphism’, </w:t>
      </w:r>
      <w:r w:rsidRPr="00A35149">
        <w:rPr>
          <w:rFonts w:asciiTheme="majorBidi" w:hAnsiTheme="majorBidi" w:cstheme="majorBidi"/>
          <w:i/>
          <w:iCs/>
          <w:noProof/>
        </w:rPr>
        <w:t>Genome Research</w:t>
      </w:r>
      <w:r w:rsidRPr="00A35149">
        <w:rPr>
          <w:rFonts w:asciiTheme="majorBidi" w:hAnsiTheme="majorBidi" w:cstheme="majorBidi"/>
          <w:noProof/>
        </w:rPr>
        <w:t>, 15(11), pp. 1496–1502. doi: 10.1101/gr.4107905.</w:t>
      </w:r>
    </w:p>
    <w:p w14:paraId="0E1F3110"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67E71722" w14:textId="03CDED8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Conomos, M. P. </w:t>
      </w:r>
      <w:r w:rsidRPr="00A35149">
        <w:rPr>
          <w:rFonts w:asciiTheme="majorBidi" w:hAnsiTheme="majorBidi" w:cstheme="majorBidi"/>
          <w:i/>
          <w:iCs/>
          <w:noProof/>
        </w:rPr>
        <w:t>et al.</w:t>
      </w:r>
      <w:r w:rsidRPr="00A35149">
        <w:rPr>
          <w:rFonts w:asciiTheme="majorBidi" w:hAnsiTheme="majorBidi" w:cstheme="majorBidi"/>
          <w:noProof/>
        </w:rPr>
        <w:t xml:space="preserve"> (2016) ‘Model-free Estimation of Recent Genetic Relatedness’, </w:t>
      </w:r>
      <w:r w:rsidRPr="00A35149">
        <w:rPr>
          <w:rFonts w:asciiTheme="majorBidi" w:hAnsiTheme="majorBidi" w:cstheme="majorBidi"/>
          <w:i/>
          <w:iCs/>
          <w:noProof/>
        </w:rPr>
        <w:t>American Journal of Human Genetics</w:t>
      </w:r>
      <w:r w:rsidRPr="00A35149">
        <w:rPr>
          <w:rFonts w:asciiTheme="majorBidi" w:hAnsiTheme="majorBidi" w:cstheme="majorBidi"/>
          <w:noProof/>
        </w:rPr>
        <w:t>, 98(1), pp. 127–148. doi: 10.1016/j.ajhg.2015.11.022.</w:t>
      </w:r>
    </w:p>
    <w:p w14:paraId="5A6D311F"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276F5223" w14:textId="5DA9E96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Conomos, M. P. </w:t>
      </w:r>
      <w:r w:rsidRPr="00A35149">
        <w:rPr>
          <w:rFonts w:asciiTheme="majorBidi" w:hAnsiTheme="majorBidi" w:cstheme="majorBidi"/>
          <w:i/>
          <w:iCs/>
          <w:noProof/>
        </w:rPr>
        <w:t>et al.</w:t>
      </w:r>
      <w:r w:rsidRPr="00A35149">
        <w:rPr>
          <w:rFonts w:asciiTheme="majorBidi" w:hAnsiTheme="majorBidi" w:cstheme="majorBidi"/>
          <w:noProof/>
        </w:rPr>
        <w:t xml:space="preserve"> (2018) ‘Genome-Wide Control of Population Structure and Relatedness in Genetic Association Studies via Linear Mixed Models with Orthogonally Partitioned Structure’, </w:t>
      </w:r>
      <w:r w:rsidRPr="00A35149">
        <w:rPr>
          <w:rFonts w:asciiTheme="majorBidi" w:hAnsiTheme="majorBidi" w:cstheme="majorBidi"/>
          <w:i/>
          <w:iCs/>
          <w:noProof/>
        </w:rPr>
        <w:t>bioRxiv</w:t>
      </w:r>
      <w:r w:rsidRPr="00A35149">
        <w:rPr>
          <w:rFonts w:asciiTheme="majorBidi" w:hAnsiTheme="majorBidi" w:cstheme="majorBidi"/>
          <w:noProof/>
        </w:rPr>
        <w:t>, p. 409953. doi: 10.1101/409953.</w:t>
      </w:r>
    </w:p>
    <w:p w14:paraId="09D77996"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74AED9EF" w14:textId="68546C9C"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Corander, J., Waldmann, P. and Sillanpää, M. J. (2003) ‘Bayesian analysis of genetic differentiation between populations.’, </w:t>
      </w:r>
      <w:r w:rsidRPr="00A35149">
        <w:rPr>
          <w:rFonts w:asciiTheme="majorBidi" w:hAnsiTheme="majorBidi" w:cstheme="majorBidi"/>
          <w:i/>
          <w:iCs/>
          <w:noProof/>
        </w:rPr>
        <w:t>Genetics</w:t>
      </w:r>
      <w:r w:rsidRPr="00A35149">
        <w:rPr>
          <w:rFonts w:asciiTheme="majorBidi" w:hAnsiTheme="majorBidi" w:cstheme="majorBidi"/>
          <w:noProof/>
        </w:rPr>
        <w:t>, 163(1), pp. 367–374.</w:t>
      </w:r>
    </w:p>
    <w:p w14:paraId="37EBB390"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72EBA221" w14:textId="2A025E63"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Coulon, A. </w:t>
      </w:r>
      <w:r w:rsidRPr="00A35149">
        <w:rPr>
          <w:rFonts w:asciiTheme="majorBidi" w:hAnsiTheme="majorBidi" w:cstheme="majorBidi"/>
          <w:i/>
          <w:iCs/>
          <w:noProof/>
        </w:rPr>
        <w:t>et al.</w:t>
      </w:r>
      <w:r w:rsidRPr="00A35149">
        <w:rPr>
          <w:rFonts w:asciiTheme="majorBidi" w:hAnsiTheme="majorBidi" w:cstheme="majorBidi"/>
          <w:noProof/>
        </w:rPr>
        <w:t xml:space="preserve"> (2006) ‘Genetic structure is influenced by landscape features: Empirical evidence from a roe deer population’, </w:t>
      </w:r>
      <w:r w:rsidRPr="00A35149">
        <w:rPr>
          <w:rFonts w:asciiTheme="majorBidi" w:hAnsiTheme="majorBidi" w:cstheme="majorBidi"/>
          <w:i/>
          <w:iCs/>
          <w:noProof/>
        </w:rPr>
        <w:t>Molecular Ecology</w:t>
      </w:r>
      <w:r w:rsidRPr="00A35149">
        <w:rPr>
          <w:rFonts w:asciiTheme="majorBidi" w:hAnsiTheme="majorBidi" w:cstheme="majorBidi"/>
          <w:noProof/>
        </w:rPr>
        <w:t>, 15(6), pp. 1669–1679. doi: 10.1111/j.1365-294X.2006.02861.x.</w:t>
      </w:r>
    </w:p>
    <w:p w14:paraId="4683463F"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54B7B304" w14:textId="2A602BF6"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Cruz-Correa, M. </w:t>
      </w:r>
      <w:r w:rsidRPr="00A35149">
        <w:rPr>
          <w:rFonts w:asciiTheme="majorBidi" w:hAnsiTheme="majorBidi" w:cstheme="majorBidi"/>
          <w:i/>
          <w:iCs/>
          <w:noProof/>
        </w:rPr>
        <w:t>et al.</w:t>
      </w:r>
      <w:r w:rsidRPr="00A35149">
        <w:rPr>
          <w:rFonts w:asciiTheme="majorBidi" w:hAnsiTheme="majorBidi" w:cstheme="majorBidi"/>
          <w:noProof/>
        </w:rPr>
        <w:t xml:space="preserve"> (2017) ‘Clinical Cancer Genetics Disparities among Latinos’, </w:t>
      </w:r>
      <w:r w:rsidRPr="00A35149">
        <w:rPr>
          <w:rFonts w:asciiTheme="majorBidi" w:hAnsiTheme="majorBidi" w:cstheme="majorBidi"/>
          <w:i/>
          <w:iCs/>
          <w:noProof/>
        </w:rPr>
        <w:t>Journal of Genetic Counseling</w:t>
      </w:r>
      <w:r w:rsidRPr="00A35149">
        <w:rPr>
          <w:rFonts w:asciiTheme="majorBidi" w:hAnsiTheme="majorBidi" w:cstheme="majorBidi"/>
          <w:noProof/>
        </w:rPr>
        <w:t>, pp. 379–386. doi: 10.1007/s10897-016-0051-x.</w:t>
      </w:r>
    </w:p>
    <w:p w14:paraId="438D42C7"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265B7101" w14:textId="352ABC79"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Daar, A. S. and Singer, P. A. (2005) ‘Pharmacogenetics and geographical ancestry: Implications for drug development and global health’, </w:t>
      </w:r>
      <w:r w:rsidRPr="00A35149">
        <w:rPr>
          <w:rFonts w:asciiTheme="majorBidi" w:hAnsiTheme="majorBidi" w:cstheme="majorBidi"/>
          <w:i/>
          <w:iCs/>
          <w:noProof/>
        </w:rPr>
        <w:t>Nature Reviews Genetics</w:t>
      </w:r>
      <w:r w:rsidRPr="00A35149">
        <w:rPr>
          <w:rFonts w:asciiTheme="majorBidi" w:hAnsiTheme="majorBidi" w:cstheme="majorBidi"/>
          <w:noProof/>
        </w:rPr>
        <w:t>, pp. 241–246. doi: 10.1038/nrg1559.</w:t>
      </w:r>
    </w:p>
    <w:p w14:paraId="5E89D15F"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1D0AF0F5" w14:textId="1D479773"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Das, R. </w:t>
      </w:r>
      <w:r w:rsidRPr="00A35149">
        <w:rPr>
          <w:rFonts w:asciiTheme="majorBidi" w:hAnsiTheme="majorBidi" w:cstheme="majorBidi"/>
          <w:i/>
          <w:iCs/>
          <w:noProof/>
        </w:rPr>
        <w:t>et al.</w:t>
      </w:r>
      <w:r w:rsidRPr="00A35149">
        <w:rPr>
          <w:rFonts w:asciiTheme="majorBidi" w:hAnsiTheme="majorBidi" w:cstheme="majorBidi"/>
          <w:noProof/>
        </w:rPr>
        <w:t xml:space="preserve"> (2016) ‘Localizing Ashkenazic Jews to primeval villages in the ancient Iranian lands of Ashkenaz’, </w:t>
      </w:r>
      <w:r w:rsidRPr="00A35149">
        <w:rPr>
          <w:rFonts w:asciiTheme="majorBidi" w:hAnsiTheme="majorBidi" w:cstheme="majorBidi"/>
          <w:i/>
          <w:iCs/>
          <w:noProof/>
        </w:rPr>
        <w:t>Genome Biology and Evolution</w:t>
      </w:r>
      <w:r w:rsidRPr="00A35149">
        <w:rPr>
          <w:rFonts w:asciiTheme="majorBidi" w:hAnsiTheme="majorBidi" w:cstheme="majorBidi"/>
          <w:noProof/>
        </w:rPr>
        <w:t>, 8(4), pp. 1132–1149. doi: 10.1093/gbe/evw046.</w:t>
      </w:r>
    </w:p>
    <w:p w14:paraId="358280D2"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7CAA651" w14:textId="4DC5BA22"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Das, R. </w:t>
      </w:r>
      <w:r w:rsidRPr="00A35149">
        <w:rPr>
          <w:rFonts w:asciiTheme="majorBidi" w:hAnsiTheme="majorBidi" w:cstheme="majorBidi"/>
          <w:i/>
          <w:iCs/>
          <w:noProof/>
        </w:rPr>
        <w:t>et al.</w:t>
      </w:r>
      <w:r w:rsidRPr="00A35149">
        <w:rPr>
          <w:rFonts w:asciiTheme="majorBidi" w:hAnsiTheme="majorBidi" w:cstheme="majorBidi"/>
          <w:noProof/>
        </w:rPr>
        <w:t xml:space="preserve"> (2017) ‘The origins of Ashkenaz, Ashkenazic Jews, and Yiddish’, </w:t>
      </w:r>
      <w:r w:rsidRPr="00A35149">
        <w:rPr>
          <w:rFonts w:asciiTheme="majorBidi" w:hAnsiTheme="majorBidi" w:cstheme="majorBidi"/>
          <w:i/>
          <w:iCs/>
          <w:noProof/>
        </w:rPr>
        <w:t>Frontiers in Genetics</w:t>
      </w:r>
      <w:r w:rsidRPr="00A35149">
        <w:rPr>
          <w:rFonts w:asciiTheme="majorBidi" w:hAnsiTheme="majorBidi" w:cstheme="majorBidi"/>
          <w:noProof/>
        </w:rPr>
        <w:t>, 8(JUN). doi: 10.3389/fgene.2017.00087.</w:t>
      </w:r>
    </w:p>
    <w:p w14:paraId="6814E744"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45B5DEC" w14:textId="6A94C34A"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lastRenderedPageBreak/>
        <w:t xml:space="preserve">Davey-Smith, G. D. and Ebrahim, S. (2003) ‘“Mendelian randomization”: Can genetic epidemiology contribute to understanding environmental determinants of disease?’, </w:t>
      </w:r>
      <w:r w:rsidRPr="00A35149">
        <w:rPr>
          <w:rFonts w:asciiTheme="majorBidi" w:hAnsiTheme="majorBidi" w:cstheme="majorBidi"/>
          <w:i/>
          <w:iCs/>
          <w:noProof/>
        </w:rPr>
        <w:t>International Journal of Epidemiology</w:t>
      </w:r>
      <w:r w:rsidRPr="00A35149">
        <w:rPr>
          <w:rFonts w:asciiTheme="majorBidi" w:hAnsiTheme="majorBidi" w:cstheme="majorBidi"/>
          <w:noProof/>
        </w:rPr>
        <w:t>, 32(1), pp. 1–22. doi: 10.1093/ije/dyg070.</w:t>
      </w:r>
    </w:p>
    <w:p w14:paraId="5F6C1618"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002F012D" w14:textId="04F8FF7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Dias-Alves, T., Mairal, J. and Blum, M. G. B. (2018) ‘Loter: A software package to infer local ancestry for a wide range of species’, </w:t>
      </w:r>
      <w:r w:rsidRPr="00A35149">
        <w:rPr>
          <w:rFonts w:asciiTheme="majorBidi" w:hAnsiTheme="majorBidi" w:cstheme="majorBidi"/>
          <w:i/>
          <w:iCs/>
          <w:noProof/>
        </w:rPr>
        <w:t>Molecular Biology and Evolution</w:t>
      </w:r>
      <w:r w:rsidRPr="00A35149">
        <w:rPr>
          <w:rFonts w:asciiTheme="majorBidi" w:hAnsiTheme="majorBidi" w:cstheme="majorBidi"/>
          <w:noProof/>
        </w:rPr>
        <w:t>, 35(9), pp. 2318–2326. doi: 10.1093/molbev/msy126.</w:t>
      </w:r>
    </w:p>
    <w:p w14:paraId="07C8FA15"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264CD80B" w14:textId="50988F94"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Dubow, T. and Marjanovic, S. (2016) </w:t>
      </w:r>
      <w:r w:rsidRPr="00A35149">
        <w:rPr>
          <w:rFonts w:asciiTheme="majorBidi" w:hAnsiTheme="majorBidi" w:cstheme="majorBidi"/>
          <w:i/>
          <w:iCs/>
          <w:noProof/>
        </w:rPr>
        <w:t>Population-scale sequencing and the future of genomic medicine: Learning from past and present efforts</w:t>
      </w:r>
      <w:r w:rsidRPr="00A35149">
        <w:rPr>
          <w:rFonts w:asciiTheme="majorBidi" w:hAnsiTheme="majorBidi" w:cstheme="majorBidi"/>
          <w:noProof/>
        </w:rPr>
        <w:t xml:space="preserve">, </w:t>
      </w:r>
      <w:r w:rsidRPr="00A35149">
        <w:rPr>
          <w:rFonts w:asciiTheme="majorBidi" w:hAnsiTheme="majorBidi" w:cstheme="majorBidi"/>
          <w:i/>
          <w:iCs/>
          <w:noProof/>
        </w:rPr>
        <w:t>Population-scale sequencing and the future of genomic medicine: Learning from past and present efforts</w:t>
      </w:r>
      <w:r w:rsidRPr="00A35149">
        <w:rPr>
          <w:rFonts w:asciiTheme="majorBidi" w:hAnsiTheme="majorBidi" w:cstheme="majorBidi"/>
          <w:noProof/>
        </w:rPr>
        <w:t>. doi: 10.7249/rr1520.</w:t>
      </w:r>
    </w:p>
    <w:p w14:paraId="505DDA56"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6D08D66B" w14:textId="442EBEE3"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Durand, E. </w:t>
      </w:r>
      <w:r w:rsidRPr="00A35149">
        <w:rPr>
          <w:rFonts w:asciiTheme="majorBidi" w:hAnsiTheme="majorBidi" w:cstheme="majorBidi"/>
          <w:i/>
          <w:iCs/>
          <w:noProof/>
        </w:rPr>
        <w:t>et al.</w:t>
      </w:r>
      <w:r w:rsidRPr="00A35149">
        <w:rPr>
          <w:rFonts w:asciiTheme="majorBidi" w:hAnsiTheme="majorBidi" w:cstheme="majorBidi"/>
          <w:noProof/>
        </w:rPr>
        <w:t xml:space="preserve"> (2009) ‘Spatial inference of admixture proportions and secondary contact zones’, </w:t>
      </w:r>
      <w:r w:rsidRPr="00A35149">
        <w:rPr>
          <w:rFonts w:asciiTheme="majorBidi" w:hAnsiTheme="majorBidi" w:cstheme="majorBidi"/>
          <w:i/>
          <w:iCs/>
          <w:noProof/>
        </w:rPr>
        <w:t>Molecular Biology and Evolution</w:t>
      </w:r>
      <w:r w:rsidRPr="00A35149">
        <w:rPr>
          <w:rFonts w:asciiTheme="majorBidi" w:hAnsiTheme="majorBidi" w:cstheme="majorBidi"/>
          <w:noProof/>
        </w:rPr>
        <w:t>, 26(9), pp. 1963–1973. doi: 10.1093/molbev/msp106.</w:t>
      </w:r>
    </w:p>
    <w:p w14:paraId="52B760A8"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0716A67C" w14:textId="3B8E073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Durand, E. Y., Eriksson, N. and Mclean, C. Y. (2014) ‘Reducing pervasive false-positive identical-by-descent segments detected by large-scale pedigree analysis’, </w:t>
      </w:r>
      <w:r w:rsidRPr="00A35149">
        <w:rPr>
          <w:rFonts w:asciiTheme="majorBidi" w:hAnsiTheme="majorBidi" w:cstheme="majorBidi"/>
          <w:i/>
          <w:iCs/>
          <w:noProof/>
        </w:rPr>
        <w:t>Molecular Biology and Evolution</w:t>
      </w:r>
      <w:r w:rsidRPr="00A35149">
        <w:rPr>
          <w:rFonts w:asciiTheme="majorBidi" w:hAnsiTheme="majorBidi" w:cstheme="majorBidi"/>
          <w:noProof/>
        </w:rPr>
        <w:t>, 31(8), pp. 2212–2222. doi: 10.1093/molbev/msu151.</w:t>
      </w:r>
    </w:p>
    <w:p w14:paraId="1307304E"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0AFD8DD6" w14:textId="6003F62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Durbin, R. (2014) ‘Efficient haplotype matching and storage using the positional Burrows-Wheeler transform (PBWT)’, </w:t>
      </w:r>
      <w:r w:rsidRPr="00A35149">
        <w:rPr>
          <w:rFonts w:asciiTheme="majorBidi" w:hAnsiTheme="majorBidi" w:cstheme="majorBidi"/>
          <w:i/>
          <w:iCs/>
          <w:noProof/>
        </w:rPr>
        <w:t>Bioinformatics</w:t>
      </w:r>
      <w:r w:rsidRPr="00A35149">
        <w:rPr>
          <w:rFonts w:asciiTheme="majorBidi" w:hAnsiTheme="majorBidi" w:cstheme="majorBidi"/>
          <w:noProof/>
        </w:rPr>
        <w:t>, 30(9), pp. 1266–1272. doi: 10.1093/bioinformatics/btu014.</w:t>
      </w:r>
    </w:p>
    <w:p w14:paraId="213BDF52"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3C36F35B" w14:textId="15D4D6A9"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Dyer, C. (2020) ‘Covid-19: Rules on sharing confidential patient information are relaxed in England’, </w:t>
      </w:r>
      <w:r w:rsidRPr="00A35149">
        <w:rPr>
          <w:rFonts w:asciiTheme="majorBidi" w:hAnsiTheme="majorBidi" w:cstheme="majorBidi"/>
          <w:i/>
          <w:iCs/>
          <w:noProof/>
        </w:rPr>
        <w:t>Bmj</w:t>
      </w:r>
      <w:r w:rsidRPr="00A35149">
        <w:rPr>
          <w:rFonts w:asciiTheme="majorBidi" w:hAnsiTheme="majorBidi" w:cstheme="majorBidi"/>
          <w:noProof/>
        </w:rPr>
        <w:t>, p. m1378. doi: 10.1136/bmj.m1378.</w:t>
      </w:r>
    </w:p>
    <w:p w14:paraId="5A93C65E"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2322AEC5" w14:textId="10F32309"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Elhaik, E. (2012) ‘Empirical Distributions of FST from Large-Scale Human Polymorphism Data’, </w:t>
      </w:r>
      <w:r w:rsidRPr="00A35149">
        <w:rPr>
          <w:rFonts w:asciiTheme="majorBidi" w:hAnsiTheme="majorBidi" w:cstheme="majorBidi"/>
          <w:i/>
          <w:iCs/>
          <w:noProof/>
        </w:rPr>
        <w:t>PLoS ONE</w:t>
      </w:r>
      <w:r w:rsidRPr="00A35149">
        <w:rPr>
          <w:rFonts w:asciiTheme="majorBidi" w:hAnsiTheme="majorBidi" w:cstheme="majorBidi"/>
          <w:noProof/>
        </w:rPr>
        <w:t>, 7(11). doi: 10.1371/journal.pone.0049837.</w:t>
      </w:r>
    </w:p>
    <w:p w14:paraId="657EBB03"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049784B3" w14:textId="722DE388"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Elhaik, E. </w:t>
      </w:r>
      <w:r w:rsidRPr="00A35149">
        <w:rPr>
          <w:rFonts w:asciiTheme="majorBidi" w:hAnsiTheme="majorBidi" w:cstheme="majorBidi"/>
          <w:i/>
          <w:iCs/>
          <w:noProof/>
        </w:rPr>
        <w:t>et al.</w:t>
      </w:r>
      <w:r w:rsidRPr="00A35149">
        <w:rPr>
          <w:rFonts w:asciiTheme="majorBidi" w:hAnsiTheme="majorBidi" w:cstheme="majorBidi"/>
          <w:noProof/>
        </w:rPr>
        <w:t xml:space="preserve"> (2013) ‘The GenoChip: A new tool for genetic anthropology’, </w:t>
      </w:r>
      <w:r w:rsidRPr="00A35149">
        <w:rPr>
          <w:rFonts w:asciiTheme="majorBidi" w:hAnsiTheme="majorBidi" w:cstheme="majorBidi"/>
          <w:i/>
          <w:iCs/>
          <w:noProof/>
        </w:rPr>
        <w:t>Genome Biology and Evolution</w:t>
      </w:r>
      <w:r w:rsidRPr="00A35149">
        <w:rPr>
          <w:rFonts w:asciiTheme="majorBidi" w:hAnsiTheme="majorBidi" w:cstheme="majorBidi"/>
          <w:noProof/>
        </w:rPr>
        <w:t>, 5(5), pp. 1021–1031. doi: 10.1093/gbe/evt066.</w:t>
      </w:r>
    </w:p>
    <w:p w14:paraId="2E16688C"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3CA854B" w14:textId="49D93D6D"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Elhaik, E. </w:t>
      </w:r>
      <w:r w:rsidRPr="00A35149">
        <w:rPr>
          <w:rFonts w:asciiTheme="majorBidi" w:hAnsiTheme="majorBidi" w:cstheme="majorBidi"/>
          <w:i/>
          <w:iCs/>
          <w:noProof/>
        </w:rPr>
        <w:t>et al.</w:t>
      </w:r>
      <w:r w:rsidRPr="00A35149">
        <w:rPr>
          <w:rFonts w:asciiTheme="majorBidi" w:hAnsiTheme="majorBidi" w:cstheme="majorBidi"/>
          <w:noProof/>
        </w:rPr>
        <w:t xml:space="preserve"> (2014) ‘Geographic population structure analysis of worldwide human populations infers their biogeographical origins’, </w:t>
      </w:r>
      <w:r w:rsidRPr="00A35149">
        <w:rPr>
          <w:rFonts w:asciiTheme="majorBidi" w:hAnsiTheme="majorBidi" w:cstheme="majorBidi"/>
          <w:i/>
          <w:iCs/>
          <w:noProof/>
        </w:rPr>
        <w:t>Nature Communications</w:t>
      </w:r>
      <w:r w:rsidRPr="00A35149">
        <w:rPr>
          <w:rFonts w:asciiTheme="majorBidi" w:hAnsiTheme="majorBidi" w:cstheme="majorBidi"/>
          <w:noProof/>
        </w:rPr>
        <w:t>, 5. doi: 10.1038/ncomms4513.</w:t>
      </w:r>
    </w:p>
    <w:p w14:paraId="4D5D9B4E"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B6865E9" w14:textId="2CB5968E"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Elhaik, E. and Ryan, D. M. (2019) ‘Pair Matcher (PaM): fast model-based optimization of treatment/case-control matches’, </w:t>
      </w:r>
      <w:r w:rsidRPr="00A35149">
        <w:rPr>
          <w:rFonts w:asciiTheme="majorBidi" w:hAnsiTheme="majorBidi" w:cstheme="majorBidi"/>
          <w:i/>
          <w:iCs/>
          <w:noProof/>
        </w:rPr>
        <w:t>Bioinformatics</w:t>
      </w:r>
      <w:r w:rsidRPr="00A35149">
        <w:rPr>
          <w:rFonts w:asciiTheme="majorBidi" w:hAnsiTheme="majorBidi" w:cstheme="majorBidi"/>
          <w:noProof/>
        </w:rPr>
        <w:t>, 35(13), pp. 2243–2250. doi: 10.1093/bioinformatics/bty946.</w:t>
      </w:r>
    </w:p>
    <w:p w14:paraId="153C7279"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7F1A8969" w14:textId="1B1BD163"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Esposito, U. </w:t>
      </w:r>
      <w:r w:rsidRPr="00A35149">
        <w:rPr>
          <w:rFonts w:asciiTheme="majorBidi" w:hAnsiTheme="majorBidi" w:cstheme="majorBidi"/>
          <w:i/>
          <w:iCs/>
          <w:noProof/>
        </w:rPr>
        <w:t>et al.</w:t>
      </w:r>
      <w:r w:rsidRPr="00A35149">
        <w:rPr>
          <w:rFonts w:asciiTheme="majorBidi" w:hAnsiTheme="majorBidi" w:cstheme="majorBidi"/>
          <w:noProof/>
        </w:rPr>
        <w:t xml:space="preserve"> (2018) ‘Ancient ancestry informative markers for identifying fine-scale ancient population structure in eurasians’, </w:t>
      </w:r>
      <w:r w:rsidRPr="00A35149">
        <w:rPr>
          <w:rFonts w:asciiTheme="majorBidi" w:hAnsiTheme="majorBidi" w:cstheme="majorBidi"/>
          <w:i/>
          <w:iCs/>
          <w:noProof/>
        </w:rPr>
        <w:t>Genes</w:t>
      </w:r>
      <w:r w:rsidRPr="00A35149">
        <w:rPr>
          <w:rFonts w:asciiTheme="majorBidi" w:hAnsiTheme="majorBidi" w:cstheme="majorBidi"/>
          <w:noProof/>
        </w:rPr>
        <w:t>, 9(12). doi: 10.3390/genes9120625.</w:t>
      </w:r>
    </w:p>
    <w:p w14:paraId="647A0C64"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38168552" w14:textId="4B004594"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Falush, D., Stephens, M. and Pritchard, J. K. (2003) ‘Inference of population structure using multilocus genotype data: linked loci and correlated allele frequencies.’, </w:t>
      </w:r>
      <w:r w:rsidRPr="00A35149">
        <w:rPr>
          <w:rFonts w:asciiTheme="majorBidi" w:hAnsiTheme="majorBidi" w:cstheme="majorBidi"/>
          <w:i/>
          <w:iCs/>
          <w:noProof/>
        </w:rPr>
        <w:t>Genetics</w:t>
      </w:r>
      <w:r w:rsidRPr="00A35149">
        <w:rPr>
          <w:rFonts w:asciiTheme="majorBidi" w:hAnsiTheme="majorBidi" w:cstheme="majorBidi"/>
          <w:noProof/>
        </w:rPr>
        <w:t>, 164(4), pp. 1567–1587.</w:t>
      </w:r>
    </w:p>
    <w:p w14:paraId="09ABE166"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53055E26" w14:textId="393A391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Feero, W. G., Guttmacher, A. E. and Collins, F. S. (2010) ‘Genomic medicine - An updated primer’, </w:t>
      </w:r>
      <w:r w:rsidRPr="00A35149">
        <w:rPr>
          <w:rFonts w:asciiTheme="majorBidi" w:hAnsiTheme="majorBidi" w:cstheme="majorBidi"/>
          <w:i/>
          <w:iCs/>
          <w:noProof/>
        </w:rPr>
        <w:t>New England Journal of Medicine</w:t>
      </w:r>
      <w:r w:rsidRPr="00A35149">
        <w:rPr>
          <w:rFonts w:asciiTheme="majorBidi" w:hAnsiTheme="majorBidi" w:cstheme="majorBidi"/>
          <w:noProof/>
        </w:rPr>
        <w:t>. doi: 10.1056/NEJMra0907175.</w:t>
      </w:r>
    </w:p>
    <w:p w14:paraId="785FA117"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0FF9BCF6" w14:textId="21F2BD94"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lastRenderedPageBreak/>
        <w:t xml:space="preserve">Finan, C. </w:t>
      </w:r>
      <w:r w:rsidRPr="00A35149">
        <w:rPr>
          <w:rFonts w:asciiTheme="majorBidi" w:hAnsiTheme="majorBidi" w:cstheme="majorBidi"/>
          <w:i/>
          <w:iCs/>
          <w:noProof/>
        </w:rPr>
        <w:t>et al.</w:t>
      </w:r>
      <w:r w:rsidRPr="00A35149">
        <w:rPr>
          <w:rFonts w:asciiTheme="majorBidi" w:hAnsiTheme="majorBidi" w:cstheme="majorBidi"/>
          <w:noProof/>
        </w:rPr>
        <w:t xml:space="preserve"> (2017) ‘The druggable genome and support for target identification and validation in drug development’, </w:t>
      </w:r>
      <w:r w:rsidRPr="00A35149">
        <w:rPr>
          <w:rFonts w:asciiTheme="majorBidi" w:hAnsiTheme="majorBidi" w:cstheme="majorBidi"/>
          <w:i/>
          <w:iCs/>
          <w:noProof/>
        </w:rPr>
        <w:t>Science Translational Medicine</w:t>
      </w:r>
      <w:r w:rsidRPr="00A35149">
        <w:rPr>
          <w:rFonts w:asciiTheme="majorBidi" w:hAnsiTheme="majorBidi" w:cstheme="majorBidi"/>
          <w:noProof/>
        </w:rPr>
        <w:t>, 9(383). doi: 10.1126/scitranslmed.aag1166.</w:t>
      </w:r>
    </w:p>
    <w:p w14:paraId="619A1EBF"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7AD2E515" w14:textId="1B13CC8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Flegontov, P. </w:t>
      </w:r>
      <w:r w:rsidRPr="00A35149">
        <w:rPr>
          <w:rFonts w:asciiTheme="majorBidi" w:hAnsiTheme="majorBidi" w:cstheme="majorBidi"/>
          <w:i/>
          <w:iCs/>
          <w:noProof/>
        </w:rPr>
        <w:t>et al.</w:t>
      </w:r>
      <w:r w:rsidRPr="00A35149">
        <w:rPr>
          <w:rFonts w:asciiTheme="majorBidi" w:hAnsiTheme="majorBidi" w:cstheme="majorBidi"/>
          <w:noProof/>
        </w:rPr>
        <w:t xml:space="preserve"> (2016) ‘Genomic study of the Ket: A Paleo-Eskimo-related ethnic group with significant ancient North Eurasian ancestry’, </w:t>
      </w:r>
      <w:r w:rsidRPr="00A35149">
        <w:rPr>
          <w:rFonts w:asciiTheme="majorBidi" w:hAnsiTheme="majorBidi" w:cstheme="majorBidi"/>
          <w:i/>
          <w:iCs/>
          <w:noProof/>
        </w:rPr>
        <w:t>Scientific Reports</w:t>
      </w:r>
      <w:r w:rsidRPr="00A35149">
        <w:rPr>
          <w:rFonts w:asciiTheme="majorBidi" w:hAnsiTheme="majorBidi" w:cstheme="majorBidi"/>
          <w:noProof/>
        </w:rPr>
        <w:t>. doi: 10.1038/srep20768.</w:t>
      </w:r>
    </w:p>
    <w:p w14:paraId="7209AEC7"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07AB4DEB" w14:textId="709A7F11"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Frantz, A. C.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(2009) ‘Using spatial Bayesian methods to determine the genetic structure of a continuously distributed population: Clusters or isolation by distance?’, </w:t>
      </w:r>
      <w:r w:rsidRPr="00A35149">
        <w:rPr>
          <w:rFonts w:asciiTheme="majorBidi" w:hAnsiTheme="majorBidi" w:cstheme="majorBidi"/>
          <w:i/>
          <w:iCs/>
          <w:noProof/>
        </w:rPr>
        <w:t>Journal of Applied Ecology</w:t>
      </w:r>
      <w:r w:rsidRPr="00A35149">
        <w:rPr>
          <w:rFonts w:asciiTheme="majorBidi" w:hAnsiTheme="majorBidi" w:cstheme="majorBidi"/>
          <w:noProof/>
        </w:rPr>
        <w:t>, 46(2), pp. 493–505. doi: 10.1111/j.1365-2664.2008.01606.x.</w:t>
      </w:r>
    </w:p>
    <w:p w14:paraId="52186DDA"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51D8EA71" w14:textId="7882EF04"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Galinsky, K. J.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(2016) ‘Population Structure of UK Biobank and Ancient Eurasians Reveals Adaptation at Genes Influencing Blood Pressure’, </w:t>
      </w:r>
      <w:r w:rsidRPr="00A35149">
        <w:rPr>
          <w:rFonts w:asciiTheme="majorBidi" w:hAnsiTheme="majorBidi" w:cstheme="majorBidi"/>
          <w:i/>
          <w:iCs/>
          <w:noProof/>
        </w:rPr>
        <w:t>American Journal of Human Genetics</w:t>
      </w:r>
      <w:r w:rsidRPr="00A35149">
        <w:rPr>
          <w:rFonts w:asciiTheme="majorBidi" w:hAnsiTheme="majorBidi" w:cstheme="majorBidi"/>
          <w:noProof/>
        </w:rPr>
        <w:t>, 99(5), pp. 1130–1139. doi: 10.1016/j.ajhg.2016.09.014.</w:t>
      </w:r>
    </w:p>
    <w:p w14:paraId="10FB62E8"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09A6C220" w14:textId="0E3B38B6"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García-Pérez, M. Á. (2019) ‘Bayesian Estimation with Informative Priors is Indistinguishable from Data Falsification’, </w:t>
      </w:r>
      <w:r w:rsidRPr="00A35149">
        <w:rPr>
          <w:rFonts w:asciiTheme="majorBidi" w:hAnsiTheme="majorBidi" w:cstheme="majorBidi"/>
          <w:i/>
          <w:iCs/>
          <w:noProof/>
        </w:rPr>
        <w:t>The Spanish journal of psychology</w:t>
      </w:r>
      <w:r w:rsidRPr="00A35149">
        <w:rPr>
          <w:rFonts w:asciiTheme="majorBidi" w:hAnsiTheme="majorBidi" w:cstheme="majorBidi"/>
          <w:noProof/>
        </w:rPr>
        <w:t>, 22. doi: 10.1017/sjp.2019.41.</w:t>
      </w:r>
    </w:p>
    <w:p w14:paraId="105661F7"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5D720DA1" w14:textId="170E080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Generation Scotland (2016) ‘Generation Scotland : Facts and Figures’, (July).</w:t>
      </w:r>
    </w:p>
    <w:p w14:paraId="55786A07"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7B81C8AE" w14:textId="5CF8F268"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Gopalan, P. </w:t>
      </w:r>
      <w:r w:rsidRPr="00A35149">
        <w:rPr>
          <w:rFonts w:asciiTheme="majorBidi" w:hAnsiTheme="majorBidi" w:cstheme="majorBidi"/>
          <w:i/>
          <w:iCs/>
          <w:noProof/>
        </w:rPr>
        <w:t>et al.</w:t>
      </w:r>
      <w:r w:rsidRPr="00A35149">
        <w:rPr>
          <w:rFonts w:asciiTheme="majorBidi" w:hAnsiTheme="majorBidi" w:cstheme="majorBidi"/>
          <w:noProof/>
        </w:rPr>
        <w:t xml:space="preserve"> (2016) ‘Scaling probabilistic models of genetic variation to millions of humans’, </w:t>
      </w:r>
      <w:r w:rsidRPr="00A35149">
        <w:rPr>
          <w:rFonts w:asciiTheme="majorBidi" w:hAnsiTheme="majorBidi" w:cstheme="majorBidi"/>
          <w:i/>
          <w:iCs/>
          <w:noProof/>
        </w:rPr>
        <w:t>Nature Genetics</w:t>
      </w:r>
      <w:r w:rsidRPr="00A35149">
        <w:rPr>
          <w:rFonts w:asciiTheme="majorBidi" w:hAnsiTheme="majorBidi" w:cstheme="majorBidi"/>
          <w:noProof/>
        </w:rPr>
        <w:t>, 48(12), pp. 1587–1590. doi: 10.1038/ng.3710.</w:t>
      </w:r>
    </w:p>
    <w:p w14:paraId="1A5AE3C6"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3CFCAA55" w14:textId="07887E1D"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Guillot, G. </w:t>
      </w:r>
      <w:r w:rsidRPr="00A35149">
        <w:rPr>
          <w:rFonts w:asciiTheme="majorBidi" w:hAnsiTheme="majorBidi" w:cstheme="majorBidi"/>
          <w:i/>
          <w:iCs/>
          <w:noProof/>
        </w:rPr>
        <w:t>et al.</w:t>
      </w:r>
      <w:r w:rsidRPr="00A35149">
        <w:rPr>
          <w:rFonts w:asciiTheme="majorBidi" w:hAnsiTheme="majorBidi" w:cstheme="majorBidi"/>
          <w:noProof/>
        </w:rPr>
        <w:t xml:space="preserve"> (2005) ‘A spatial statistical model for landscape genetics’, </w:t>
      </w:r>
      <w:r w:rsidRPr="00A35149">
        <w:rPr>
          <w:rFonts w:asciiTheme="majorBidi" w:hAnsiTheme="majorBidi" w:cstheme="majorBidi"/>
          <w:i/>
          <w:iCs/>
          <w:noProof/>
        </w:rPr>
        <w:t>Genetics</w:t>
      </w:r>
      <w:r w:rsidRPr="00A35149">
        <w:rPr>
          <w:rFonts w:asciiTheme="majorBidi" w:hAnsiTheme="majorBidi" w:cstheme="majorBidi"/>
          <w:noProof/>
        </w:rPr>
        <w:t>, 170(3), pp. 1261–1280. doi: 10.1534/genetics.104.033803.</w:t>
      </w:r>
    </w:p>
    <w:p w14:paraId="6A9CB050"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41F40BE" w14:textId="2BE0D01D"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Guillot, G., Mortier, F. and Estoup, A. (2005) ‘GENELAND: A computer package for landscape genetics’, </w:t>
      </w:r>
      <w:r w:rsidRPr="00A35149">
        <w:rPr>
          <w:rFonts w:asciiTheme="majorBidi" w:hAnsiTheme="majorBidi" w:cstheme="majorBidi"/>
          <w:i/>
          <w:iCs/>
          <w:noProof/>
        </w:rPr>
        <w:t>Molecular Ecology Notes</w:t>
      </w:r>
      <w:r w:rsidRPr="00A35149">
        <w:rPr>
          <w:rFonts w:asciiTheme="majorBidi" w:hAnsiTheme="majorBidi" w:cstheme="majorBidi"/>
          <w:noProof/>
        </w:rPr>
        <w:t>, 5(2), pp. 712–715. doi: 10.1111/j.1471-8286.2005.01031.x.</w:t>
      </w:r>
    </w:p>
    <w:p w14:paraId="5BC05A99"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7E0385E5" w14:textId="1824EDB8"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Gusev, A. </w:t>
      </w:r>
      <w:r w:rsidRPr="00A35149">
        <w:rPr>
          <w:rFonts w:asciiTheme="majorBidi" w:hAnsiTheme="majorBidi" w:cstheme="majorBidi"/>
          <w:i/>
          <w:iCs/>
          <w:noProof/>
        </w:rPr>
        <w:t>et al.</w:t>
      </w:r>
      <w:r w:rsidRPr="00A35149">
        <w:rPr>
          <w:rFonts w:asciiTheme="majorBidi" w:hAnsiTheme="majorBidi" w:cstheme="majorBidi"/>
          <w:noProof/>
        </w:rPr>
        <w:t xml:space="preserve"> (2009) ‘Whole population, genome-wide mapping of hidden relatedness’, </w:t>
      </w:r>
      <w:r w:rsidRPr="00A35149">
        <w:rPr>
          <w:rFonts w:asciiTheme="majorBidi" w:hAnsiTheme="majorBidi" w:cstheme="majorBidi"/>
          <w:i/>
          <w:iCs/>
          <w:noProof/>
        </w:rPr>
        <w:t>Genome Research</w:t>
      </w:r>
      <w:r w:rsidRPr="00A35149">
        <w:rPr>
          <w:rFonts w:asciiTheme="majorBidi" w:hAnsiTheme="majorBidi" w:cstheme="majorBidi"/>
          <w:noProof/>
        </w:rPr>
        <w:t>, 19, pp. 318–326. doi: 10.1101/gr.081398.108.</w:t>
      </w:r>
    </w:p>
    <w:p w14:paraId="7B18DF24"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6834B054" w14:textId="7D60869B"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Guttmacher, A. E. and Collins, F. S. (2002) ‘Genomic medicine - A primer’, </w:t>
      </w:r>
      <w:r w:rsidRPr="00A35149">
        <w:rPr>
          <w:rFonts w:asciiTheme="majorBidi" w:hAnsiTheme="majorBidi" w:cstheme="majorBidi"/>
          <w:i/>
          <w:iCs/>
          <w:noProof/>
        </w:rPr>
        <w:t>New England Journal of Medicine</w:t>
      </w:r>
      <w:r w:rsidRPr="00A35149">
        <w:rPr>
          <w:rFonts w:asciiTheme="majorBidi" w:hAnsiTheme="majorBidi" w:cstheme="majorBidi"/>
          <w:noProof/>
        </w:rPr>
        <w:t>, 347(19), pp. 1512–1520. doi: 10.1056/NEJMra012240.</w:t>
      </w:r>
    </w:p>
    <w:p w14:paraId="106CDE37"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85D7662" w14:textId="04356B9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Hayeck, T. J. </w:t>
      </w:r>
      <w:r w:rsidRPr="00A35149">
        <w:rPr>
          <w:rFonts w:asciiTheme="majorBidi" w:hAnsiTheme="majorBidi" w:cstheme="majorBidi"/>
          <w:i/>
          <w:iCs/>
          <w:noProof/>
        </w:rPr>
        <w:t>et al.</w:t>
      </w:r>
      <w:r w:rsidRPr="00A35149">
        <w:rPr>
          <w:rFonts w:asciiTheme="majorBidi" w:hAnsiTheme="majorBidi" w:cstheme="majorBidi"/>
          <w:noProof/>
        </w:rPr>
        <w:t xml:space="preserve"> (2015) ‘Mixed model with correction for case-control ascertainment increases association power’, </w:t>
      </w:r>
      <w:r w:rsidRPr="00A35149">
        <w:rPr>
          <w:rFonts w:asciiTheme="majorBidi" w:hAnsiTheme="majorBidi" w:cstheme="majorBidi"/>
          <w:i/>
          <w:iCs/>
          <w:noProof/>
        </w:rPr>
        <w:t>American Journal of Human Genetics</w:t>
      </w:r>
      <w:r w:rsidRPr="00A35149">
        <w:rPr>
          <w:rFonts w:asciiTheme="majorBidi" w:hAnsiTheme="majorBidi" w:cstheme="majorBidi"/>
          <w:noProof/>
        </w:rPr>
        <w:t>, 96(5), pp. 720–730. doi: 10.1016/j.ajhg.2015.03.004.</w:t>
      </w:r>
    </w:p>
    <w:p w14:paraId="776CB7D1"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4936EB5" w14:textId="3B95A87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Hellenthal, G. </w:t>
      </w:r>
      <w:r w:rsidRPr="00A35149">
        <w:rPr>
          <w:rFonts w:asciiTheme="majorBidi" w:hAnsiTheme="majorBidi" w:cstheme="majorBidi"/>
          <w:i/>
          <w:iCs/>
          <w:noProof/>
        </w:rPr>
        <w:t>et al.</w:t>
      </w:r>
      <w:r w:rsidRPr="00A35149">
        <w:rPr>
          <w:rFonts w:asciiTheme="majorBidi" w:hAnsiTheme="majorBidi" w:cstheme="majorBidi"/>
          <w:noProof/>
        </w:rPr>
        <w:t xml:space="preserve"> (2014) ‘A genetic atlas of human admixture history’, </w:t>
      </w:r>
      <w:r w:rsidRPr="00A35149">
        <w:rPr>
          <w:rFonts w:asciiTheme="majorBidi" w:hAnsiTheme="majorBidi" w:cstheme="majorBidi"/>
          <w:i/>
          <w:iCs/>
          <w:noProof/>
        </w:rPr>
        <w:t>Science</w:t>
      </w:r>
      <w:r w:rsidRPr="00A35149">
        <w:rPr>
          <w:rFonts w:asciiTheme="majorBidi" w:hAnsiTheme="majorBidi" w:cstheme="majorBidi"/>
          <w:noProof/>
        </w:rPr>
        <w:t>, 343(6172), pp. 747–751. doi: 10.1126/science.1243518.</w:t>
      </w:r>
    </w:p>
    <w:p w14:paraId="1C86B6EA"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670AFF2D" w14:textId="20D4BDEB"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Hellwege, J. N.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(2017) ‘Population Stratification in Genetic Association Studies’, </w:t>
      </w:r>
      <w:r w:rsidRPr="00A35149">
        <w:rPr>
          <w:rFonts w:asciiTheme="majorBidi" w:hAnsiTheme="majorBidi" w:cstheme="majorBidi"/>
          <w:i/>
          <w:iCs/>
          <w:noProof/>
        </w:rPr>
        <w:t>Current protocols in human genetics</w:t>
      </w:r>
      <w:r w:rsidRPr="00A35149">
        <w:rPr>
          <w:rFonts w:asciiTheme="majorBidi" w:hAnsiTheme="majorBidi" w:cstheme="majorBidi"/>
          <w:noProof/>
        </w:rPr>
        <w:t>, 95, pp. 1.22.1-1.22.23. doi: 10.1002/cphg.48.</w:t>
      </w:r>
    </w:p>
    <w:p w14:paraId="3B466C15"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2BEC50FE" w14:textId="772400FA"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Hemani, G. </w:t>
      </w:r>
      <w:r w:rsidRPr="00A35149">
        <w:rPr>
          <w:rFonts w:asciiTheme="majorBidi" w:hAnsiTheme="majorBidi" w:cstheme="majorBidi"/>
          <w:i/>
          <w:iCs/>
          <w:noProof/>
        </w:rPr>
        <w:t>et al.</w:t>
      </w:r>
      <w:r w:rsidRPr="00A35149">
        <w:rPr>
          <w:rFonts w:asciiTheme="majorBidi" w:hAnsiTheme="majorBidi" w:cstheme="majorBidi"/>
          <w:noProof/>
        </w:rPr>
        <w:t xml:space="preserve"> (2016) ‘MR-Base: a platform for systematic causal inference across the phenome using billions of genetic associations’, </w:t>
      </w:r>
      <w:r w:rsidRPr="00A35149">
        <w:rPr>
          <w:rFonts w:asciiTheme="majorBidi" w:hAnsiTheme="majorBidi" w:cstheme="majorBidi"/>
          <w:i/>
          <w:iCs/>
          <w:noProof/>
        </w:rPr>
        <w:t>bioRxiv</w:t>
      </w:r>
      <w:r w:rsidRPr="00A35149">
        <w:rPr>
          <w:rFonts w:asciiTheme="majorBidi" w:hAnsiTheme="majorBidi" w:cstheme="majorBidi"/>
          <w:noProof/>
        </w:rPr>
        <w:t>, p. 078972. doi: 10.1101/078972.</w:t>
      </w:r>
    </w:p>
    <w:p w14:paraId="6D5BEA6B"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23EBEC7A" w14:textId="17AD45D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Hindorff, L. A. </w:t>
      </w:r>
      <w:r w:rsidRPr="00A35149">
        <w:rPr>
          <w:rFonts w:asciiTheme="majorBidi" w:hAnsiTheme="majorBidi" w:cstheme="majorBidi"/>
          <w:i/>
          <w:iCs/>
          <w:noProof/>
        </w:rPr>
        <w:t>et al.</w:t>
      </w:r>
      <w:r w:rsidRPr="00A35149">
        <w:rPr>
          <w:rFonts w:asciiTheme="majorBidi" w:hAnsiTheme="majorBidi" w:cstheme="majorBidi"/>
          <w:noProof/>
        </w:rPr>
        <w:t xml:space="preserve"> (2018) ‘Prioritizing diversity in human genomics research’, </w:t>
      </w:r>
      <w:r w:rsidRPr="00A35149">
        <w:rPr>
          <w:rFonts w:asciiTheme="majorBidi" w:hAnsiTheme="majorBidi" w:cstheme="majorBidi"/>
          <w:i/>
          <w:iCs/>
          <w:noProof/>
        </w:rPr>
        <w:t xml:space="preserve">Nature </w:t>
      </w:r>
      <w:r w:rsidRPr="00A35149">
        <w:rPr>
          <w:rFonts w:asciiTheme="majorBidi" w:hAnsiTheme="majorBidi" w:cstheme="majorBidi"/>
          <w:i/>
          <w:iCs/>
          <w:noProof/>
        </w:rPr>
        <w:lastRenderedPageBreak/>
        <w:t>Reviews Genetics</w:t>
      </w:r>
      <w:r w:rsidRPr="00A35149">
        <w:rPr>
          <w:rFonts w:asciiTheme="majorBidi" w:hAnsiTheme="majorBidi" w:cstheme="majorBidi"/>
          <w:noProof/>
        </w:rPr>
        <w:t>, 19(3), pp. 175–185. doi: 10.1038/nrg.2017.89.</w:t>
      </w:r>
    </w:p>
    <w:p w14:paraId="0E106101"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2CDBD3BF" w14:textId="7A3CEB0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Ikegawa, S. (2012) ‘A Short History of the Genome-Wide Association Study: Where We Were and Where We Are Going’, </w:t>
      </w:r>
      <w:r w:rsidRPr="00A35149">
        <w:rPr>
          <w:rFonts w:asciiTheme="majorBidi" w:hAnsiTheme="majorBidi" w:cstheme="majorBidi"/>
          <w:i/>
          <w:iCs/>
          <w:noProof/>
        </w:rPr>
        <w:t>Genomics &amp; Informatics</w:t>
      </w:r>
      <w:r w:rsidRPr="00A35149">
        <w:rPr>
          <w:rFonts w:asciiTheme="majorBidi" w:hAnsiTheme="majorBidi" w:cstheme="majorBidi"/>
          <w:noProof/>
        </w:rPr>
        <w:t>, 10(4), p. 220. doi: 10.5808/gi.2012.10.4.220.</w:t>
      </w:r>
    </w:p>
    <w:p w14:paraId="59617DF3"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08570E8C" w14:textId="25661C89"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Illumina (2013) </w:t>
      </w:r>
      <w:r w:rsidRPr="00A35149">
        <w:rPr>
          <w:rFonts w:asciiTheme="majorBidi" w:hAnsiTheme="majorBidi" w:cstheme="majorBidi"/>
          <w:i/>
          <w:iCs/>
          <w:noProof/>
        </w:rPr>
        <w:t>Illumina Microarray Solutions</w:t>
      </w:r>
      <w:r w:rsidRPr="00A35149">
        <w:rPr>
          <w:rFonts w:asciiTheme="majorBidi" w:hAnsiTheme="majorBidi" w:cstheme="majorBidi"/>
          <w:noProof/>
        </w:rPr>
        <w:t xml:space="preserve">, </w:t>
      </w:r>
      <w:r w:rsidRPr="00A35149">
        <w:rPr>
          <w:rFonts w:asciiTheme="majorBidi" w:hAnsiTheme="majorBidi" w:cstheme="majorBidi"/>
          <w:i/>
          <w:iCs/>
          <w:noProof/>
        </w:rPr>
        <w:t>370-2013-003</w:t>
      </w:r>
      <w:r w:rsidRPr="00A35149">
        <w:rPr>
          <w:rFonts w:asciiTheme="majorBidi" w:hAnsiTheme="majorBidi" w:cstheme="majorBidi"/>
          <w:noProof/>
        </w:rPr>
        <w:t>. Available at: https://www.illumina.com/content/dam/illumina-marketing/documents/applications/genotyping/Microarray_Solutions.pdf.</w:t>
      </w:r>
    </w:p>
    <w:p w14:paraId="34E07536"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0ED5C144" w14:textId="0C29A66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Ioannidis, J. P. A., Ntzani, E. E. and Trikalinos, T. A. (2004) ‘“Racial” differences in genetic effects for complex diseases’, </w:t>
      </w:r>
      <w:r w:rsidRPr="00A35149">
        <w:rPr>
          <w:rFonts w:asciiTheme="majorBidi" w:hAnsiTheme="majorBidi" w:cstheme="majorBidi"/>
          <w:i/>
          <w:iCs/>
          <w:noProof/>
        </w:rPr>
        <w:t>Nature Genetics</w:t>
      </w:r>
      <w:r w:rsidRPr="00A35149">
        <w:rPr>
          <w:rFonts w:asciiTheme="majorBidi" w:hAnsiTheme="majorBidi" w:cstheme="majorBidi"/>
          <w:noProof/>
        </w:rPr>
        <w:t>, 36(12), pp. 1312–1318. doi: 10.1038/ng1474.</w:t>
      </w:r>
    </w:p>
    <w:p w14:paraId="1122DAF1"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39640E38" w14:textId="21FD654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Jakobsson, M. </w:t>
      </w:r>
      <w:r w:rsidRPr="00A35149">
        <w:rPr>
          <w:rFonts w:asciiTheme="majorBidi" w:hAnsiTheme="majorBidi" w:cstheme="majorBidi"/>
          <w:i/>
          <w:iCs/>
          <w:noProof/>
        </w:rPr>
        <w:t>et al.</w:t>
      </w:r>
      <w:r w:rsidRPr="00A35149">
        <w:rPr>
          <w:rFonts w:asciiTheme="majorBidi" w:hAnsiTheme="majorBidi" w:cstheme="majorBidi"/>
          <w:noProof/>
        </w:rPr>
        <w:t xml:space="preserve"> (2008) ‘Genotype, haplotype and copy-number variation in worldwide human populations.’, </w:t>
      </w:r>
      <w:r w:rsidRPr="00A35149">
        <w:rPr>
          <w:rFonts w:asciiTheme="majorBidi" w:hAnsiTheme="majorBidi" w:cstheme="majorBidi"/>
          <w:i/>
          <w:iCs/>
          <w:noProof/>
        </w:rPr>
        <w:t>Nature</w:t>
      </w:r>
      <w:r w:rsidRPr="00A35149">
        <w:rPr>
          <w:rFonts w:asciiTheme="majorBidi" w:hAnsiTheme="majorBidi" w:cstheme="majorBidi"/>
          <w:noProof/>
        </w:rPr>
        <w:t>, 451(7181), pp. 998–1003. doi: 10.1038/nature06742.</w:t>
      </w:r>
    </w:p>
    <w:p w14:paraId="0F83BC34"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E823CE1" w14:textId="0135FEFC"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Jiang, D. and Wang, M. (2018) ‘Recent developments in statistical methods for gwas and high-throughput sequencing association studies of complex traits’, </w:t>
      </w:r>
      <w:r w:rsidRPr="00A35149">
        <w:rPr>
          <w:rFonts w:asciiTheme="majorBidi" w:hAnsiTheme="majorBidi" w:cstheme="majorBidi"/>
          <w:i/>
          <w:iCs/>
          <w:noProof/>
        </w:rPr>
        <w:t>Biostatistics and Epidemiology</w:t>
      </w:r>
      <w:r w:rsidRPr="00A35149">
        <w:rPr>
          <w:rFonts w:asciiTheme="majorBidi" w:hAnsiTheme="majorBidi" w:cstheme="majorBidi"/>
          <w:noProof/>
        </w:rPr>
        <w:t>, 2(1), pp. 132–159. doi: 10.1080/24709360.2018.1529346.</w:t>
      </w:r>
    </w:p>
    <w:p w14:paraId="2F44E34A"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756668F7" w14:textId="4BD7C246"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Johnson, S. B. </w:t>
      </w:r>
      <w:r w:rsidRPr="00A35149">
        <w:rPr>
          <w:rFonts w:asciiTheme="majorBidi" w:hAnsiTheme="majorBidi" w:cstheme="majorBidi"/>
          <w:i/>
          <w:iCs/>
          <w:noProof/>
        </w:rPr>
        <w:t>et al.</w:t>
      </w:r>
      <w:r w:rsidRPr="00A35149">
        <w:rPr>
          <w:rFonts w:asciiTheme="majorBidi" w:hAnsiTheme="majorBidi" w:cstheme="majorBidi"/>
          <w:noProof/>
        </w:rPr>
        <w:t xml:space="preserve"> (2019) ‘Rethinking the ethical principles of genomic medicine services’, </w:t>
      </w:r>
      <w:r w:rsidRPr="00A35149">
        <w:rPr>
          <w:rFonts w:asciiTheme="majorBidi" w:hAnsiTheme="majorBidi" w:cstheme="majorBidi"/>
          <w:i/>
          <w:iCs/>
          <w:noProof/>
        </w:rPr>
        <w:t>European Journal of Human Genetics</w:t>
      </w:r>
      <w:r w:rsidRPr="00A35149">
        <w:rPr>
          <w:rFonts w:asciiTheme="majorBidi" w:hAnsiTheme="majorBidi" w:cstheme="majorBidi"/>
          <w:noProof/>
        </w:rPr>
        <w:t>. doi: 10.1038/s41431-019-0507-1.</w:t>
      </w:r>
    </w:p>
    <w:p w14:paraId="55FCD7D1"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74D5B4C7" w14:textId="00D0669A"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Jurczak, K. (2017) </w:t>
      </w:r>
      <w:r w:rsidRPr="00A35149">
        <w:rPr>
          <w:rFonts w:asciiTheme="majorBidi" w:hAnsiTheme="majorBidi" w:cstheme="majorBidi"/>
          <w:i/>
          <w:iCs/>
          <w:noProof/>
        </w:rPr>
        <w:t>Ethnic groups and nationalities in Iceland</w:t>
      </w:r>
      <w:r w:rsidRPr="00A35149">
        <w:rPr>
          <w:rFonts w:asciiTheme="majorBidi" w:hAnsiTheme="majorBidi" w:cstheme="majorBidi"/>
          <w:noProof/>
        </w:rPr>
        <w:t xml:space="preserve">, </w:t>
      </w:r>
      <w:r w:rsidRPr="00A35149">
        <w:rPr>
          <w:rFonts w:asciiTheme="majorBidi" w:hAnsiTheme="majorBidi" w:cstheme="majorBidi"/>
          <w:i/>
          <w:iCs/>
          <w:noProof/>
        </w:rPr>
        <w:t>WorldAtlas</w:t>
      </w:r>
      <w:r w:rsidRPr="00A35149">
        <w:rPr>
          <w:rFonts w:asciiTheme="majorBidi" w:hAnsiTheme="majorBidi" w:cstheme="majorBidi"/>
          <w:noProof/>
        </w:rPr>
        <w:t>.</w:t>
      </w:r>
    </w:p>
    <w:p w14:paraId="234A22A3"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585299C" w14:textId="5FF05DC4"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Kaiser, J. (2002) ‘Population databases boom, From Iceland to the U.S.’, </w:t>
      </w:r>
      <w:r w:rsidRPr="00A35149">
        <w:rPr>
          <w:rFonts w:asciiTheme="majorBidi" w:hAnsiTheme="majorBidi" w:cstheme="majorBidi"/>
          <w:i/>
          <w:iCs/>
          <w:noProof/>
        </w:rPr>
        <w:t>Science</w:t>
      </w:r>
      <w:r w:rsidRPr="00A35149">
        <w:rPr>
          <w:rFonts w:asciiTheme="majorBidi" w:hAnsiTheme="majorBidi" w:cstheme="majorBidi"/>
          <w:noProof/>
        </w:rPr>
        <w:t>, 298(5596), pp. 1158–1161. doi: 10.1126/science.298.5596.1158.</w:t>
      </w:r>
    </w:p>
    <w:p w14:paraId="4D4D34F3"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209A0E21" w14:textId="6E1F9969"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Kalinowski, S. T. (2011) ‘The computer program STRUCTURE does not reliably identify the main genetic clusters within species: Simulations and implications for human population structure’, </w:t>
      </w:r>
      <w:r w:rsidRPr="00A35149">
        <w:rPr>
          <w:rFonts w:asciiTheme="majorBidi" w:hAnsiTheme="majorBidi" w:cstheme="majorBidi"/>
          <w:i/>
          <w:iCs/>
          <w:noProof/>
        </w:rPr>
        <w:t>Heredity</w:t>
      </w:r>
      <w:r w:rsidRPr="00A35149">
        <w:rPr>
          <w:rFonts w:asciiTheme="majorBidi" w:hAnsiTheme="majorBidi" w:cstheme="majorBidi"/>
          <w:noProof/>
        </w:rPr>
        <w:t>, 106(4), pp. 625–632. doi: 10.1038/hdy.2010.95.</w:t>
      </w:r>
    </w:p>
    <w:p w14:paraId="48C05C31"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511CD444" w14:textId="25F5260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Kamm, J. </w:t>
      </w:r>
      <w:r w:rsidRPr="00A35149">
        <w:rPr>
          <w:rFonts w:asciiTheme="majorBidi" w:hAnsiTheme="majorBidi" w:cstheme="majorBidi"/>
          <w:i/>
          <w:iCs/>
          <w:noProof/>
        </w:rPr>
        <w:t>et al.</w:t>
      </w:r>
      <w:r w:rsidRPr="00A35149">
        <w:rPr>
          <w:rFonts w:asciiTheme="majorBidi" w:hAnsiTheme="majorBidi" w:cstheme="majorBidi"/>
          <w:noProof/>
        </w:rPr>
        <w:t xml:space="preserve"> (2019) ‘Efficiently Inferring the Demographic History of Many Populations With Allele Count Data’, </w:t>
      </w:r>
      <w:r w:rsidRPr="00A35149">
        <w:rPr>
          <w:rFonts w:asciiTheme="majorBidi" w:hAnsiTheme="majorBidi" w:cstheme="majorBidi"/>
          <w:i/>
          <w:iCs/>
          <w:noProof/>
        </w:rPr>
        <w:t>Journal of the American Statistical Association</w:t>
      </w:r>
      <w:r w:rsidRPr="00A35149">
        <w:rPr>
          <w:rFonts w:asciiTheme="majorBidi" w:hAnsiTheme="majorBidi" w:cstheme="majorBidi"/>
          <w:noProof/>
        </w:rPr>
        <w:t>, pp. 1–16. doi: 10.1080/01621459.2019.1635482.</w:t>
      </w:r>
    </w:p>
    <w:p w14:paraId="37AFAE82"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5A080B18" w14:textId="169D9D7E"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Karczewski, K. J.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(2019) ‘Variation across 141,456 human exomes and genomes reveals the spectrum of loss-of-function intolerance across human protein-coding genes’, </w:t>
      </w:r>
      <w:r w:rsidRPr="00A35149">
        <w:rPr>
          <w:rFonts w:asciiTheme="majorBidi" w:hAnsiTheme="majorBidi" w:cstheme="majorBidi"/>
          <w:i/>
          <w:iCs/>
          <w:noProof/>
        </w:rPr>
        <w:t>bioRxiv</w:t>
      </w:r>
      <w:r w:rsidRPr="00A35149">
        <w:rPr>
          <w:rFonts w:asciiTheme="majorBidi" w:hAnsiTheme="majorBidi" w:cstheme="majorBidi"/>
          <w:noProof/>
        </w:rPr>
        <w:t>, p. 531210. doi: 10.1101/531210.</w:t>
      </w:r>
    </w:p>
    <w:p w14:paraId="01FCCF67"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019E821F" w14:textId="69C692DB"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Katan, M. B. (2004) ‘Apolipoprotein E isoforms, serum cholesterol, and cancer’, </w:t>
      </w:r>
      <w:r w:rsidRPr="00A35149">
        <w:rPr>
          <w:rFonts w:asciiTheme="majorBidi" w:hAnsiTheme="majorBidi" w:cstheme="majorBidi"/>
          <w:i/>
          <w:iCs/>
          <w:noProof/>
        </w:rPr>
        <w:t>International Journal of Epidemiology</w:t>
      </w:r>
      <w:r w:rsidRPr="00A35149">
        <w:rPr>
          <w:rFonts w:asciiTheme="majorBidi" w:hAnsiTheme="majorBidi" w:cstheme="majorBidi"/>
          <w:noProof/>
        </w:rPr>
        <w:t>, 33(1), p. 9. doi: 10.1093/ije/dyh312.</w:t>
      </w:r>
    </w:p>
    <w:p w14:paraId="45B6D006"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38F2900A" w14:textId="5AAD4ED9"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Khan, S. S., Cooper, R. and Greenland, P. (2020) ‘Do Polygenic Risk Scores Improve Patient Selection for Prevention of Coronary Artery Disease?’, </w:t>
      </w:r>
      <w:r w:rsidRPr="00A35149">
        <w:rPr>
          <w:rFonts w:asciiTheme="majorBidi" w:hAnsiTheme="majorBidi" w:cstheme="majorBidi"/>
          <w:i/>
          <w:iCs/>
          <w:noProof/>
        </w:rPr>
        <w:t>JAMA - Journal of the American Medical Association</w:t>
      </w:r>
      <w:r w:rsidRPr="00A35149">
        <w:rPr>
          <w:rFonts w:asciiTheme="majorBidi" w:hAnsiTheme="majorBidi" w:cstheme="majorBidi"/>
          <w:noProof/>
        </w:rPr>
        <w:t>, 323(7), pp. 614–615. doi: 10.1001/jama.2019.21667.</w:t>
      </w:r>
    </w:p>
    <w:p w14:paraId="5BD6D64F"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C8CB2FD" w14:textId="115743F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Koellinger, P. D. and De Vlaming, R. (2019) ‘Mendelian randomization: The challenge of unobserved environmental confounds’, </w:t>
      </w:r>
      <w:r w:rsidRPr="00A35149">
        <w:rPr>
          <w:rFonts w:asciiTheme="majorBidi" w:hAnsiTheme="majorBidi" w:cstheme="majorBidi"/>
          <w:i/>
          <w:iCs/>
          <w:noProof/>
        </w:rPr>
        <w:t>International Journal of Epidemiology</w:t>
      </w:r>
      <w:r w:rsidRPr="00A35149">
        <w:rPr>
          <w:rFonts w:asciiTheme="majorBidi" w:hAnsiTheme="majorBidi" w:cstheme="majorBidi"/>
          <w:noProof/>
        </w:rPr>
        <w:t>, 48(3), pp. 665–671. doi: 10.1093/ije/dyz138.</w:t>
      </w:r>
    </w:p>
    <w:p w14:paraId="0086430E"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CBB73AB" w14:textId="5BE8796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Kuhn, J. M. M., Jakobsson, M. and Günther, T. (2018) ‘Estimating genetic kin relationships in prehistoric populations’, </w:t>
      </w:r>
      <w:r w:rsidRPr="00A35149">
        <w:rPr>
          <w:rFonts w:asciiTheme="majorBidi" w:hAnsiTheme="majorBidi" w:cstheme="majorBidi"/>
          <w:i/>
          <w:iCs/>
          <w:noProof/>
        </w:rPr>
        <w:t>PLoS ONE</w:t>
      </w:r>
      <w:r w:rsidRPr="00A35149">
        <w:rPr>
          <w:rFonts w:asciiTheme="majorBidi" w:hAnsiTheme="majorBidi" w:cstheme="majorBidi"/>
          <w:noProof/>
        </w:rPr>
        <w:t>, 13(4). doi: 10.1371/journal.pone.0195491.</w:t>
      </w:r>
    </w:p>
    <w:p w14:paraId="2A0AA1B3"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4E514634" w14:textId="39C7335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Latch, E. K. </w:t>
      </w:r>
      <w:r w:rsidRPr="00A35149">
        <w:rPr>
          <w:rFonts w:asciiTheme="majorBidi" w:hAnsiTheme="majorBidi" w:cstheme="majorBidi"/>
          <w:i/>
          <w:iCs/>
          <w:noProof/>
        </w:rPr>
        <w:t>et al.</w:t>
      </w:r>
      <w:r w:rsidRPr="00A35149">
        <w:rPr>
          <w:rFonts w:asciiTheme="majorBidi" w:hAnsiTheme="majorBidi" w:cstheme="majorBidi"/>
          <w:noProof/>
        </w:rPr>
        <w:t xml:space="preserve"> (2006) ‘Relative performance of Bayesian clustering software for inferring population substructure and individual assignment at low levels of population differentiation’, </w:t>
      </w:r>
      <w:r w:rsidRPr="00A35149">
        <w:rPr>
          <w:rFonts w:asciiTheme="majorBidi" w:hAnsiTheme="majorBidi" w:cstheme="majorBidi"/>
          <w:i/>
          <w:iCs/>
          <w:noProof/>
        </w:rPr>
        <w:t>Conservation Genetics</w:t>
      </w:r>
      <w:r w:rsidRPr="00A35149">
        <w:rPr>
          <w:rFonts w:asciiTheme="majorBidi" w:hAnsiTheme="majorBidi" w:cstheme="majorBidi"/>
          <w:noProof/>
        </w:rPr>
        <w:t>, 7, pp. 295–302. doi: 10.1007/s10592-005-9098-1.</w:t>
      </w:r>
    </w:p>
    <w:p w14:paraId="54275469"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1EFF25FD" w14:textId="74EA1B54"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Lawson, D. J. </w:t>
      </w:r>
      <w:r w:rsidRPr="00A35149">
        <w:rPr>
          <w:rFonts w:asciiTheme="majorBidi" w:hAnsiTheme="majorBidi" w:cstheme="majorBidi"/>
          <w:i/>
          <w:iCs/>
          <w:noProof/>
        </w:rPr>
        <w:t>et al.</w:t>
      </w:r>
      <w:r w:rsidRPr="00A35149">
        <w:rPr>
          <w:rFonts w:asciiTheme="majorBidi" w:hAnsiTheme="majorBidi" w:cstheme="majorBidi"/>
          <w:noProof/>
        </w:rPr>
        <w:t xml:space="preserve"> (2012) ‘Inference of population structure using dense haplotype data’, </w:t>
      </w:r>
      <w:r w:rsidRPr="00A35149">
        <w:rPr>
          <w:rFonts w:asciiTheme="majorBidi" w:hAnsiTheme="majorBidi" w:cstheme="majorBidi"/>
          <w:i/>
          <w:iCs/>
          <w:noProof/>
        </w:rPr>
        <w:t>PLoS Genetics</w:t>
      </w:r>
      <w:r w:rsidRPr="00A35149">
        <w:rPr>
          <w:rFonts w:asciiTheme="majorBidi" w:hAnsiTheme="majorBidi" w:cstheme="majorBidi"/>
          <w:noProof/>
        </w:rPr>
        <w:t>, 8(1). doi: 10.1371/journal.pgen.1002453.</w:t>
      </w:r>
    </w:p>
    <w:p w14:paraId="799AB599"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3D61205F" w14:textId="03DE136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Lawson, D. J. </w:t>
      </w:r>
      <w:r w:rsidRPr="00A35149">
        <w:rPr>
          <w:rFonts w:asciiTheme="majorBidi" w:hAnsiTheme="majorBidi" w:cstheme="majorBidi"/>
          <w:i/>
          <w:iCs/>
          <w:noProof/>
        </w:rPr>
        <w:t>et al.</w:t>
      </w:r>
      <w:r w:rsidRPr="00A35149">
        <w:rPr>
          <w:rFonts w:asciiTheme="majorBidi" w:hAnsiTheme="majorBidi" w:cstheme="majorBidi"/>
          <w:noProof/>
        </w:rPr>
        <w:t xml:space="preserve"> (2020) ‘Is population structure in the genetic biobank era irrelevant, a challenge, or an opportunity?’, </w:t>
      </w:r>
      <w:r w:rsidRPr="00A35149">
        <w:rPr>
          <w:rFonts w:asciiTheme="majorBidi" w:hAnsiTheme="majorBidi" w:cstheme="majorBidi"/>
          <w:i/>
          <w:iCs/>
          <w:noProof/>
        </w:rPr>
        <w:t>Human Genetics</w:t>
      </w:r>
      <w:r w:rsidRPr="00A35149">
        <w:rPr>
          <w:rFonts w:asciiTheme="majorBidi" w:hAnsiTheme="majorBidi" w:cstheme="majorBidi"/>
          <w:noProof/>
        </w:rPr>
        <w:t>, 139(1), pp. 23–41. doi: 10.1007/s00439-019-02014-8.</w:t>
      </w:r>
    </w:p>
    <w:p w14:paraId="06490BC2"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52239E99" w14:textId="3F35995B"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Lawson, D. J., van Dorp, L. and Falush, D. (2018) ‘A tutorial on how not to over-interpret STRUCTURE and ADMIXTURE bar plots’, </w:t>
      </w:r>
      <w:r w:rsidRPr="00A35149">
        <w:rPr>
          <w:rFonts w:asciiTheme="majorBidi" w:hAnsiTheme="majorBidi" w:cstheme="majorBidi"/>
          <w:i/>
          <w:iCs/>
          <w:noProof/>
        </w:rPr>
        <w:t>Nature Communications</w:t>
      </w:r>
      <w:r w:rsidRPr="00A35149">
        <w:rPr>
          <w:rFonts w:asciiTheme="majorBidi" w:hAnsiTheme="majorBidi" w:cstheme="majorBidi"/>
          <w:noProof/>
        </w:rPr>
        <w:t>, 9(1). doi: 10.1038/s41467-018-05257-7.</w:t>
      </w:r>
    </w:p>
    <w:p w14:paraId="3D767D6D" w14:textId="77777777" w:rsidR="00D42B5A" w:rsidRPr="00A35149" w:rsidRDefault="00D42B5A" w:rsidP="003E4435">
      <w:pPr>
        <w:widowControl w:val="0"/>
        <w:autoSpaceDE w:val="0"/>
        <w:autoSpaceDN w:val="0"/>
        <w:adjustRightInd w:val="0"/>
        <w:rPr>
          <w:rFonts w:asciiTheme="majorBidi" w:hAnsiTheme="majorBidi" w:cstheme="majorBidi"/>
          <w:noProof/>
        </w:rPr>
      </w:pPr>
    </w:p>
    <w:p w14:paraId="3B88355D" w14:textId="3B54C0D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Lazaridis, I. </w:t>
      </w:r>
      <w:r w:rsidRPr="00A35149">
        <w:rPr>
          <w:rFonts w:asciiTheme="majorBidi" w:hAnsiTheme="majorBidi" w:cstheme="majorBidi"/>
          <w:i/>
          <w:iCs/>
          <w:noProof/>
        </w:rPr>
        <w:t>et al.</w:t>
      </w:r>
      <w:r w:rsidRPr="00A35149">
        <w:rPr>
          <w:rFonts w:asciiTheme="majorBidi" w:hAnsiTheme="majorBidi" w:cstheme="majorBidi"/>
          <w:noProof/>
        </w:rPr>
        <w:t xml:space="preserve"> (2014) ‘Ancient human genomes suggest three ancestral populations for present-day Europeans’, </w:t>
      </w:r>
      <w:r w:rsidRPr="00A35149">
        <w:rPr>
          <w:rFonts w:asciiTheme="majorBidi" w:hAnsiTheme="majorBidi" w:cstheme="majorBidi"/>
          <w:i/>
          <w:iCs/>
          <w:noProof/>
        </w:rPr>
        <w:t>Nature</w:t>
      </w:r>
      <w:r w:rsidRPr="00A35149">
        <w:rPr>
          <w:rFonts w:asciiTheme="majorBidi" w:hAnsiTheme="majorBidi" w:cstheme="majorBidi"/>
          <w:noProof/>
        </w:rPr>
        <w:t>, 513(7518), pp. 409–413. doi: 10.1038/nature13673.</w:t>
      </w:r>
    </w:p>
    <w:p w14:paraId="409E6860" w14:textId="77777777" w:rsidR="00E80327" w:rsidRPr="00A35149" w:rsidRDefault="00E80327" w:rsidP="003E4435">
      <w:pPr>
        <w:widowControl w:val="0"/>
        <w:autoSpaceDE w:val="0"/>
        <w:autoSpaceDN w:val="0"/>
        <w:adjustRightInd w:val="0"/>
        <w:rPr>
          <w:rFonts w:asciiTheme="majorBidi" w:hAnsiTheme="majorBidi" w:cstheme="majorBidi"/>
          <w:noProof/>
        </w:rPr>
      </w:pPr>
    </w:p>
    <w:p w14:paraId="73740C32" w14:textId="10344742"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Lek, M. </w:t>
      </w:r>
      <w:r w:rsidRPr="00A35149">
        <w:rPr>
          <w:rFonts w:asciiTheme="majorBidi" w:hAnsiTheme="majorBidi" w:cstheme="majorBidi"/>
          <w:i/>
          <w:iCs/>
          <w:noProof/>
        </w:rPr>
        <w:t>et al.</w:t>
      </w:r>
      <w:r w:rsidRPr="00A35149">
        <w:rPr>
          <w:rFonts w:asciiTheme="majorBidi" w:hAnsiTheme="majorBidi" w:cstheme="majorBidi"/>
          <w:noProof/>
        </w:rPr>
        <w:t xml:space="preserve"> (2016) ‘Analysis of protein-coding genetic variation in 60,706 humans’, </w:t>
      </w:r>
      <w:r w:rsidRPr="00A35149">
        <w:rPr>
          <w:rFonts w:asciiTheme="majorBidi" w:hAnsiTheme="majorBidi" w:cstheme="majorBidi"/>
          <w:i/>
          <w:iCs/>
          <w:noProof/>
        </w:rPr>
        <w:t>Nature</w:t>
      </w:r>
      <w:r w:rsidRPr="00A35149">
        <w:rPr>
          <w:rFonts w:asciiTheme="majorBidi" w:hAnsiTheme="majorBidi" w:cstheme="majorBidi"/>
          <w:noProof/>
        </w:rPr>
        <w:t>, 536(7616), pp. 285–291. doi: 10.1038/nature19057.</w:t>
      </w:r>
    </w:p>
    <w:p w14:paraId="4498A39D" w14:textId="77777777" w:rsidR="00E80327" w:rsidRPr="00A35149" w:rsidRDefault="00E80327" w:rsidP="003E4435">
      <w:pPr>
        <w:widowControl w:val="0"/>
        <w:autoSpaceDE w:val="0"/>
        <w:autoSpaceDN w:val="0"/>
        <w:adjustRightInd w:val="0"/>
        <w:rPr>
          <w:rFonts w:asciiTheme="majorBidi" w:hAnsiTheme="majorBidi" w:cstheme="majorBidi"/>
          <w:noProof/>
        </w:rPr>
      </w:pPr>
    </w:p>
    <w:p w14:paraId="4604CB15" w14:textId="1816FA9A"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Lesko, L. J. and Woodcock, J. (2004) ‘Translation of pharmacogenomics and pharmacogenetics: A regulatory perspective’, </w:t>
      </w:r>
      <w:r w:rsidRPr="00A35149">
        <w:rPr>
          <w:rFonts w:asciiTheme="majorBidi" w:hAnsiTheme="majorBidi" w:cstheme="majorBidi"/>
          <w:i/>
          <w:iCs/>
          <w:noProof/>
        </w:rPr>
        <w:t>Nature Reviews Drug Discovery</w:t>
      </w:r>
      <w:r w:rsidRPr="00A35149">
        <w:rPr>
          <w:rFonts w:asciiTheme="majorBidi" w:hAnsiTheme="majorBidi" w:cstheme="majorBidi"/>
          <w:noProof/>
        </w:rPr>
        <w:t>, 3(9), pp. 763–769. doi: 10.1038/nrd1499.</w:t>
      </w:r>
    </w:p>
    <w:p w14:paraId="03E5FFCE" w14:textId="77777777" w:rsidR="00E80327" w:rsidRPr="00A35149" w:rsidRDefault="00E80327" w:rsidP="003E4435">
      <w:pPr>
        <w:widowControl w:val="0"/>
        <w:autoSpaceDE w:val="0"/>
        <w:autoSpaceDN w:val="0"/>
        <w:adjustRightInd w:val="0"/>
        <w:rPr>
          <w:rFonts w:asciiTheme="majorBidi" w:hAnsiTheme="majorBidi" w:cstheme="majorBidi"/>
          <w:noProof/>
        </w:rPr>
      </w:pPr>
    </w:p>
    <w:p w14:paraId="40EFB447" w14:textId="2EC98452"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Leslie, S. </w:t>
      </w:r>
      <w:r w:rsidRPr="00A35149">
        <w:rPr>
          <w:rFonts w:asciiTheme="majorBidi" w:hAnsiTheme="majorBidi" w:cstheme="majorBidi"/>
          <w:i/>
          <w:iCs/>
          <w:noProof/>
        </w:rPr>
        <w:t>et al.</w:t>
      </w:r>
      <w:r w:rsidRPr="00A35149">
        <w:rPr>
          <w:rFonts w:asciiTheme="majorBidi" w:hAnsiTheme="majorBidi" w:cstheme="majorBidi"/>
          <w:noProof/>
        </w:rPr>
        <w:t xml:space="preserve"> (2015) ‘The fine-scale genetic structure of the British population’, </w:t>
      </w:r>
      <w:r w:rsidRPr="00A35149">
        <w:rPr>
          <w:rFonts w:asciiTheme="majorBidi" w:hAnsiTheme="majorBidi" w:cstheme="majorBidi"/>
          <w:i/>
          <w:iCs/>
          <w:noProof/>
        </w:rPr>
        <w:t>Nature</w:t>
      </w:r>
      <w:r w:rsidRPr="00A35149">
        <w:rPr>
          <w:rFonts w:asciiTheme="majorBidi" w:hAnsiTheme="majorBidi" w:cstheme="majorBidi"/>
          <w:noProof/>
        </w:rPr>
        <w:t>, 519(7543), pp. 309–314. doi: 10.1038/nature14230.</w:t>
      </w:r>
    </w:p>
    <w:p w14:paraId="0F966E0E" w14:textId="77777777" w:rsidR="00E80327" w:rsidRPr="00A35149" w:rsidRDefault="00E80327" w:rsidP="003E4435">
      <w:pPr>
        <w:widowControl w:val="0"/>
        <w:autoSpaceDE w:val="0"/>
        <w:autoSpaceDN w:val="0"/>
        <w:adjustRightInd w:val="0"/>
        <w:rPr>
          <w:rFonts w:asciiTheme="majorBidi" w:hAnsiTheme="majorBidi" w:cstheme="majorBidi"/>
          <w:noProof/>
        </w:rPr>
      </w:pPr>
    </w:p>
    <w:p w14:paraId="46E3E4DB" w14:textId="2993364A"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Lewis, L. D. (2005) ‘Personalized drug therapy; the genome, the chip and the physician’, </w:t>
      </w:r>
      <w:r w:rsidRPr="00A35149">
        <w:rPr>
          <w:rFonts w:asciiTheme="majorBidi" w:hAnsiTheme="majorBidi" w:cstheme="majorBidi"/>
          <w:i/>
          <w:iCs/>
          <w:noProof/>
        </w:rPr>
        <w:t>British Journal of Clinical Pharmacology</w:t>
      </w:r>
      <w:r w:rsidRPr="00A35149">
        <w:rPr>
          <w:rFonts w:asciiTheme="majorBidi" w:hAnsiTheme="majorBidi" w:cstheme="majorBidi"/>
          <w:noProof/>
        </w:rPr>
        <w:t>, 60(1), pp. 1–4. doi: 10.1111/j.1365-2125.2005.02457.x.</w:t>
      </w:r>
    </w:p>
    <w:p w14:paraId="0383D8CD" w14:textId="77777777" w:rsidR="00E80327" w:rsidRPr="00A35149" w:rsidRDefault="00E80327" w:rsidP="003E4435">
      <w:pPr>
        <w:widowControl w:val="0"/>
        <w:autoSpaceDE w:val="0"/>
        <w:autoSpaceDN w:val="0"/>
        <w:adjustRightInd w:val="0"/>
        <w:rPr>
          <w:rFonts w:asciiTheme="majorBidi" w:hAnsiTheme="majorBidi" w:cstheme="majorBidi"/>
          <w:noProof/>
        </w:rPr>
      </w:pPr>
    </w:p>
    <w:p w14:paraId="2FCF6FF7" w14:textId="1908D94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Li, Q. and Yu, K. (2008) ‘Improved correction for population stratification in genome-wide association studies by identifying hidden population structures’, </w:t>
      </w:r>
      <w:r w:rsidRPr="00A35149">
        <w:rPr>
          <w:rFonts w:asciiTheme="majorBidi" w:hAnsiTheme="majorBidi" w:cstheme="majorBidi"/>
          <w:i/>
          <w:iCs/>
          <w:noProof/>
        </w:rPr>
        <w:t>Genetic Epidemiology</w:t>
      </w:r>
      <w:r w:rsidRPr="00A35149">
        <w:rPr>
          <w:rFonts w:asciiTheme="majorBidi" w:hAnsiTheme="majorBidi" w:cstheme="majorBidi"/>
          <w:noProof/>
        </w:rPr>
        <w:t>, 32(3), pp. 215–226. doi: 10.1002/gepi.20296.</w:t>
      </w:r>
    </w:p>
    <w:p w14:paraId="2F5C75DA" w14:textId="77777777" w:rsidR="00E80327" w:rsidRPr="00A35149" w:rsidRDefault="00E80327" w:rsidP="003E4435">
      <w:pPr>
        <w:widowControl w:val="0"/>
        <w:autoSpaceDE w:val="0"/>
        <w:autoSpaceDN w:val="0"/>
        <w:adjustRightInd w:val="0"/>
        <w:rPr>
          <w:rFonts w:asciiTheme="majorBidi" w:hAnsiTheme="majorBidi" w:cstheme="majorBidi"/>
          <w:noProof/>
        </w:rPr>
      </w:pPr>
    </w:p>
    <w:p w14:paraId="4407185E" w14:textId="7420F4CE"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Li, Z. </w:t>
      </w:r>
      <w:r w:rsidRPr="00A35149">
        <w:rPr>
          <w:rFonts w:asciiTheme="majorBidi" w:hAnsiTheme="majorBidi" w:cstheme="majorBidi"/>
          <w:i/>
          <w:iCs/>
          <w:noProof/>
        </w:rPr>
        <w:t>et al.</w:t>
      </w:r>
      <w:r w:rsidRPr="00A35149">
        <w:rPr>
          <w:rFonts w:asciiTheme="majorBidi" w:hAnsiTheme="majorBidi" w:cstheme="majorBidi"/>
          <w:noProof/>
        </w:rPr>
        <w:t xml:space="preserve"> (2015) ‘Loci with genome-wide associations with schizophrenia in the Han Chinese population’, </w:t>
      </w:r>
      <w:r w:rsidRPr="00A35149">
        <w:rPr>
          <w:rFonts w:asciiTheme="majorBidi" w:hAnsiTheme="majorBidi" w:cstheme="majorBidi"/>
          <w:i/>
          <w:iCs/>
          <w:noProof/>
        </w:rPr>
        <w:t>British Journal of Psychiatry</w:t>
      </w:r>
      <w:r w:rsidRPr="00A35149">
        <w:rPr>
          <w:rFonts w:asciiTheme="majorBidi" w:hAnsiTheme="majorBidi" w:cstheme="majorBidi"/>
          <w:noProof/>
        </w:rPr>
        <w:t>, 207(6), pp. 490–494. doi: 10.1192/bjp.bp.114.150490.</w:t>
      </w:r>
    </w:p>
    <w:p w14:paraId="7845E4D6" w14:textId="77777777" w:rsidR="00E80327" w:rsidRPr="00A35149" w:rsidRDefault="00E80327" w:rsidP="003E4435">
      <w:pPr>
        <w:widowControl w:val="0"/>
        <w:autoSpaceDE w:val="0"/>
        <w:autoSpaceDN w:val="0"/>
        <w:adjustRightInd w:val="0"/>
        <w:rPr>
          <w:rFonts w:asciiTheme="majorBidi" w:hAnsiTheme="majorBidi" w:cstheme="majorBidi"/>
          <w:noProof/>
        </w:rPr>
      </w:pPr>
    </w:p>
    <w:p w14:paraId="5F3EAC7B" w14:textId="0921FF2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Lippman, S. M.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(2009) ‘Effect of selenium and vitamin E on risk of prostate cancer and other cancers: The selenium and vitamin E cancer prevention trial (SELECT)’, </w:t>
      </w:r>
      <w:r w:rsidRPr="00A35149">
        <w:rPr>
          <w:rFonts w:asciiTheme="majorBidi" w:hAnsiTheme="majorBidi" w:cstheme="majorBidi"/>
          <w:i/>
          <w:iCs/>
          <w:noProof/>
        </w:rPr>
        <w:t>JAMA - Journal of the American Medical Association</w:t>
      </w:r>
      <w:r w:rsidRPr="00A35149">
        <w:rPr>
          <w:rFonts w:asciiTheme="majorBidi" w:hAnsiTheme="majorBidi" w:cstheme="majorBidi"/>
          <w:noProof/>
        </w:rPr>
        <w:t>, 301(1), pp. 39–51. doi: 10.1001/jama.2008.864.</w:t>
      </w:r>
    </w:p>
    <w:p w14:paraId="099CDB52"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026BDED4" w14:textId="2542AABD"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Locke, A. E.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(2015) ‘Genetic studies of body mass index yield new insights for obesity biology’, </w:t>
      </w:r>
      <w:r w:rsidRPr="00A35149">
        <w:rPr>
          <w:rFonts w:asciiTheme="majorBidi" w:hAnsiTheme="majorBidi" w:cstheme="majorBidi"/>
          <w:i/>
          <w:iCs/>
          <w:noProof/>
        </w:rPr>
        <w:t>Nature</w:t>
      </w:r>
      <w:r w:rsidRPr="00A35149">
        <w:rPr>
          <w:rFonts w:asciiTheme="majorBidi" w:hAnsiTheme="majorBidi" w:cstheme="majorBidi"/>
          <w:noProof/>
        </w:rPr>
        <w:t>, 518(7538), pp. 197–206. doi: 10.1038/nature14177.</w:t>
      </w:r>
    </w:p>
    <w:p w14:paraId="69366B5D"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7F500CF4" w14:textId="6196974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lastRenderedPageBreak/>
        <w:t xml:space="preserve">Loh, P. R. </w:t>
      </w:r>
      <w:r w:rsidRPr="00A35149">
        <w:rPr>
          <w:rFonts w:asciiTheme="majorBidi" w:hAnsiTheme="majorBidi" w:cstheme="majorBidi"/>
          <w:i/>
          <w:iCs/>
          <w:noProof/>
        </w:rPr>
        <w:t>et al.</w:t>
      </w:r>
      <w:r w:rsidRPr="00A35149">
        <w:rPr>
          <w:rFonts w:asciiTheme="majorBidi" w:hAnsiTheme="majorBidi" w:cstheme="majorBidi"/>
          <w:noProof/>
        </w:rPr>
        <w:t xml:space="preserve"> (2015) ‘Efficient Bayesian mixed-model analysis increases association power in large cohorts’, </w:t>
      </w:r>
      <w:r w:rsidRPr="00A35149">
        <w:rPr>
          <w:rFonts w:asciiTheme="majorBidi" w:hAnsiTheme="majorBidi" w:cstheme="majorBidi"/>
          <w:i/>
          <w:iCs/>
          <w:noProof/>
        </w:rPr>
        <w:t>Nature Genetics</w:t>
      </w:r>
      <w:r w:rsidRPr="00A35149">
        <w:rPr>
          <w:rFonts w:asciiTheme="majorBidi" w:hAnsiTheme="majorBidi" w:cstheme="majorBidi"/>
          <w:noProof/>
        </w:rPr>
        <w:t>, 47(3), pp. 284–290. doi: 10.1038/ng.3190.</w:t>
      </w:r>
    </w:p>
    <w:p w14:paraId="0C9126BD"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3D0DF7B6" w14:textId="67C1B031"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Loh, P. R. </w:t>
      </w:r>
      <w:r w:rsidRPr="00A35149">
        <w:rPr>
          <w:rFonts w:asciiTheme="majorBidi" w:hAnsiTheme="majorBidi" w:cstheme="majorBidi"/>
          <w:i/>
          <w:iCs/>
          <w:noProof/>
        </w:rPr>
        <w:t>et al.</w:t>
      </w:r>
      <w:r w:rsidRPr="00A35149">
        <w:rPr>
          <w:rFonts w:asciiTheme="majorBidi" w:hAnsiTheme="majorBidi" w:cstheme="majorBidi"/>
          <w:noProof/>
        </w:rPr>
        <w:t xml:space="preserve"> (2018) ‘Mixed-model association for biobank-scale datasets’, </w:t>
      </w:r>
      <w:r w:rsidRPr="00A35149">
        <w:rPr>
          <w:rFonts w:asciiTheme="majorBidi" w:hAnsiTheme="majorBidi" w:cstheme="majorBidi"/>
          <w:i/>
          <w:iCs/>
          <w:noProof/>
        </w:rPr>
        <w:t>Nature Genetics</w:t>
      </w:r>
      <w:r w:rsidRPr="00A35149">
        <w:rPr>
          <w:rFonts w:asciiTheme="majorBidi" w:hAnsiTheme="majorBidi" w:cstheme="majorBidi"/>
          <w:noProof/>
        </w:rPr>
        <w:t>, 50(7), pp. 906–908. doi: 10.1038/s41588-018-0144-6.</w:t>
      </w:r>
    </w:p>
    <w:p w14:paraId="71AE2B34"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5BE4D077" w14:textId="3787D97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Lombaert, E., Guillemaud, T. and Deleury, E. (2018) ‘Biases of STRUCTURE software when exploring introduction routes of invasive species’, </w:t>
      </w:r>
      <w:r w:rsidRPr="00A35149">
        <w:rPr>
          <w:rFonts w:asciiTheme="majorBidi" w:hAnsiTheme="majorBidi" w:cstheme="majorBidi"/>
          <w:i/>
          <w:iCs/>
          <w:noProof/>
        </w:rPr>
        <w:t>Heredity</w:t>
      </w:r>
      <w:r w:rsidRPr="00A35149">
        <w:rPr>
          <w:rFonts w:asciiTheme="majorBidi" w:hAnsiTheme="majorBidi" w:cstheme="majorBidi"/>
          <w:noProof/>
        </w:rPr>
        <w:t>, 120(6), pp. 485–499. doi: 10.1038/s41437-017-0042-1.</w:t>
      </w:r>
    </w:p>
    <w:p w14:paraId="7092F6AD"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741E4CC7" w14:textId="41BC519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Manichaikul, A. </w:t>
      </w:r>
      <w:r w:rsidRPr="00A35149">
        <w:rPr>
          <w:rFonts w:asciiTheme="majorBidi" w:hAnsiTheme="majorBidi" w:cstheme="majorBidi"/>
          <w:i/>
          <w:iCs/>
          <w:noProof/>
        </w:rPr>
        <w:t>et al.</w:t>
      </w:r>
      <w:r w:rsidRPr="00A35149">
        <w:rPr>
          <w:rFonts w:asciiTheme="majorBidi" w:hAnsiTheme="majorBidi" w:cstheme="majorBidi"/>
          <w:noProof/>
        </w:rPr>
        <w:t xml:space="preserve"> (2010) ‘Robust relationship inference in genome-wide association studies’, </w:t>
      </w:r>
      <w:r w:rsidRPr="00A35149">
        <w:rPr>
          <w:rFonts w:asciiTheme="majorBidi" w:hAnsiTheme="majorBidi" w:cstheme="majorBidi"/>
          <w:i/>
          <w:iCs/>
          <w:noProof/>
        </w:rPr>
        <w:t>Bioinformatics</w:t>
      </w:r>
      <w:r w:rsidRPr="00A35149">
        <w:rPr>
          <w:rFonts w:asciiTheme="majorBidi" w:hAnsiTheme="majorBidi" w:cstheme="majorBidi"/>
          <w:noProof/>
        </w:rPr>
        <w:t>, 26(22), pp. 2867–2873. doi: 10.1093/bioinformatics/btq559.</w:t>
      </w:r>
    </w:p>
    <w:p w14:paraId="2D0B9BEA"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49746F8B" w14:textId="510E4F78"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Manolio, T. A.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(2013) ‘Implementing genomic medicine in the clinic: The future is here’, </w:t>
      </w:r>
      <w:r w:rsidRPr="00A35149">
        <w:rPr>
          <w:rFonts w:asciiTheme="majorBidi" w:hAnsiTheme="majorBidi" w:cstheme="majorBidi"/>
          <w:i/>
          <w:iCs/>
          <w:noProof/>
        </w:rPr>
        <w:t>Genetics in Medicine</w:t>
      </w:r>
      <w:r w:rsidRPr="00A35149">
        <w:rPr>
          <w:rFonts w:asciiTheme="majorBidi" w:hAnsiTheme="majorBidi" w:cstheme="majorBidi"/>
          <w:noProof/>
        </w:rPr>
        <w:t>, 15, pp. 258–267. doi: 10.1038/gim.2012.157.</w:t>
      </w:r>
    </w:p>
    <w:p w14:paraId="2CF12A9A"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12E80E13" w14:textId="31693A5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Marshall, S. </w:t>
      </w:r>
      <w:r w:rsidRPr="00A35149">
        <w:rPr>
          <w:rFonts w:asciiTheme="majorBidi" w:hAnsiTheme="majorBidi" w:cstheme="majorBidi"/>
          <w:i/>
          <w:iCs/>
          <w:noProof/>
        </w:rPr>
        <w:t>et al.</w:t>
      </w:r>
      <w:r w:rsidRPr="00A35149">
        <w:rPr>
          <w:rFonts w:asciiTheme="majorBidi" w:hAnsiTheme="majorBidi" w:cstheme="majorBidi"/>
          <w:noProof/>
        </w:rPr>
        <w:t xml:space="preserve"> (2016) ‘Reconstructing Druze population history’, </w:t>
      </w:r>
      <w:r w:rsidRPr="00A35149">
        <w:rPr>
          <w:rFonts w:asciiTheme="majorBidi" w:hAnsiTheme="majorBidi" w:cstheme="majorBidi"/>
          <w:i/>
          <w:iCs/>
          <w:noProof/>
        </w:rPr>
        <w:t>Scientific Reports</w:t>
      </w:r>
      <w:r w:rsidRPr="00A35149">
        <w:rPr>
          <w:rFonts w:asciiTheme="majorBidi" w:hAnsiTheme="majorBidi" w:cstheme="majorBidi"/>
          <w:noProof/>
        </w:rPr>
        <w:t>, 6. doi: 10.1038/srep35837.</w:t>
      </w:r>
    </w:p>
    <w:p w14:paraId="735E1641"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6B70BBED" w14:textId="3AFC127D"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McVean, G. (2009) ‘A genealogical interpretation of principal components analysis’, </w:t>
      </w:r>
      <w:r w:rsidRPr="00A35149">
        <w:rPr>
          <w:rFonts w:asciiTheme="majorBidi" w:hAnsiTheme="majorBidi" w:cstheme="majorBidi"/>
          <w:i/>
          <w:iCs/>
          <w:noProof/>
        </w:rPr>
        <w:t>PLoS Genetics</w:t>
      </w:r>
      <w:r w:rsidRPr="00A35149">
        <w:rPr>
          <w:rFonts w:asciiTheme="majorBidi" w:hAnsiTheme="majorBidi" w:cstheme="majorBidi"/>
          <w:noProof/>
        </w:rPr>
        <w:t>, 5(10). doi: 10.1371/journal.pgen.1000686.</w:t>
      </w:r>
    </w:p>
    <w:p w14:paraId="478BB365"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5EE668CF" w14:textId="7B88BB7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Mills, M. C. and Rahal, C. (2019) ‘A scientometric review of genome-wide association studies’, </w:t>
      </w:r>
      <w:r w:rsidRPr="00A35149">
        <w:rPr>
          <w:rFonts w:asciiTheme="majorBidi" w:hAnsiTheme="majorBidi" w:cstheme="majorBidi"/>
          <w:i/>
          <w:iCs/>
          <w:noProof/>
        </w:rPr>
        <w:t>Communications Biology</w:t>
      </w:r>
      <w:r w:rsidRPr="00A35149">
        <w:rPr>
          <w:rFonts w:asciiTheme="majorBidi" w:hAnsiTheme="majorBidi" w:cstheme="majorBidi"/>
          <w:noProof/>
        </w:rPr>
        <w:t>, 2(1). doi: 10.1038/s42003-018-0261-x.</w:t>
      </w:r>
    </w:p>
    <w:p w14:paraId="77E95151"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484FB4D3" w14:textId="556DFF5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Mokry, L. E.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(2015) ‘Mendelian randomisation applied to drug development in cardiovascular disease: A review’, </w:t>
      </w:r>
      <w:r w:rsidRPr="00A35149">
        <w:rPr>
          <w:rFonts w:asciiTheme="majorBidi" w:hAnsiTheme="majorBidi" w:cstheme="majorBidi"/>
          <w:i/>
          <w:iCs/>
          <w:noProof/>
        </w:rPr>
        <w:t>Journal of Medical Genetics</w:t>
      </w:r>
      <w:r w:rsidRPr="00A35149">
        <w:rPr>
          <w:rFonts w:asciiTheme="majorBidi" w:hAnsiTheme="majorBidi" w:cstheme="majorBidi"/>
          <w:noProof/>
        </w:rPr>
        <w:t>, 52(2), pp. 71–79. doi: 10.1136/jmedgenet-2014-102438.</w:t>
      </w:r>
    </w:p>
    <w:p w14:paraId="047C01FB"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34D8E482" w14:textId="4CE190C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Moltke, I. and Albrechtsen, A. (2014) ‘RelateAdmix: A software tool for estimating relatedness between admixed individuals’, </w:t>
      </w:r>
      <w:r w:rsidRPr="00A35149">
        <w:rPr>
          <w:rFonts w:asciiTheme="majorBidi" w:hAnsiTheme="majorBidi" w:cstheme="majorBidi"/>
          <w:i/>
          <w:iCs/>
          <w:noProof/>
        </w:rPr>
        <w:t>Bioinformatics</w:t>
      </w:r>
      <w:r w:rsidRPr="00A35149">
        <w:rPr>
          <w:rFonts w:asciiTheme="majorBidi" w:hAnsiTheme="majorBidi" w:cstheme="majorBidi"/>
          <w:noProof/>
        </w:rPr>
        <w:t>, 30(7), pp. 1027–1028. doi: 10.1093/bioinformatics/btt652.</w:t>
      </w:r>
    </w:p>
    <w:p w14:paraId="4524E10A"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7FC3319B" w14:textId="2464ABF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Mountain, J. L. and Risch, N. (2004) ‘Assessing genetic contributions to phenotypic differences among “racial” and “ethnic” groups’, </w:t>
      </w:r>
      <w:r w:rsidRPr="00A35149">
        <w:rPr>
          <w:rFonts w:asciiTheme="majorBidi" w:hAnsiTheme="majorBidi" w:cstheme="majorBidi"/>
          <w:i/>
          <w:iCs/>
          <w:noProof/>
        </w:rPr>
        <w:t>Nature Genetics</w:t>
      </w:r>
      <w:r w:rsidRPr="00A35149">
        <w:rPr>
          <w:rFonts w:asciiTheme="majorBidi" w:hAnsiTheme="majorBidi" w:cstheme="majorBidi"/>
          <w:noProof/>
        </w:rPr>
        <w:t>, 36. doi: 10.1038/ng1456.</w:t>
      </w:r>
    </w:p>
    <w:p w14:paraId="7640733C"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7E52F41A" w14:textId="32DA281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Nalls, M. A.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(2014) ‘Large-scale meta-analysis of genome-wide association data identifies six new risk loci for Parkinson’s disease’, </w:t>
      </w:r>
      <w:r w:rsidRPr="00A35149">
        <w:rPr>
          <w:rFonts w:asciiTheme="majorBidi" w:hAnsiTheme="majorBidi" w:cstheme="majorBidi"/>
          <w:i/>
          <w:iCs/>
          <w:noProof/>
        </w:rPr>
        <w:t>Nature Genetics</w:t>
      </w:r>
      <w:r w:rsidRPr="00A35149">
        <w:rPr>
          <w:rFonts w:asciiTheme="majorBidi" w:hAnsiTheme="majorBidi" w:cstheme="majorBidi"/>
          <w:noProof/>
        </w:rPr>
        <w:t>, 46(9), pp. 989–993. doi: 10.1038/ng.3043.</w:t>
      </w:r>
    </w:p>
    <w:p w14:paraId="6EC6D39C"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4F6B7FC2" w14:textId="2191BB3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Need, A. C. and Goldstein, D. B. (2009) ‘Next generation disparities in human genomics: concerns and remedies’, </w:t>
      </w:r>
      <w:r w:rsidRPr="00A35149">
        <w:rPr>
          <w:rFonts w:asciiTheme="majorBidi" w:hAnsiTheme="majorBidi" w:cstheme="majorBidi"/>
          <w:i/>
          <w:iCs/>
          <w:noProof/>
        </w:rPr>
        <w:t>Trends in Genetics</w:t>
      </w:r>
      <w:r w:rsidRPr="00A35149">
        <w:rPr>
          <w:rFonts w:asciiTheme="majorBidi" w:hAnsiTheme="majorBidi" w:cstheme="majorBidi"/>
          <w:noProof/>
        </w:rPr>
        <w:t>, 25(11), pp. 489–494. doi: 10.1016/j.tig.2009.09.012.</w:t>
      </w:r>
    </w:p>
    <w:p w14:paraId="0EE10A31"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6A11081F" w14:textId="5CB10A32"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NHS (2016) </w:t>
      </w:r>
      <w:r w:rsidRPr="00A35149">
        <w:rPr>
          <w:rFonts w:asciiTheme="majorBidi" w:hAnsiTheme="majorBidi" w:cstheme="majorBidi"/>
          <w:i/>
          <w:iCs/>
          <w:noProof/>
        </w:rPr>
        <w:t>Improving Outcomes Through Personalised Medicine.</w:t>
      </w:r>
      <w:r w:rsidRPr="00A35149">
        <w:rPr>
          <w:rFonts w:asciiTheme="majorBidi" w:hAnsiTheme="majorBidi" w:cstheme="majorBidi"/>
          <w:noProof/>
        </w:rPr>
        <w:t xml:space="preserve">, </w:t>
      </w:r>
      <w:r w:rsidRPr="00A35149">
        <w:rPr>
          <w:rFonts w:asciiTheme="majorBidi" w:hAnsiTheme="majorBidi" w:cstheme="majorBidi"/>
          <w:i/>
          <w:iCs/>
          <w:noProof/>
        </w:rPr>
        <w:t>NHS England</w:t>
      </w:r>
      <w:r w:rsidRPr="00A35149">
        <w:rPr>
          <w:rFonts w:asciiTheme="majorBidi" w:hAnsiTheme="majorBidi" w:cstheme="majorBidi"/>
          <w:noProof/>
        </w:rPr>
        <w:t>.</w:t>
      </w:r>
    </w:p>
    <w:p w14:paraId="3433BB63"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2A717484" w14:textId="7E44E5E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Novembre, J. </w:t>
      </w:r>
      <w:r w:rsidRPr="00A35149">
        <w:rPr>
          <w:rFonts w:asciiTheme="majorBidi" w:hAnsiTheme="majorBidi" w:cstheme="majorBidi"/>
          <w:i/>
          <w:iCs/>
          <w:noProof/>
        </w:rPr>
        <w:t>et al.</w:t>
      </w:r>
      <w:r w:rsidRPr="00A35149">
        <w:rPr>
          <w:rFonts w:asciiTheme="majorBidi" w:hAnsiTheme="majorBidi" w:cstheme="majorBidi"/>
          <w:noProof/>
        </w:rPr>
        <w:t xml:space="preserve"> (2008) ‘Genes mirror geography within Europe’, </w:t>
      </w:r>
      <w:r w:rsidRPr="00A35149">
        <w:rPr>
          <w:rFonts w:asciiTheme="majorBidi" w:hAnsiTheme="majorBidi" w:cstheme="majorBidi"/>
          <w:i/>
          <w:iCs/>
          <w:noProof/>
        </w:rPr>
        <w:t>Nature</w:t>
      </w:r>
      <w:r w:rsidRPr="00A35149">
        <w:rPr>
          <w:rFonts w:asciiTheme="majorBidi" w:hAnsiTheme="majorBidi" w:cstheme="majorBidi"/>
          <w:noProof/>
        </w:rPr>
        <w:t>, 456(7218), pp. 98–101. doi: 10.1038/nature07331.</w:t>
      </w:r>
    </w:p>
    <w:p w14:paraId="3F26C172"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5D8FAAF7" w14:textId="3FA885EE"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Novembre, J. and Stephens, M. (2008) ‘Interpreting principal component analyses of spatial </w:t>
      </w:r>
      <w:r w:rsidRPr="00A35149">
        <w:rPr>
          <w:rFonts w:asciiTheme="majorBidi" w:hAnsiTheme="majorBidi" w:cstheme="majorBidi"/>
          <w:noProof/>
        </w:rPr>
        <w:lastRenderedPageBreak/>
        <w:t xml:space="preserve">population genetic variation’, </w:t>
      </w:r>
      <w:r w:rsidRPr="00A35149">
        <w:rPr>
          <w:rFonts w:asciiTheme="majorBidi" w:hAnsiTheme="majorBidi" w:cstheme="majorBidi"/>
          <w:i/>
          <w:iCs/>
          <w:noProof/>
        </w:rPr>
        <w:t>Nature Genetics</w:t>
      </w:r>
      <w:r w:rsidRPr="00A35149">
        <w:rPr>
          <w:rFonts w:asciiTheme="majorBidi" w:hAnsiTheme="majorBidi" w:cstheme="majorBidi"/>
          <w:noProof/>
        </w:rPr>
        <w:t>, 40(5), pp. 646–649. doi: 10.1038/ng.139.</w:t>
      </w:r>
    </w:p>
    <w:p w14:paraId="155B424F"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6B9EBCB7" w14:textId="4CD7FEEA"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Oleksyk, T. K., Brukhin, V. and O’Brien, S. J. (2015) ‘The Genome Russia project: Closing the largest remaining omission on the world Genome map’, </w:t>
      </w:r>
      <w:r w:rsidRPr="00A35149">
        <w:rPr>
          <w:rFonts w:asciiTheme="majorBidi" w:hAnsiTheme="majorBidi" w:cstheme="majorBidi"/>
          <w:i/>
          <w:iCs/>
          <w:noProof/>
        </w:rPr>
        <w:t>GigaScience</w:t>
      </w:r>
      <w:r w:rsidRPr="00A35149">
        <w:rPr>
          <w:rFonts w:asciiTheme="majorBidi" w:hAnsiTheme="majorBidi" w:cstheme="majorBidi"/>
          <w:noProof/>
        </w:rPr>
        <w:t>, 4(1), p. 53. doi: 10.1186/s13742-015-0095-0.</w:t>
      </w:r>
    </w:p>
    <w:p w14:paraId="7A7B7CC6"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43BAA367" w14:textId="690B885E"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Ooi, B. N. S.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(2019) ‘The genetic interplay between body mass index, breast size and breast cancer risk: a Mendelian randomization analysis’, </w:t>
      </w:r>
      <w:r w:rsidRPr="00A35149">
        <w:rPr>
          <w:rFonts w:asciiTheme="majorBidi" w:hAnsiTheme="majorBidi" w:cstheme="majorBidi"/>
          <w:i/>
          <w:iCs/>
          <w:noProof/>
        </w:rPr>
        <w:t>International Journal of Epidemiology</w:t>
      </w:r>
      <w:r w:rsidRPr="00A35149">
        <w:rPr>
          <w:rFonts w:asciiTheme="majorBidi" w:hAnsiTheme="majorBidi" w:cstheme="majorBidi"/>
          <w:noProof/>
        </w:rPr>
        <w:t>, 48(3), pp. 781–794. doi: 10.1093/ije/dyz124.</w:t>
      </w:r>
    </w:p>
    <w:p w14:paraId="287283E9"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6A1B880C" w14:textId="6E6EB71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Ortega, V. E. and Meyers, D. A. (2014) ‘Pharmacogenetics: Implications of race and ethnicity on defining genetic profiles for personalized medicine’, </w:t>
      </w:r>
      <w:r w:rsidRPr="00A35149">
        <w:rPr>
          <w:rFonts w:asciiTheme="majorBidi" w:hAnsiTheme="majorBidi" w:cstheme="majorBidi"/>
          <w:i/>
          <w:iCs/>
          <w:noProof/>
        </w:rPr>
        <w:t>Journal of Allergy and Clinical Immunology</w:t>
      </w:r>
      <w:r w:rsidRPr="00A35149">
        <w:rPr>
          <w:rFonts w:asciiTheme="majorBidi" w:hAnsiTheme="majorBidi" w:cstheme="majorBidi"/>
          <w:noProof/>
        </w:rPr>
        <w:t>, 133(1), pp. 16–26. doi: 10.1016/j.jaci.2013.10.040.</w:t>
      </w:r>
    </w:p>
    <w:p w14:paraId="1A544B30"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3D3F2833" w14:textId="4C3B4F0C"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Pagani, L. </w:t>
      </w:r>
      <w:r w:rsidRPr="00A35149">
        <w:rPr>
          <w:rFonts w:asciiTheme="majorBidi" w:hAnsiTheme="majorBidi" w:cstheme="majorBidi"/>
          <w:i/>
          <w:iCs/>
          <w:noProof/>
        </w:rPr>
        <w:t>et al.</w:t>
      </w:r>
      <w:r w:rsidRPr="00A35149">
        <w:rPr>
          <w:rFonts w:asciiTheme="majorBidi" w:hAnsiTheme="majorBidi" w:cstheme="majorBidi"/>
          <w:noProof/>
        </w:rPr>
        <w:t xml:space="preserve"> (2016) ‘Genomic analyses inform on migration events during the peopling of Eurasia’, </w:t>
      </w:r>
      <w:r w:rsidRPr="00A35149">
        <w:rPr>
          <w:rFonts w:asciiTheme="majorBidi" w:hAnsiTheme="majorBidi" w:cstheme="majorBidi"/>
          <w:i/>
          <w:iCs/>
          <w:noProof/>
        </w:rPr>
        <w:t>Nature</w:t>
      </w:r>
      <w:r w:rsidRPr="00A35149">
        <w:rPr>
          <w:rFonts w:asciiTheme="majorBidi" w:hAnsiTheme="majorBidi" w:cstheme="majorBidi"/>
          <w:noProof/>
        </w:rPr>
        <w:t>, 538(7624), pp. 238–242. doi: 10.1038/nature19792.</w:t>
      </w:r>
    </w:p>
    <w:p w14:paraId="0C39094F"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3AF5FF53" w14:textId="7A6EEAF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Palmer, C. and Pe’er, I. (2017) ‘Statistical correction of the Winner’s Curse explains replication variability in quantitative trait genome-wide association studies’, </w:t>
      </w:r>
      <w:r w:rsidRPr="00A35149">
        <w:rPr>
          <w:rFonts w:asciiTheme="majorBidi" w:hAnsiTheme="majorBidi" w:cstheme="majorBidi"/>
          <w:i/>
          <w:iCs/>
          <w:noProof/>
        </w:rPr>
        <w:t>PLoS Genetics</w:t>
      </w:r>
      <w:r w:rsidRPr="00A35149">
        <w:rPr>
          <w:rFonts w:asciiTheme="majorBidi" w:hAnsiTheme="majorBidi" w:cstheme="majorBidi"/>
          <w:noProof/>
        </w:rPr>
        <w:t>, 13(7). doi: 10.1371/journal.pgen.1006916.</w:t>
      </w:r>
    </w:p>
    <w:p w14:paraId="02AD459C"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0A50E1FB" w14:textId="0326CDAE"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Pasic, M. D., Samaan, S. and Yousef, G. M. (2013) ‘Genomic medicine: New frontiers and new challenges’, </w:t>
      </w:r>
      <w:r w:rsidRPr="00A35149">
        <w:rPr>
          <w:rFonts w:asciiTheme="majorBidi" w:hAnsiTheme="majorBidi" w:cstheme="majorBidi"/>
          <w:i/>
          <w:iCs/>
          <w:noProof/>
        </w:rPr>
        <w:t>Clinical Chemistry</w:t>
      </w:r>
      <w:r w:rsidRPr="00A35149">
        <w:rPr>
          <w:rFonts w:asciiTheme="majorBidi" w:hAnsiTheme="majorBidi" w:cstheme="majorBidi"/>
          <w:noProof/>
        </w:rPr>
        <w:t>, 59(1), pp. 158–167. doi: 10.1373/clinchem.2012.184622.</w:t>
      </w:r>
    </w:p>
    <w:p w14:paraId="53EB426C"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5BFA10F4" w14:textId="4C542A6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Petrovski, S. and Goldstein, D. B. (2016) ‘Unequal representation of genetic variation across ancestry groups creates healthcare inequality in the application of precision medicine’, </w:t>
      </w:r>
      <w:r w:rsidRPr="00A35149">
        <w:rPr>
          <w:rFonts w:asciiTheme="majorBidi" w:hAnsiTheme="majorBidi" w:cstheme="majorBidi"/>
          <w:i/>
          <w:iCs/>
          <w:noProof/>
        </w:rPr>
        <w:t>Genome Biology</w:t>
      </w:r>
      <w:r w:rsidRPr="00A35149">
        <w:rPr>
          <w:rFonts w:asciiTheme="majorBidi" w:hAnsiTheme="majorBidi" w:cstheme="majorBidi"/>
          <w:noProof/>
        </w:rPr>
        <w:t>, 17(1), p. 157. doi: 10.1186/s13059-016-1016-y.</w:t>
      </w:r>
    </w:p>
    <w:p w14:paraId="15939F61"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23695861" w14:textId="0360045A"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Pickrell, J. K.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(2016) ‘Detection and interpretation of shared genetic influences on 42 human traits’, </w:t>
      </w:r>
      <w:r w:rsidRPr="00A35149">
        <w:rPr>
          <w:rFonts w:asciiTheme="majorBidi" w:hAnsiTheme="majorBidi" w:cstheme="majorBidi"/>
          <w:i/>
          <w:iCs/>
          <w:noProof/>
        </w:rPr>
        <w:t>Nature Genetics</w:t>
      </w:r>
      <w:r w:rsidRPr="00A35149">
        <w:rPr>
          <w:rFonts w:asciiTheme="majorBidi" w:hAnsiTheme="majorBidi" w:cstheme="majorBidi"/>
          <w:noProof/>
        </w:rPr>
        <w:t>, 48(7), pp. 709–717. doi: 10.1038/ng.3570.</w:t>
      </w:r>
    </w:p>
    <w:p w14:paraId="0E2E766C"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1B703EC2" w14:textId="5B5605E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Popejoy, A. B. and Fullerton, S. M. (2016) ‘Genomics is failing on diversity’, </w:t>
      </w:r>
      <w:r w:rsidRPr="00A35149">
        <w:rPr>
          <w:rFonts w:asciiTheme="majorBidi" w:hAnsiTheme="majorBidi" w:cstheme="majorBidi"/>
          <w:i/>
          <w:iCs/>
          <w:noProof/>
        </w:rPr>
        <w:t>Nature</w:t>
      </w:r>
      <w:r w:rsidRPr="00A35149">
        <w:rPr>
          <w:rFonts w:asciiTheme="majorBidi" w:hAnsiTheme="majorBidi" w:cstheme="majorBidi"/>
          <w:noProof/>
        </w:rPr>
        <w:t>, 538(7624), pp. 161–164. doi: 10.1038/538161a.</w:t>
      </w:r>
    </w:p>
    <w:p w14:paraId="38353301"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3C2450D3" w14:textId="2781C37C"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Price, A. L. </w:t>
      </w:r>
      <w:r w:rsidRPr="00A35149">
        <w:rPr>
          <w:rFonts w:asciiTheme="majorBidi" w:hAnsiTheme="majorBidi" w:cstheme="majorBidi"/>
          <w:i/>
          <w:iCs/>
          <w:noProof/>
        </w:rPr>
        <w:t>et al.</w:t>
      </w:r>
      <w:r w:rsidRPr="00A35149">
        <w:rPr>
          <w:rFonts w:asciiTheme="majorBidi" w:hAnsiTheme="majorBidi" w:cstheme="majorBidi"/>
          <w:noProof/>
        </w:rPr>
        <w:t xml:space="preserve"> (2006) ‘Principal components analysis corrects for stratification in genome-wide association studies’, </w:t>
      </w:r>
      <w:r w:rsidRPr="00A35149">
        <w:rPr>
          <w:rFonts w:asciiTheme="majorBidi" w:hAnsiTheme="majorBidi" w:cstheme="majorBidi"/>
          <w:i/>
          <w:iCs/>
          <w:noProof/>
        </w:rPr>
        <w:t>Nature Genetics</w:t>
      </w:r>
      <w:r w:rsidRPr="00A35149">
        <w:rPr>
          <w:rFonts w:asciiTheme="majorBidi" w:hAnsiTheme="majorBidi" w:cstheme="majorBidi"/>
          <w:noProof/>
        </w:rPr>
        <w:t>, 38, pp. 904–909. doi: 10.1038/ng1847.</w:t>
      </w:r>
    </w:p>
    <w:p w14:paraId="524DC6A8"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583D78E8" w14:textId="6BF287B9"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Pritchard, J. K., Stephens, M. and Donnelly, P. (2000) ‘Inference of population structure using multilocus genotype data’, </w:t>
      </w:r>
      <w:r w:rsidRPr="00A35149">
        <w:rPr>
          <w:rFonts w:asciiTheme="majorBidi" w:hAnsiTheme="majorBidi" w:cstheme="majorBidi"/>
          <w:i/>
          <w:iCs/>
          <w:noProof/>
        </w:rPr>
        <w:t>Genetics</w:t>
      </w:r>
      <w:r w:rsidRPr="00A35149">
        <w:rPr>
          <w:rFonts w:asciiTheme="majorBidi" w:hAnsiTheme="majorBidi" w:cstheme="majorBidi"/>
          <w:noProof/>
        </w:rPr>
        <w:t>, 55(2), pp. 945–959.</w:t>
      </w:r>
    </w:p>
    <w:p w14:paraId="627F90E7"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49543658" w14:textId="0CCAFE04"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Purcell, S. (2002) ‘Variance components models for gene-environment interaction in twin analysis’, </w:t>
      </w:r>
      <w:r w:rsidRPr="00A35149">
        <w:rPr>
          <w:rFonts w:asciiTheme="majorBidi" w:hAnsiTheme="majorBidi" w:cstheme="majorBidi"/>
          <w:i/>
          <w:iCs/>
          <w:noProof/>
        </w:rPr>
        <w:t>Twin Research</w:t>
      </w:r>
      <w:r w:rsidRPr="00A35149">
        <w:rPr>
          <w:rFonts w:asciiTheme="majorBidi" w:hAnsiTheme="majorBidi" w:cstheme="majorBidi"/>
          <w:noProof/>
        </w:rPr>
        <w:t>, 5(6), pp. 554–571. doi: 10.1375/136905202762342026.</w:t>
      </w:r>
    </w:p>
    <w:p w14:paraId="7F9D74B1"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3EB5B48C" w14:textId="52E6E9A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Purcell, S. </w:t>
      </w:r>
      <w:r w:rsidRPr="00A35149">
        <w:rPr>
          <w:rFonts w:asciiTheme="majorBidi" w:hAnsiTheme="majorBidi" w:cstheme="majorBidi"/>
          <w:i/>
          <w:iCs/>
          <w:noProof/>
        </w:rPr>
        <w:t>et al.</w:t>
      </w:r>
      <w:r w:rsidRPr="00A35149">
        <w:rPr>
          <w:rFonts w:asciiTheme="majorBidi" w:hAnsiTheme="majorBidi" w:cstheme="majorBidi"/>
          <w:noProof/>
        </w:rPr>
        <w:t xml:space="preserve"> (2007) ‘PLINK: a tool set for whole-genome association and population-based linkage analyses.’, </w:t>
      </w:r>
      <w:r w:rsidRPr="00A35149">
        <w:rPr>
          <w:rFonts w:asciiTheme="majorBidi" w:hAnsiTheme="majorBidi" w:cstheme="majorBidi"/>
          <w:i/>
          <w:iCs/>
          <w:noProof/>
        </w:rPr>
        <w:t>American journal of human genetics</w:t>
      </w:r>
      <w:r w:rsidRPr="00A35149">
        <w:rPr>
          <w:rFonts w:asciiTheme="majorBidi" w:hAnsiTheme="majorBidi" w:cstheme="majorBidi"/>
          <w:noProof/>
        </w:rPr>
        <w:t>, 81(3), pp. 559–75. doi: 10.1086/519795.</w:t>
      </w:r>
    </w:p>
    <w:p w14:paraId="50624E1D"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5BDC2BE2" w14:textId="569294C6"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Raj, A., Stephens, M. and Pritchard, J. K. (2014) ‘FastSTRUCTURE: Variational inference of population structure in large SNP data sets’, </w:t>
      </w:r>
      <w:r w:rsidRPr="00A35149">
        <w:rPr>
          <w:rFonts w:asciiTheme="majorBidi" w:hAnsiTheme="majorBidi" w:cstheme="majorBidi"/>
          <w:i/>
          <w:iCs/>
          <w:noProof/>
        </w:rPr>
        <w:t>Genetics</w:t>
      </w:r>
      <w:r w:rsidRPr="00A35149">
        <w:rPr>
          <w:rFonts w:asciiTheme="majorBidi" w:hAnsiTheme="majorBidi" w:cstheme="majorBidi"/>
          <w:noProof/>
        </w:rPr>
        <w:t>, 197(2), pp. 573–589. doi: 10.1534/genetics.114.164350.</w:t>
      </w:r>
    </w:p>
    <w:p w14:paraId="6265E735"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288C72D1" w14:textId="665B94BC"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Ramachandran, S. </w:t>
      </w:r>
      <w:r w:rsidRPr="00A35149">
        <w:rPr>
          <w:rFonts w:asciiTheme="majorBidi" w:hAnsiTheme="majorBidi" w:cstheme="majorBidi"/>
          <w:i/>
          <w:iCs/>
          <w:noProof/>
        </w:rPr>
        <w:t>et al.</w:t>
      </w:r>
      <w:r w:rsidRPr="00A35149">
        <w:rPr>
          <w:rFonts w:asciiTheme="majorBidi" w:hAnsiTheme="majorBidi" w:cstheme="majorBidi"/>
          <w:noProof/>
        </w:rPr>
        <w:t xml:space="preserve"> (2005) ‘Support from the relationship of genetic and geographic in human populations for a serial founder effect originating in Africa’, </w:t>
      </w:r>
      <w:r w:rsidRPr="00A35149">
        <w:rPr>
          <w:rFonts w:asciiTheme="majorBidi" w:hAnsiTheme="majorBidi" w:cstheme="majorBidi"/>
          <w:i/>
          <w:iCs/>
          <w:noProof/>
        </w:rPr>
        <w:t>Proceedings of the National Academy of Sciences of the United States of America</w:t>
      </w:r>
      <w:r w:rsidRPr="00A35149">
        <w:rPr>
          <w:rFonts w:asciiTheme="majorBidi" w:hAnsiTheme="majorBidi" w:cstheme="majorBidi"/>
          <w:noProof/>
        </w:rPr>
        <w:t>, 102(44), pp. 15942–15947. doi: 10.1073/pnas.0507611102.</w:t>
      </w:r>
    </w:p>
    <w:p w14:paraId="5FD196EE"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2F1D7D1D" w14:textId="7A63C034"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Ramstetter, M. D.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(2017) ‘Benchmarking relatedness inference methods with genome-wide data from thousands of relatives’, </w:t>
      </w:r>
      <w:r w:rsidRPr="00A35149">
        <w:rPr>
          <w:rFonts w:asciiTheme="majorBidi" w:hAnsiTheme="majorBidi" w:cstheme="majorBidi"/>
          <w:i/>
          <w:iCs/>
          <w:noProof/>
        </w:rPr>
        <w:t>Genetics</w:t>
      </w:r>
      <w:r w:rsidRPr="00A35149">
        <w:rPr>
          <w:rFonts w:asciiTheme="majorBidi" w:hAnsiTheme="majorBidi" w:cstheme="majorBidi"/>
          <w:noProof/>
        </w:rPr>
        <w:t>, 207(1), pp. 75–82. doi: 10.1534/genetics.117.1122.</w:t>
      </w:r>
    </w:p>
    <w:p w14:paraId="136BB551"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19559C6D" w14:textId="06981509"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Rask-Andersen, M.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(2017) ‘Gene-environment interaction study for BMI reveals interactions between genetic factors and physical activity, alcohol consumption and socioeconomic status’, </w:t>
      </w:r>
      <w:r w:rsidRPr="00A35149">
        <w:rPr>
          <w:rFonts w:asciiTheme="majorBidi" w:hAnsiTheme="majorBidi" w:cstheme="majorBidi"/>
          <w:i/>
          <w:iCs/>
          <w:noProof/>
        </w:rPr>
        <w:t>PLoS Genetics</w:t>
      </w:r>
      <w:r w:rsidRPr="00A35149">
        <w:rPr>
          <w:rFonts w:asciiTheme="majorBidi" w:hAnsiTheme="majorBidi" w:cstheme="majorBidi"/>
          <w:noProof/>
        </w:rPr>
        <w:t>, 13(9). doi: 10.1371/journal.pgen.1006977.</w:t>
      </w:r>
    </w:p>
    <w:p w14:paraId="72EEC1CB"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045EC1BE" w14:textId="26179D0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Rosenberg, N. A.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(2002) ‘Genetic structure of human populations’, </w:t>
      </w:r>
      <w:r w:rsidRPr="00A35149">
        <w:rPr>
          <w:rFonts w:asciiTheme="majorBidi" w:hAnsiTheme="majorBidi" w:cstheme="majorBidi"/>
          <w:i/>
          <w:iCs/>
          <w:noProof/>
        </w:rPr>
        <w:t>Science</w:t>
      </w:r>
      <w:r w:rsidRPr="00A35149">
        <w:rPr>
          <w:rFonts w:asciiTheme="majorBidi" w:hAnsiTheme="majorBidi" w:cstheme="majorBidi"/>
          <w:noProof/>
        </w:rPr>
        <w:t>, 298(5602), pp. 2381–2385. doi: 10.1126/science.1078311.</w:t>
      </w:r>
    </w:p>
    <w:p w14:paraId="6AF9F8F9"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423B35B8" w14:textId="4C8D7CC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Roy, A. S. a (2012) ‘STIFLING NEW CURES: The True Cost of Lengthy Clinical Drug Trials’, </w:t>
      </w:r>
      <w:r w:rsidRPr="00A35149">
        <w:rPr>
          <w:rFonts w:asciiTheme="majorBidi" w:hAnsiTheme="majorBidi" w:cstheme="majorBidi"/>
          <w:i/>
          <w:iCs/>
          <w:noProof/>
        </w:rPr>
        <w:t>Project FDA Report</w:t>
      </w:r>
      <w:r w:rsidRPr="00A35149">
        <w:rPr>
          <w:rFonts w:asciiTheme="majorBidi" w:hAnsiTheme="majorBidi" w:cstheme="majorBidi"/>
          <w:noProof/>
        </w:rPr>
        <w:t>, pp. 1–11.</w:t>
      </w:r>
    </w:p>
    <w:p w14:paraId="04336965"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7488A750" w14:textId="12D15841"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Safner, T. </w:t>
      </w:r>
      <w:r w:rsidRPr="00A35149">
        <w:rPr>
          <w:rFonts w:asciiTheme="majorBidi" w:hAnsiTheme="majorBidi" w:cstheme="majorBidi"/>
          <w:i/>
          <w:iCs/>
          <w:noProof/>
        </w:rPr>
        <w:t>et al.</w:t>
      </w:r>
      <w:r w:rsidRPr="00A35149">
        <w:rPr>
          <w:rFonts w:asciiTheme="majorBidi" w:hAnsiTheme="majorBidi" w:cstheme="majorBidi"/>
          <w:noProof/>
        </w:rPr>
        <w:t xml:space="preserve"> (2011) ‘Comparison of Bayesian clustering and edge detection methods for inferring boundaries in landscape genetics’, </w:t>
      </w:r>
      <w:r w:rsidRPr="00A35149">
        <w:rPr>
          <w:rFonts w:asciiTheme="majorBidi" w:hAnsiTheme="majorBidi" w:cstheme="majorBidi"/>
          <w:i/>
          <w:iCs/>
          <w:noProof/>
        </w:rPr>
        <w:t>International Journal of Molecular Sciences</w:t>
      </w:r>
      <w:r w:rsidRPr="00A35149">
        <w:rPr>
          <w:rFonts w:asciiTheme="majorBidi" w:hAnsiTheme="majorBidi" w:cstheme="majorBidi"/>
          <w:noProof/>
        </w:rPr>
        <w:t>, 12(2), pp. 865–889. doi: 10.3390/ijms12020865.</w:t>
      </w:r>
    </w:p>
    <w:p w14:paraId="2B0AB27F"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39878F3D" w14:textId="435EE883"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Salter-Townshend, M. and Myers, S. (2019) ‘Fine-scale inference of ancestry segments without prior knowledge of admixing groups’, </w:t>
      </w:r>
      <w:r w:rsidRPr="00A35149">
        <w:rPr>
          <w:rFonts w:asciiTheme="majorBidi" w:hAnsiTheme="majorBidi" w:cstheme="majorBidi"/>
          <w:i/>
          <w:iCs/>
          <w:noProof/>
        </w:rPr>
        <w:t>Genetics</w:t>
      </w:r>
      <w:r w:rsidRPr="00A35149">
        <w:rPr>
          <w:rFonts w:asciiTheme="majorBidi" w:hAnsiTheme="majorBidi" w:cstheme="majorBidi"/>
          <w:noProof/>
        </w:rPr>
        <w:t>, 212(3), pp. 869–889. doi: 10.1534/genetics.119.302139.</w:t>
      </w:r>
    </w:p>
    <w:p w14:paraId="2E78B8F4"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208EF5A6" w14:textId="546E81DC"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Schärfe, C. P. I.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(2017) ‘Genetic variation in human drug-related genes’, </w:t>
      </w:r>
      <w:r w:rsidRPr="00A35149">
        <w:rPr>
          <w:rFonts w:asciiTheme="majorBidi" w:hAnsiTheme="majorBidi" w:cstheme="majorBidi"/>
          <w:i/>
          <w:iCs/>
          <w:noProof/>
        </w:rPr>
        <w:t>Genome Medicine</w:t>
      </w:r>
      <w:r w:rsidRPr="00A35149">
        <w:rPr>
          <w:rFonts w:asciiTheme="majorBidi" w:hAnsiTheme="majorBidi" w:cstheme="majorBidi"/>
          <w:noProof/>
        </w:rPr>
        <w:t>, 9(1). doi: 10.1186/s13073-017-0502-5.</w:t>
      </w:r>
    </w:p>
    <w:p w14:paraId="3380FC1C"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277296A8" w14:textId="685C2EEC"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Scheinfeldt, L. B.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(2016) ‘Challenges in translating GWAS results to clinical care’, </w:t>
      </w:r>
      <w:r w:rsidRPr="00A35149">
        <w:rPr>
          <w:rFonts w:asciiTheme="majorBidi" w:hAnsiTheme="majorBidi" w:cstheme="majorBidi"/>
          <w:i/>
          <w:iCs/>
          <w:noProof/>
        </w:rPr>
        <w:t>International Journal of Molecular Sciences</w:t>
      </w:r>
      <w:r w:rsidRPr="00A35149">
        <w:rPr>
          <w:rFonts w:asciiTheme="majorBidi" w:hAnsiTheme="majorBidi" w:cstheme="majorBidi"/>
          <w:noProof/>
        </w:rPr>
        <w:t>, 17(8). doi: 10.3390/ijms17081267.</w:t>
      </w:r>
    </w:p>
    <w:p w14:paraId="267DDB15"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720A6B18" w14:textId="765498FB"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Schraiber, J. G. and Akey, J. M. (2015) ‘Methods and models for unravelling human evolutionary history’, </w:t>
      </w:r>
      <w:r w:rsidRPr="00A35149">
        <w:rPr>
          <w:rFonts w:asciiTheme="majorBidi" w:hAnsiTheme="majorBidi" w:cstheme="majorBidi"/>
          <w:i/>
          <w:iCs/>
          <w:noProof/>
        </w:rPr>
        <w:t>Nature Reviews Genetics</w:t>
      </w:r>
      <w:r w:rsidRPr="00A35149">
        <w:rPr>
          <w:rFonts w:asciiTheme="majorBidi" w:hAnsiTheme="majorBidi" w:cstheme="majorBidi"/>
          <w:noProof/>
        </w:rPr>
        <w:t>, 16, pp. 727–740. doi: 10.1038/nrg4005.</w:t>
      </w:r>
    </w:p>
    <w:p w14:paraId="55F27E2A"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14BB5D2D" w14:textId="454A7EE2"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Scudellari, M. (2013) ‘Biobank managers bemoan underuse of collected samples’, </w:t>
      </w:r>
      <w:r w:rsidRPr="00A35149">
        <w:rPr>
          <w:rFonts w:asciiTheme="majorBidi" w:hAnsiTheme="majorBidi" w:cstheme="majorBidi"/>
          <w:i/>
          <w:iCs/>
          <w:noProof/>
        </w:rPr>
        <w:t>Nature Medicine</w:t>
      </w:r>
      <w:r w:rsidRPr="00A35149">
        <w:rPr>
          <w:rFonts w:asciiTheme="majorBidi" w:hAnsiTheme="majorBidi" w:cstheme="majorBidi"/>
          <w:noProof/>
        </w:rPr>
        <w:t>. doi: 10.1038/nm0313-253a.</w:t>
      </w:r>
    </w:p>
    <w:p w14:paraId="4ED699C5"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72F238B9" w14:textId="52DEF7D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Shi, Y. </w:t>
      </w:r>
      <w:r w:rsidRPr="00A35149">
        <w:rPr>
          <w:rFonts w:asciiTheme="majorBidi" w:hAnsiTheme="majorBidi" w:cstheme="majorBidi"/>
          <w:i/>
          <w:iCs/>
          <w:noProof/>
        </w:rPr>
        <w:t>et al.</w:t>
      </w:r>
      <w:r w:rsidRPr="00A35149">
        <w:rPr>
          <w:rFonts w:asciiTheme="majorBidi" w:hAnsiTheme="majorBidi" w:cstheme="majorBidi"/>
          <w:noProof/>
        </w:rPr>
        <w:t xml:space="preserve"> (2020) ‘COVID-19 infection: the perspectives on immune responses’, </w:t>
      </w:r>
      <w:r w:rsidRPr="00A35149">
        <w:rPr>
          <w:rFonts w:asciiTheme="majorBidi" w:hAnsiTheme="majorBidi" w:cstheme="majorBidi"/>
          <w:i/>
          <w:iCs/>
          <w:noProof/>
        </w:rPr>
        <w:t>Cell Death &amp; Differentiation</w:t>
      </w:r>
      <w:r w:rsidRPr="00A35149">
        <w:rPr>
          <w:rFonts w:asciiTheme="majorBidi" w:hAnsiTheme="majorBidi" w:cstheme="majorBidi"/>
          <w:noProof/>
        </w:rPr>
        <w:t>. doi: 10.1038/s41418-020-0530-3.</w:t>
      </w:r>
    </w:p>
    <w:p w14:paraId="3E7B9D8F"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517705F2" w14:textId="2E60E7F2"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Sirugo, G., Williams, S. M. and Tishkoff, S. A. (2019) ‘The Missing Diversity in Human Genetic Studies’, </w:t>
      </w:r>
      <w:r w:rsidRPr="00A35149">
        <w:rPr>
          <w:rFonts w:asciiTheme="majorBidi" w:hAnsiTheme="majorBidi" w:cstheme="majorBidi"/>
          <w:i/>
          <w:iCs/>
          <w:noProof/>
        </w:rPr>
        <w:t>Cell</w:t>
      </w:r>
      <w:r w:rsidRPr="00A35149">
        <w:rPr>
          <w:rFonts w:asciiTheme="majorBidi" w:hAnsiTheme="majorBidi" w:cstheme="majorBidi"/>
          <w:noProof/>
        </w:rPr>
        <w:t>, 177(1), pp. 26–31. doi: 10.1016/j.cell.2019.02.048.</w:t>
      </w:r>
    </w:p>
    <w:p w14:paraId="12FB67C9"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5E2BEEC0" w14:textId="56AF0263"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Smith, B. H. </w:t>
      </w:r>
      <w:r w:rsidRPr="00A35149">
        <w:rPr>
          <w:rFonts w:asciiTheme="majorBidi" w:hAnsiTheme="majorBidi" w:cstheme="majorBidi"/>
          <w:i/>
          <w:iCs/>
          <w:noProof/>
        </w:rPr>
        <w:t>et al.</w:t>
      </w:r>
      <w:r w:rsidRPr="00A35149">
        <w:rPr>
          <w:rFonts w:asciiTheme="majorBidi" w:hAnsiTheme="majorBidi" w:cstheme="majorBidi"/>
          <w:noProof/>
        </w:rPr>
        <w:t xml:space="preserve"> (2006) ‘Generation Scotland: The Scottish Family Health Study; a new resource for researching genes and heritability’, </w:t>
      </w:r>
      <w:r w:rsidRPr="00A35149">
        <w:rPr>
          <w:rFonts w:asciiTheme="majorBidi" w:hAnsiTheme="majorBidi" w:cstheme="majorBidi"/>
          <w:i/>
          <w:iCs/>
          <w:noProof/>
        </w:rPr>
        <w:t>BMC Medical Genetics</w:t>
      </w:r>
      <w:r w:rsidRPr="00A35149">
        <w:rPr>
          <w:rFonts w:asciiTheme="majorBidi" w:hAnsiTheme="majorBidi" w:cstheme="majorBidi"/>
          <w:noProof/>
        </w:rPr>
        <w:t>, 7. doi: 10.1186/1471-2350-7-74.</w:t>
      </w:r>
    </w:p>
    <w:p w14:paraId="2F9C8A92"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567333C9" w14:textId="51C9390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lastRenderedPageBreak/>
        <w:t xml:space="preserve">Smith, G. D. (2010) ‘Mendelian randomization for strengthening causal inference in observational studies: Application to gene × environment interactions’, </w:t>
      </w:r>
      <w:r w:rsidRPr="00A35149">
        <w:rPr>
          <w:rFonts w:asciiTheme="majorBidi" w:hAnsiTheme="majorBidi" w:cstheme="majorBidi"/>
          <w:i/>
          <w:iCs/>
          <w:noProof/>
        </w:rPr>
        <w:t>Perspectives on Psychological Science</w:t>
      </w:r>
      <w:r w:rsidRPr="00A35149">
        <w:rPr>
          <w:rFonts w:asciiTheme="majorBidi" w:hAnsiTheme="majorBidi" w:cstheme="majorBidi"/>
          <w:noProof/>
        </w:rPr>
        <w:t>, 5(5), pp. 527–545. doi: 10.1177/1745691610383505.</w:t>
      </w:r>
    </w:p>
    <w:p w14:paraId="04F0DAEB"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1C967F69" w14:textId="237CC72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Sohail, M. </w:t>
      </w:r>
      <w:r w:rsidRPr="00A35149">
        <w:rPr>
          <w:rFonts w:asciiTheme="majorBidi" w:hAnsiTheme="majorBidi" w:cstheme="majorBidi"/>
          <w:i/>
          <w:iCs/>
          <w:noProof/>
        </w:rPr>
        <w:t>et al.</w:t>
      </w:r>
      <w:r w:rsidRPr="00A35149">
        <w:rPr>
          <w:rFonts w:asciiTheme="majorBidi" w:hAnsiTheme="majorBidi" w:cstheme="majorBidi"/>
          <w:noProof/>
        </w:rPr>
        <w:t xml:space="preserve"> (2019) ‘Polygenic adaptation on height is overestimated due to uncorrected stratification in genome-wide association studies’, </w:t>
      </w:r>
      <w:r w:rsidRPr="00A35149">
        <w:rPr>
          <w:rFonts w:asciiTheme="majorBidi" w:hAnsiTheme="majorBidi" w:cstheme="majorBidi"/>
          <w:i/>
          <w:iCs/>
          <w:noProof/>
        </w:rPr>
        <w:t>eLife</w:t>
      </w:r>
      <w:r w:rsidRPr="00A35149">
        <w:rPr>
          <w:rFonts w:asciiTheme="majorBidi" w:hAnsiTheme="majorBidi" w:cstheme="majorBidi"/>
          <w:noProof/>
        </w:rPr>
        <w:t>, 8. doi: 10.7554/eLife.39702.</w:t>
      </w:r>
    </w:p>
    <w:p w14:paraId="712D7931"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54A2AD5E" w14:textId="270B223E"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Somiari, S. B. and Somiari, R. I. (2015) ‘The future of biobanking: A conceptual look at how biobanks can respond to the growing human biospecimen needs of researchers’, in </w:t>
      </w:r>
      <w:r w:rsidRPr="00A35149">
        <w:rPr>
          <w:rFonts w:asciiTheme="majorBidi" w:hAnsiTheme="majorBidi" w:cstheme="majorBidi"/>
          <w:i/>
          <w:iCs/>
          <w:noProof/>
        </w:rPr>
        <w:t>Advances in Experimental Medicine and Biology</w:t>
      </w:r>
      <w:r w:rsidRPr="00A35149">
        <w:rPr>
          <w:rFonts w:asciiTheme="majorBidi" w:hAnsiTheme="majorBidi" w:cstheme="majorBidi"/>
          <w:noProof/>
        </w:rPr>
        <w:t>, pp. 11–27. doi: 10.1007/978-3-319-20579-3_2.</w:t>
      </w:r>
    </w:p>
    <w:p w14:paraId="283FE284"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7FE1E143" w14:textId="788F3061"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Speed, D. and Balding, D. J. (2015) ‘Relatedness in the post-genomic era: Is it still useful?’, </w:t>
      </w:r>
      <w:r w:rsidRPr="00A35149">
        <w:rPr>
          <w:rFonts w:asciiTheme="majorBidi" w:hAnsiTheme="majorBidi" w:cstheme="majorBidi"/>
          <w:i/>
          <w:iCs/>
          <w:noProof/>
        </w:rPr>
        <w:t>Nature Reviews Genetics</w:t>
      </w:r>
      <w:r w:rsidRPr="00A35149">
        <w:rPr>
          <w:rFonts w:asciiTheme="majorBidi" w:hAnsiTheme="majorBidi" w:cstheme="majorBidi"/>
          <w:noProof/>
        </w:rPr>
        <w:t>, 16(1), pp. 33–44. doi: 10.1038/nrg3821.</w:t>
      </w:r>
    </w:p>
    <w:p w14:paraId="2B5F20ED"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178BB9AF" w14:textId="35E19D5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Stevens, E. L.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(2011) ‘Inference of relationships in population data using identity-by-descent and identity-by-state’, </w:t>
      </w:r>
      <w:r w:rsidRPr="00A35149">
        <w:rPr>
          <w:rFonts w:asciiTheme="majorBidi" w:hAnsiTheme="majorBidi" w:cstheme="majorBidi"/>
          <w:i/>
          <w:iCs/>
          <w:noProof/>
        </w:rPr>
        <w:t>PLoS Genetics</w:t>
      </w:r>
      <w:r w:rsidRPr="00A35149">
        <w:rPr>
          <w:rFonts w:asciiTheme="majorBidi" w:hAnsiTheme="majorBidi" w:cstheme="majorBidi"/>
          <w:noProof/>
        </w:rPr>
        <w:t>, 7(9). doi: 10.1371/journal.pgen.1002287.</w:t>
      </w:r>
    </w:p>
    <w:p w14:paraId="4F964C3E"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665F293E" w14:textId="7B7EEEA6"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Sudlow, C. </w:t>
      </w:r>
      <w:r w:rsidRPr="00A35149">
        <w:rPr>
          <w:rFonts w:asciiTheme="majorBidi" w:hAnsiTheme="majorBidi" w:cstheme="majorBidi"/>
          <w:i/>
          <w:iCs/>
          <w:noProof/>
        </w:rPr>
        <w:t>et al.</w:t>
      </w:r>
      <w:r w:rsidRPr="00A35149">
        <w:rPr>
          <w:rFonts w:asciiTheme="majorBidi" w:hAnsiTheme="majorBidi" w:cstheme="majorBidi"/>
          <w:noProof/>
        </w:rPr>
        <w:t xml:space="preserve"> (2015) ‘UK Biobank: An Open Access Resource for Identifying the Causes of a Wide Range of Complex Diseases of Middle and Old Age’, </w:t>
      </w:r>
      <w:r w:rsidRPr="00A35149">
        <w:rPr>
          <w:rFonts w:asciiTheme="majorBidi" w:hAnsiTheme="majorBidi" w:cstheme="majorBidi"/>
          <w:i/>
          <w:iCs/>
          <w:noProof/>
        </w:rPr>
        <w:t>PLoS Medicine</w:t>
      </w:r>
      <w:r w:rsidRPr="00A35149">
        <w:rPr>
          <w:rFonts w:asciiTheme="majorBidi" w:hAnsiTheme="majorBidi" w:cstheme="majorBidi"/>
          <w:noProof/>
        </w:rPr>
        <w:t>, 12(3). doi: 10.1371/journal.pmed.1001779.</w:t>
      </w:r>
    </w:p>
    <w:p w14:paraId="621187AA"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6BBE11FA" w14:textId="53F7BCC4"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Tam, V. </w:t>
      </w:r>
      <w:r w:rsidRPr="00A35149">
        <w:rPr>
          <w:rFonts w:asciiTheme="majorBidi" w:hAnsiTheme="majorBidi" w:cstheme="majorBidi"/>
          <w:i/>
          <w:iCs/>
          <w:noProof/>
        </w:rPr>
        <w:t>et al.</w:t>
      </w:r>
      <w:r w:rsidRPr="00A35149">
        <w:rPr>
          <w:rFonts w:asciiTheme="majorBidi" w:hAnsiTheme="majorBidi" w:cstheme="majorBidi"/>
          <w:noProof/>
        </w:rPr>
        <w:t xml:space="preserve"> (2019) ‘Benefits and limitations of genome-wide association studies’, </w:t>
      </w:r>
      <w:r w:rsidRPr="00A35149">
        <w:rPr>
          <w:rFonts w:asciiTheme="majorBidi" w:hAnsiTheme="majorBidi" w:cstheme="majorBidi"/>
          <w:i/>
          <w:iCs/>
          <w:noProof/>
        </w:rPr>
        <w:t>Nature Reviews Genetics</w:t>
      </w:r>
      <w:r w:rsidRPr="00A35149">
        <w:rPr>
          <w:rFonts w:asciiTheme="majorBidi" w:hAnsiTheme="majorBidi" w:cstheme="majorBidi"/>
          <w:noProof/>
        </w:rPr>
        <w:t>, 20(8), pp. 467–484. doi: 10.1038/s41576-019-0127-1.</w:t>
      </w:r>
    </w:p>
    <w:p w14:paraId="52A49BAF"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75C49795" w14:textId="558E6424"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Tang, H. </w:t>
      </w:r>
      <w:r w:rsidRPr="00A35149">
        <w:rPr>
          <w:rFonts w:asciiTheme="majorBidi" w:hAnsiTheme="majorBidi" w:cstheme="majorBidi"/>
          <w:i/>
          <w:iCs/>
          <w:noProof/>
        </w:rPr>
        <w:t>et al.</w:t>
      </w:r>
      <w:r w:rsidRPr="00A35149">
        <w:rPr>
          <w:rFonts w:asciiTheme="majorBidi" w:hAnsiTheme="majorBidi" w:cstheme="majorBidi"/>
          <w:noProof/>
        </w:rPr>
        <w:t xml:space="preserve"> (2005) ‘Estimation of individual admixture: Analytical and study design considerations’, </w:t>
      </w:r>
      <w:r w:rsidRPr="00A35149">
        <w:rPr>
          <w:rFonts w:asciiTheme="majorBidi" w:hAnsiTheme="majorBidi" w:cstheme="majorBidi"/>
          <w:i/>
          <w:iCs/>
          <w:noProof/>
        </w:rPr>
        <w:t>Genetic Epidemiology</w:t>
      </w:r>
      <w:r w:rsidRPr="00A35149">
        <w:rPr>
          <w:rFonts w:asciiTheme="majorBidi" w:hAnsiTheme="majorBidi" w:cstheme="majorBidi"/>
          <w:noProof/>
        </w:rPr>
        <w:t>, 28(4), pp. 289–301. doi: 10.1002/gepi.20064.</w:t>
      </w:r>
    </w:p>
    <w:p w14:paraId="5406CB98"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11F82166" w14:textId="1B9E35A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T</w:t>
      </w:r>
      <w:r w:rsidR="00D56B4A" w:rsidRPr="00A35149">
        <w:rPr>
          <w:rFonts w:asciiTheme="majorBidi" w:hAnsiTheme="majorBidi" w:cstheme="majorBidi"/>
          <w:noProof/>
        </w:rPr>
        <w:t>hompson</w:t>
      </w:r>
      <w:r w:rsidRPr="00A35149">
        <w:rPr>
          <w:rFonts w:asciiTheme="majorBidi" w:hAnsiTheme="majorBidi" w:cstheme="majorBidi"/>
          <w:noProof/>
        </w:rPr>
        <w:t xml:space="preserve">, E. A. (1975) ‘The estimation of pairwise relationships’, </w:t>
      </w:r>
      <w:r w:rsidRPr="00A35149">
        <w:rPr>
          <w:rFonts w:asciiTheme="majorBidi" w:hAnsiTheme="majorBidi" w:cstheme="majorBidi"/>
          <w:i/>
          <w:iCs/>
          <w:noProof/>
        </w:rPr>
        <w:t>Annals of Human Genetics</w:t>
      </w:r>
      <w:r w:rsidRPr="00A35149">
        <w:rPr>
          <w:rFonts w:asciiTheme="majorBidi" w:hAnsiTheme="majorBidi" w:cstheme="majorBidi"/>
          <w:noProof/>
        </w:rPr>
        <w:t>, 39(2), pp. 173–188. doi: 10.1111/j.1469-1809.1975.tb00120.x.</w:t>
      </w:r>
    </w:p>
    <w:p w14:paraId="322F3BBA"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7725F9AD" w14:textId="23BD59EA"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Thornton, T. </w:t>
      </w:r>
      <w:r w:rsidRPr="00A35149">
        <w:rPr>
          <w:rFonts w:asciiTheme="majorBidi" w:hAnsiTheme="majorBidi" w:cstheme="majorBidi"/>
          <w:i/>
          <w:iCs/>
          <w:noProof/>
        </w:rPr>
        <w:t>et al.</w:t>
      </w:r>
      <w:r w:rsidRPr="00A35149">
        <w:rPr>
          <w:rFonts w:asciiTheme="majorBidi" w:hAnsiTheme="majorBidi" w:cstheme="majorBidi"/>
          <w:noProof/>
        </w:rPr>
        <w:t xml:space="preserve"> (2012) ‘Estimating kinship in admixed populations’, </w:t>
      </w:r>
      <w:r w:rsidRPr="00A35149">
        <w:rPr>
          <w:rFonts w:asciiTheme="majorBidi" w:hAnsiTheme="majorBidi" w:cstheme="majorBidi"/>
          <w:i/>
          <w:iCs/>
          <w:noProof/>
        </w:rPr>
        <w:t>American Journal of Human Genetics</w:t>
      </w:r>
      <w:r w:rsidRPr="00A35149">
        <w:rPr>
          <w:rFonts w:asciiTheme="majorBidi" w:hAnsiTheme="majorBidi" w:cstheme="majorBidi"/>
          <w:noProof/>
        </w:rPr>
        <w:t>, 91(1), pp. 122–138. doi: 10.1016/j.ajhg.2012.05.024.</w:t>
      </w:r>
    </w:p>
    <w:p w14:paraId="4DD72344"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06E867D3" w14:textId="5913209E"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Timpson, N. J.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(2018) ‘Genetic architecture: The shape of the genetic contribution to human traits and disease’, </w:t>
      </w:r>
      <w:r w:rsidRPr="00A35149">
        <w:rPr>
          <w:rFonts w:asciiTheme="majorBidi" w:hAnsiTheme="majorBidi" w:cstheme="majorBidi"/>
          <w:i/>
          <w:iCs/>
          <w:noProof/>
        </w:rPr>
        <w:t>Nature Reviews Genetics</w:t>
      </w:r>
      <w:r w:rsidRPr="00A35149">
        <w:rPr>
          <w:rFonts w:asciiTheme="majorBidi" w:hAnsiTheme="majorBidi" w:cstheme="majorBidi"/>
          <w:noProof/>
        </w:rPr>
        <w:t>, 19(2), pp. 110–124. doi: 10.1038/nrg.2017.101.</w:t>
      </w:r>
    </w:p>
    <w:p w14:paraId="6EA97890"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1CE3B470" w14:textId="5170C7A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Tutton, R. (2009) </w:t>
      </w:r>
      <w:r w:rsidRPr="00A35149">
        <w:rPr>
          <w:rFonts w:asciiTheme="majorBidi" w:hAnsiTheme="majorBidi" w:cstheme="majorBidi"/>
          <w:i/>
          <w:iCs/>
          <w:noProof/>
        </w:rPr>
        <w:t>Race/Ethnicity: Multidisciplinary Global Contexts</w:t>
      </w:r>
      <w:r w:rsidRPr="00A35149">
        <w:rPr>
          <w:rFonts w:asciiTheme="majorBidi" w:hAnsiTheme="majorBidi" w:cstheme="majorBidi"/>
          <w:noProof/>
        </w:rPr>
        <w:t>.</w:t>
      </w:r>
    </w:p>
    <w:p w14:paraId="668DFBA9" w14:textId="77777777"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Visscher, P. M.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(2012) ‘Five years of GWAS discovery’, </w:t>
      </w:r>
      <w:r w:rsidRPr="00A35149">
        <w:rPr>
          <w:rFonts w:asciiTheme="majorBidi" w:hAnsiTheme="majorBidi" w:cstheme="majorBidi"/>
          <w:i/>
          <w:iCs/>
          <w:noProof/>
        </w:rPr>
        <w:t>American Journal of Human Genetics</w:t>
      </w:r>
      <w:r w:rsidRPr="00A35149">
        <w:rPr>
          <w:rFonts w:asciiTheme="majorBidi" w:hAnsiTheme="majorBidi" w:cstheme="majorBidi"/>
          <w:noProof/>
        </w:rPr>
        <w:t>, 90(1), pp. 7–24. doi: 10.1016/j.ajhg.2011.11.029.</w:t>
      </w:r>
    </w:p>
    <w:p w14:paraId="1C984C05"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6FFC6D77" w14:textId="76830D0B"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Wain, L. V. (2014) ‘Blood Pressure Genetics and Hypertension: Genome-Wide Analysis and Role of Ancestry’, </w:t>
      </w:r>
      <w:r w:rsidRPr="00A35149">
        <w:rPr>
          <w:rFonts w:asciiTheme="majorBidi" w:hAnsiTheme="majorBidi" w:cstheme="majorBidi"/>
          <w:i/>
          <w:iCs/>
          <w:noProof/>
        </w:rPr>
        <w:t>Current Genetic Medicine Reports</w:t>
      </w:r>
      <w:r w:rsidRPr="00A35149">
        <w:rPr>
          <w:rFonts w:asciiTheme="majorBidi" w:hAnsiTheme="majorBidi" w:cstheme="majorBidi"/>
          <w:noProof/>
        </w:rPr>
        <w:t>, 2(1), pp. 13–22. doi: 10.1007/s40142-014-0032-z.</w:t>
      </w:r>
    </w:p>
    <w:p w14:paraId="0765EEC8"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42005DB9" w14:textId="5A76C3C3"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Wang, B., Sverdlov, S. and Thompson, E. (2016) ‘Efficient estimation of realized kinship from SNP genotypes’, </w:t>
      </w:r>
      <w:r w:rsidRPr="00A35149">
        <w:rPr>
          <w:rFonts w:asciiTheme="majorBidi" w:hAnsiTheme="majorBidi" w:cstheme="majorBidi"/>
          <w:i/>
          <w:iCs/>
          <w:noProof/>
        </w:rPr>
        <w:t>Genetics</w:t>
      </w:r>
      <w:r w:rsidRPr="00A35149">
        <w:rPr>
          <w:rFonts w:asciiTheme="majorBidi" w:hAnsiTheme="majorBidi" w:cstheme="majorBidi"/>
          <w:noProof/>
        </w:rPr>
        <w:t xml:space="preserve">, 205(3), pp. 1–23. doi: </w:t>
      </w:r>
      <w:r w:rsidR="008D4B1F" w:rsidRPr="008D4B1F">
        <w:rPr>
          <w:rFonts w:asciiTheme="majorBidi" w:hAnsiTheme="majorBidi" w:cstheme="majorBidi"/>
          <w:noProof/>
        </w:rPr>
        <w:t>10.1534/genetics.116.197004</w:t>
      </w:r>
      <w:r w:rsidRPr="00A35149">
        <w:rPr>
          <w:rFonts w:asciiTheme="majorBidi" w:hAnsiTheme="majorBidi" w:cstheme="majorBidi"/>
          <w:noProof/>
        </w:rPr>
        <w:t>.</w:t>
      </w:r>
    </w:p>
    <w:p w14:paraId="715C7E12"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231866D6" w14:textId="6C862594"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Wang, J. (2002) ‘An estimator for pairwise relatedness using molecular markers’, </w:t>
      </w:r>
      <w:r w:rsidRPr="00A35149">
        <w:rPr>
          <w:rFonts w:asciiTheme="majorBidi" w:hAnsiTheme="majorBidi" w:cstheme="majorBidi"/>
          <w:i/>
          <w:iCs/>
          <w:noProof/>
        </w:rPr>
        <w:t>Genetics</w:t>
      </w:r>
      <w:r w:rsidRPr="00A35149">
        <w:rPr>
          <w:rFonts w:asciiTheme="majorBidi" w:hAnsiTheme="majorBidi" w:cstheme="majorBidi"/>
          <w:noProof/>
        </w:rPr>
        <w:t>, 160(3), pp. 1203–1215.</w:t>
      </w:r>
    </w:p>
    <w:p w14:paraId="1132DFAB"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7A2DF768" w14:textId="045D7A8B"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Wang, Y., Localio, R. and Rebbeck, T. R. (2006) ‘Evaluating bias due to population stratification in epidemiologic studies of gene-gene or gene-environment interactions’, </w:t>
      </w:r>
      <w:r w:rsidRPr="00A35149">
        <w:rPr>
          <w:rFonts w:asciiTheme="majorBidi" w:hAnsiTheme="majorBidi" w:cstheme="majorBidi"/>
          <w:i/>
          <w:iCs/>
          <w:noProof/>
        </w:rPr>
        <w:t>Cancer Epidemiology Biomarkers and Prevention</w:t>
      </w:r>
      <w:r w:rsidRPr="00A35149">
        <w:rPr>
          <w:rFonts w:asciiTheme="majorBidi" w:hAnsiTheme="majorBidi" w:cstheme="majorBidi"/>
          <w:noProof/>
        </w:rPr>
        <w:t>, 15(1), pp. 124–132. doi: 10.1158/1055-9965.EPI-05-0304.</w:t>
      </w:r>
    </w:p>
    <w:p w14:paraId="1C5CF612"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50793E8D" w14:textId="67BB6D4C"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Weiss, K. M. and Lambert, B. W. (2014) ‘What type of person are you? Old-fashioned thinking even in modern science’, </w:t>
      </w:r>
      <w:r w:rsidRPr="00A35149">
        <w:rPr>
          <w:rFonts w:asciiTheme="majorBidi" w:hAnsiTheme="majorBidi" w:cstheme="majorBidi"/>
          <w:i/>
          <w:iCs/>
          <w:noProof/>
        </w:rPr>
        <w:t>Cold Spring Harbor Perspectives in Biology</w:t>
      </w:r>
      <w:r w:rsidRPr="00A35149">
        <w:rPr>
          <w:rFonts w:asciiTheme="majorBidi" w:hAnsiTheme="majorBidi" w:cstheme="majorBidi"/>
          <w:noProof/>
        </w:rPr>
        <w:t>, 6(1). doi: 10.1101/cshperspect.a021238.</w:t>
      </w:r>
    </w:p>
    <w:p w14:paraId="2BEB6207"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5661851B" w14:textId="3558D4E0"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Weitzel, K. W. </w:t>
      </w:r>
      <w:r w:rsidRPr="00A35149">
        <w:rPr>
          <w:rFonts w:asciiTheme="majorBidi" w:hAnsiTheme="majorBidi" w:cstheme="majorBidi"/>
          <w:i/>
          <w:iCs/>
          <w:noProof/>
        </w:rPr>
        <w:t>et al.</w:t>
      </w:r>
      <w:r w:rsidRPr="00A35149">
        <w:rPr>
          <w:rFonts w:asciiTheme="majorBidi" w:hAnsiTheme="majorBidi" w:cstheme="majorBidi"/>
          <w:noProof/>
        </w:rPr>
        <w:t xml:space="preserve"> (2016) ‘The IGNITE network: A model for genomic medicine implementation and research’, </w:t>
      </w:r>
      <w:r w:rsidRPr="00A35149">
        <w:rPr>
          <w:rFonts w:asciiTheme="majorBidi" w:hAnsiTheme="majorBidi" w:cstheme="majorBidi"/>
          <w:i/>
          <w:iCs/>
          <w:noProof/>
        </w:rPr>
        <w:t>BMC Medical Genomics</w:t>
      </w:r>
      <w:r w:rsidRPr="00A35149">
        <w:rPr>
          <w:rFonts w:asciiTheme="majorBidi" w:hAnsiTheme="majorBidi" w:cstheme="majorBidi"/>
          <w:noProof/>
        </w:rPr>
        <w:t>, 9(1). doi: 10.1186/s12920-015-0162-5.</w:t>
      </w:r>
    </w:p>
    <w:p w14:paraId="5F6AAD4D"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763C4D7F" w14:textId="001C796B"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Wellenreuther, M. and Hansson, B. (2016) ‘Detecting Polygenic Evolution: Problems, Pitfalls, and Promises’, </w:t>
      </w:r>
      <w:r w:rsidRPr="00A35149">
        <w:rPr>
          <w:rFonts w:asciiTheme="majorBidi" w:hAnsiTheme="majorBidi" w:cstheme="majorBidi"/>
          <w:i/>
          <w:iCs/>
          <w:noProof/>
        </w:rPr>
        <w:t>Trends in Genetics</w:t>
      </w:r>
      <w:r w:rsidRPr="00A35149">
        <w:rPr>
          <w:rFonts w:asciiTheme="majorBidi" w:hAnsiTheme="majorBidi" w:cstheme="majorBidi"/>
          <w:noProof/>
        </w:rPr>
        <w:t>, 32(3), pp. 155–164. doi: 10.1016/j.tig.2015.12.004.</w:t>
      </w:r>
    </w:p>
    <w:p w14:paraId="5115390B"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02760889" w14:textId="1A873BFE"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Xing, J. </w:t>
      </w:r>
      <w:r w:rsidRPr="00A35149">
        <w:rPr>
          <w:rFonts w:asciiTheme="majorBidi" w:hAnsiTheme="majorBidi" w:cstheme="majorBidi"/>
          <w:i/>
          <w:iCs/>
          <w:noProof/>
        </w:rPr>
        <w:t>et al.</w:t>
      </w:r>
      <w:r w:rsidRPr="00A35149">
        <w:rPr>
          <w:rFonts w:asciiTheme="majorBidi" w:hAnsiTheme="majorBidi" w:cstheme="majorBidi"/>
          <w:noProof/>
        </w:rPr>
        <w:t xml:space="preserve"> (2009) ‘Fine-scaled human genetic structure revealed by SNP microarrays’, </w:t>
      </w:r>
      <w:r w:rsidRPr="00A35149">
        <w:rPr>
          <w:rFonts w:asciiTheme="majorBidi" w:hAnsiTheme="majorBidi" w:cstheme="majorBidi"/>
          <w:i/>
          <w:iCs/>
          <w:noProof/>
        </w:rPr>
        <w:t>Genome Research</w:t>
      </w:r>
      <w:r w:rsidRPr="00A35149">
        <w:rPr>
          <w:rFonts w:asciiTheme="majorBidi" w:hAnsiTheme="majorBidi" w:cstheme="majorBidi"/>
          <w:noProof/>
        </w:rPr>
        <w:t>, 19(5), pp. 815–825. doi: 10.1101/gr.085589.108.</w:t>
      </w:r>
    </w:p>
    <w:p w14:paraId="724BE470"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05322BF1" w14:textId="363A368F"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Yang, J. </w:t>
      </w:r>
      <w:r w:rsidRPr="00A35149">
        <w:rPr>
          <w:rFonts w:asciiTheme="majorBidi" w:hAnsiTheme="majorBidi" w:cstheme="majorBidi"/>
          <w:i/>
          <w:iCs/>
          <w:noProof/>
        </w:rPr>
        <w:t>et al.</w:t>
      </w:r>
      <w:r w:rsidRPr="00A35149">
        <w:rPr>
          <w:rFonts w:asciiTheme="majorBidi" w:hAnsiTheme="majorBidi" w:cstheme="majorBidi"/>
          <w:noProof/>
        </w:rPr>
        <w:t xml:space="preserve"> (2011) ‘GCTA: A tool for genome-wide complex trait analysis’, </w:t>
      </w:r>
      <w:r w:rsidRPr="00A35149">
        <w:rPr>
          <w:rFonts w:asciiTheme="majorBidi" w:hAnsiTheme="majorBidi" w:cstheme="majorBidi"/>
          <w:i/>
          <w:iCs/>
          <w:noProof/>
        </w:rPr>
        <w:t>American Journal of Human Genetics</w:t>
      </w:r>
      <w:r w:rsidRPr="00A35149">
        <w:rPr>
          <w:rFonts w:asciiTheme="majorBidi" w:hAnsiTheme="majorBidi" w:cstheme="majorBidi"/>
          <w:noProof/>
        </w:rPr>
        <w:t>, 88(1), pp. 76–82. doi: 10.1016/j.ajhg.2010.11.011.</w:t>
      </w:r>
    </w:p>
    <w:p w14:paraId="3ED4A872"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70CC6A8E" w14:textId="64878A61"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lang w:val="sv-SE"/>
        </w:rPr>
        <w:t xml:space="preserve">Yang, W. Y. </w:t>
      </w:r>
      <w:r w:rsidRPr="00A35149">
        <w:rPr>
          <w:rFonts w:asciiTheme="majorBidi" w:hAnsiTheme="majorBidi" w:cstheme="majorBidi"/>
          <w:i/>
          <w:iCs/>
          <w:noProof/>
          <w:lang w:val="sv-SE"/>
        </w:rPr>
        <w:t>et al.</w:t>
      </w:r>
      <w:r w:rsidRPr="00A35149">
        <w:rPr>
          <w:rFonts w:asciiTheme="majorBidi" w:hAnsiTheme="majorBidi" w:cstheme="majorBidi"/>
          <w:noProof/>
          <w:lang w:val="sv-SE"/>
        </w:rPr>
        <w:t xml:space="preserve"> </w:t>
      </w:r>
      <w:r w:rsidRPr="00A35149">
        <w:rPr>
          <w:rFonts w:asciiTheme="majorBidi" w:hAnsiTheme="majorBidi" w:cstheme="majorBidi"/>
          <w:noProof/>
        </w:rPr>
        <w:t xml:space="preserve">(2012) ‘A model-based approach for analysis of spatial structure in genetic data’, </w:t>
      </w:r>
      <w:r w:rsidRPr="00A35149">
        <w:rPr>
          <w:rFonts w:asciiTheme="majorBidi" w:hAnsiTheme="majorBidi" w:cstheme="majorBidi"/>
          <w:i/>
          <w:iCs/>
          <w:noProof/>
        </w:rPr>
        <w:t>Nature Genetics</w:t>
      </w:r>
      <w:r w:rsidRPr="00A35149">
        <w:rPr>
          <w:rFonts w:asciiTheme="majorBidi" w:hAnsiTheme="majorBidi" w:cstheme="majorBidi"/>
          <w:noProof/>
        </w:rPr>
        <w:t>, 44(6), pp. 725–731. doi: 10.1038/ng.2285.</w:t>
      </w:r>
    </w:p>
    <w:p w14:paraId="10B009F9"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6D20CEA6" w14:textId="7F4EE4E4"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Yusuf, S. and Wittes, J. (2016) ‘Interpreting Geographic Variations in Results of Randomized, Controlled Trials’, </w:t>
      </w:r>
      <w:r w:rsidRPr="00A35149">
        <w:rPr>
          <w:rFonts w:asciiTheme="majorBidi" w:hAnsiTheme="majorBidi" w:cstheme="majorBidi"/>
          <w:i/>
          <w:iCs/>
          <w:noProof/>
        </w:rPr>
        <w:t>New England Journal of Medicine</w:t>
      </w:r>
      <w:r w:rsidRPr="00A35149">
        <w:rPr>
          <w:rFonts w:asciiTheme="majorBidi" w:hAnsiTheme="majorBidi" w:cstheme="majorBidi"/>
          <w:noProof/>
        </w:rPr>
        <w:t>, 375(23), pp. 2263–2271. doi: 10.1056/nejmra1510065.</w:t>
      </w:r>
    </w:p>
    <w:p w14:paraId="326FF610" w14:textId="77777777" w:rsidR="00F76F93" w:rsidRPr="00A35149" w:rsidRDefault="00F76F93" w:rsidP="003E4435">
      <w:pPr>
        <w:widowControl w:val="0"/>
        <w:autoSpaceDE w:val="0"/>
        <w:autoSpaceDN w:val="0"/>
        <w:adjustRightInd w:val="0"/>
        <w:rPr>
          <w:rFonts w:asciiTheme="majorBidi" w:hAnsiTheme="majorBidi" w:cstheme="majorBidi"/>
          <w:noProof/>
        </w:rPr>
      </w:pPr>
    </w:p>
    <w:p w14:paraId="1EA497CA" w14:textId="4C7B54C5" w:rsidR="003E4435" w:rsidRPr="00A35149" w:rsidRDefault="003E4435" w:rsidP="003E4435">
      <w:pPr>
        <w:widowControl w:val="0"/>
        <w:autoSpaceDE w:val="0"/>
        <w:autoSpaceDN w:val="0"/>
        <w:adjustRightInd w:val="0"/>
        <w:rPr>
          <w:rFonts w:asciiTheme="majorBidi" w:hAnsiTheme="majorBidi" w:cstheme="majorBidi"/>
          <w:noProof/>
        </w:rPr>
      </w:pPr>
      <w:r w:rsidRPr="00A35149">
        <w:rPr>
          <w:rFonts w:asciiTheme="majorBidi" w:hAnsiTheme="majorBidi" w:cstheme="majorBidi"/>
          <w:noProof/>
        </w:rPr>
        <w:t xml:space="preserve">Zhang, Y. and Pan, W. (2015) ‘Principal Component Regression and Linear Mixed Model in Association Analysis of Structured Samples: Competitors or Complements?’, </w:t>
      </w:r>
      <w:r w:rsidRPr="00A35149">
        <w:rPr>
          <w:rFonts w:asciiTheme="majorBidi" w:hAnsiTheme="majorBidi" w:cstheme="majorBidi"/>
          <w:i/>
          <w:iCs/>
          <w:noProof/>
        </w:rPr>
        <w:t>Genetic Epidemiology</w:t>
      </w:r>
      <w:r w:rsidRPr="00A35149">
        <w:rPr>
          <w:rFonts w:asciiTheme="majorBidi" w:hAnsiTheme="majorBidi" w:cstheme="majorBidi"/>
          <w:noProof/>
        </w:rPr>
        <w:t>, 39(3), pp. 149–155. doi: 10.1002/gepi.21879.</w:t>
      </w:r>
    </w:p>
    <w:p w14:paraId="4ADA7A7F" w14:textId="2B5FE000" w:rsidR="00AD369E" w:rsidRPr="00A35149" w:rsidRDefault="00AD369E" w:rsidP="003E4435">
      <w:pPr>
        <w:widowControl w:val="0"/>
        <w:autoSpaceDE w:val="0"/>
        <w:autoSpaceDN w:val="0"/>
        <w:adjustRightInd w:val="0"/>
        <w:rPr>
          <w:rFonts w:asciiTheme="majorBidi" w:hAnsiTheme="majorBidi" w:cstheme="majorBidi"/>
        </w:rPr>
      </w:pPr>
      <w:r w:rsidRPr="00A35149">
        <w:rPr>
          <w:rFonts w:asciiTheme="majorBidi" w:hAnsiTheme="majorBidi" w:cstheme="majorBidi"/>
        </w:rPr>
        <w:fldChar w:fldCharType="end"/>
      </w:r>
    </w:p>
    <w:p w14:paraId="3AE01A8A" w14:textId="77777777" w:rsidR="00996993" w:rsidRPr="00A35149" w:rsidRDefault="00996993">
      <w:pPr>
        <w:widowControl w:val="0"/>
        <w:rPr>
          <w:rFonts w:asciiTheme="majorBidi" w:hAnsiTheme="majorBidi" w:cstheme="majorBidi"/>
        </w:rPr>
      </w:pPr>
    </w:p>
    <w:p w14:paraId="4E72D071" w14:textId="0C3F9E41" w:rsidR="000C01B9" w:rsidRPr="00A35149" w:rsidRDefault="00F76F93" w:rsidP="00F76F93">
      <w:pPr>
        <w:tabs>
          <w:tab w:val="left" w:pos="5209"/>
        </w:tabs>
        <w:rPr>
          <w:rFonts w:asciiTheme="majorBidi" w:eastAsiaTheme="majorEastAsia" w:hAnsiTheme="majorBidi" w:cstheme="majorBidi"/>
          <w:color w:val="2F5496" w:themeColor="accent1" w:themeShade="BF"/>
          <w:sz w:val="32"/>
          <w:szCs w:val="32"/>
        </w:rPr>
      </w:pPr>
      <w:r w:rsidRPr="00A35149">
        <w:rPr>
          <w:rFonts w:asciiTheme="majorBidi" w:eastAsiaTheme="majorEastAsia" w:hAnsiTheme="majorBidi" w:cstheme="majorBidi"/>
          <w:color w:val="2F5496" w:themeColor="accent1" w:themeShade="BF"/>
          <w:sz w:val="32"/>
          <w:szCs w:val="32"/>
        </w:rPr>
        <w:tab/>
      </w:r>
    </w:p>
    <w:sectPr w:rsidR="000C01B9" w:rsidRPr="00A35149">
      <w:footerReference w:type="default" r:id="rId14"/>
      <w:pgSz w:w="11900" w:h="16840"/>
      <w:pgMar w:top="1417" w:right="1417" w:bottom="1417" w:left="1417" w:header="708" w:footer="708"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4834DE" w16cex:dateUtc="2020-04-20T13:49:00Z"/>
  <w16cex:commentExtensible w16cex:durableId="2248353E" w16cex:dateUtc="2020-04-20T13:5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B80C9E" w14:textId="77777777" w:rsidR="00A04ECB" w:rsidRDefault="00A04ECB" w:rsidP="007F7A63">
      <w:r>
        <w:separator/>
      </w:r>
    </w:p>
  </w:endnote>
  <w:endnote w:type="continuationSeparator" w:id="0">
    <w:p w14:paraId="070769BB" w14:textId="77777777" w:rsidR="00A04ECB" w:rsidRDefault="00A04ECB" w:rsidP="007F7A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255083"/>
      <w:docPartObj>
        <w:docPartGallery w:val="Page Numbers (Bottom of Page)"/>
        <w:docPartUnique/>
      </w:docPartObj>
    </w:sdtPr>
    <w:sdtEndPr>
      <w:rPr>
        <w:noProof/>
      </w:rPr>
    </w:sdtEndPr>
    <w:sdtContent>
      <w:p w14:paraId="5CF28964" w14:textId="5B439BB7" w:rsidR="009A7745" w:rsidRDefault="009A77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983122" w14:textId="77777777" w:rsidR="009A7745" w:rsidRDefault="009A7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76022A" w14:textId="77777777" w:rsidR="00A04ECB" w:rsidRDefault="00A04ECB" w:rsidP="007F7A63">
      <w:r>
        <w:separator/>
      </w:r>
    </w:p>
  </w:footnote>
  <w:footnote w:type="continuationSeparator" w:id="0">
    <w:p w14:paraId="1632727B" w14:textId="77777777" w:rsidR="00A04ECB" w:rsidRDefault="00A04ECB" w:rsidP="007F7A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F6442"/>
    <w:multiLevelType w:val="multilevel"/>
    <w:tmpl w:val="000080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6B1C10"/>
    <w:multiLevelType w:val="multilevel"/>
    <w:tmpl w:val="7F24F5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704D61"/>
    <w:multiLevelType w:val="multilevel"/>
    <w:tmpl w:val="96861C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CB3D66"/>
    <w:multiLevelType w:val="multilevel"/>
    <w:tmpl w:val="897E3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7FB462B"/>
    <w:multiLevelType w:val="multilevel"/>
    <w:tmpl w:val="261C73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794359E"/>
    <w:multiLevelType w:val="hybridMultilevel"/>
    <w:tmpl w:val="8D48AAB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E2CD8"/>
    <w:multiLevelType w:val="multilevel"/>
    <w:tmpl w:val="2C5A0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0F5577"/>
    <w:multiLevelType w:val="multilevel"/>
    <w:tmpl w:val="2062D0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78306B9"/>
    <w:multiLevelType w:val="multilevel"/>
    <w:tmpl w:val="51769F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92648A0"/>
    <w:multiLevelType w:val="multilevel"/>
    <w:tmpl w:val="CE8A11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BC42B40"/>
    <w:multiLevelType w:val="hybridMultilevel"/>
    <w:tmpl w:val="45DC54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CF5608E"/>
    <w:multiLevelType w:val="multilevel"/>
    <w:tmpl w:val="0964B6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D2C2936"/>
    <w:multiLevelType w:val="multilevel"/>
    <w:tmpl w:val="5472FB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F836C9"/>
    <w:multiLevelType w:val="multilevel"/>
    <w:tmpl w:val="0AD6F2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274D48"/>
    <w:multiLevelType w:val="hybridMultilevel"/>
    <w:tmpl w:val="8B4EA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8A014EB"/>
    <w:multiLevelType w:val="multilevel"/>
    <w:tmpl w:val="6ED07C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E127166"/>
    <w:multiLevelType w:val="multilevel"/>
    <w:tmpl w:val="664283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99544E"/>
    <w:multiLevelType w:val="multilevel"/>
    <w:tmpl w:val="0BF065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FA2511B"/>
    <w:multiLevelType w:val="multilevel"/>
    <w:tmpl w:val="9B6A9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0EA61AA"/>
    <w:multiLevelType w:val="multilevel"/>
    <w:tmpl w:val="08C85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2927BEB"/>
    <w:multiLevelType w:val="multilevel"/>
    <w:tmpl w:val="88DCC6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ACA499D"/>
    <w:multiLevelType w:val="multilevel"/>
    <w:tmpl w:val="C56AF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B336D06"/>
    <w:multiLevelType w:val="multilevel"/>
    <w:tmpl w:val="B142BF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BD71788"/>
    <w:multiLevelType w:val="multilevel"/>
    <w:tmpl w:val="F5A8B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C4B018F"/>
    <w:multiLevelType w:val="multilevel"/>
    <w:tmpl w:val="EA7EA1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CB96F7C"/>
    <w:multiLevelType w:val="hybridMultilevel"/>
    <w:tmpl w:val="6F5A32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EE94862"/>
    <w:multiLevelType w:val="multilevel"/>
    <w:tmpl w:val="3B64EB94"/>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5F562FC2"/>
    <w:multiLevelType w:val="multilevel"/>
    <w:tmpl w:val="A6DA9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26A41B7"/>
    <w:multiLevelType w:val="multilevel"/>
    <w:tmpl w:val="AD3446D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2AE6B21"/>
    <w:multiLevelType w:val="multilevel"/>
    <w:tmpl w:val="477AA9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66EB0FEC"/>
    <w:multiLevelType w:val="multilevel"/>
    <w:tmpl w:val="F8D47D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7E46FD9"/>
    <w:multiLevelType w:val="multilevel"/>
    <w:tmpl w:val="4EE87CB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2" w15:restartNumberingAfterBreak="0">
    <w:nsid w:val="6C426E00"/>
    <w:multiLevelType w:val="multilevel"/>
    <w:tmpl w:val="7FD816C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3" w15:restartNumberingAfterBreak="0">
    <w:nsid w:val="6CBE0923"/>
    <w:multiLevelType w:val="multilevel"/>
    <w:tmpl w:val="462A45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6F346FFA"/>
    <w:multiLevelType w:val="multilevel"/>
    <w:tmpl w:val="15DABA1E"/>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5" w15:restartNumberingAfterBreak="0">
    <w:nsid w:val="712C739F"/>
    <w:multiLevelType w:val="multilevel"/>
    <w:tmpl w:val="DBBA3260"/>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36" w15:restartNumberingAfterBreak="0">
    <w:nsid w:val="71A35372"/>
    <w:multiLevelType w:val="multilevel"/>
    <w:tmpl w:val="E842D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74510EFF"/>
    <w:multiLevelType w:val="multilevel"/>
    <w:tmpl w:val="F9FA8A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4DD121C"/>
    <w:multiLevelType w:val="multilevel"/>
    <w:tmpl w:val="C6B0E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63F2117"/>
    <w:multiLevelType w:val="multilevel"/>
    <w:tmpl w:val="70087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76591460"/>
    <w:multiLevelType w:val="multilevel"/>
    <w:tmpl w:val="A5AC36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E914C15"/>
    <w:multiLevelType w:val="multilevel"/>
    <w:tmpl w:val="2ED4D1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F9D0667"/>
    <w:multiLevelType w:val="multilevel"/>
    <w:tmpl w:val="8DDCB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0"/>
  </w:num>
  <w:num w:numId="2">
    <w:abstractNumId w:val="18"/>
  </w:num>
  <w:num w:numId="3">
    <w:abstractNumId w:val="9"/>
  </w:num>
  <w:num w:numId="4">
    <w:abstractNumId w:val="22"/>
  </w:num>
  <w:num w:numId="5">
    <w:abstractNumId w:val="3"/>
  </w:num>
  <w:num w:numId="6">
    <w:abstractNumId w:val="2"/>
  </w:num>
  <w:num w:numId="7">
    <w:abstractNumId w:val="36"/>
  </w:num>
  <w:num w:numId="8">
    <w:abstractNumId w:val="11"/>
  </w:num>
  <w:num w:numId="9">
    <w:abstractNumId w:val="34"/>
  </w:num>
  <w:num w:numId="10">
    <w:abstractNumId w:val="27"/>
  </w:num>
  <w:num w:numId="11">
    <w:abstractNumId w:val="38"/>
  </w:num>
  <w:num w:numId="12">
    <w:abstractNumId w:val="32"/>
  </w:num>
  <w:num w:numId="13">
    <w:abstractNumId w:val="17"/>
  </w:num>
  <w:num w:numId="14">
    <w:abstractNumId w:val="12"/>
  </w:num>
  <w:num w:numId="15">
    <w:abstractNumId w:val="42"/>
  </w:num>
  <w:num w:numId="16">
    <w:abstractNumId w:val="29"/>
  </w:num>
  <w:num w:numId="17">
    <w:abstractNumId w:val="15"/>
  </w:num>
  <w:num w:numId="18">
    <w:abstractNumId w:val="23"/>
  </w:num>
  <w:num w:numId="19">
    <w:abstractNumId w:val="30"/>
  </w:num>
  <w:num w:numId="20">
    <w:abstractNumId w:val="16"/>
  </w:num>
  <w:num w:numId="21">
    <w:abstractNumId w:val="6"/>
  </w:num>
  <w:num w:numId="22">
    <w:abstractNumId w:val="41"/>
  </w:num>
  <w:num w:numId="23">
    <w:abstractNumId w:val="7"/>
  </w:num>
  <w:num w:numId="24">
    <w:abstractNumId w:val="13"/>
  </w:num>
  <w:num w:numId="25">
    <w:abstractNumId w:val="4"/>
  </w:num>
  <w:num w:numId="26">
    <w:abstractNumId w:val="21"/>
  </w:num>
  <w:num w:numId="27">
    <w:abstractNumId w:val="26"/>
  </w:num>
  <w:num w:numId="28">
    <w:abstractNumId w:val="28"/>
  </w:num>
  <w:num w:numId="29">
    <w:abstractNumId w:val="33"/>
  </w:num>
  <w:num w:numId="30">
    <w:abstractNumId w:val="35"/>
  </w:num>
  <w:num w:numId="31">
    <w:abstractNumId w:val="0"/>
  </w:num>
  <w:num w:numId="32">
    <w:abstractNumId w:val="1"/>
  </w:num>
  <w:num w:numId="33">
    <w:abstractNumId w:val="39"/>
  </w:num>
  <w:num w:numId="34">
    <w:abstractNumId w:val="40"/>
  </w:num>
  <w:num w:numId="35">
    <w:abstractNumId w:val="37"/>
  </w:num>
  <w:num w:numId="36">
    <w:abstractNumId w:val="24"/>
  </w:num>
  <w:num w:numId="37">
    <w:abstractNumId w:val="8"/>
  </w:num>
  <w:num w:numId="38">
    <w:abstractNumId w:val="31"/>
  </w:num>
  <w:num w:numId="39">
    <w:abstractNumId w:val="19"/>
  </w:num>
  <w:num w:numId="40">
    <w:abstractNumId w:val="10"/>
  </w:num>
  <w:num w:numId="41">
    <w:abstractNumId w:val="25"/>
  </w:num>
  <w:num w:numId="42">
    <w:abstractNumId w:val="14"/>
  </w:num>
  <w:num w:numId="43">
    <w:abstractNumId w:val="5"/>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A1t7QwMTY0NTE3M7dU0lEKTi0uzszPAykwNK0FADqFk7wtAAAA"/>
    <w:docVar w:name="EN.InstantFormat" w:val="&lt;ENInstantFormat&gt;&lt;Enabled&gt;1&lt;/Enabled&gt;&lt;ScanUnformatted&gt;1&lt;/ScanUnformatted&gt;&lt;ScanChanges&gt;1&lt;/ScanChanges&gt;&lt;Suspended&gt;1&lt;/Suspended&gt;&lt;/ENInstantFormat&gt;"/>
    <w:docVar w:name="EN.Layout" w:val="&lt;ENLayout&gt;&lt;Style&gt;Molecular Biology Evol&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e02ax2rnwssewe5xebv2vp2xpzrtvswdvfr&quot;&gt;Dan Lab 10-2013&lt;record-ids&gt;&lt;item&gt;5025&lt;/item&gt;&lt;/record-ids&gt;&lt;/item&gt;&lt;/Libraries&gt;"/>
  </w:docVars>
  <w:rsids>
    <w:rsidRoot w:val="007F6EEB"/>
    <w:rsid w:val="000005A6"/>
    <w:rsid w:val="000006DE"/>
    <w:rsid w:val="00005A3F"/>
    <w:rsid w:val="00007734"/>
    <w:rsid w:val="00012EE1"/>
    <w:rsid w:val="0001395B"/>
    <w:rsid w:val="00013A38"/>
    <w:rsid w:val="000151CC"/>
    <w:rsid w:val="00020053"/>
    <w:rsid w:val="0002263F"/>
    <w:rsid w:val="00030D99"/>
    <w:rsid w:val="0003626A"/>
    <w:rsid w:val="00043573"/>
    <w:rsid w:val="00047991"/>
    <w:rsid w:val="0005627D"/>
    <w:rsid w:val="0006106D"/>
    <w:rsid w:val="00061AD5"/>
    <w:rsid w:val="00061F6B"/>
    <w:rsid w:val="000648AF"/>
    <w:rsid w:val="00070C1E"/>
    <w:rsid w:val="000711A7"/>
    <w:rsid w:val="00072C0D"/>
    <w:rsid w:val="000734C6"/>
    <w:rsid w:val="0007565C"/>
    <w:rsid w:val="0008177E"/>
    <w:rsid w:val="00082232"/>
    <w:rsid w:val="00083E9F"/>
    <w:rsid w:val="00090EE5"/>
    <w:rsid w:val="000A1A46"/>
    <w:rsid w:val="000A1E0A"/>
    <w:rsid w:val="000A2BA2"/>
    <w:rsid w:val="000A56C0"/>
    <w:rsid w:val="000A60C1"/>
    <w:rsid w:val="000A7EB0"/>
    <w:rsid w:val="000B089A"/>
    <w:rsid w:val="000B2000"/>
    <w:rsid w:val="000B36AF"/>
    <w:rsid w:val="000B5C53"/>
    <w:rsid w:val="000B75AA"/>
    <w:rsid w:val="000B7800"/>
    <w:rsid w:val="000C01B9"/>
    <w:rsid w:val="000C083C"/>
    <w:rsid w:val="000C3BB7"/>
    <w:rsid w:val="000C4492"/>
    <w:rsid w:val="000C4678"/>
    <w:rsid w:val="000C526F"/>
    <w:rsid w:val="000C6C9F"/>
    <w:rsid w:val="000D4981"/>
    <w:rsid w:val="000F0E70"/>
    <w:rsid w:val="000F23D1"/>
    <w:rsid w:val="000F6626"/>
    <w:rsid w:val="000F6B6C"/>
    <w:rsid w:val="000F6C0C"/>
    <w:rsid w:val="0010324A"/>
    <w:rsid w:val="00121CDD"/>
    <w:rsid w:val="001331E7"/>
    <w:rsid w:val="00137778"/>
    <w:rsid w:val="00137B43"/>
    <w:rsid w:val="00141137"/>
    <w:rsid w:val="001502FD"/>
    <w:rsid w:val="001603D8"/>
    <w:rsid w:val="001655A8"/>
    <w:rsid w:val="0016763A"/>
    <w:rsid w:val="001711E5"/>
    <w:rsid w:val="00174BC2"/>
    <w:rsid w:val="00174DA5"/>
    <w:rsid w:val="00176F67"/>
    <w:rsid w:val="001827BE"/>
    <w:rsid w:val="00183298"/>
    <w:rsid w:val="00183460"/>
    <w:rsid w:val="00185871"/>
    <w:rsid w:val="001874AD"/>
    <w:rsid w:val="00196345"/>
    <w:rsid w:val="001A0558"/>
    <w:rsid w:val="001A1EA5"/>
    <w:rsid w:val="001A36FB"/>
    <w:rsid w:val="001A779D"/>
    <w:rsid w:val="001B05D3"/>
    <w:rsid w:val="001B07ED"/>
    <w:rsid w:val="001B4153"/>
    <w:rsid w:val="001B4643"/>
    <w:rsid w:val="001B4B43"/>
    <w:rsid w:val="001B5011"/>
    <w:rsid w:val="001B731C"/>
    <w:rsid w:val="001C6734"/>
    <w:rsid w:val="001D1DC2"/>
    <w:rsid w:val="001D36DE"/>
    <w:rsid w:val="001D5A8A"/>
    <w:rsid w:val="001D7870"/>
    <w:rsid w:val="001E0E8B"/>
    <w:rsid w:val="001E4434"/>
    <w:rsid w:val="001E5383"/>
    <w:rsid w:val="001F1C35"/>
    <w:rsid w:val="001F310E"/>
    <w:rsid w:val="001F38BA"/>
    <w:rsid w:val="001F7075"/>
    <w:rsid w:val="00201479"/>
    <w:rsid w:val="00201A9C"/>
    <w:rsid w:val="00203F39"/>
    <w:rsid w:val="00207E3B"/>
    <w:rsid w:val="00210527"/>
    <w:rsid w:val="002147D6"/>
    <w:rsid w:val="00215E6E"/>
    <w:rsid w:val="00216DE6"/>
    <w:rsid w:val="00222395"/>
    <w:rsid w:val="002233B2"/>
    <w:rsid w:val="00223C83"/>
    <w:rsid w:val="00227FF1"/>
    <w:rsid w:val="00233E15"/>
    <w:rsid w:val="00234F12"/>
    <w:rsid w:val="0025600A"/>
    <w:rsid w:val="0026635A"/>
    <w:rsid w:val="0026741A"/>
    <w:rsid w:val="00272EC8"/>
    <w:rsid w:val="00275CBA"/>
    <w:rsid w:val="002766BD"/>
    <w:rsid w:val="002806D6"/>
    <w:rsid w:val="00280D9B"/>
    <w:rsid w:val="002838D7"/>
    <w:rsid w:val="00286A08"/>
    <w:rsid w:val="00286B5F"/>
    <w:rsid w:val="00291238"/>
    <w:rsid w:val="00294DDB"/>
    <w:rsid w:val="002A0A58"/>
    <w:rsid w:val="002A0C65"/>
    <w:rsid w:val="002B1951"/>
    <w:rsid w:val="002B6537"/>
    <w:rsid w:val="002B7047"/>
    <w:rsid w:val="002B7619"/>
    <w:rsid w:val="002C2571"/>
    <w:rsid w:val="002C529E"/>
    <w:rsid w:val="002C6C4F"/>
    <w:rsid w:val="002C7D28"/>
    <w:rsid w:val="002E00CA"/>
    <w:rsid w:val="002E1E3A"/>
    <w:rsid w:val="002E3CC8"/>
    <w:rsid w:val="002E6346"/>
    <w:rsid w:val="002E7ED9"/>
    <w:rsid w:val="002F1F96"/>
    <w:rsid w:val="002F41A0"/>
    <w:rsid w:val="002F46D1"/>
    <w:rsid w:val="002F4B11"/>
    <w:rsid w:val="002F78EF"/>
    <w:rsid w:val="003017D1"/>
    <w:rsid w:val="003121E9"/>
    <w:rsid w:val="00313451"/>
    <w:rsid w:val="00315FD1"/>
    <w:rsid w:val="003160F7"/>
    <w:rsid w:val="00323748"/>
    <w:rsid w:val="00323803"/>
    <w:rsid w:val="0032511F"/>
    <w:rsid w:val="00325744"/>
    <w:rsid w:val="0033355E"/>
    <w:rsid w:val="00334CB9"/>
    <w:rsid w:val="00334D34"/>
    <w:rsid w:val="00337A17"/>
    <w:rsid w:val="00342D11"/>
    <w:rsid w:val="0034493F"/>
    <w:rsid w:val="00347B1A"/>
    <w:rsid w:val="00362901"/>
    <w:rsid w:val="0037063A"/>
    <w:rsid w:val="00373787"/>
    <w:rsid w:val="00374E93"/>
    <w:rsid w:val="0037654E"/>
    <w:rsid w:val="00381A2B"/>
    <w:rsid w:val="00384083"/>
    <w:rsid w:val="00386BF9"/>
    <w:rsid w:val="00387DB2"/>
    <w:rsid w:val="00390801"/>
    <w:rsid w:val="0039221F"/>
    <w:rsid w:val="00392E7D"/>
    <w:rsid w:val="00392F3D"/>
    <w:rsid w:val="00394432"/>
    <w:rsid w:val="00397CE5"/>
    <w:rsid w:val="003A7CF4"/>
    <w:rsid w:val="003B7573"/>
    <w:rsid w:val="003B7CE8"/>
    <w:rsid w:val="003C4EB6"/>
    <w:rsid w:val="003D547A"/>
    <w:rsid w:val="003E4435"/>
    <w:rsid w:val="003E44A6"/>
    <w:rsid w:val="003E5653"/>
    <w:rsid w:val="00402CDC"/>
    <w:rsid w:val="00403A29"/>
    <w:rsid w:val="00403C15"/>
    <w:rsid w:val="00405D0E"/>
    <w:rsid w:val="004171DE"/>
    <w:rsid w:val="00422D88"/>
    <w:rsid w:val="00430395"/>
    <w:rsid w:val="00430C7C"/>
    <w:rsid w:val="004331C2"/>
    <w:rsid w:val="00433DEF"/>
    <w:rsid w:val="00433EDB"/>
    <w:rsid w:val="004376C7"/>
    <w:rsid w:val="004410CA"/>
    <w:rsid w:val="00443087"/>
    <w:rsid w:val="004446AE"/>
    <w:rsid w:val="00444A43"/>
    <w:rsid w:val="0045669D"/>
    <w:rsid w:val="004614E8"/>
    <w:rsid w:val="0046155A"/>
    <w:rsid w:val="0046220D"/>
    <w:rsid w:val="0046443A"/>
    <w:rsid w:val="004648D7"/>
    <w:rsid w:val="004733CB"/>
    <w:rsid w:val="00476887"/>
    <w:rsid w:val="00480131"/>
    <w:rsid w:val="00481A2C"/>
    <w:rsid w:val="00486CA6"/>
    <w:rsid w:val="00487903"/>
    <w:rsid w:val="0048790C"/>
    <w:rsid w:val="004900BD"/>
    <w:rsid w:val="00494156"/>
    <w:rsid w:val="004A4B84"/>
    <w:rsid w:val="004C49D8"/>
    <w:rsid w:val="004C4C8A"/>
    <w:rsid w:val="004C5C24"/>
    <w:rsid w:val="004C735E"/>
    <w:rsid w:val="004D238F"/>
    <w:rsid w:val="004E017D"/>
    <w:rsid w:val="004E5E01"/>
    <w:rsid w:val="004F5D59"/>
    <w:rsid w:val="004F6022"/>
    <w:rsid w:val="00502CF1"/>
    <w:rsid w:val="00506C83"/>
    <w:rsid w:val="00510336"/>
    <w:rsid w:val="005144AC"/>
    <w:rsid w:val="0052169F"/>
    <w:rsid w:val="00522218"/>
    <w:rsid w:val="0053490E"/>
    <w:rsid w:val="0054529C"/>
    <w:rsid w:val="00545942"/>
    <w:rsid w:val="00546D68"/>
    <w:rsid w:val="0055332B"/>
    <w:rsid w:val="005570A6"/>
    <w:rsid w:val="00564090"/>
    <w:rsid w:val="005659DA"/>
    <w:rsid w:val="00582FF6"/>
    <w:rsid w:val="00584D3A"/>
    <w:rsid w:val="00586998"/>
    <w:rsid w:val="00586FD4"/>
    <w:rsid w:val="005941F8"/>
    <w:rsid w:val="0059584F"/>
    <w:rsid w:val="00595C6B"/>
    <w:rsid w:val="00596F41"/>
    <w:rsid w:val="005A00F0"/>
    <w:rsid w:val="005A20B1"/>
    <w:rsid w:val="005A2ADE"/>
    <w:rsid w:val="005A60F9"/>
    <w:rsid w:val="005B2B65"/>
    <w:rsid w:val="005B7545"/>
    <w:rsid w:val="005D5CB3"/>
    <w:rsid w:val="005D5CCE"/>
    <w:rsid w:val="005E0F80"/>
    <w:rsid w:val="005E2786"/>
    <w:rsid w:val="005E5C52"/>
    <w:rsid w:val="005F285C"/>
    <w:rsid w:val="00600D23"/>
    <w:rsid w:val="0061030B"/>
    <w:rsid w:val="0061337B"/>
    <w:rsid w:val="0061480F"/>
    <w:rsid w:val="00614AA1"/>
    <w:rsid w:val="00617070"/>
    <w:rsid w:val="0061708E"/>
    <w:rsid w:val="00617398"/>
    <w:rsid w:val="0062066C"/>
    <w:rsid w:val="006503DC"/>
    <w:rsid w:val="006611A0"/>
    <w:rsid w:val="00667131"/>
    <w:rsid w:val="00667E51"/>
    <w:rsid w:val="0067225B"/>
    <w:rsid w:val="00676F37"/>
    <w:rsid w:val="006836AF"/>
    <w:rsid w:val="00684EB4"/>
    <w:rsid w:val="006911AA"/>
    <w:rsid w:val="00695C3D"/>
    <w:rsid w:val="0069726C"/>
    <w:rsid w:val="006A51A5"/>
    <w:rsid w:val="006A7F82"/>
    <w:rsid w:val="006C165A"/>
    <w:rsid w:val="006C1E85"/>
    <w:rsid w:val="006C3C88"/>
    <w:rsid w:val="006C6A53"/>
    <w:rsid w:val="006D17EC"/>
    <w:rsid w:val="006D7168"/>
    <w:rsid w:val="006E1D79"/>
    <w:rsid w:val="006E1DA3"/>
    <w:rsid w:val="006F129A"/>
    <w:rsid w:val="006F2832"/>
    <w:rsid w:val="006F4226"/>
    <w:rsid w:val="006F5346"/>
    <w:rsid w:val="006F694C"/>
    <w:rsid w:val="00702F01"/>
    <w:rsid w:val="00704934"/>
    <w:rsid w:val="00710F00"/>
    <w:rsid w:val="00711110"/>
    <w:rsid w:val="00711A43"/>
    <w:rsid w:val="00714616"/>
    <w:rsid w:val="0072147B"/>
    <w:rsid w:val="007315EC"/>
    <w:rsid w:val="00733D1C"/>
    <w:rsid w:val="0074207C"/>
    <w:rsid w:val="00742479"/>
    <w:rsid w:val="00745EF8"/>
    <w:rsid w:val="00746C14"/>
    <w:rsid w:val="00756CBC"/>
    <w:rsid w:val="007577EA"/>
    <w:rsid w:val="00757A04"/>
    <w:rsid w:val="00760166"/>
    <w:rsid w:val="007621B3"/>
    <w:rsid w:val="00764BAA"/>
    <w:rsid w:val="00766C01"/>
    <w:rsid w:val="00767117"/>
    <w:rsid w:val="00772CB9"/>
    <w:rsid w:val="0077392D"/>
    <w:rsid w:val="00785159"/>
    <w:rsid w:val="007A0797"/>
    <w:rsid w:val="007A2743"/>
    <w:rsid w:val="007A6533"/>
    <w:rsid w:val="007B0BF9"/>
    <w:rsid w:val="007B5307"/>
    <w:rsid w:val="007C2C8E"/>
    <w:rsid w:val="007C383A"/>
    <w:rsid w:val="007D420E"/>
    <w:rsid w:val="007D4A7E"/>
    <w:rsid w:val="007D6EA0"/>
    <w:rsid w:val="007E5D3E"/>
    <w:rsid w:val="007F0189"/>
    <w:rsid w:val="007F2FB6"/>
    <w:rsid w:val="007F6EEB"/>
    <w:rsid w:val="007F7A63"/>
    <w:rsid w:val="008014B1"/>
    <w:rsid w:val="008138C1"/>
    <w:rsid w:val="00820FD2"/>
    <w:rsid w:val="008329A6"/>
    <w:rsid w:val="00832BDE"/>
    <w:rsid w:val="008374CA"/>
    <w:rsid w:val="0084233F"/>
    <w:rsid w:val="00843544"/>
    <w:rsid w:val="00843AF8"/>
    <w:rsid w:val="0084413D"/>
    <w:rsid w:val="00846508"/>
    <w:rsid w:val="00850C3D"/>
    <w:rsid w:val="0085134D"/>
    <w:rsid w:val="00864811"/>
    <w:rsid w:val="00865345"/>
    <w:rsid w:val="00871172"/>
    <w:rsid w:val="008734F2"/>
    <w:rsid w:val="00877241"/>
    <w:rsid w:val="00880979"/>
    <w:rsid w:val="00880E95"/>
    <w:rsid w:val="0088560A"/>
    <w:rsid w:val="008861A0"/>
    <w:rsid w:val="00886DAA"/>
    <w:rsid w:val="00886F2E"/>
    <w:rsid w:val="00893030"/>
    <w:rsid w:val="00894A1A"/>
    <w:rsid w:val="008974DA"/>
    <w:rsid w:val="008A0253"/>
    <w:rsid w:val="008A0BBA"/>
    <w:rsid w:val="008A28A8"/>
    <w:rsid w:val="008A3B7D"/>
    <w:rsid w:val="008A739A"/>
    <w:rsid w:val="008B2556"/>
    <w:rsid w:val="008B2FD8"/>
    <w:rsid w:val="008C6D8B"/>
    <w:rsid w:val="008D4B1F"/>
    <w:rsid w:val="008E1D80"/>
    <w:rsid w:val="008E1DC4"/>
    <w:rsid w:val="008E58EE"/>
    <w:rsid w:val="008E7771"/>
    <w:rsid w:val="008E7E79"/>
    <w:rsid w:val="008F38DB"/>
    <w:rsid w:val="008F481C"/>
    <w:rsid w:val="008F7083"/>
    <w:rsid w:val="009009C1"/>
    <w:rsid w:val="00900B82"/>
    <w:rsid w:val="00901B0B"/>
    <w:rsid w:val="0090466A"/>
    <w:rsid w:val="00907F65"/>
    <w:rsid w:val="00913112"/>
    <w:rsid w:val="009157E8"/>
    <w:rsid w:val="00922BDF"/>
    <w:rsid w:val="0093323D"/>
    <w:rsid w:val="009453FD"/>
    <w:rsid w:val="00952061"/>
    <w:rsid w:val="009547B8"/>
    <w:rsid w:val="00955949"/>
    <w:rsid w:val="00962855"/>
    <w:rsid w:val="00964384"/>
    <w:rsid w:val="00965B1E"/>
    <w:rsid w:val="009660A3"/>
    <w:rsid w:val="00972702"/>
    <w:rsid w:val="00972A65"/>
    <w:rsid w:val="009744C1"/>
    <w:rsid w:val="00975F9E"/>
    <w:rsid w:val="009766F4"/>
    <w:rsid w:val="00977254"/>
    <w:rsid w:val="009813D1"/>
    <w:rsid w:val="00987C41"/>
    <w:rsid w:val="00992F17"/>
    <w:rsid w:val="00996993"/>
    <w:rsid w:val="009A1A26"/>
    <w:rsid w:val="009A353C"/>
    <w:rsid w:val="009A3890"/>
    <w:rsid w:val="009A7745"/>
    <w:rsid w:val="009B152D"/>
    <w:rsid w:val="009B2C9C"/>
    <w:rsid w:val="009B45B8"/>
    <w:rsid w:val="009B5272"/>
    <w:rsid w:val="009B52FB"/>
    <w:rsid w:val="009B5EFD"/>
    <w:rsid w:val="009C7765"/>
    <w:rsid w:val="009D2803"/>
    <w:rsid w:val="009D4BC8"/>
    <w:rsid w:val="009D55A0"/>
    <w:rsid w:val="009E0A90"/>
    <w:rsid w:val="009E234A"/>
    <w:rsid w:val="009E2CB6"/>
    <w:rsid w:val="009E2E78"/>
    <w:rsid w:val="009E4E88"/>
    <w:rsid w:val="00A01C8C"/>
    <w:rsid w:val="00A01FF0"/>
    <w:rsid w:val="00A02618"/>
    <w:rsid w:val="00A04ECB"/>
    <w:rsid w:val="00A0595A"/>
    <w:rsid w:val="00A06285"/>
    <w:rsid w:val="00A10183"/>
    <w:rsid w:val="00A1250D"/>
    <w:rsid w:val="00A20B5A"/>
    <w:rsid w:val="00A21AED"/>
    <w:rsid w:val="00A2585A"/>
    <w:rsid w:val="00A260B3"/>
    <w:rsid w:val="00A2754F"/>
    <w:rsid w:val="00A32CA5"/>
    <w:rsid w:val="00A33D21"/>
    <w:rsid w:val="00A35149"/>
    <w:rsid w:val="00A35DC2"/>
    <w:rsid w:val="00A377AB"/>
    <w:rsid w:val="00A43F3D"/>
    <w:rsid w:val="00A4592B"/>
    <w:rsid w:val="00A463D2"/>
    <w:rsid w:val="00A50A1B"/>
    <w:rsid w:val="00A515C0"/>
    <w:rsid w:val="00A52DA1"/>
    <w:rsid w:val="00A53729"/>
    <w:rsid w:val="00A53D09"/>
    <w:rsid w:val="00A57619"/>
    <w:rsid w:val="00A6576F"/>
    <w:rsid w:val="00A66A58"/>
    <w:rsid w:val="00A75808"/>
    <w:rsid w:val="00A92723"/>
    <w:rsid w:val="00A96FA7"/>
    <w:rsid w:val="00AA2F78"/>
    <w:rsid w:val="00AA63E9"/>
    <w:rsid w:val="00AA78E5"/>
    <w:rsid w:val="00AB0325"/>
    <w:rsid w:val="00AB4205"/>
    <w:rsid w:val="00AB5EA0"/>
    <w:rsid w:val="00AB67F2"/>
    <w:rsid w:val="00AC1B19"/>
    <w:rsid w:val="00AC4F7D"/>
    <w:rsid w:val="00AD318F"/>
    <w:rsid w:val="00AD369E"/>
    <w:rsid w:val="00AD3E33"/>
    <w:rsid w:val="00AD5E17"/>
    <w:rsid w:val="00AE2373"/>
    <w:rsid w:val="00AE4FAC"/>
    <w:rsid w:val="00AE763B"/>
    <w:rsid w:val="00AF119A"/>
    <w:rsid w:val="00AF221E"/>
    <w:rsid w:val="00AF3DC1"/>
    <w:rsid w:val="00B0464C"/>
    <w:rsid w:val="00B05C26"/>
    <w:rsid w:val="00B0673C"/>
    <w:rsid w:val="00B24F64"/>
    <w:rsid w:val="00B3122C"/>
    <w:rsid w:val="00B33C8B"/>
    <w:rsid w:val="00B441B5"/>
    <w:rsid w:val="00B53146"/>
    <w:rsid w:val="00B568B9"/>
    <w:rsid w:val="00B6485A"/>
    <w:rsid w:val="00B665F6"/>
    <w:rsid w:val="00B671CB"/>
    <w:rsid w:val="00B73AD3"/>
    <w:rsid w:val="00B81D88"/>
    <w:rsid w:val="00B866F0"/>
    <w:rsid w:val="00B86DD8"/>
    <w:rsid w:val="00B87052"/>
    <w:rsid w:val="00B87A7A"/>
    <w:rsid w:val="00B9335E"/>
    <w:rsid w:val="00B945EA"/>
    <w:rsid w:val="00B9551B"/>
    <w:rsid w:val="00BA2A9D"/>
    <w:rsid w:val="00BC06D5"/>
    <w:rsid w:val="00BC7347"/>
    <w:rsid w:val="00BD2E58"/>
    <w:rsid w:val="00BD43D9"/>
    <w:rsid w:val="00BE2A29"/>
    <w:rsid w:val="00BE5DB6"/>
    <w:rsid w:val="00BE6014"/>
    <w:rsid w:val="00BF195A"/>
    <w:rsid w:val="00BF4B50"/>
    <w:rsid w:val="00C0574D"/>
    <w:rsid w:val="00C104C3"/>
    <w:rsid w:val="00C10AB7"/>
    <w:rsid w:val="00C132FB"/>
    <w:rsid w:val="00C24BCA"/>
    <w:rsid w:val="00C25CD4"/>
    <w:rsid w:val="00C27031"/>
    <w:rsid w:val="00C270CD"/>
    <w:rsid w:val="00C30D4C"/>
    <w:rsid w:val="00C3277F"/>
    <w:rsid w:val="00C34AD8"/>
    <w:rsid w:val="00C36388"/>
    <w:rsid w:val="00C37A8B"/>
    <w:rsid w:val="00C40CF8"/>
    <w:rsid w:val="00C4146C"/>
    <w:rsid w:val="00C572E1"/>
    <w:rsid w:val="00C61D71"/>
    <w:rsid w:val="00C70452"/>
    <w:rsid w:val="00C73A0C"/>
    <w:rsid w:val="00C74380"/>
    <w:rsid w:val="00C82513"/>
    <w:rsid w:val="00C8479C"/>
    <w:rsid w:val="00C91EAD"/>
    <w:rsid w:val="00C922AC"/>
    <w:rsid w:val="00C929E1"/>
    <w:rsid w:val="00C94536"/>
    <w:rsid w:val="00C961F1"/>
    <w:rsid w:val="00C96960"/>
    <w:rsid w:val="00CA656E"/>
    <w:rsid w:val="00CB04CC"/>
    <w:rsid w:val="00CB07F4"/>
    <w:rsid w:val="00CC51C0"/>
    <w:rsid w:val="00CC719B"/>
    <w:rsid w:val="00CD040D"/>
    <w:rsid w:val="00CD0F54"/>
    <w:rsid w:val="00CE384A"/>
    <w:rsid w:val="00CE6979"/>
    <w:rsid w:val="00CF43EB"/>
    <w:rsid w:val="00CF57C5"/>
    <w:rsid w:val="00CF5F1C"/>
    <w:rsid w:val="00CF7034"/>
    <w:rsid w:val="00CF71E8"/>
    <w:rsid w:val="00CF7EF2"/>
    <w:rsid w:val="00D00216"/>
    <w:rsid w:val="00D06873"/>
    <w:rsid w:val="00D112E0"/>
    <w:rsid w:val="00D11FD6"/>
    <w:rsid w:val="00D14090"/>
    <w:rsid w:val="00D1779C"/>
    <w:rsid w:val="00D35822"/>
    <w:rsid w:val="00D35960"/>
    <w:rsid w:val="00D37B4D"/>
    <w:rsid w:val="00D42B5A"/>
    <w:rsid w:val="00D553A2"/>
    <w:rsid w:val="00D5591A"/>
    <w:rsid w:val="00D55C1D"/>
    <w:rsid w:val="00D568B1"/>
    <w:rsid w:val="00D56B4A"/>
    <w:rsid w:val="00D60C90"/>
    <w:rsid w:val="00D63A31"/>
    <w:rsid w:val="00D64B49"/>
    <w:rsid w:val="00D64C89"/>
    <w:rsid w:val="00D67287"/>
    <w:rsid w:val="00D67E42"/>
    <w:rsid w:val="00D708F0"/>
    <w:rsid w:val="00D71489"/>
    <w:rsid w:val="00D760A5"/>
    <w:rsid w:val="00D804F2"/>
    <w:rsid w:val="00D94CA2"/>
    <w:rsid w:val="00D95928"/>
    <w:rsid w:val="00DA074A"/>
    <w:rsid w:val="00DA6C1B"/>
    <w:rsid w:val="00DA6C8E"/>
    <w:rsid w:val="00DB2708"/>
    <w:rsid w:val="00DB6329"/>
    <w:rsid w:val="00DC5F1F"/>
    <w:rsid w:val="00DD2ECA"/>
    <w:rsid w:val="00DD6518"/>
    <w:rsid w:val="00DD6ADB"/>
    <w:rsid w:val="00DD7029"/>
    <w:rsid w:val="00DE656C"/>
    <w:rsid w:val="00DF06A3"/>
    <w:rsid w:val="00DF2379"/>
    <w:rsid w:val="00DF4C5B"/>
    <w:rsid w:val="00DF78E5"/>
    <w:rsid w:val="00E00B45"/>
    <w:rsid w:val="00E06A40"/>
    <w:rsid w:val="00E079D4"/>
    <w:rsid w:val="00E2071D"/>
    <w:rsid w:val="00E2413F"/>
    <w:rsid w:val="00E242D5"/>
    <w:rsid w:val="00E318AB"/>
    <w:rsid w:val="00E32B83"/>
    <w:rsid w:val="00E37331"/>
    <w:rsid w:val="00E3759C"/>
    <w:rsid w:val="00E471A3"/>
    <w:rsid w:val="00E544DC"/>
    <w:rsid w:val="00E61D55"/>
    <w:rsid w:val="00E62AF3"/>
    <w:rsid w:val="00E62FF0"/>
    <w:rsid w:val="00E63694"/>
    <w:rsid w:val="00E66BCF"/>
    <w:rsid w:val="00E75576"/>
    <w:rsid w:val="00E80327"/>
    <w:rsid w:val="00E838B3"/>
    <w:rsid w:val="00E856C2"/>
    <w:rsid w:val="00E856EF"/>
    <w:rsid w:val="00E9095B"/>
    <w:rsid w:val="00E9317A"/>
    <w:rsid w:val="00E93732"/>
    <w:rsid w:val="00E939C1"/>
    <w:rsid w:val="00E93CE5"/>
    <w:rsid w:val="00E93D72"/>
    <w:rsid w:val="00E94131"/>
    <w:rsid w:val="00E9694F"/>
    <w:rsid w:val="00E9774B"/>
    <w:rsid w:val="00EA066D"/>
    <w:rsid w:val="00EA0687"/>
    <w:rsid w:val="00EA2E46"/>
    <w:rsid w:val="00EA79F3"/>
    <w:rsid w:val="00EB4375"/>
    <w:rsid w:val="00ED2B44"/>
    <w:rsid w:val="00ED6CAC"/>
    <w:rsid w:val="00ED7886"/>
    <w:rsid w:val="00EE2EB9"/>
    <w:rsid w:val="00EE39F5"/>
    <w:rsid w:val="00EE3DEF"/>
    <w:rsid w:val="00EE4877"/>
    <w:rsid w:val="00EE6D33"/>
    <w:rsid w:val="00EE7F66"/>
    <w:rsid w:val="00EF228E"/>
    <w:rsid w:val="00EF2DF7"/>
    <w:rsid w:val="00EF786E"/>
    <w:rsid w:val="00F012D1"/>
    <w:rsid w:val="00F0294C"/>
    <w:rsid w:val="00F13AA4"/>
    <w:rsid w:val="00F1628E"/>
    <w:rsid w:val="00F17DCF"/>
    <w:rsid w:val="00F207EB"/>
    <w:rsid w:val="00F21609"/>
    <w:rsid w:val="00F22033"/>
    <w:rsid w:val="00F26ACE"/>
    <w:rsid w:val="00F3137D"/>
    <w:rsid w:val="00F315A4"/>
    <w:rsid w:val="00F333A6"/>
    <w:rsid w:val="00F33B85"/>
    <w:rsid w:val="00F43BDA"/>
    <w:rsid w:val="00F53C9F"/>
    <w:rsid w:val="00F54161"/>
    <w:rsid w:val="00F6113D"/>
    <w:rsid w:val="00F62818"/>
    <w:rsid w:val="00F67C07"/>
    <w:rsid w:val="00F743EF"/>
    <w:rsid w:val="00F74C82"/>
    <w:rsid w:val="00F76F93"/>
    <w:rsid w:val="00F81EC6"/>
    <w:rsid w:val="00F83174"/>
    <w:rsid w:val="00F83B4C"/>
    <w:rsid w:val="00F86CA6"/>
    <w:rsid w:val="00F872DE"/>
    <w:rsid w:val="00F87528"/>
    <w:rsid w:val="00F95A17"/>
    <w:rsid w:val="00F97042"/>
    <w:rsid w:val="00FA11BB"/>
    <w:rsid w:val="00FB2B40"/>
    <w:rsid w:val="00FB7FC8"/>
    <w:rsid w:val="00FC1232"/>
    <w:rsid w:val="00FC19FD"/>
    <w:rsid w:val="00FC3FBA"/>
    <w:rsid w:val="00FD3508"/>
    <w:rsid w:val="00FE1B21"/>
    <w:rsid w:val="00FE4120"/>
    <w:rsid w:val="00FE63EE"/>
    <w:rsid w:val="00FE6763"/>
    <w:rsid w:val="00FF0312"/>
    <w:rsid w:val="00FF6B53"/>
    <w:rsid w:val="00FF7669"/>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DD8D6"/>
  <w15:docId w15:val="{79ED3CAE-8EBB-5B49-9BC0-FA711490D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GB"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993"/>
  </w:style>
  <w:style w:type="paragraph" w:styleId="Heading1">
    <w:name w:val="heading 1"/>
    <w:basedOn w:val="Normal"/>
    <w:next w:val="Normal"/>
    <w:link w:val="Heading1Char"/>
    <w:uiPriority w:val="9"/>
    <w:qFormat/>
    <w:rsid w:val="002F159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D1A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D1A1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link w:val="Heading5Char"/>
    <w:uiPriority w:val="9"/>
    <w:semiHidden/>
    <w:unhideWhenUsed/>
    <w:qFormat/>
    <w:rsid w:val="00714761"/>
    <w:pPr>
      <w:spacing w:before="100" w:beforeAutospacing="1" w:after="100" w:afterAutospacing="1"/>
      <w:outlineLvl w:val="4"/>
    </w:pPr>
    <w:rPr>
      <w:rFonts w:ascii="Times New Roman" w:eastAsia="Times New Roman" w:hAnsi="Times New Roman" w:cs="Times New Roman"/>
      <w:b/>
      <w:bCs/>
      <w:sz w:val="20"/>
      <w:szCs w:val="20"/>
      <w:lang w:val="fr-FR"/>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D1A1B"/>
    <w:pPr>
      <w:contextualSpacing/>
    </w:pPr>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9452CF"/>
    <w:rPr>
      <w:color w:val="0563C1" w:themeColor="hyperlink"/>
      <w:u w:val="single"/>
    </w:rPr>
  </w:style>
  <w:style w:type="character" w:customStyle="1" w:styleId="UnresolvedMention1">
    <w:name w:val="Unresolved Mention1"/>
    <w:basedOn w:val="DefaultParagraphFont"/>
    <w:uiPriority w:val="99"/>
    <w:rsid w:val="009452CF"/>
    <w:rPr>
      <w:color w:val="605E5C"/>
      <w:shd w:val="clear" w:color="auto" w:fill="E1DFDD"/>
    </w:rPr>
  </w:style>
  <w:style w:type="character" w:styleId="FollowedHyperlink">
    <w:name w:val="FollowedHyperlink"/>
    <w:basedOn w:val="DefaultParagraphFont"/>
    <w:uiPriority w:val="99"/>
    <w:semiHidden/>
    <w:unhideWhenUsed/>
    <w:rsid w:val="002C2C68"/>
    <w:rPr>
      <w:color w:val="954F72" w:themeColor="followedHyperlink"/>
      <w:u w:val="single"/>
    </w:rPr>
  </w:style>
  <w:style w:type="character" w:styleId="CommentReference">
    <w:name w:val="annotation reference"/>
    <w:basedOn w:val="DefaultParagraphFont"/>
    <w:uiPriority w:val="99"/>
    <w:semiHidden/>
    <w:unhideWhenUsed/>
    <w:rsid w:val="004E2EEC"/>
    <w:rPr>
      <w:sz w:val="16"/>
      <w:szCs w:val="16"/>
    </w:rPr>
  </w:style>
  <w:style w:type="paragraph" w:styleId="CommentText">
    <w:name w:val="annotation text"/>
    <w:basedOn w:val="Normal"/>
    <w:link w:val="CommentTextChar"/>
    <w:uiPriority w:val="99"/>
    <w:semiHidden/>
    <w:unhideWhenUsed/>
    <w:rsid w:val="004E2EEC"/>
    <w:rPr>
      <w:sz w:val="20"/>
      <w:szCs w:val="20"/>
    </w:rPr>
  </w:style>
  <w:style w:type="character" w:customStyle="1" w:styleId="CommentTextChar">
    <w:name w:val="Comment Text Char"/>
    <w:basedOn w:val="DefaultParagraphFont"/>
    <w:link w:val="CommentText"/>
    <w:uiPriority w:val="99"/>
    <w:semiHidden/>
    <w:rsid w:val="004E2EEC"/>
    <w:rPr>
      <w:sz w:val="20"/>
      <w:szCs w:val="20"/>
      <w:lang w:val="en-GB"/>
    </w:rPr>
  </w:style>
  <w:style w:type="paragraph" w:styleId="CommentSubject">
    <w:name w:val="annotation subject"/>
    <w:basedOn w:val="CommentText"/>
    <w:next w:val="CommentText"/>
    <w:link w:val="CommentSubjectChar"/>
    <w:uiPriority w:val="99"/>
    <w:semiHidden/>
    <w:unhideWhenUsed/>
    <w:rsid w:val="004E2EEC"/>
    <w:rPr>
      <w:b/>
      <w:bCs/>
    </w:rPr>
  </w:style>
  <w:style w:type="character" w:customStyle="1" w:styleId="CommentSubjectChar">
    <w:name w:val="Comment Subject Char"/>
    <w:basedOn w:val="CommentTextChar"/>
    <w:link w:val="CommentSubject"/>
    <w:uiPriority w:val="99"/>
    <w:semiHidden/>
    <w:rsid w:val="004E2EEC"/>
    <w:rPr>
      <w:b/>
      <w:bCs/>
      <w:sz w:val="20"/>
      <w:szCs w:val="20"/>
      <w:lang w:val="en-GB"/>
    </w:rPr>
  </w:style>
  <w:style w:type="paragraph" w:styleId="BalloonText">
    <w:name w:val="Balloon Text"/>
    <w:basedOn w:val="Normal"/>
    <w:link w:val="BalloonTextChar"/>
    <w:uiPriority w:val="99"/>
    <w:semiHidden/>
    <w:unhideWhenUsed/>
    <w:rsid w:val="004E2EEC"/>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E2EEC"/>
    <w:rPr>
      <w:rFonts w:ascii="Times New Roman" w:hAnsi="Times New Roman" w:cs="Times New Roman"/>
      <w:sz w:val="18"/>
      <w:szCs w:val="18"/>
      <w:lang w:val="en-GB"/>
    </w:rPr>
  </w:style>
  <w:style w:type="paragraph" w:styleId="ListParagraph">
    <w:name w:val="List Paragraph"/>
    <w:basedOn w:val="Normal"/>
    <w:uiPriority w:val="34"/>
    <w:qFormat/>
    <w:rsid w:val="00C9242A"/>
    <w:pPr>
      <w:ind w:left="720"/>
      <w:contextualSpacing/>
    </w:pPr>
  </w:style>
  <w:style w:type="table" w:styleId="TableGrid">
    <w:name w:val="Table Grid"/>
    <w:basedOn w:val="TableNormal"/>
    <w:uiPriority w:val="39"/>
    <w:rsid w:val="00EF2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E2F92"/>
    <w:pPr>
      <w:spacing w:before="100" w:beforeAutospacing="1" w:after="100" w:afterAutospacing="1"/>
    </w:pPr>
    <w:rPr>
      <w:rFonts w:ascii="Times New Roman" w:eastAsia="Times New Roman" w:hAnsi="Times New Roman" w:cs="Times New Roman"/>
      <w:lang w:val="fr-FR"/>
    </w:rPr>
  </w:style>
  <w:style w:type="paragraph" w:styleId="Header">
    <w:name w:val="header"/>
    <w:basedOn w:val="Normal"/>
    <w:link w:val="HeaderChar"/>
    <w:uiPriority w:val="99"/>
    <w:unhideWhenUsed/>
    <w:rsid w:val="00146ABC"/>
    <w:pPr>
      <w:tabs>
        <w:tab w:val="center" w:pos="4703"/>
        <w:tab w:val="right" w:pos="9406"/>
      </w:tabs>
    </w:pPr>
  </w:style>
  <w:style w:type="character" w:customStyle="1" w:styleId="HeaderChar">
    <w:name w:val="Header Char"/>
    <w:basedOn w:val="DefaultParagraphFont"/>
    <w:link w:val="Header"/>
    <w:uiPriority w:val="99"/>
    <w:rsid w:val="00146ABC"/>
    <w:rPr>
      <w:lang w:val="en-GB"/>
    </w:rPr>
  </w:style>
  <w:style w:type="paragraph" w:styleId="Footer">
    <w:name w:val="footer"/>
    <w:basedOn w:val="Normal"/>
    <w:link w:val="FooterChar"/>
    <w:uiPriority w:val="99"/>
    <w:unhideWhenUsed/>
    <w:rsid w:val="00146ABC"/>
    <w:pPr>
      <w:tabs>
        <w:tab w:val="center" w:pos="4703"/>
        <w:tab w:val="right" w:pos="9406"/>
      </w:tabs>
    </w:pPr>
  </w:style>
  <w:style w:type="character" w:customStyle="1" w:styleId="FooterChar">
    <w:name w:val="Footer Char"/>
    <w:basedOn w:val="DefaultParagraphFont"/>
    <w:link w:val="Footer"/>
    <w:uiPriority w:val="99"/>
    <w:rsid w:val="00146ABC"/>
    <w:rPr>
      <w:lang w:val="en-GB"/>
    </w:rPr>
  </w:style>
  <w:style w:type="character" w:customStyle="1" w:styleId="Heading5Char">
    <w:name w:val="Heading 5 Char"/>
    <w:basedOn w:val="DefaultParagraphFont"/>
    <w:link w:val="Heading5"/>
    <w:uiPriority w:val="9"/>
    <w:rsid w:val="00714761"/>
    <w:rPr>
      <w:rFonts w:ascii="Times New Roman" w:eastAsia="Times New Roman" w:hAnsi="Times New Roman" w:cs="Times New Roman"/>
      <w:b/>
      <w:bCs/>
      <w:sz w:val="20"/>
      <w:szCs w:val="20"/>
      <w:lang w:val="fr-FR"/>
    </w:rPr>
  </w:style>
  <w:style w:type="character" w:customStyle="1" w:styleId="apple-converted-space">
    <w:name w:val="apple-converted-space"/>
    <w:basedOn w:val="DefaultParagraphFont"/>
    <w:rsid w:val="00472B85"/>
  </w:style>
  <w:style w:type="character" w:customStyle="1" w:styleId="Heading1Char">
    <w:name w:val="Heading 1 Char"/>
    <w:basedOn w:val="DefaultParagraphFont"/>
    <w:link w:val="Heading1"/>
    <w:uiPriority w:val="9"/>
    <w:rsid w:val="002F159F"/>
    <w:rPr>
      <w:rFonts w:asciiTheme="majorHAnsi" w:eastAsiaTheme="majorEastAsia" w:hAnsiTheme="majorHAnsi" w:cstheme="majorBidi"/>
      <w:color w:val="2F5496" w:themeColor="accent1" w:themeShade="BF"/>
      <w:sz w:val="32"/>
      <w:szCs w:val="32"/>
      <w:lang w:val="en-GB"/>
    </w:rPr>
  </w:style>
  <w:style w:type="paragraph" w:customStyle="1" w:styleId="Style1">
    <w:name w:val="Style1"/>
    <w:basedOn w:val="Heading1"/>
    <w:next w:val="Normal"/>
    <w:qFormat/>
    <w:rsid w:val="00DD1A1B"/>
    <w:rPr>
      <w:rFonts w:asciiTheme="minorHAnsi" w:hAnsiTheme="minorHAnsi" w:cstheme="minorHAnsi"/>
      <w:b/>
      <w:color w:val="000000" w:themeColor="text1"/>
      <w:sz w:val="28"/>
    </w:rPr>
  </w:style>
  <w:style w:type="paragraph" w:customStyle="1" w:styleId="Style2">
    <w:name w:val="Style2"/>
    <w:basedOn w:val="Heading2"/>
    <w:next w:val="Normal"/>
    <w:qFormat/>
    <w:rsid w:val="00DD1A1B"/>
    <w:rPr>
      <w:rFonts w:cstheme="minorHAnsi"/>
      <w:b/>
      <w:i/>
      <w:color w:val="000000" w:themeColor="text1"/>
      <w:sz w:val="24"/>
    </w:rPr>
  </w:style>
  <w:style w:type="paragraph" w:customStyle="1" w:styleId="Style3">
    <w:name w:val="Style3"/>
    <w:basedOn w:val="Heading3"/>
    <w:next w:val="Normal"/>
    <w:qFormat/>
    <w:rsid w:val="00DD1A1B"/>
    <w:rPr>
      <w:rFonts w:cstheme="minorHAnsi"/>
      <w:b/>
      <w:i/>
      <w:color w:val="000000" w:themeColor="text1"/>
    </w:rPr>
  </w:style>
  <w:style w:type="paragraph" w:styleId="Subtitle">
    <w:name w:val="Subtitle"/>
    <w:basedOn w:val="Normal"/>
    <w:next w:val="Normal"/>
    <w:link w:val="SubtitleChar"/>
    <w:uiPriority w:val="11"/>
    <w:qFormat/>
    <w:pPr>
      <w:spacing w:after="160"/>
    </w:pPr>
    <w:rPr>
      <w:color w:val="5A5A5A"/>
      <w:sz w:val="22"/>
      <w:szCs w:val="22"/>
    </w:rPr>
  </w:style>
  <w:style w:type="character" w:customStyle="1" w:styleId="SubtitleChar">
    <w:name w:val="Subtitle Char"/>
    <w:basedOn w:val="DefaultParagraphFont"/>
    <w:link w:val="Subtitle"/>
    <w:uiPriority w:val="11"/>
    <w:rsid w:val="00DD1A1B"/>
    <w:rPr>
      <w:rFonts w:eastAsiaTheme="minorEastAsia"/>
      <w:color w:val="5A5A5A" w:themeColor="text1" w:themeTint="A5"/>
      <w:spacing w:val="15"/>
      <w:sz w:val="22"/>
      <w:szCs w:val="22"/>
      <w:lang w:val="en-GB"/>
    </w:rPr>
  </w:style>
  <w:style w:type="character" w:customStyle="1" w:styleId="TitleChar">
    <w:name w:val="Title Char"/>
    <w:basedOn w:val="DefaultParagraphFont"/>
    <w:link w:val="Title"/>
    <w:uiPriority w:val="10"/>
    <w:rsid w:val="00DD1A1B"/>
    <w:rPr>
      <w:rFonts w:asciiTheme="majorHAnsi" w:eastAsiaTheme="majorEastAsia" w:hAnsiTheme="majorHAnsi" w:cstheme="majorBidi"/>
      <w:spacing w:val="-10"/>
      <w:kern w:val="28"/>
      <w:sz w:val="56"/>
      <w:szCs w:val="56"/>
      <w:lang w:val="en-GB"/>
    </w:rPr>
  </w:style>
  <w:style w:type="character" w:customStyle="1" w:styleId="Heading2Char">
    <w:name w:val="Heading 2 Char"/>
    <w:basedOn w:val="DefaultParagraphFont"/>
    <w:link w:val="Heading2"/>
    <w:uiPriority w:val="9"/>
    <w:rsid w:val="00DD1A1B"/>
    <w:rPr>
      <w:rFonts w:asciiTheme="majorHAnsi" w:eastAsiaTheme="majorEastAsia" w:hAnsiTheme="majorHAnsi" w:cstheme="majorBidi"/>
      <w:color w:val="2F5496" w:themeColor="accent1" w:themeShade="BF"/>
      <w:sz w:val="26"/>
      <w:szCs w:val="26"/>
      <w:lang w:val="en-GB"/>
    </w:rPr>
  </w:style>
  <w:style w:type="character" w:customStyle="1" w:styleId="Heading3Char">
    <w:name w:val="Heading 3 Char"/>
    <w:basedOn w:val="DefaultParagraphFont"/>
    <w:link w:val="Heading3"/>
    <w:uiPriority w:val="9"/>
    <w:rsid w:val="00DD1A1B"/>
    <w:rPr>
      <w:rFonts w:asciiTheme="majorHAnsi" w:eastAsiaTheme="majorEastAsia" w:hAnsiTheme="majorHAnsi" w:cstheme="majorBidi"/>
      <w:color w:val="1F3763" w:themeColor="accent1" w:themeShade="7F"/>
      <w:lang w:val="en-GB"/>
    </w:rPr>
  </w:style>
  <w:style w:type="character" w:styleId="UnresolvedMention">
    <w:name w:val="Unresolved Mention"/>
    <w:basedOn w:val="DefaultParagraphFont"/>
    <w:uiPriority w:val="99"/>
    <w:rsid w:val="009F7488"/>
    <w:rPr>
      <w:color w:val="605E5C"/>
      <w:shd w:val="clear" w:color="auto" w:fill="E1DFDD"/>
    </w:rPr>
  </w:style>
  <w:style w:type="paragraph" w:styleId="Revision">
    <w:name w:val="Revision"/>
    <w:hidden/>
    <w:uiPriority w:val="99"/>
    <w:semiHidden/>
    <w:rsid w:val="008F6A47"/>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customStyle="1" w:styleId="EndNoteBibliography">
    <w:name w:val="EndNote Bibliography"/>
    <w:basedOn w:val="Normal"/>
    <w:link w:val="EndNoteBibliographyChar"/>
    <w:rsid w:val="00600D23"/>
    <w:pPr>
      <w:spacing w:after="160"/>
      <w:jc w:val="left"/>
    </w:pPr>
    <w:rPr>
      <w:rFonts w:eastAsiaTheme="minorHAnsi"/>
      <w:noProof/>
      <w:szCs w:val="22"/>
      <w:lang w:val="en-US" w:eastAsia="en-US" w:bidi="he-IL"/>
    </w:rPr>
  </w:style>
  <w:style w:type="character" w:customStyle="1" w:styleId="EndNoteBibliographyChar">
    <w:name w:val="EndNote Bibliography Char"/>
    <w:basedOn w:val="DefaultParagraphFont"/>
    <w:link w:val="EndNoteBibliography"/>
    <w:rsid w:val="00600D23"/>
    <w:rPr>
      <w:rFonts w:eastAsiaTheme="minorHAnsi"/>
      <w:noProof/>
      <w:szCs w:val="22"/>
      <w:lang w:val="en-US" w:eastAsia="en-US" w:bidi="he-IL"/>
    </w:rPr>
  </w:style>
  <w:style w:type="paragraph" w:styleId="NoSpacing">
    <w:name w:val="No Spacing"/>
    <w:uiPriority w:val="1"/>
    <w:qFormat/>
    <w:rsid w:val="00C70452"/>
  </w:style>
  <w:style w:type="paragraph" w:customStyle="1" w:styleId="EndNoteBibliographyTitle">
    <w:name w:val="EndNote Bibliography Title"/>
    <w:basedOn w:val="Normal"/>
    <w:link w:val="EndNoteBibliographyTitleChar"/>
    <w:rsid w:val="00E079D4"/>
    <w:pPr>
      <w:jc w:val="center"/>
    </w:pPr>
    <w:rPr>
      <w:noProof/>
    </w:rPr>
  </w:style>
  <w:style w:type="character" w:customStyle="1" w:styleId="EndNoteBibliographyTitleChar">
    <w:name w:val="EndNote Bibliography Title Char"/>
    <w:basedOn w:val="DefaultParagraphFont"/>
    <w:link w:val="EndNoteBibliographyTitle"/>
    <w:rsid w:val="00E079D4"/>
    <w:rPr>
      <w:noProof/>
    </w:rPr>
  </w:style>
  <w:style w:type="character" w:styleId="Emphasis">
    <w:name w:val="Emphasis"/>
    <w:basedOn w:val="DefaultParagraphFont"/>
    <w:uiPriority w:val="20"/>
    <w:qFormat/>
    <w:rsid w:val="001E0E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052528">
      <w:bodyDiv w:val="1"/>
      <w:marLeft w:val="0"/>
      <w:marRight w:val="0"/>
      <w:marTop w:val="0"/>
      <w:marBottom w:val="0"/>
      <w:divBdr>
        <w:top w:val="none" w:sz="0" w:space="0" w:color="auto"/>
        <w:left w:val="none" w:sz="0" w:space="0" w:color="auto"/>
        <w:bottom w:val="none" w:sz="0" w:space="0" w:color="auto"/>
        <w:right w:val="none" w:sz="0" w:space="0" w:color="auto"/>
      </w:divBdr>
    </w:div>
    <w:div w:id="272787162">
      <w:bodyDiv w:val="1"/>
      <w:marLeft w:val="0"/>
      <w:marRight w:val="0"/>
      <w:marTop w:val="0"/>
      <w:marBottom w:val="0"/>
      <w:divBdr>
        <w:top w:val="none" w:sz="0" w:space="0" w:color="auto"/>
        <w:left w:val="none" w:sz="0" w:space="0" w:color="auto"/>
        <w:bottom w:val="none" w:sz="0" w:space="0" w:color="auto"/>
        <w:right w:val="none" w:sz="0" w:space="0" w:color="auto"/>
      </w:divBdr>
    </w:div>
    <w:div w:id="282005083">
      <w:bodyDiv w:val="1"/>
      <w:marLeft w:val="0"/>
      <w:marRight w:val="0"/>
      <w:marTop w:val="0"/>
      <w:marBottom w:val="0"/>
      <w:divBdr>
        <w:top w:val="none" w:sz="0" w:space="0" w:color="auto"/>
        <w:left w:val="none" w:sz="0" w:space="0" w:color="auto"/>
        <w:bottom w:val="none" w:sz="0" w:space="0" w:color="auto"/>
        <w:right w:val="none" w:sz="0" w:space="0" w:color="auto"/>
      </w:divBdr>
    </w:div>
    <w:div w:id="371807968">
      <w:bodyDiv w:val="1"/>
      <w:marLeft w:val="0"/>
      <w:marRight w:val="0"/>
      <w:marTop w:val="0"/>
      <w:marBottom w:val="0"/>
      <w:divBdr>
        <w:top w:val="none" w:sz="0" w:space="0" w:color="auto"/>
        <w:left w:val="none" w:sz="0" w:space="0" w:color="auto"/>
        <w:bottom w:val="none" w:sz="0" w:space="0" w:color="auto"/>
        <w:right w:val="none" w:sz="0" w:space="0" w:color="auto"/>
      </w:divBdr>
    </w:div>
    <w:div w:id="375468670">
      <w:bodyDiv w:val="1"/>
      <w:marLeft w:val="0"/>
      <w:marRight w:val="0"/>
      <w:marTop w:val="0"/>
      <w:marBottom w:val="0"/>
      <w:divBdr>
        <w:top w:val="none" w:sz="0" w:space="0" w:color="auto"/>
        <w:left w:val="none" w:sz="0" w:space="0" w:color="auto"/>
        <w:bottom w:val="none" w:sz="0" w:space="0" w:color="auto"/>
        <w:right w:val="none" w:sz="0" w:space="0" w:color="auto"/>
      </w:divBdr>
    </w:div>
    <w:div w:id="602498375">
      <w:bodyDiv w:val="1"/>
      <w:marLeft w:val="0"/>
      <w:marRight w:val="0"/>
      <w:marTop w:val="0"/>
      <w:marBottom w:val="0"/>
      <w:divBdr>
        <w:top w:val="none" w:sz="0" w:space="0" w:color="auto"/>
        <w:left w:val="none" w:sz="0" w:space="0" w:color="auto"/>
        <w:bottom w:val="none" w:sz="0" w:space="0" w:color="auto"/>
        <w:right w:val="none" w:sz="0" w:space="0" w:color="auto"/>
      </w:divBdr>
    </w:div>
    <w:div w:id="627928296">
      <w:bodyDiv w:val="1"/>
      <w:marLeft w:val="0"/>
      <w:marRight w:val="0"/>
      <w:marTop w:val="0"/>
      <w:marBottom w:val="0"/>
      <w:divBdr>
        <w:top w:val="none" w:sz="0" w:space="0" w:color="auto"/>
        <w:left w:val="none" w:sz="0" w:space="0" w:color="auto"/>
        <w:bottom w:val="none" w:sz="0" w:space="0" w:color="auto"/>
        <w:right w:val="none" w:sz="0" w:space="0" w:color="auto"/>
      </w:divBdr>
    </w:div>
    <w:div w:id="776602210">
      <w:bodyDiv w:val="1"/>
      <w:marLeft w:val="0"/>
      <w:marRight w:val="0"/>
      <w:marTop w:val="0"/>
      <w:marBottom w:val="0"/>
      <w:divBdr>
        <w:top w:val="none" w:sz="0" w:space="0" w:color="auto"/>
        <w:left w:val="none" w:sz="0" w:space="0" w:color="auto"/>
        <w:bottom w:val="none" w:sz="0" w:space="0" w:color="auto"/>
        <w:right w:val="none" w:sz="0" w:space="0" w:color="auto"/>
      </w:divBdr>
    </w:div>
    <w:div w:id="804083188">
      <w:bodyDiv w:val="1"/>
      <w:marLeft w:val="0"/>
      <w:marRight w:val="0"/>
      <w:marTop w:val="0"/>
      <w:marBottom w:val="0"/>
      <w:divBdr>
        <w:top w:val="none" w:sz="0" w:space="0" w:color="auto"/>
        <w:left w:val="none" w:sz="0" w:space="0" w:color="auto"/>
        <w:bottom w:val="none" w:sz="0" w:space="0" w:color="auto"/>
        <w:right w:val="none" w:sz="0" w:space="0" w:color="auto"/>
      </w:divBdr>
    </w:div>
    <w:div w:id="1048065709">
      <w:bodyDiv w:val="1"/>
      <w:marLeft w:val="0"/>
      <w:marRight w:val="0"/>
      <w:marTop w:val="0"/>
      <w:marBottom w:val="0"/>
      <w:divBdr>
        <w:top w:val="none" w:sz="0" w:space="0" w:color="auto"/>
        <w:left w:val="none" w:sz="0" w:space="0" w:color="auto"/>
        <w:bottom w:val="none" w:sz="0" w:space="0" w:color="auto"/>
        <w:right w:val="none" w:sz="0" w:space="0" w:color="auto"/>
      </w:divBdr>
    </w:div>
    <w:div w:id="1055004603">
      <w:bodyDiv w:val="1"/>
      <w:marLeft w:val="0"/>
      <w:marRight w:val="0"/>
      <w:marTop w:val="0"/>
      <w:marBottom w:val="0"/>
      <w:divBdr>
        <w:top w:val="none" w:sz="0" w:space="0" w:color="auto"/>
        <w:left w:val="none" w:sz="0" w:space="0" w:color="auto"/>
        <w:bottom w:val="none" w:sz="0" w:space="0" w:color="auto"/>
        <w:right w:val="none" w:sz="0" w:space="0" w:color="auto"/>
      </w:divBdr>
    </w:div>
    <w:div w:id="1200514569">
      <w:bodyDiv w:val="1"/>
      <w:marLeft w:val="0"/>
      <w:marRight w:val="0"/>
      <w:marTop w:val="0"/>
      <w:marBottom w:val="0"/>
      <w:divBdr>
        <w:top w:val="none" w:sz="0" w:space="0" w:color="auto"/>
        <w:left w:val="none" w:sz="0" w:space="0" w:color="auto"/>
        <w:bottom w:val="none" w:sz="0" w:space="0" w:color="auto"/>
        <w:right w:val="none" w:sz="0" w:space="0" w:color="auto"/>
      </w:divBdr>
    </w:div>
    <w:div w:id="1373381624">
      <w:bodyDiv w:val="1"/>
      <w:marLeft w:val="0"/>
      <w:marRight w:val="0"/>
      <w:marTop w:val="0"/>
      <w:marBottom w:val="0"/>
      <w:divBdr>
        <w:top w:val="none" w:sz="0" w:space="0" w:color="auto"/>
        <w:left w:val="none" w:sz="0" w:space="0" w:color="auto"/>
        <w:bottom w:val="none" w:sz="0" w:space="0" w:color="auto"/>
        <w:right w:val="none" w:sz="0" w:space="0" w:color="auto"/>
      </w:divBdr>
    </w:div>
    <w:div w:id="1497652382">
      <w:bodyDiv w:val="1"/>
      <w:marLeft w:val="0"/>
      <w:marRight w:val="0"/>
      <w:marTop w:val="0"/>
      <w:marBottom w:val="0"/>
      <w:divBdr>
        <w:top w:val="none" w:sz="0" w:space="0" w:color="auto"/>
        <w:left w:val="none" w:sz="0" w:space="0" w:color="auto"/>
        <w:bottom w:val="none" w:sz="0" w:space="0" w:color="auto"/>
        <w:right w:val="none" w:sz="0" w:space="0" w:color="auto"/>
      </w:divBdr>
    </w:div>
    <w:div w:id="1600020888">
      <w:bodyDiv w:val="1"/>
      <w:marLeft w:val="0"/>
      <w:marRight w:val="0"/>
      <w:marTop w:val="0"/>
      <w:marBottom w:val="0"/>
      <w:divBdr>
        <w:top w:val="none" w:sz="0" w:space="0" w:color="auto"/>
        <w:left w:val="none" w:sz="0" w:space="0" w:color="auto"/>
        <w:bottom w:val="none" w:sz="0" w:space="0" w:color="auto"/>
        <w:right w:val="none" w:sz="0" w:space="0" w:color="auto"/>
      </w:divBdr>
    </w:div>
    <w:div w:id="1618684815">
      <w:bodyDiv w:val="1"/>
      <w:marLeft w:val="0"/>
      <w:marRight w:val="0"/>
      <w:marTop w:val="0"/>
      <w:marBottom w:val="0"/>
      <w:divBdr>
        <w:top w:val="none" w:sz="0" w:space="0" w:color="auto"/>
        <w:left w:val="none" w:sz="0" w:space="0" w:color="auto"/>
        <w:bottom w:val="none" w:sz="0" w:space="0" w:color="auto"/>
        <w:right w:val="none" w:sz="0" w:space="0" w:color="auto"/>
      </w:divBdr>
    </w:div>
    <w:div w:id="1750543337">
      <w:bodyDiv w:val="1"/>
      <w:marLeft w:val="0"/>
      <w:marRight w:val="0"/>
      <w:marTop w:val="0"/>
      <w:marBottom w:val="0"/>
      <w:divBdr>
        <w:top w:val="none" w:sz="0" w:space="0" w:color="auto"/>
        <w:left w:val="none" w:sz="0" w:space="0" w:color="auto"/>
        <w:bottom w:val="none" w:sz="0" w:space="0" w:color="auto"/>
        <w:right w:val="none" w:sz="0" w:space="0" w:color="auto"/>
      </w:divBdr>
    </w:div>
    <w:div w:id="1780294731">
      <w:bodyDiv w:val="1"/>
      <w:marLeft w:val="0"/>
      <w:marRight w:val="0"/>
      <w:marTop w:val="0"/>
      <w:marBottom w:val="0"/>
      <w:divBdr>
        <w:top w:val="none" w:sz="0" w:space="0" w:color="auto"/>
        <w:left w:val="none" w:sz="0" w:space="0" w:color="auto"/>
        <w:bottom w:val="none" w:sz="0" w:space="0" w:color="auto"/>
        <w:right w:val="none" w:sz="0" w:space="0" w:color="auto"/>
      </w:divBdr>
    </w:div>
    <w:div w:id="1928419217">
      <w:bodyDiv w:val="1"/>
      <w:marLeft w:val="0"/>
      <w:marRight w:val="0"/>
      <w:marTop w:val="0"/>
      <w:marBottom w:val="0"/>
      <w:divBdr>
        <w:top w:val="none" w:sz="0" w:space="0" w:color="auto"/>
        <w:left w:val="none" w:sz="0" w:space="0" w:color="auto"/>
        <w:bottom w:val="none" w:sz="0" w:space="0" w:color="auto"/>
        <w:right w:val="none" w:sz="0" w:space="0" w:color="auto"/>
      </w:divBdr>
    </w:div>
    <w:div w:id="20329478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tiff"/><Relationship Id="rId17"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hyperlink" Target="mailto:eran.elhaik@bio.lu.se"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M+30Hx9BvUlLsxncyPZw046hODA==">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0E2E63A-2885-4E79-A269-E9EC9FAB3D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777</TotalTime>
  <Pages>36</Pages>
  <Words>177648</Words>
  <Characters>1012597</Characters>
  <Application>Microsoft Office Word</Application>
  <DocSecurity>0</DocSecurity>
  <Lines>8438</Lines>
  <Paragraphs>2375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Carress</dc:creator>
  <cp:lastModifiedBy>Rocky Rock</cp:lastModifiedBy>
  <cp:revision>17</cp:revision>
  <cp:lastPrinted>2020-04-20T22:12:00Z</cp:lastPrinted>
  <dcterms:created xsi:type="dcterms:W3CDTF">2020-04-19T08:57:00Z</dcterms:created>
  <dcterms:modified xsi:type="dcterms:W3CDTF">2020-04-20T22:12:00Z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7762fd77-f452-36b9-912d-4c84d9fbf35b</vt:lpwstr>
  </property>
  <property fmtid="{D5CDD505-2E9C-101B-9397-08002B2CF9AE}" pid="4" name="Mendeley Citation Style_1">
    <vt:lpwstr>http://www.zotero.org/styles/harvard-cite-them-right</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