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73C945" w14:textId="334EC5AA" w:rsidR="00E01C96" w:rsidRDefault="00CD0D12" w:rsidP="00B14635">
      <w:pPr>
        <w:rPr>
          <w:rFonts w:ascii="Palatino Linotype" w:eastAsia="Times New Roman" w:hAnsi="Palatino Linotype" w:cs="Arial"/>
          <w:b/>
          <w:bCs/>
          <w:color w:val="222222"/>
          <w:spacing w:val="3"/>
        </w:rPr>
      </w:pPr>
      <w:bookmarkStart w:id="0" w:name="_GoBack"/>
      <w:bookmarkEnd w:id="0"/>
      <w:r>
        <w:rPr>
          <w:rFonts w:ascii="Palatino Linotype" w:eastAsia="Times New Roman" w:hAnsi="Palatino Linotype" w:cs="Arial"/>
          <w:b/>
          <w:bCs/>
          <w:color w:val="222222"/>
          <w:spacing w:val="3"/>
        </w:rPr>
        <w:t xml:space="preserve">Supplementary </w:t>
      </w:r>
      <w:r w:rsidR="002F2048">
        <w:rPr>
          <w:rFonts w:ascii="Palatino Linotype" w:eastAsia="Times New Roman" w:hAnsi="Palatino Linotype" w:cs="Arial"/>
          <w:b/>
          <w:bCs/>
          <w:color w:val="222222"/>
          <w:spacing w:val="3"/>
        </w:rPr>
        <w:t>Material</w:t>
      </w:r>
    </w:p>
    <w:p w14:paraId="2840DB5E" w14:textId="77777777" w:rsidR="00B14635" w:rsidRPr="00B14635" w:rsidRDefault="00B14635" w:rsidP="00B14635">
      <w:pPr>
        <w:rPr>
          <w:rFonts w:ascii="Palatino Linotype" w:eastAsia="Times New Roman" w:hAnsi="Palatino Linotype" w:cs="Arial"/>
          <w:b/>
          <w:bCs/>
          <w:color w:val="222222"/>
          <w:spacing w:val="3"/>
        </w:rPr>
      </w:pPr>
    </w:p>
    <w:p w14:paraId="1F4091EC" w14:textId="6EEE2E72" w:rsidR="00F22F3C" w:rsidRPr="00B14635" w:rsidRDefault="00E01C96" w:rsidP="00F22F3C">
      <w:pPr>
        <w:rPr>
          <w:rFonts w:ascii="Palatino Linotype" w:eastAsia="Times New Roman" w:hAnsi="Palatino Linotype" w:cs="Arial"/>
          <w:color w:val="222222"/>
          <w:spacing w:val="3"/>
        </w:rPr>
      </w:pPr>
      <w:r w:rsidRPr="00CD0D12">
        <w:rPr>
          <w:rFonts w:ascii="Palatino Linotype" w:eastAsia="Times New Roman" w:hAnsi="Palatino Linotype" w:cs="Arial"/>
          <w:b/>
          <w:bCs/>
          <w:color w:val="222222"/>
          <w:spacing w:val="3"/>
        </w:rPr>
        <w:t xml:space="preserve">Table </w:t>
      </w:r>
      <w:r w:rsidR="002F2048" w:rsidRPr="00CD0D12">
        <w:rPr>
          <w:rFonts w:ascii="Palatino Linotype" w:eastAsia="Times New Roman" w:hAnsi="Palatino Linotype" w:cs="Arial"/>
          <w:b/>
          <w:bCs/>
          <w:color w:val="222222"/>
          <w:spacing w:val="3"/>
        </w:rPr>
        <w:t>S1</w:t>
      </w:r>
      <w:r w:rsidRPr="00CD0D12">
        <w:rPr>
          <w:rFonts w:ascii="Palatino Linotype" w:eastAsia="Times New Roman" w:hAnsi="Palatino Linotype" w:cs="Arial"/>
          <w:b/>
          <w:bCs/>
          <w:color w:val="222222"/>
          <w:spacing w:val="3"/>
        </w:rPr>
        <w:t>.</w:t>
      </w:r>
      <w:r w:rsidRPr="00CD0D12">
        <w:rPr>
          <w:rFonts w:ascii="Palatino Linotype" w:eastAsia="Times New Roman" w:hAnsi="Palatino Linotype" w:cs="Arial"/>
          <w:color w:val="222222"/>
          <w:spacing w:val="3"/>
          <w:shd w:val="clear" w:color="auto" w:fill="F6F6F6"/>
        </w:rPr>
        <w:t> </w:t>
      </w:r>
      <w:r w:rsidR="00F22F3C" w:rsidRPr="00CD0D12">
        <w:rPr>
          <w:rFonts w:ascii="Palatino Linotype" w:hAnsi="Palatino Linotype" w:cs="Arial"/>
        </w:rPr>
        <w:t>Oligonucleotides used</w:t>
      </w:r>
      <w:r w:rsidR="00CD0D12" w:rsidRPr="00CD0D12">
        <w:rPr>
          <w:rFonts w:ascii="Palatino Linotype" w:hAnsi="Palatino Linotype" w:cs="Arial"/>
        </w:rPr>
        <w:t xml:space="preserve"> in this study.</w:t>
      </w:r>
    </w:p>
    <w:tbl>
      <w:tblPr>
        <w:tblStyle w:val="TableGrid"/>
        <w:tblW w:w="0" w:type="auto"/>
        <w:tblLayout w:type="fixed"/>
        <w:tblLook w:val="04A0" w:firstRow="1" w:lastRow="0" w:firstColumn="1" w:lastColumn="0" w:noHBand="0" w:noVBand="1"/>
      </w:tblPr>
      <w:tblGrid>
        <w:gridCol w:w="1638"/>
        <w:gridCol w:w="4950"/>
        <w:gridCol w:w="2988"/>
      </w:tblGrid>
      <w:tr w:rsidR="00CD0D12" w:rsidRPr="00A22B29" w14:paraId="37E7447A" w14:textId="77777777" w:rsidTr="00A22B29">
        <w:trPr>
          <w:trHeight w:val="485"/>
        </w:trPr>
        <w:tc>
          <w:tcPr>
            <w:tcW w:w="1638" w:type="dxa"/>
            <w:noWrap/>
            <w:vAlign w:val="center"/>
          </w:tcPr>
          <w:p w14:paraId="5A8BFBEF" w14:textId="77777777" w:rsidR="00F22F3C" w:rsidRPr="00A22B29" w:rsidRDefault="00F22F3C" w:rsidP="00A22B29">
            <w:pPr>
              <w:spacing w:line="240" w:lineRule="auto"/>
              <w:jc w:val="center"/>
              <w:rPr>
                <w:rFonts w:ascii="Arial" w:hAnsi="Arial" w:cs="Arial"/>
                <w:b/>
                <w:sz w:val="20"/>
                <w:szCs w:val="20"/>
              </w:rPr>
            </w:pPr>
            <w:r w:rsidRPr="00A22B29">
              <w:rPr>
                <w:rFonts w:ascii="Arial" w:hAnsi="Arial" w:cs="Arial"/>
                <w:b/>
                <w:sz w:val="20"/>
                <w:szCs w:val="20"/>
              </w:rPr>
              <w:t>Name</w:t>
            </w:r>
          </w:p>
        </w:tc>
        <w:tc>
          <w:tcPr>
            <w:tcW w:w="4950" w:type="dxa"/>
            <w:noWrap/>
            <w:vAlign w:val="center"/>
          </w:tcPr>
          <w:p w14:paraId="474CDA43" w14:textId="77777777" w:rsidR="00F22F3C" w:rsidRPr="00A22B29" w:rsidRDefault="00F22F3C" w:rsidP="00A22B29">
            <w:pPr>
              <w:spacing w:line="240" w:lineRule="auto"/>
              <w:jc w:val="center"/>
              <w:rPr>
                <w:rFonts w:ascii="Arial" w:hAnsi="Arial" w:cs="Arial"/>
                <w:b/>
                <w:sz w:val="20"/>
                <w:szCs w:val="20"/>
              </w:rPr>
            </w:pPr>
            <w:r w:rsidRPr="00A22B29">
              <w:rPr>
                <w:rFonts w:ascii="Arial" w:hAnsi="Arial" w:cs="Arial"/>
                <w:b/>
                <w:sz w:val="20"/>
                <w:szCs w:val="20"/>
              </w:rPr>
              <w:t>Sequence 5‘-3‘</w:t>
            </w:r>
          </w:p>
        </w:tc>
        <w:tc>
          <w:tcPr>
            <w:tcW w:w="2988" w:type="dxa"/>
            <w:noWrap/>
            <w:vAlign w:val="center"/>
          </w:tcPr>
          <w:p w14:paraId="6A5E1F65" w14:textId="77777777" w:rsidR="00F22F3C" w:rsidRPr="00A22B29" w:rsidRDefault="00F22F3C" w:rsidP="00A22B29">
            <w:pPr>
              <w:spacing w:line="240" w:lineRule="auto"/>
              <w:jc w:val="center"/>
              <w:rPr>
                <w:rFonts w:ascii="Arial" w:hAnsi="Arial" w:cs="Arial"/>
                <w:b/>
                <w:sz w:val="20"/>
                <w:szCs w:val="20"/>
              </w:rPr>
            </w:pPr>
            <w:r w:rsidRPr="00A22B29">
              <w:rPr>
                <w:rFonts w:ascii="Arial" w:hAnsi="Arial" w:cs="Arial"/>
                <w:b/>
                <w:sz w:val="20"/>
                <w:szCs w:val="20"/>
              </w:rPr>
              <w:t>Purpose</w:t>
            </w:r>
          </w:p>
        </w:tc>
      </w:tr>
      <w:tr w:rsidR="00CD0D12" w:rsidRPr="00CD0D12" w14:paraId="79266B3B" w14:textId="77777777" w:rsidTr="00A22B29">
        <w:trPr>
          <w:trHeight w:val="300"/>
        </w:trPr>
        <w:tc>
          <w:tcPr>
            <w:tcW w:w="1638" w:type="dxa"/>
            <w:noWrap/>
            <w:vAlign w:val="center"/>
            <w:hideMark/>
          </w:tcPr>
          <w:p w14:paraId="3E3ACD8B"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HSP104 F2</w:t>
            </w:r>
          </w:p>
        </w:tc>
        <w:tc>
          <w:tcPr>
            <w:tcW w:w="4950" w:type="dxa"/>
            <w:noWrap/>
            <w:vAlign w:val="center"/>
            <w:hideMark/>
          </w:tcPr>
          <w:p w14:paraId="70EC2370"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TAGGTGATGACGATAATGAGGACAGTATGGAAATTGATGATGACCTAGATCGGATCCCCGGGTTAATTAA</w:t>
            </w:r>
          </w:p>
        </w:tc>
        <w:tc>
          <w:tcPr>
            <w:tcW w:w="2988" w:type="dxa"/>
            <w:noWrap/>
            <w:vAlign w:val="center"/>
            <w:hideMark/>
          </w:tcPr>
          <w:p w14:paraId="2E1866A4"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 xml:space="preserve">tagging of </w:t>
            </w:r>
            <w:r w:rsidRPr="00CD0D12">
              <w:rPr>
                <w:rFonts w:ascii="Arial" w:hAnsi="Arial" w:cs="Arial"/>
                <w:i/>
                <w:iCs/>
                <w:sz w:val="20"/>
                <w:szCs w:val="20"/>
              </w:rPr>
              <w:t>HSP104</w:t>
            </w:r>
            <w:r w:rsidRPr="00CD0D12">
              <w:rPr>
                <w:rFonts w:ascii="Arial" w:hAnsi="Arial" w:cs="Arial"/>
                <w:sz w:val="20"/>
                <w:szCs w:val="20"/>
              </w:rPr>
              <w:t xml:space="preserve"> with pFA6a-GFP-natMX6</w:t>
            </w:r>
          </w:p>
        </w:tc>
      </w:tr>
      <w:tr w:rsidR="00CD0D12" w:rsidRPr="00CD0D12" w14:paraId="741E3A47" w14:textId="77777777" w:rsidTr="00A22B29">
        <w:trPr>
          <w:trHeight w:val="300"/>
        </w:trPr>
        <w:tc>
          <w:tcPr>
            <w:tcW w:w="1638" w:type="dxa"/>
            <w:noWrap/>
            <w:vAlign w:val="center"/>
            <w:hideMark/>
          </w:tcPr>
          <w:p w14:paraId="51ECA57A"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HSP104 R1</w:t>
            </w:r>
          </w:p>
        </w:tc>
        <w:tc>
          <w:tcPr>
            <w:tcW w:w="4950" w:type="dxa"/>
            <w:noWrap/>
            <w:vAlign w:val="center"/>
            <w:hideMark/>
          </w:tcPr>
          <w:p w14:paraId="7E951AA6"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ATTACTGATTCTTGTTCGAAAGTTTTTAAAAATCACACTATATTAAATTAGAATTCGAGCTCGTTTAAAC</w:t>
            </w:r>
          </w:p>
        </w:tc>
        <w:tc>
          <w:tcPr>
            <w:tcW w:w="2988" w:type="dxa"/>
            <w:noWrap/>
            <w:vAlign w:val="center"/>
            <w:hideMark/>
          </w:tcPr>
          <w:p w14:paraId="392C50A2"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 xml:space="preserve">tagging of </w:t>
            </w:r>
            <w:r w:rsidRPr="00CD0D12">
              <w:rPr>
                <w:rFonts w:ascii="Arial" w:hAnsi="Arial" w:cs="Arial"/>
                <w:i/>
                <w:iCs/>
                <w:sz w:val="20"/>
                <w:szCs w:val="20"/>
              </w:rPr>
              <w:t>HSP104</w:t>
            </w:r>
            <w:r w:rsidRPr="00CD0D12">
              <w:rPr>
                <w:rFonts w:ascii="Arial" w:hAnsi="Arial" w:cs="Arial"/>
                <w:sz w:val="20"/>
                <w:szCs w:val="20"/>
              </w:rPr>
              <w:t xml:space="preserve"> with pFA6a-GFP-natMX6</w:t>
            </w:r>
          </w:p>
        </w:tc>
      </w:tr>
      <w:tr w:rsidR="00CD0D12" w:rsidRPr="00CD0D12" w14:paraId="4629C937" w14:textId="77777777" w:rsidTr="00A22B29">
        <w:trPr>
          <w:trHeight w:val="300"/>
        </w:trPr>
        <w:tc>
          <w:tcPr>
            <w:tcW w:w="1638" w:type="dxa"/>
            <w:noWrap/>
            <w:vAlign w:val="center"/>
            <w:hideMark/>
          </w:tcPr>
          <w:p w14:paraId="46AEB76B"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HSP104fw</w:t>
            </w:r>
          </w:p>
        </w:tc>
        <w:tc>
          <w:tcPr>
            <w:tcW w:w="4950" w:type="dxa"/>
            <w:noWrap/>
            <w:vAlign w:val="center"/>
            <w:hideMark/>
          </w:tcPr>
          <w:p w14:paraId="37BF6701"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TATGGGTGCACGTCCACTG</w:t>
            </w:r>
          </w:p>
        </w:tc>
        <w:tc>
          <w:tcPr>
            <w:tcW w:w="2988" w:type="dxa"/>
            <w:noWrap/>
            <w:vAlign w:val="center"/>
            <w:hideMark/>
          </w:tcPr>
          <w:p w14:paraId="44DF50C1"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 xml:space="preserve">identification of tagged </w:t>
            </w:r>
            <w:r w:rsidRPr="00CD0D12">
              <w:rPr>
                <w:rFonts w:ascii="Arial" w:hAnsi="Arial" w:cs="Arial"/>
                <w:i/>
                <w:iCs/>
                <w:sz w:val="20"/>
                <w:szCs w:val="20"/>
              </w:rPr>
              <w:t>HSP104</w:t>
            </w:r>
          </w:p>
        </w:tc>
      </w:tr>
      <w:tr w:rsidR="00CD0D12" w:rsidRPr="00CD0D12" w14:paraId="6F422252" w14:textId="77777777" w:rsidTr="00A22B29">
        <w:trPr>
          <w:trHeight w:val="300"/>
        </w:trPr>
        <w:tc>
          <w:tcPr>
            <w:tcW w:w="1638" w:type="dxa"/>
            <w:noWrap/>
            <w:vAlign w:val="center"/>
            <w:hideMark/>
          </w:tcPr>
          <w:p w14:paraId="4C19194C"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HSP104rv</w:t>
            </w:r>
          </w:p>
        </w:tc>
        <w:tc>
          <w:tcPr>
            <w:tcW w:w="4950" w:type="dxa"/>
            <w:noWrap/>
            <w:vAlign w:val="center"/>
            <w:hideMark/>
          </w:tcPr>
          <w:p w14:paraId="79EC5C09"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TTGCTCGGGTGTCAAGTTC</w:t>
            </w:r>
          </w:p>
        </w:tc>
        <w:tc>
          <w:tcPr>
            <w:tcW w:w="2988" w:type="dxa"/>
            <w:noWrap/>
            <w:vAlign w:val="center"/>
            <w:hideMark/>
          </w:tcPr>
          <w:p w14:paraId="7B93C6E4"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 xml:space="preserve">identification of tagged </w:t>
            </w:r>
            <w:r w:rsidRPr="00CD0D12">
              <w:rPr>
                <w:rFonts w:ascii="Arial" w:hAnsi="Arial" w:cs="Arial"/>
                <w:i/>
                <w:iCs/>
                <w:sz w:val="20"/>
                <w:szCs w:val="20"/>
              </w:rPr>
              <w:t>HSP104</w:t>
            </w:r>
          </w:p>
        </w:tc>
      </w:tr>
      <w:tr w:rsidR="00CD0D12" w:rsidRPr="00CD0D12" w14:paraId="19D80215" w14:textId="77777777" w:rsidTr="00A22B29">
        <w:trPr>
          <w:trHeight w:val="300"/>
        </w:trPr>
        <w:tc>
          <w:tcPr>
            <w:tcW w:w="1638" w:type="dxa"/>
            <w:noWrap/>
            <w:vAlign w:val="center"/>
            <w:hideMark/>
          </w:tcPr>
          <w:p w14:paraId="572B899E"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ELP3fw</w:t>
            </w:r>
          </w:p>
        </w:tc>
        <w:tc>
          <w:tcPr>
            <w:tcW w:w="4950" w:type="dxa"/>
            <w:noWrap/>
            <w:vAlign w:val="center"/>
            <w:hideMark/>
          </w:tcPr>
          <w:p w14:paraId="3C4B468B"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CGATAAGACAGTGAGAGAAGG</w:t>
            </w:r>
          </w:p>
        </w:tc>
        <w:tc>
          <w:tcPr>
            <w:tcW w:w="2988" w:type="dxa"/>
            <w:noWrap/>
            <w:vAlign w:val="center"/>
            <w:hideMark/>
          </w:tcPr>
          <w:p w14:paraId="2EDE1BAA"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elp3</w:t>
            </w:r>
            <w:r w:rsidRPr="00CD0D12">
              <w:rPr>
                <w:rFonts w:ascii="Arial" w:eastAsia="Times New Roman" w:hAnsi="Arial" w:cs="Arial"/>
                <w:color w:val="000000"/>
                <w:sz w:val="20"/>
                <w:szCs w:val="20"/>
                <w:lang w:eastAsia="de-DE"/>
              </w:rPr>
              <w:t xml:space="preserve"> mutation</w:t>
            </w:r>
          </w:p>
        </w:tc>
      </w:tr>
      <w:tr w:rsidR="00CD0D12" w:rsidRPr="00CD0D12" w14:paraId="6AA6FE76" w14:textId="77777777" w:rsidTr="00A22B29">
        <w:trPr>
          <w:trHeight w:val="300"/>
        </w:trPr>
        <w:tc>
          <w:tcPr>
            <w:tcW w:w="1638" w:type="dxa"/>
            <w:noWrap/>
            <w:vAlign w:val="center"/>
          </w:tcPr>
          <w:p w14:paraId="0ED49162"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SpHIS5rv</w:t>
            </w:r>
          </w:p>
        </w:tc>
        <w:tc>
          <w:tcPr>
            <w:tcW w:w="4950" w:type="dxa"/>
            <w:noWrap/>
            <w:vAlign w:val="center"/>
          </w:tcPr>
          <w:p w14:paraId="0BDA2775"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GTCCAAAGCGATGGCAACGC</w:t>
            </w:r>
          </w:p>
        </w:tc>
        <w:tc>
          <w:tcPr>
            <w:tcW w:w="2988" w:type="dxa"/>
            <w:noWrap/>
            <w:vAlign w:val="center"/>
          </w:tcPr>
          <w:p w14:paraId="4B287896"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elp3</w:t>
            </w:r>
            <w:r w:rsidRPr="00CD0D12">
              <w:rPr>
                <w:rFonts w:ascii="Arial" w:eastAsia="Times New Roman" w:hAnsi="Arial" w:cs="Arial"/>
                <w:color w:val="000000"/>
                <w:sz w:val="20"/>
                <w:szCs w:val="20"/>
                <w:lang w:eastAsia="de-DE"/>
              </w:rPr>
              <w:t xml:space="preserve"> mutation</w:t>
            </w:r>
          </w:p>
        </w:tc>
      </w:tr>
      <w:tr w:rsidR="00CD0D12" w:rsidRPr="00CD0D12" w14:paraId="4CDD0A64" w14:textId="77777777" w:rsidTr="00A22B29">
        <w:trPr>
          <w:trHeight w:val="300"/>
        </w:trPr>
        <w:tc>
          <w:tcPr>
            <w:tcW w:w="1638" w:type="dxa"/>
            <w:noWrap/>
            <w:vAlign w:val="center"/>
            <w:hideMark/>
          </w:tcPr>
          <w:p w14:paraId="237CEB42"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SUA5fw</w:t>
            </w:r>
          </w:p>
        </w:tc>
        <w:tc>
          <w:tcPr>
            <w:tcW w:w="4950" w:type="dxa"/>
            <w:noWrap/>
            <w:vAlign w:val="center"/>
            <w:hideMark/>
          </w:tcPr>
          <w:p w14:paraId="0A59F628"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CGCCAACAAGGCTATTTCG</w:t>
            </w:r>
          </w:p>
        </w:tc>
        <w:tc>
          <w:tcPr>
            <w:tcW w:w="2988" w:type="dxa"/>
            <w:noWrap/>
            <w:vAlign w:val="center"/>
            <w:hideMark/>
          </w:tcPr>
          <w:p w14:paraId="38451255"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sua5</w:t>
            </w:r>
            <w:r w:rsidRPr="00CD0D12">
              <w:rPr>
                <w:rFonts w:ascii="Arial" w:eastAsia="Times New Roman" w:hAnsi="Arial" w:cs="Arial"/>
                <w:color w:val="000000"/>
                <w:sz w:val="20"/>
                <w:szCs w:val="20"/>
                <w:lang w:eastAsia="de-DE"/>
              </w:rPr>
              <w:t xml:space="preserve"> deletion</w:t>
            </w:r>
          </w:p>
        </w:tc>
      </w:tr>
      <w:tr w:rsidR="00CD0D12" w:rsidRPr="00CD0D12" w14:paraId="54CB58F4" w14:textId="77777777" w:rsidTr="00A22B29">
        <w:trPr>
          <w:trHeight w:val="300"/>
        </w:trPr>
        <w:tc>
          <w:tcPr>
            <w:tcW w:w="1638" w:type="dxa"/>
            <w:noWrap/>
            <w:vAlign w:val="center"/>
            <w:hideMark/>
          </w:tcPr>
          <w:p w14:paraId="56E46B0E"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SUA55rv</w:t>
            </w:r>
          </w:p>
        </w:tc>
        <w:tc>
          <w:tcPr>
            <w:tcW w:w="4950" w:type="dxa"/>
            <w:noWrap/>
            <w:vAlign w:val="center"/>
            <w:hideMark/>
          </w:tcPr>
          <w:p w14:paraId="13EBD1EE"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GGACGCCCAACCCTATTGAG</w:t>
            </w:r>
          </w:p>
        </w:tc>
        <w:tc>
          <w:tcPr>
            <w:tcW w:w="2988" w:type="dxa"/>
            <w:noWrap/>
            <w:vAlign w:val="center"/>
            <w:hideMark/>
          </w:tcPr>
          <w:p w14:paraId="58E142C5"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sua5</w:t>
            </w:r>
            <w:r w:rsidRPr="00CD0D12">
              <w:rPr>
                <w:rFonts w:ascii="Arial" w:eastAsia="Times New Roman" w:hAnsi="Arial" w:cs="Arial"/>
                <w:color w:val="000000"/>
                <w:sz w:val="20"/>
                <w:szCs w:val="20"/>
                <w:lang w:eastAsia="de-DE"/>
              </w:rPr>
              <w:t xml:space="preserve"> deletion</w:t>
            </w:r>
          </w:p>
        </w:tc>
      </w:tr>
      <w:tr w:rsidR="00CD0D12" w:rsidRPr="00CD0D12" w14:paraId="2D9088D9" w14:textId="77777777" w:rsidTr="00A22B29">
        <w:trPr>
          <w:trHeight w:val="300"/>
        </w:trPr>
        <w:tc>
          <w:tcPr>
            <w:tcW w:w="1638" w:type="dxa"/>
            <w:noWrap/>
            <w:vAlign w:val="center"/>
          </w:tcPr>
          <w:p w14:paraId="18207D3B"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TEF1FW</w:t>
            </w:r>
          </w:p>
        </w:tc>
        <w:tc>
          <w:tcPr>
            <w:tcW w:w="4950" w:type="dxa"/>
            <w:noWrap/>
            <w:vAlign w:val="center"/>
          </w:tcPr>
          <w:p w14:paraId="31710C30"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AAAGAGACCGCCTCGTTTC</w:t>
            </w:r>
          </w:p>
          <w:p w14:paraId="58ED596A" w14:textId="77777777" w:rsidR="00F22F3C" w:rsidRPr="00CD0D12" w:rsidRDefault="00F22F3C" w:rsidP="00A22B29">
            <w:pPr>
              <w:spacing w:line="240" w:lineRule="auto"/>
              <w:rPr>
                <w:rFonts w:ascii="Arial" w:eastAsia="Times New Roman" w:hAnsi="Arial" w:cs="Arial"/>
                <w:color w:val="000000"/>
                <w:sz w:val="20"/>
                <w:szCs w:val="20"/>
                <w:lang w:eastAsia="de-DE"/>
              </w:rPr>
            </w:pPr>
          </w:p>
        </w:tc>
        <w:tc>
          <w:tcPr>
            <w:tcW w:w="2988" w:type="dxa"/>
            <w:noWrap/>
            <w:vAlign w:val="center"/>
          </w:tcPr>
          <w:p w14:paraId="248C1864"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marker swap</w:t>
            </w:r>
          </w:p>
        </w:tc>
      </w:tr>
      <w:tr w:rsidR="00CD0D12" w:rsidRPr="00CD0D12" w14:paraId="10098F7B" w14:textId="77777777" w:rsidTr="00A22B29">
        <w:trPr>
          <w:trHeight w:val="300"/>
        </w:trPr>
        <w:tc>
          <w:tcPr>
            <w:tcW w:w="1638" w:type="dxa"/>
            <w:noWrap/>
            <w:vAlign w:val="center"/>
          </w:tcPr>
          <w:p w14:paraId="1CDEC27A"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TEF1RV</w:t>
            </w:r>
          </w:p>
          <w:p w14:paraId="28D78D66" w14:textId="77777777" w:rsidR="00F22F3C" w:rsidRPr="00CD0D12" w:rsidRDefault="00F22F3C" w:rsidP="00A22B29">
            <w:pPr>
              <w:spacing w:line="240" w:lineRule="auto"/>
              <w:rPr>
                <w:rFonts w:ascii="Arial" w:eastAsia="Times New Roman" w:hAnsi="Arial" w:cs="Arial"/>
                <w:color w:val="000000"/>
                <w:sz w:val="20"/>
                <w:szCs w:val="20"/>
                <w:lang w:eastAsia="de-DE"/>
              </w:rPr>
            </w:pPr>
          </w:p>
        </w:tc>
        <w:tc>
          <w:tcPr>
            <w:tcW w:w="4950" w:type="dxa"/>
            <w:noWrap/>
            <w:vAlign w:val="center"/>
          </w:tcPr>
          <w:p w14:paraId="70585C0A" w14:textId="77777777" w:rsidR="00F22F3C" w:rsidRPr="00CD0D12" w:rsidRDefault="00F22F3C" w:rsidP="00A22B29">
            <w:pPr>
              <w:spacing w:line="240" w:lineRule="auto"/>
              <w:rPr>
                <w:rFonts w:ascii="Arial" w:hAnsi="Arial" w:cs="Arial"/>
                <w:sz w:val="20"/>
                <w:szCs w:val="20"/>
              </w:rPr>
            </w:pPr>
            <w:r w:rsidRPr="00CD0D12">
              <w:rPr>
                <w:rFonts w:ascii="Arial" w:hAnsi="Arial" w:cs="Arial"/>
                <w:sz w:val="20"/>
                <w:szCs w:val="20"/>
              </w:rPr>
              <w:t>TTGGACTGTCGCCTGTTAAG</w:t>
            </w:r>
          </w:p>
          <w:p w14:paraId="08CFF19C" w14:textId="77777777" w:rsidR="00F22F3C" w:rsidRPr="00CD0D12" w:rsidRDefault="00F22F3C" w:rsidP="00A22B29">
            <w:pPr>
              <w:spacing w:line="240" w:lineRule="auto"/>
              <w:rPr>
                <w:rFonts w:ascii="Arial" w:eastAsia="Times New Roman" w:hAnsi="Arial" w:cs="Arial"/>
                <w:color w:val="000000"/>
                <w:sz w:val="20"/>
                <w:szCs w:val="20"/>
                <w:lang w:eastAsia="de-DE"/>
              </w:rPr>
            </w:pPr>
          </w:p>
        </w:tc>
        <w:tc>
          <w:tcPr>
            <w:tcW w:w="2988" w:type="dxa"/>
            <w:noWrap/>
            <w:vAlign w:val="center"/>
          </w:tcPr>
          <w:p w14:paraId="2C749875" w14:textId="77777777" w:rsidR="00F22F3C" w:rsidRPr="00CD0D12" w:rsidRDefault="00F22F3C"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marker swap</w:t>
            </w:r>
          </w:p>
        </w:tc>
      </w:tr>
      <w:tr w:rsidR="00CD0D12" w:rsidRPr="00CD0D12" w14:paraId="4CF237A3" w14:textId="77777777" w:rsidTr="00A22B29">
        <w:trPr>
          <w:trHeight w:val="300"/>
        </w:trPr>
        <w:tc>
          <w:tcPr>
            <w:tcW w:w="1638" w:type="dxa"/>
            <w:noWrap/>
            <w:vAlign w:val="center"/>
          </w:tcPr>
          <w:p w14:paraId="77688B93" w14:textId="080A17B5" w:rsidR="004A292E" w:rsidRPr="00CD0D12" w:rsidRDefault="004A292E" w:rsidP="00A22B29">
            <w:pPr>
              <w:spacing w:line="240" w:lineRule="auto"/>
              <w:rPr>
                <w:rFonts w:ascii="Arial" w:hAnsi="Arial" w:cs="Arial"/>
                <w:sz w:val="20"/>
                <w:szCs w:val="20"/>
              </w:rPr>
            </w:pPr>
            <w:r w:rsidRPr="00CD0D12">
              <w:rPr>
                <w:rFonts w:ascii="Arial" w:hAnsi="Arial" w:cs="Arial"/>
                <w:sz w:val="20"/>
                <w:szCs w:val="20"/>
              </w:rPr>
              <w:t>SUA5_Int_F</w:t>
            </w:r>
          </w:p>
        </w:tc>
        <w:tc>
          <w:tcPr>
            <w:tcW w:w="4950" w:type="dxa"/>
            <w:noWrap/>
            <w:vAlign w:val="center"/>
          </w:tcPr>
          <w:p w14:paraId="00BF8EB3" w14:textId="5D0D72BD" w:rsidR="004A292E" w:rsidRPr="00CD0D12" w:rsidRDefault="004A292E" w:rsidP="00A22B29">
            <w:pPr>
              <w:spacing w:line="240" w:lineRule="auto"/>
              <w:rPr>
                <w:rFonts w:ascii="Arial" w:hAnsi="Arial" w:cs="Arial"/>
                <w:sz w:val="20"/>
                <w:szCs w:val="20"/>
              </w:rPr>
            </w:pPr>
            <w:r w:rsidRPr="00CD0D12">
              <w:rPr>
                <w:rFonts w:ascii="Arial" w:hAnsi="Arial" w:cs="Arial"/>
                <w:sz w:val="20"/>
                <w:szCs w:val="20"/>
              </w:rPr>
              <w:t>GCAGCGCTAGTTGAAGCGGC</w:t>
            </w:r>
          </w:p>
        </w:tc>
        <w:tc>
          <w:tcPr>
            <w:tcW w:w="2988" w:type="dxa"/>
            <w:noWrap/>
            <w:vAlign w:val="center"/>
          </w:tcPr>
          <w:p w14:paraId="4FD22C16" w14:textId="7B3365AA" w:rsidR="004A292E" w:rsidRPr="00CD0D12" w:rsidRDefault="004A292E"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sua5</w:t>
            </w:r>
            <w:r w:rsidRPr="00CD0D12">
              <w:rPr>
                <w:rFonts w:ascii="Arial" w:eastAsia="Times New Roman" w:hAnsi="Arial" w:cs="Arial"/>
                <w:color w:val="000000"/>
                <w:sz w:val="20"/>
                <w:szCs w:val="20"/>
                <w:lang w:eastAsia="de-DE"/>
              </w:rPr>
              <w:t xml:space="preserve"> deletion in single mutant</w:t>
            </w:r>
          </w:p>
        </w:tc>
      </w:tr>
      <w:tr w:rsidR="00CD0D12" w:rsidRPr="00CD0D12" w14:paraId="7C2F76FE" w14:textId="77777777" w:rsidTr="00A22B29">
        <w:trPr>
          <w:trHeight w:val="926"/>
        </w:trPr>
        <w:tc>
          <w:tcPr>
            <w:tcW w:w="1638" w:type="dxa"/>
            <w:noWrap/>
            <w:vAlign w:val="center"/>
          </w:tcPr>
          <w:p w14:paraId="034D3FE3" w14:textId="7AE6D95E" w:rsidR="004A292E" w:rsidRPr="00CD0D12" w:rsidRDefault="004A292E" w:rsidP="00A22B29">
            <w:pPr>
              <w:spacing w:line="240" w:lineRule="auto"/>
              <w:rPr>
                <w:rFonts w:ascii="Arial" w:hAnsi="Arial" w:cs="Arial"/>
                <w:sz w:val="20"/>
                <w:szCs w:val="20"/>
              </w:rPr>
            </w:pPr>
            <w:r w:rsidRPr="00CD0D12">
              <w:rPr>
                <w:rFonts w:ascii="Arial" w:hAnsi="Arial" w:cs="Arial"/>
                <w:sz w:val="20"/>
                <w:szCs w:val="20"/>
              </w:rPr>
              <w:t>SUA5_Int_R</w:t>
            </w:r>
          </w:p>
        </w:tc>
        <w:tc>
          <w:tcPr>
            <w:tcW w:w="4950" w:type="dxa"/>
            <w:noWrap/>
            <w:vAlign w:val="center"/>
          </w:tcPr>
          <w:p w14:paraId="45988882" w14:textId="2FC0CA3E" w:rsidR="004A292E" w:rsidRPr="00CD0D12" w:rsidRDefault="004A292E" w:rsidP="00A22B29">
            <w:pPr>
              <w:spacing w:line="240" w:lineRule="auto"/>
              <w:rPr>
                <w:rFonts w:ascii="Arial" w:hAnsi="Arial" w:cs="Arial"/>
                <w:sz w:val="20"/>
                <w:szCs w:val="20"/>
              </w:rPr>
            </w:pPr>
            <w:r w:rsidRPr="00CD0D12">
              <w:rPr>
                <w:rFonts w:ascii="Arial" w:hAnsi="Arial" w:cs="Arial"/>
                <w:sz w:val="20"/>
                <w:szCs w:val="20"/>
              </w:rPr>
              <w:t>ACCTTGCACGCTCCGCCATC</w:t>
            </w:r>
          </w:p>
        </w:tc>
        <w:tc>
          <w:tcPr>
            <w:tcW w:w="2988" w:type="dxa"/>
            <w:noWrap/>
            <w:vAlign w:val="center"/>
          </w:tcPr>
          <w:p w14:paraId="07B9C10B" w14:textId="1BD02003" w:rsidR="004A292E" w:rsidRPr="00CD0D12" w:rsidRDefault="004A292E"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sua5</w:t>
            </w:r>
            <w:r w:rsidRPr="00CD0D12">
              <w:rPr>
                <w:rFonts w:ascii="Arial" w:eastAsia="Times New Roman" w:hAnsi="Arial" w:cs="Arial"/>
                <w:color w:val="000000"/>
                <w:sz w:val="20"/>
                <w:szCs w:val="20"/>
                <w:lang w:eastAsia="de-DE"/>
              </w:rPr>
              <w:t xml:space="preserve"> deletion in single mutant</w:t>
            </w:r>
          </w:p>
        </w:tc>
      </w:tr>
      <w:tr w:rsidR="00CD0D12" w:rsidRPr="00CD0D12" w14:paraId="1C0B03F6" w14:textId="77777777" w:rsidTr="00A22B29">
        <w:trPr>
          <w:trHeight w:val="300"/>
        </w:trPr>
        <w:tc>
          <w:tcPr>
            <w:tcW w:w="1638" w:type="dxa"/>
            <w:noWrap/>
            <w:vAlign w:val="center"/>
          </w:tcPr>
          <w:p w14:paraId="43F4F0B9" w14:textId="07D122EB" w:rsidR="004A292E" w:rsidRPr="00CD0D12" w:rsidRDefault="004A292E" w:rsidP="00A22B29">
            <w:pPr>
              <w:spacing w:line="240" w:lineRule="auto"/>
              <w:rPr>
                <w:rFonts w:ascii="Arial" w:hAnsi="Arial" w:cs="Arial"/>
                <w:sz w:val="20"/>
                <w:szCs w:val="20"/>
              </w:rPr>
            </w:pPr>
            <w:r w:rsidRPr="00CD0D12">
              <w:rPr>
                <w:rFonts w:ascii="Arial" w:hAnsi="Arial" w:cs="Arial"/>
                <w:sz w:val="20"/>
                <w:szCs w:val="20"/>
              </w:rPr>
              <w:t>GON7_inside-5'</w:t>
            </w:r>
          </w:p>
        </w:tc>
        <w:tc>
          <w:tcPr>
            <w:tcW w:w="4950" w:type="dxa"/>
            <w:noWrap/>
            <w:vAlign w:val="center"/>
          </w:tcPr>
          <w:p w14:paraId="26C3CC30" w14:textId="24A8D44F" w:rsidR="004A292E" w:rsidRPr="00CD0D12" w:rsidRDefault="004A292E" w:rsidP="00A22B29">
            <w:pPr>
              <w:spacing w:line="240" w:lineRule="auto"/>
              <w:rPr>
                <w:rFonts w:ascii="Arial" w:hAnsi="Arial" w:cs="Arial"/>
                <w:sz w:val="20"/>
                <w:szCs w:val="20"/>
              </w:rPr>
            </w:pPr>
            <w:r w:rsidRPr="00CD0D12">
              <w:rPr>
                <w:rFonts w:ascii="Arial" w:hAnsi="Arial" w:cs="Arial"/>
                <w:sz w:val="20"/>
                <w:szCs w:val="20"/>
              </w:rPr>
              <w:t>CGCGATGACCCTCGATACAT</w:t>
            </w:r>
          </w:p>
        </w:tc>
        <w:tc>
          <w:tcPr>
            <w:tcW w:w="2988" w:type="dxa"/>
            <w:noWrap/>
            <w:vAlign w:val="center"/>
          </w:tcPr>
          <w:p w14:paraId="407D2541" w14:textId="40AFB0E6" w:rsidR="004A292E" w:rsidRPr="00CD0D12" w:rsidRDefault="00CD0D12"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gon7</w:t>
            </w:r>
            <w:r w:rsidRPr="00CD0D12">
              <w:rPr>
                <w:rFonts w:ascii="Arial" w:eastAsia="Times New Roman" w:hAnsi="Arial" w:cs="Arial"/>
                <w:color w:val="000000"/>
                <w:sz w:val="20"/>
                <w:szCs w:val="20"/>
                <w:lang w:eastAsia="de-DE"/>
              </w:rPr>
              <w:t xml:space="preserve"> deletion in single mutant</w:t>
            </w:r>
          </w:p>
        </w:tc>
      </w:tr>
      <w:tr w:rsidR="00CD0D12" w:rsidRPr="00CD0D12" w14:paraId="108D4723" w14:textId="77777777" w:rsidTr="00A22B29">
        <w:trPr>
          <w:trHeight w:val="701"/>
        </w:trPr>
        <w:tc>
          <w:tcPr>
            <w:tcW w:w="1638" w:type="dxa"/>
            <w:noWrap/>
            <w:vAlign w:val="center"/>
          </w:tcPr>
          <w:p w14:paraId="6DA3A392" w14:textId="1D0FB815" w:rsidR="00CD0D12" w:rsidRPr="00CD0D12" w:rsidRDefault="00CD0D12" w:rsidP="00A22B29">
            <w:pPr>
              <w:spacing w:line="240" w:lineRule="auto"/>
              <w:rPr>
                <w:rFonts w:ascii="Arial" w:hAnsi="Arial" w:cs="Arial"/>
                <w:sz w:val="20"/>
                <w:szCs w:val="20"/>
              </w:rPr>
            </w:pPr>
            <w:r w:rsidRPr="00CD0D12">
              <w:rPr>
                <w:rFonts w:ascii="Arial" w:hAnsi="Arial" w:cs="Arial"/>
                <w:sz w:val="20"/>
                <w:szCs w:val="20"/>
              </w:rPr>
              <w:t>GON7_inside-3'</w:t>
            </w:r>
          </w:p>
        </w:tc>
        <w:tc>
          <w:tcPr>
            <w:tcW w:w="4950" w:type="dxa"/>
            <w:noWrap/>
            <w:vAlign w:val="center"/>
          </w:tcPr>
          <w:p w14:paraId="39C70283" w14:textId="6A0F1F0C" w:rsidR="00CD0D12" w:rsidRPr="00CD0D12" w:rsidRDefault="00CD0D12" w:rsidP="00A22B29">
            <w:pPr>
              <w:spacing w:line="240" w:lineRule="auto"/>
              <w:rPr>
                <w:rFonts w:ascii="Arial" w:hAnsi="Arial" w:cs="Arial"/>
                <w:sz w:val="20"/>
                <w:szCs w:val="20"/>
              </w:rPr>
            </w:pPr>
            <w:r w:rsidRPr="00CD0D12">
              <w:rPr>
                <w:rFonts w:ascii="Arial" w:hAnsi="Arial" w:cs="Arial"/>
                <w:sz w:val="20"/>
                <w:szCs w:val="20"/>
              </w:rPr>
              <w:t>AACAGCATCTTCGTCACCGT</w:t>
            </w:r>
          </w:p>
        </w:tc>
        <w:tc>
          <w:tcPr>
            <w:tcW w:w="2988" w:type="dxa"/>
            <w:noWrap/>
            <w:vAlign w:val="center"/>
          </w:tcPr>
          <w:p w14:paraId="22B839C7" w14:textId="13239605" w:rsidR="00CD0D12" w:rsidRPr="00CD0D12" w:rsidRDefault="00CD0D12"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 xml:space="preserve">detection of </w:t>
            </w:r>
            <w:r w:rsidRPr="00CD0D12">
              <w:rPr>
                <w:rFonts w:ascii="Arial" w:eastAsia="Times New Roman" w:hAnsi="Arial" w:cs="Arial"/>
                <w:i/>
                <w:iCs/>
                <w:color w:val="000000"/>
                <w:sz w:val="20"/>
                <w:szCs w:val="20"/>
                <w:lang w:eastAsia="de-DE"/>
              </w:rPr>
              <w:t>gon7</w:t>
            </w:r>
            <w:r w:rsidRPr="00CD0D12">
              <w:rPr>
                <w:rFonts w:ascii="Arial" w:eastAsia="Times New Roman" w:hAnsi="Arial" w:cs="Arial"/>
                <w:color w:val="000000"/>
                <w:sz w:val="20"/>
                <w:szCs w:val="20"/>
                <w:lang w:eastAsia="de-DE"/>
              </w:rPr>
              <w:t xml:space="preserve"> deletion in single mutant</w:t>
            </w:r>
          </w:p>
        </w:tc>
      </w:tr>
      <w:tr w:rsidR="00CD0D12" w:rsidRPr="00CD0D12" w14:paraId="6F115C69" w14:textId="77777777" w:rsidTr="00A22B29">
        <w:trPr>
          <w:trHeight w:val="300"/>
        </w:trPr>
        <w:tc>
          <w:tcPr>
            <w:tcW w:w="1638" w:type="dxa"/>
            <w:noWrap/>
            <w:vAlign w:val="center"/>
          </w:tcPr>
          <w:p w14:paraId="16EEB3E7" w14:textId="4EF73813" w:rsidR="00CD0D12" w:rsidRPr="00CD0D12" w:rsidRDefault="00CD0D12" w:rsidP="00A22B29">
            <w:pPr>
              <w:spacing w:line="240" w:lineRule="auto"/>
              <w:rPr>
                <w:rFonts w:ascii="Arial" w:hAnsi="Arial" w:cs="Arial"/>
                <w:sz w:val="20"/>
                <w:szCs w:val="20"/>
              </w:rPr>
            </w:pPr>
            <w:r w:rsidRPr="00CD0D12">
              <w:rPr>
                <w:rFonts w:ascii="Arial" w:hAnsi="Arial" w:cs="Arial"/>
                <w:sz w:val="20"/>
                <w:szCs w:val="20"/>
              </w:rPr>
              <w:t xml:space="preserve">pJMB21 </w:t>
            </w:r>
            <w:proofErr w:type="spellStart"/>
            <w:r w:rsidRPr="00CD0D12">
              <w:rPr>
                <w:rFonts w:ascii="Arial" w:hAnsi="Arial" w:cs="Arial"/>
                <w:sz w:val="20"/>
                <w:szCs w:val="20"/>
              </w:rPr>
              <w:t>ext</w:t>
            </w:r>
            <w:proofErr w:type="spellEnd"/>
            <w:r w:rsidRPr="00CD0D12">
              <w:rPr>
                <w:rFonts w:ascii="Arial" w:hAnsi="Arial" w:cs="Arial"/>
                <w:sz w:val="20"/>
                <w:szCs w:val="20"/>
              </w:rPr>
              <w:t xml:space="preserve"> F</w:t>
            </w:r>
          </w:p>
        </w:tc>
        <w:tc>
          <w:tcPr>
            <w:tcW w:w="4950" w:type="dxa"/>
            <w:noWrap/>
            <w:vAlign w:val="center"/>
          </w:tcPr>
          <w:p w14:paraId="76A045B1" w14:textId="751EB5E5" w:rsidR="00CD0D12" w:rsidRPr="00444AD9" w:rsidRDefault="00CD0D12" w:rsidP="00A22B29">
            <w:pPr>
              <w:spacing w:line="240" w:lineRule="auto"/>
              <w:rPr>
                <w:rFonts w:ascii="Arial" w:eastAsia="Times New Roman" w:hAnsi="Arial" w:cs="Arial"/>
                <w:sz w:val="20"/>
                <w:szCs w:val="20"/>
              </w:rPr>
            </w:pPr>
            <w:r w:rsidRPr="00CD0D12">
              <w:rPr>
                <w:rFonts w:ascii="Arial" w:eastAsia="Times New Roman" w:hAnsi="Arial" w:cs="Arial"/>
                <w:color w:val="000000"/>
                <w:sz w:val="20"/>
                <w:szCs w:val="20"/>
                <w:shd w:val="clear" w:color="auto" w:fill="FFFFFF"/>
              </w:rPr>
              <w:t>AAGGGCAGCATAATTTAGGAGTTTAGT</w:t>
            </w:r>
            <w:r w:rsidRPr="00444AD9">
              <w:rPr>
                <w:rFonts w:ascii="Arial" w:eastAsia="Times New Roman" w:hAnsi="Arial" w:cs="Arial"/>
                <w:color w:val="000000"/>
                <w:sz w:val="20"/>
                <w:szCs w:val="20"/>
                <w:shd w:val="clear" w:color="auto" w:fill="FFFFFF"/>
              </w:rPr>
              <w:t>G</w:t>
            </w:r>
          </w:p>
          <w:p w14:paraId="5E786282" w14:textId="77777777" w:rsidR="00CD0D12" w:rsidRPr="00CD0D12" w:rsidRDefault="00CD0D12" w:rsidP="00A22B29">
            <w:pPr>
              <w:spacing w:line="240" w:lineRule="auto"/>
              <w:rPr>
                <w:rFonts w:ascii="Arial" w:hAnsi="Arial" w:cs="Arial"/>
                <w:sz w:val="20"/>
                <w:szCs w:val="20"/>
              </w:rPr>
            </w:pPr>
          </w:p>
        </w:tc>
        <w:tc>
          <w:tcPr>
            <w:tcW w:w="2988" w:type="dxa"/>
            <w:noWrap/>
            <w:vAlign w:val="center"/>
          </w:tcPr>
          <w:p w14:paraId="4B67FAE7" w14:textId="73AD4022" w:rsidR="00CD0D12" w:rsidRPr="00CD0D12" w:rsidRDefault="00CD0D12"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confirmation of HA-GFP or HA-SWI1-GFP fusions in pJMB21 and pJMB21::SWI1</w:t>
            </w:r>
          </w:p>
        </w:tc>
      </w:tr>
      <w:tr w:rsidR="00CD0D12" w:rsidRPr="00CD0D12" w14:paraId="6C1678D9" w14:textId="77777777" w:rsidTr="00A22B29">
        <w:trPr>
          <w:trHeight w:val="300"/>
        </w:trPr>
        <w:tc>
          <w:tcPr>
            <w:tcW w:w="1638" w:type="dxa"/>
            <w:noWrap/>
            <w:vAlign w:val="center"/>
          </w:tcPr>
          <w:p w14:paraId="081328F3" w14:textId="6A8985AA" w:rsidR="00CD0D12" w:rsidRPr="00CD0D12" w:rsidRDefault="00CD0D12" w:rsidP="00A22B29">
            <w:pPr>
              <w:spacing w:line="240" w:lineRule="auto"/>
              <w:rPr>
                <w:rFonts w:ascii="Arial" w:hAnsi="Arial" w:cs="Arial"/>
                <w:sz w:val="20"/>
                <w:szCs w:val="20"/>
              </w:rPr>
            </w:pPr>
            <w:r w:rsidRPr="00CD0D12">
              <w:rPr>
                <w:rFonts w:ascii="Arial" w:hAnsi="Arial" w:cs="Arial"/>
                <w:sz w:val="20"/>
                <w:szCs w:val="20"/>
              </w:rPr>
              <w:t>GFP int R</w:t>
            </w:r>
          </w:p>
        </w:tc>
        <w:tc>
          <w:tcPr>
            <w:tcW w:w="4950" w:type="dxa"/>
            <w:noWrap/>
            <w:vAlign w:val="center"/>
          </w:tcPr>
          <w:p w14:paraId="6216AF0B" w14:textId="46E0612B" w:rsidR="00CD0D12" w:rsidRPr="00CD0D12" w:rsidRDefault="00CD0D12" w:rsidP="00A22B29">
            <w:pPr>
              <w:spacing w:line="240" w:lineRule="auto"/>
              <w:rPr>
                <w:rFonts w:ascii="Arial" w:eastAsia="Times New Roman" w:hAnsi="Arial" w:cs="Arial"/>
                <w:sz w:val="20"/>
                <w:szCs w:val="20"/>
              </w:rPr>
            </w:pPr>
            <w:r w:rsidRPr="00CD0D12">
              <w:rPr>
                <w:rFonts w:ascii="Arial" w:eastAsia="Times New Roman" w:hAnsi="Arial" w:cs="Arial"/>
                <w:color w:val="000000"/>
                <w:sz w:val="20"/>
                <w:szCs w:val="20"/>
                <w:shd w:val="clear" w:color="auto" w:fill="FFFFFF"/>
              </w:rPr>
              <w:t>GTCTTGTAGTTCCCGTCATC</w:t>
            </w:r>
          </w:p>
        </w:tc>
        <w:tc>
          <w:tcPr>
            <w:tcW w:w="2988" w:type="dxa"/>
            <w:noWrap/>
            <w:vAlign w:val="center"/>
          </w:tcPr>
          <w:p w14:paraId="1B461EC0" w14:textId="5AC22C11" w:rsidR="00CD0D12" w:rsidRPr="00CD0D12" w:rsidRDefault="00CD0D12"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confirmation of HA-GFP or HA-SWI1-GFP fusions in pJMB21 and pJMB21::SWI1</w:t>
            </w:r>
          </w:p>
        </w:tc>
      </w:tr>
      <w:tr w:rsidR="00CD0D12" w:rsidRPr="00CD0D12" w14:paraId="2E081B3F" w14:textId="77777777" w:rsidTr="00A22B29">
        <w:trPr>
          <w:trHeight w:val="300"/>
        </w:trPr>
        <w:tc>
          <w:tcPr>
            <w:tcW w:w="1638" w:type="dxa"/>
            <w:noWrap/>
            <w:vAlign w:val="center"/>
          </w:tcPr>
          <w:p w14:paraId="35271984" w14:textId="11A046D7" w:rsidR="00CD0D12" w:rsidRPr="00CD0D12" w:rsidRDefault="00CD0D12" w:rsidP="00A22B29">
            <w:pPr>
              <w:spacing w:line="240" w:lineRule="auto"/>
              <w:rPr>
                <w:rFonts w:ascii="Arial" w:hAnsi="Arial" w:cs="Arial"/>
                <w:sz w:val="20"/>
                <w:szCs w:val="20"/>
              </w:rPr>
            </w:pPr>
            <w:r w:rsidRPr="00CD0D12">
              <w:rPr>
                <w:rFonts w:ascii="Arial" w:hAnsi="Arial" w:cs="Arial"/>
                <w:sz w:val="20"/>
                <w:szCs w:val="20"/>
              </w:rPr>
              <w:t>SWI int F</w:t>
            </w:r>
          </w:p>
        </w:tc>
        <w:tc>
          <w:tcPr>
            <w:tcW w:w="4950" w:type="dxa"/>
            <w:noWrap/>
            <w:vAlign w:val="center"/>
          </w:tcPr>
          <w:p w14:paraId="380A9A05" w14:textId="66A7ADE6" w:rsidR="00CD0D12" w:rsidRPr="00CD0D12" w:rsidRDefault="00CD0D12" w:rsidP="00A22B29">
            <w:pPr>
              <w:spacing w:line="240" w:lineRule="auto"/>
              <w:rPr>
                <w:rFonts w:ascii="Arial" w:eastAsia="Times New Roman" w:hAnsi="Arial" w:cs="Arial"/>
                <w:sz w:val="20"/>
                <w:szCs w:val="20"/>
              </w:rPr>
            </w:pPr>
            <w:r w:rsidRPr="00CD0D12">
              <w:rPr>
                <w:rFonts w:ascii="Arial" w:eastAsia="Times New Roman" w:hAnsi="Arial" w:cs="Arial"/>
                <w:color w:val="000000"/>
                <w:sz w:val="20"/>
                <w:szCs w:val="20"/>
                <w:shd w:val="clear" w:color="auto" w:fill="FFFFFF"/>
              </w:rPr>
              <w:t>CAATGTTTGCCGCTTTGCAG</w:t>
            </w:r>
          </w:p>
        </w:tc>
        <w:tc>
          <w:tcPr>
            <w:tcW w:w="2988" w:type="dxa"/>
            <w:noWrap/>
            <w:vAlign w:val="center"/>
          </w:tcPr>
          <w:p w14:paraId="09C38D15" w14:textId="66216BFA" w:rsidR="00CD0D12" w:rsidRPr="00CD0D12" w:rsidRDefault="00CD0D12" w:rsidP="00A22B29">
            <w:pPr>
              <w:spacing w:line="240" w:lineRule="auto"/>
              <w:rPr>
                <w:rFonts w:ascii="Arial" w:eastAsia="Times New Roman" w:hAnsi="Arial" w:cs="Arial"/>
                <w:color w:val="000000"/>
                <w:sz w:val="20"/>
                <w:szCs w:val="20"/>
                <w:lang w:eastAsia="de-DE"/>
              </w:rPr>
            </w:pPr>
            <w:r w:rsidRPr="00CD0D12">
              <w:rPr>
                <w:rFonts w:ascii="Arial" w:eastAsia="Times New Roman" w:hAnsi="Arial" w:cs="Arial"/>
                <w:color w:val="000000"/>
                <w:sz w:val="20"/>
                <w:szCs w:val="20"/>
                <w:lang w:eastAsia="de-DE"/>
              </w:rPr>
              <w:t>confirmation of HA-GFP or HA-SWI1-GFP fusions in pJMB21 and pJMB21::SWI1</w:t>
            </w:r>
          </w:p>
        </w:tc>
      </w:tr>
    </w:tbl>
    <w:p w14:paraId="59D22664" w14:textId="77777777" w:rsidR="00F22F3C" w:rsidRDefault="00F22F3C" w:rsidP="00F22F3C"/>
    <w:p w14:paraId="4F8A5109" w14:textId="3E5F4FFD" w:rsidR="002F2048" w:rsidRPr="00E42FD9" w:rsidRDefault="002F2048" w:rsidP="00E01C96">
      <w:pPr>
        <w:rPr>
          <w:rFonts w:ascii="Palatino Linotype" w:eastAsia="Times New Roman" w:hAnsi="Palatino Linotype" w:cs="Arial"/>
          <w:color w:val="222222"/>
          <w:spacing w:val="3"/>
        </w:rPr>
      </w:pPr>
      <w:r w:rsidRPr="00E42FD9">
        <w:rPr>
          <w:rFonts w:ascii="Palatino Linotype" w:eastAsia="Times New Roman" w:hAnsi="Palatino Linotype" w:cs="Arial"/>
          <w:b/>
          <w:bCs/>
          <w:color w:val="222222"/>
          <w:spacing w:val="3"/>
        </w:rPr>
        <w:t>Table S2</w:t>
      </w:r>
      <w:r w:rsidR="009B0740" w:rsidRPr="00E42FD9">
        <w:rPr>
          <w:rFonts w:ascii="Palatino Linotype" w:eastAsia="Times New Roman" w:hAnsi="Palatino Linotype" w:cs="Arial"/>
          <w:b/>
          <w:bCs/>
          <w:color w:val="222222"/>
          <w:spacing w:val="3"/>
        </w:rPr>
        <w:t xml:space="preserve">. </w:t>
      </w:r>
      <w:r w:rsidRPr="00E42FD9">
        <w:rPr>
          <w:rFonts w:ascii="Palatino Linotype" w:eastAsia="Times New Roman" w:hAnsi="Palatino Linotype" w:cs="Arial"/>
          <w:color w:val="222222"/>
          <w:spacing w:val="3"/>
        </w:rPr>
        <w:t xml:space="preserve">Proteomics data </w:t>
      </w:r>
      <w:r w:rsidR="009B0740" w:rsidRPr="00E42FD9">
        <w:rPr>
          <w:rFonts w:ascii="Palatino Linotype" w:eastAsia="Times New Roman" w:hAnsi="Palatino Linotype" w:cs="Arial"/>
          <w:color w:val="222222"/>
          <w:spacing w:val="3"/>
        </w:rPr>
        <w:t xml:space="preserve">for wild-type and </w:t>
      </w:r>
      <w:r w:rsidR="009B0740" w:rsidRPr="00E42FD9">
        <w:rPr>
          <w:rFonts w:ascii="Palatino Linotype" w:eastAsia="Times New Roman" w:hAnsi="Palatino Linotype" w:cs="Arial"/>
          <w:i/>
          <w:iCs/>
          <w:color w:val="222222"/>
          <w:spacing w:val="3"/>
        </w:rPr>
        <w:t>sua5</w:t>
      </w:r>
      <w:r w:rsidR="009B0740" w:rsidRPr="00E42FD9">
        <w:rPr>
          <w:rFonts w:ascii="Palatino Linotype" w:eastAsia="Times New Roman" w:hAnsi="Palatino Linotype" w:cs="Arial"/>
          <w:color w:val="222222"/>
          <w:spacing w:val="3"/>
        </w:rPr>
        <w:t xml:space="preserve"> mutant strains (</w:t>
      </w:r>
      <w:r w:rsidR="009B0740" w:rsidRPr="004D6C2F">
        <w:rPr>
          <w:rFonts w:ascii="Palatino Linotype" w:eastAsia="Times New Roman" w:hAnsi="Palatino Linotype" w:cs="Arial"/>
          <w:b/>
          <w:color w:val="222222"/>
          <w:spacing w:val="3"/>
        </w:rPr>
        <w:t>separate file)</w:t>
      </w:r>
    </w:p>
    <w:p w14:paraId="23851898" w14:textId="2DD88BC4" w:rsidR="00E01C96" w:rsidRDefault="00E01C96" w:rsidP="00E01C96">
      <w:pPr>
        <w:rPr>
          <w:rFonts w:ascii="Palatino Linotype" w:eastAsia="Times New Roman" w:hAnsi="Palatino Linotype" w:cs="Arial"/>
          <w:i/>
          <w:iCs/>
          <w:color w:val="222222"/>
          <w:spacing w:val="3"/>
        </w:rPr>
      </w:pPr>
    </w:p>
    <w:p w14:paraId="67769D11" w14:textId="4C747E3A" w:rsidR="00F22F3C" w:rsidRDefault="00F22F3C" w:rsidP="00E01C96">
      <w:pPr>
        <w:rPr>
          <w:rFonts w:ascii="Palatino Linotype" w:eastAsia="Times New Roman" w:hAnsi="Palatino Linotype" w:cs="Arial"/>
          <w:i/>
          <w:iCs/>
          <w:color w:val="222222"/>
          <w:spacing w:val="3"/>
        </w:rPr>
      </w:pPr>
    </w:p>
    <w:p w14:paraId="4C6E1FDC" w14:textId="77777777" w:rsidR="00A22B29" w:rsidRDefault="00A22B29" w:rsidP="00E01C96">
      <w:pPr>
        <w:rPr>
          <w:rFonts w:ascii="Palatino Linotype" w:eastAsia="Times New Roman" w:hAnsi="Palatino Linotype" w:cs="Arial"/>
          <w:i/>
          <w:iCs/>
          <w:color w:val="222222"/>
          <w:spacing w:val="3"/>
        </w:rPr>
      </w:pPr>
    </w:p>
    <w:p w14:paraId="37C90FAB" w14:textId="77777777" w:rsidR="00A22B29" w:rsidRDefault="00A22B29" w:rsidP="00E01C96">
      <w:pPr>
        <w:rPr>
          <w:rFonts w:ascii="Palatino Linotype" w:eastAsia="Times New Roman" w:hAnsi="Palatino Linotype" w:cs="Arial"/>
          <w:i/>
          <w:iCs/>
          <w:color w:val="222222"/>
          <w:spacing w:val="3"/>
        </w:rPr>
      </w:pPr>
    </w:p>
    <w:p w14:paraId="616F909F" w14:textId="77777777" w:rsidR="00FA40BD" w:rsidRDefault="00FA40BD" w:rsidP="00E01C96">
      <w:pPr>
        <w:rPr>
          <w:rFonts w:ascii="Palatino Linotype" w:eastAsia="Times New Roman" w:hAnsi="Palatino Linotype" w:cs="Arial"/>
          <w:b/>
          <w:bCs/>
          <w:color w:val="222222"/>
          <w:spacing w:val="3"/>
        </w:rPr>
      </w:pPr>
    </w:p>
    <w:p w14:paraId="28195C3F" w14:textId="072556B0" w:rsidR="00E42FD9" w:rsidRDefault="000C6622" w:rsidP="00E01C96">
      <w:pPr>
        <w:rPr>
          <w:rFonts w:ascii="Palatino Linotype" w:hAnsi="Palatino Linotype"/>
          <w:b/>
          <w:bCs/>
        </w:rPr>
      </w:pPr>
      <w:r>
        <w:rPr>
          <w:rFonts w:ascii="Palatino Linotype" w:hAnsi="Palatino Linotype"/>
          <w:b/>
          <w:bCs/>
          <w:noProof/>
        </w:rPr>
        <w:drawing>
          <wp:inline distT="0" distB="0" distL="0" distR="0" wp14:anchorId="3E7B432D" wp14:editId="27A39421">
            <wp:extent cx="5943600" cy="55492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MB21plasmidmap.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5549265"/>
                    </a:xfrm>
                    <a:prstGeom prst="rect">
                      <a:avLst/>
                    </a:prstGeom>
                  </pic:spPr>
                </pic:pic>
              </a:graphicData>
            </a:graphic>
          </wp:inline>
        </w:drawing>
      </w:r>
    </w:p>
    <w:p w14:paraId="3B157C7D" w14:textId="13675AD1" w:rsidR="00B14635" w:rsidRDefault="00B14635" w:rsidP="00B14635">
      <w:pPr>
        <w:rPr>
          <w:rFonts w:ascii="Palatino Linotype" w:hAnsi="Palatino Linotype"/>
          <w:b/>
          <w:bCs/>
        </w:rPr>
      </w:pPr>
      <w:r w:rsidRPr="000C6622">
        <w:rPr>
          <w:rFonts w:ascii="Palatino Linotype" w:eastAsia="Times New Roman" w:hAnsi="Palatino Linotype" w:cs="Arial"/>
          <w:b/>
          <w:bCs/>
          <w:color w:val="222222"/>
          <w:spacing w:val="3"/>
        </w:rPr>
        <w:t xml:space="preserve">Figure S1: </w:t>
      </w:r>
      <w:r w:rsidRPr="000C6622">
        <w:rPr>
          <w:rFonts w:ascii="Palatino Linotype" w:eastAsia="Times New Roman" w:hAnsi="Palatino Linotype" w:cs="Arial"/>
          <w:color w:val="222222"/>
          <w:spacing w:val="3"/>
        </w:rPr>
        <w:t xml:space="preserve">Map of </w:t>
      </w:r>
      <w:r w:rsidRPr="000C6622">
        <w:rPr>
          <w:rFonts w:ascii="Palatino Linotype" w:hAnsi="Palatino Linotype"/>
        </w:rPr>
        <w:t>pJMB21</w:t>
      </w:r>
      <w:r>
        <w:rPr>
          <w:rFonts w:ascii="Palatino Linotype" w:hAnsi="Palatino Linotype"/>
          <w:b/>
          <w:bCs/>
        </w:rPr>
        <w:t>.</w:t>
      </w:r>
    </w:p>
    <w:p w14:paraId="7067041B" w14:textId="77777777" w:rsidR="00B14635" w:rsidRPr="009B0740" w:rsidRDefault="00B14635" w:rsidP="00E01C96">
      <w:pPr>
        <w:rPr>
          <w:rFonts w:ascii="Palatino Linotype" w:hAnsi="Palatino Linotype"/>
          <w:b/>
          <w:bCs/>
        </w:rPr>
      </w:pPr>
    </w:p>
    <w:p w14:paraId="7C2948A5" w14:textId="77777777" w:rsidR="00C573C6" w:rsidRDefault="00C573C6" w:rsidP="00C573C6">
      <w:pPr>
        <w:rPr>
          <w:rFonts w:ascii="Palatino Linotype" w:eastAsia="Times New Roman" w:hAnsi="Palatino Linotype" w:cs="Arial"/>
          <w:i/>
          <w:iCs/>
          <w:color w:val="222222"/>
          <w:spacing w:val="3"/>
        </w:rPr>
      </w:pPr>
    </w:p>
    <w:p w14:paraId="56D4EAAF" w14:textId="77777777" w:rsidR="00C573C6" w:rsidRPr="009B0740" w:rsidRDefault="00C573C6" w:rsidP="00C573C6">
      <w:pPr>
        <w:rPr>
          <w:rFonts w:ascii="Palatino Linotype" w:eastAsia="Times New Roman" w:hAnsi="Palatino Linotype" w:cs="Arial"/>
          <w:i/>
          <w:iCs/>
          <w:color w:val="222222"/>
          <w:spacing w:val="3"/>
        </w:rPr>
      </w:pPr>
      <w:r>
        <w:rPr>
          <w:rFonts w:ascii="Palatino Linotype" w:eastAsia="Times New Roman" w:hAnsi="Palatino Linotype" w:cs="Arial"/>
          <w:i/>
          <w:iCs/>
          <w:noProof/>
          <w:color w:val="222222"/>
          <w:spacing w:val="3"/>
        </w:rPr>
        <w:lastRenderedPageBreak/>
        <w:drawing>
          <wp:inline distT="0" distB="0" distL="0" distR="0" wp14:anchorId="712A0A2C" wp14:editId="74D51FF5">
            <wp:extent cx="5943600" cy="5890895"/>
            <wp:effectExtent l="0" t="0" r="0" b="0"/>
            <wp:docPr id="6" name="Grafik 6" descr="Ein Bild, das Wand, grün, drinnen,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lement HSP104GFP single mutants.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5890895"/>
                    </a:xfrm>
                    <a:prstGeom prst="rect">
                      <a:avLst/>
                    </a:prstGeom>
                  </pic:spPr>
                </pic:pic>
              </a:graphicData>
            </a:graphic>
          </wp:inline>
        </w:drawing>
      </w:r>
    </w:p>
    <w:p w14:paraId="413C2872" w14:textId="77777777" w:rsidR="00C573C6" w:rsidRDefault="00C573C6" w:rsidP="00C573C6">
      <w:pPr>
        <w:rPr>
          <w:rFonts w:ascii="Palatino Linotype" w:eastAsia="Times New Roman" w:hAnsi="Palatino Linotype" w:cs="Arial"/>
          <w:b/>
          <w:bCs/>
          <w:color w:val="222222"/>
          <w:spacing w:val="3"/>
        </w:rPr>
      </w:pPr>
    </w:p>
    <w:p w14:paraId="3BE87455" w14:textId="12C2C6C7" w:rsidR="00C573C6" w:rsidRDefault="00C573C6" w:rsidP="00B14635">
      <w:pPr>
        <w:jc w:val="both"/>
        <w:rPr>
          <w:rFonts w:ascii="Palatino Linotype" w:eastAsia="Times New Roman" w:hAnsi="Palatino Linotype" w:cs="Arial"/>
          <w:color w:val="222222"/>
          <w:spacing w:val="3"/>
        </w:rPr>
      </w:pPr>
      <w:r w:rsidRPr="000C6622">
        <w:rPr>
          <w:rFonts w:ascii="Palatino Linotype" w:eastAsia="Times New Roman" w:hAnsi="Palatino Linotype" w:cs="Arial"/>
          <w:b/>
          <w:bCs/>
          <w:color w:val="222222"/>
          <w:spacing w:val="3"/>
        </w:rPr>
        <w:t>Figure S</w:t>
      </w:r>
      <w:r>
        <w:rPr>
          <w:rFonts w:ascii="Palatino Linotype" w:eastAsia="Times New Roman" w:hAnsi="Palatino Linotype" w:cs="Arial"/>
          <w:b/>
          <w:bCs/>
          <w:color w:val="222222"/>
          <w:spacing w:val="3"/>
        </w:rPr>
        <w:t>2</w:t>
      </w:r>
      <w:r w:rsidRPr="000C6622">
        <w:rPr>
          <w:rFonts w:ascii="Palatino Linotype" w:eastAsia="Times New Roman" w:hAnsi="Palatino Linotype" w:cs="Arial"/>
          <w:b/>
          <w:bCs/>
          <w:color w:val="222222"/>
          <w:spacing w:val="3"/>
        </w:rPr>
        <w:t xml:space="preserve">: </w:t>
      </w:r>
      <w:r>
        <w:rPr>
          <w:rFonts w:ascii="Palatino Linotype" w:eastAsia="Times New Roman" w:hAnsi="Palatino Linotype" w:cs="Arial"/>
          <w:color w:val="222222"/>
          <w:spacing w:val="3"/>
        </w:rPr>
        <w:t xml:space="preserve">Hsp104-GFP signals in </w:t>
      </w:r>
      <w:r w:rsidRPr="00FA40BD">
        <w:rPr>
          <w:rFonts w:ascii="Palatino Linotype" w:eastAsia="Times New Roman" w:hAnsi="Palatino Linotype" w:cs="Arial"/>
          <w:i/>
          <w:iCs/>
          <w:color w:val="222222"/>
          <w:spacing w:val="3"/>
        </w:rPr>
        <w:t>sua5</w:t>
      </w:r>
      <w:r>
        <w:rPr>
          <w:rFonts w:ascii="Palatino Linotype" w:eastAsia="Times New Roman" w:hAnsi="Palatino Linotype" w:cs="Arial"/>
          <w:color w:val="222222"/>
          <w:spacing w:val="3"/>
        </w:rPr>
        <w:t xml:space="preserve"> and </w:t>
      </w:r>
      <w:r w:rsidRPr="00FA40BD">
        <w:rPr>
          <w:rFonts w:ascii="Palatino Linotype" w:eastAsia="Times New Roman" w:hAnsi="Palatino Linotype" w:cs="Arial"/>
          <w:i/>
          <w:iCs/>
          <w:color w:val="222222"/>
          <w:spacing w:val="3"/>
        </w:rPr>
        <w:t>elp3</w:t>
      </w:r>
      <w:r>
        <w:rPr>
          <w:rFonts w:ascii="Palatino Linotype" w:eastAsia="Times New Roman" w:hAnsi="Palatino Linotype" w:cs="Arial"/>
          <w:color w:val="222222"/>
          <w:spacing w:val="3"/>
        </w:rPr>
        <w:t xml:space="preserve"> mutant backgrounds carrying a genomic </w:t>
      </w:r>
      <w:r w:rsidRPr="0016029E">
        <w:rPr>
          <w:rFonts w:ascii="Palatino Linotype" w:eastAsia="Times New Roman" w:hAnsi="Palatino Linotype" w:cs="Arial"/>
          <w:i/>
          <w:iCs/>
          <w:color w:val="222222"/>
          <w:spacing w:val="3"/>
        </w:rPr>
        <w:t>HSP104-GFP</w:t>
      </w:r>
      <w:r>
        <w:rPr>
          <w:rFonts w:ascii="Palatino Linotype" w:eastAsia="Times New Roman" w:hAnsi="Palatino Linotype" w:cs="Arial"/>
          <w:color w:val="222222"/>
          <w:spacing w:val="3"/>
        </w:rPr>
        <w:t xml:space="preserve"> fusion. Phase contrast images are shown with the GFP fluorescence signal (Hsp104) to the right. Mutant backgrounds are indicated in each phase contrast image.</w:t>
      </w:r>
    </w:p>
    <w:p w14:paraId="5FC3AF54" w14:textId="77777777" w:rsidR="00C573C6" w:rsidRDefault="00C573C6" w:rsidP="00C573C6">
      <w:pPr>
        <w:rPr>
          <w:rFonts w:ascii="Palatino Linotype" w:eastAsia="Times New Roman" w:hAnsi="Palatino Linotype" w:cs="Arial"/>
          <w:b/>
          <w:bCs/>
          <w:color w:val="222222"/>
          <w:spacing w:val="3"/>
        </w:rPr>
      </w:pPr>
    </w:p>
    <w:p w14:paraId="6FAC6CE8" w14:textId="77777777" w:rsidR="009B0740" w:rsidRPr="009B0740" w:rsidRDefault="009B0740" w:rsidP="00E01C96">
      <w:pPr>
        <w:rPr>
          <w:rFonts w:ascii="Palatino Linotype" w:eastAsia="Times New Roman" w:hAnsi="Palatino Linotype"/>
          <w:b/>
          <w:bCs/>
        </w:rPr>
      </w:pPr>
    </w:p>
    <w:p w14:paraId="153446FA" w14:textId="1DFE26F7" w:rsidR="00CC0B74" w:rsidRPr="009B0740" w:rsidRDefault="00CC0B74">
      <w:pPr>
        <w:rPr>
          <w:rFonts w:ascii="Palatino Linotype" w:eastAsia="Times New Roman" w:hAnsi="Palatino Linotype"/>
          <w:snapToGrid w:val="0"/>
          <w:color w:val="000000"/>
          <w:sz w:val="22"/>
          <w:szCs w:val="22"/>
          <w:lang w:eastAsia="de-DE" w:bidi="en-US"/>
        </w:rPr>
      </w:pPr>
      <w:r w:rsidRPr="009B0740">
        <w:rPr>
          <w:rFonts w:ascii="Palatino Linotype" w:hAnsi="Palatino Linotype"/>
        </w:rPr>
        <w:br w:type="page"/>
      </w:r>
    </w:p>
    <w:p w14:paraId="3A298FEC" w14:textId="77777777" w:rsidR="00E01C96" w:rsidRDefault="00E01C96" w:rsidP="00C73E83">
      <w:pPr>
        <w:pStyle w:val="MDPI31text"/>
      </w:pPr>
    </w:p>
    <w:p w14:paraId="68E31792" w14:textId="77777777" w:rsidR="00C73E83" w:rsidRDefault="00C73E83" w:rsidP="00CC0B74">
      <w:pPr>
        <w:pStyle w:val="MDPI31text"/>
        <w:jc w:val="center"/>
      </w:pPr>
      <w:r w:rsidRPr="005E1F73">
        <w:rPr>
          <w:noProof/>
          <w:lang w:eastAsia="en-US" w:bidi="ar-SA"/>
        </w:rPr>
        <w:drawing>
          <wp:inline distT="0" distB="0" distL="0" distR="0" wp14:anchorId="4C8D296E" wp14:editId="69C1303F">
            <wp:extent cx="3744527" cy="5600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50670" cy="5609888"/>
                    </a:xfrm>
                    <a:prstGeom prst="rect">
                      <a:avLst/>
                    </a:prstGeom>
                  </pic:spPr>
                </pic:pic>
              </a:graphicData>
            </a:graphic>
          </wp:inline>
        </w:drawing>
      </w:r>
    </w:p>
    <w:p w14:paraId="6C6385C2" w14:textId="77777777" w:rsidR="00F113F6" w:rsidRPr="00CC0B74" w:rsidRDefault="00F113F6" w:rsidP="00CC0B74">
      <w:pPr>
        <w:pStyle w:val="MDPI31text"/>
        <w:spacing w:after="0" w:line="240" w:lineRule="auto"/>
        <w:ind w:firstLine="0"/>
        <w:rPr>
          <w:b/>
          <w:bCs/>
          <w:sz w:val="2"/>
          <w:szCs w:val="2"/>
        </w:rPr>
      </w:pPr>
    </w:p>
    <w:p w14:paraId="36F6CAB2" w14:textId="0C7E66D5" w:rsidR="00295102" w:rsidRPr="00CC0B74" w:rsidRDefault="00C73E83" w:rsidP="00CC0B74">
      <w:pPr>
        <w:pStyle w:val="MDPI31text"/>
        <w:ind w:firstLine="0"/>
        <w:rPr>
          <w:bCs/>
          <w:color w:val="000000" w:themeColor="text1"/>
        </w:rPr>
      </w:pPr>
      <w:r w:rsidRPr="00743116">
        <w:rPr>
          <w:b/>
          <w:bCs/>
        </w:rPr>
        <w:t xml:space="preserve">Figure </w:t>
      </w:r>
      <w:r w:rsidR="002F2048" w:rsidRPr="00743116">
        <w:rPr>
          <w:b/>
          <w:bCs/>
        </w:rPr>
        <w:t>S</w:t>
      </w:r>
      <w:r w:rsidR="00C573C6">
        <w:rPr>
          <w:b/>
          <w:bCs/>
        </w:rPr>
        <w:t>3</w:t>
      </w:r>
      <w:r w:rsidR="00743116" w:rsidRPr="00743116">
        <w:rPr>
          <w:b/>
          <w:bCs/>
        </w:rPr>
        <w:t xml:space="preserve">: </w:t>
      </w:r>
      <w:r w:rsidR="00743116" w:rsidRPr="00743116">
        <w:t xml:space="preserve">Quantification of </w:t>
      </w:r>
      <w:r w:rsidR="00F85C48">
        <w:t>aggregation</w:t>
      </w:r>
      <w:r w:rsidR="00743116" w:rsidRPr="00743116">
        <w:t xml:space="preserve"> in</w:t>
      </w:r>
      <w:r w:rsidR="00743116">
        <w:rPr>
          <w:b/>
          <w:bCs/>
        </w:rPr>
        <w:t xml:space="preserve"> </w:t>
      </w:r>
      <w:r w:rsidR="00743116">
        <w:rPr>
          <w:color w:val="000000" w:themeColor="text1"/>
        </w:rPr>
        <w:t>wild-type (WT)</w:t>
      </w:r>
      <w:r w:rsidR="00743116" w:rsidRPr="00036F13">
        <w:rPr>
          <w:color w:val="000000" w:themeColor="text1"/>
        </w:rPr>
        <w:t xml:space="preserve">, </w:t>
      </w:r>
      <w:r w:rsidR="00743116" w:rsidRPr="00036F13">
        <w:rPr>
          <w:i/>
          <w:color w:val="000000" w:themeColor="text1"/>
        </w:rPr>
        <w:t xml:space="preserve">sua5, </w:t>
      </w:r>
      <w:r w:rsidR="00743116" w:rsidRPr="00036F13">
        <w:rPr>
          <w:iCs/>
          <w:color w:val="000000" w:themeColor="text1"/>
        </w:rPr>
        <w:t xml:space="preserve">and </w:t>
      </w:r>
      <w:r w:rsidR="00743116" w:rsidRPr="00036F13">
        <w:rPr>
          <w:i/>
          <w:color w:val="000000" w:themeColor="text1"/>
        </w:rPr>
        <w:t>sua5 elp3</w:t>
      </w:r>
      <w:r w:rsidR="00743116" w:rsidRPr="00036F13">
        <w:rPr>
          <w:iCs/>
          <w:color w:val="000000" w:themeColor="text1"/>
        </w:rPr>
        <w:t xml:space="preserve"> strains</w:t>
      </w:r>
      <w:r w:rsidR="00743116" w:rsidRPr="00036F13">
        <w:rPr>
          <w:color w:val="000000" w:themeColor="text1"/>
        </w:rPr>
        <w:t xml:space="preserve"> </w:t>
      </w:r>
      <w:r w:rsidR="00743116">
        <w:rPr>
          <w:color w:val="000000" w:themeColor="text1"/>
        </w:rPr>
        <w:t>by labeling</w:t>
      </w:r>
      <w:r w:rsidR="00F85C48">
        <w:rPr>
          <w:color w:val="000000" w:themeColor="text1"/>
        </w:rPr>
        <w:t xml:space="preserve"> proteins</w:t>
      </w:r>
      <w:r w:rsidR="00743116">
        <w:rPr>
          <w:color w:val="000000" w:themeColor="text1"/>
        </w:rPr>
        <w:t xml:space="preserve"> with </w:t>
      </w:r>
      <w:r w:rsidR="00743116" w:rsidRPr="00036F13">
        <w:rPr>
          <w:color w:val="000000" w:themeColor="text1"/>
        </w:rPr>
        <w:t>[</w:t>
      </w:r>
      <w:r w:rsidR="00743116" w:rsidRPr="00036F13">
        <w:rPr>
          <w:color w:val="000000" w:themeColor="text1"/>
          <w:vertAlign w:val="superscript"/>
        </w:rPr>
        <w:t>35</w:t>
      </w:r>
      <w:r w:rsidR="00743116" w:rsidRPr="00036F13">
        <w:rPr>
          <w:color w:val="000000" w:themeColor="text1"/>
        </w:rPr>
        <w:t>S]</w:t>
      </w:r>
      <w:r w:rsidR="00743116">
        <w:rPr>
          <w:color w:val="000000" w:themeColor="text1"/>
        </w:rPr>
        <w:t>-</w:t>
      </w:r>
      <w:r w:rsidR="00743116" w:rsidRPr="00036F13">
        <w:rPr>
          <w:color w:val="000000" w:themeColor="text1"/>
        </w:rPr>
        <w:t>methionine and [</w:t>
      </w:r>
      <w:r w:rsidR="00743116" w:rsidRPr="00036F13">
        <w:rPr>
          <w:color w:val="000000" w:themeColor="text1"/>
          <w:vertAlign w:val="superscript"/>
        </w:rPr>
        <w:t>35</w:t>
      </w:r>
      <w:r w:rsidR="00743116" w:rsidRPr="00036F13">
        <w:rPr>
          <w:color w:val="000000" w:themeColor="text1"/>
        </w:rPr>
        <w:t>S]</w:t>
      </w:r>
      <w:r w:rsidR="00743116">
        <w:rPr>
          <w:color w:val="000000" w:themeColor="text1"/>
        </w:rPr>
        <w:t>-</w:t>
      </w:r>
      <w:r w:rsidR="00743116" w:rsidRPr="00036F13">
        <w:rPr>
          <w:color w:val="000000" w:themeColor="text1"/>
        </w:rPr>
        <w:t>cysteine</w:t>
      </w:r>
      <w:r w:rsidR="00743116">
        <w:rPr>
          <w:color w:val="000000" w:themeColor="text1"/>
        </w:rPr>
        <w:t xml:space="preserve">. </w:t>
      </w:r>
      <w:r w:rsidR="00F85C48">
        <w:rPr>
          <w:color w:val="000000" w:themeColor="text1"/>
        </w:rPr>
        <w:t xml:space="preserve">Newly translated proteins were labeled with </w:t>
      </w:r>
      <w:r w:rsidR="00F85C48" w:rsidRPr="00036F13">
        <w:rPr>
          <w:color w:val="000000" w:themeColor="text1"/>
        </w:rPr>
        <w:t>[</w:t>
      </w:r>
      <w:r w:rsidR="00F85C48" w:rsidRPr="00036F13">
        <w:rPr>
          <w:color w:val="000000" w:themeColor="text1"/>
          <w:vertAlign w:val="superscript"/>
        </w:rPr>
        <w:t>35</w:t>
      </w:r>
      <w:r w:rsidR="00F85C48" w:rsidRPr="00036F13">
        <w:rPr>
          <w:color w:val="000000" w:themeColor="text1"/>
        </w:rPr>
        <w:t>S]</w:t>
      </w:r>
      <w:r w:rsidR="00F85C48">
        <w:rPr>
          <w:color w:val="000000" w:themeColor="text1"/>
        </w:rPr>
        <w:t xml:space="preserve"> by growth of the cells in medium containing </w:t>
      </w:r>
      <w:r w:rsidR="00F85C48" w:rsidRPr="00036F13">
        <w:rPr>
          <w:color w:val="000000" w:themeColor="text1"/>
        </w:rPr>
        <w:t>[</w:t>
      </w:r>
      <w:r w:rsidR="00F85C48" w:rsidRPr="00036F13">
        <w:rPr>
          <w:color w:val="000000" w:themeColor="text1"/>
          <w:vertAlign w:val="superscript"/>
        </w:rPr>
        <w:t>35</w:t>
      </w:r>
      <w:r w:rsidR="00F85C48" w:rsidRPr="00036F13">
        <w:rPr>
          <w:color w:val="000000" w:themeColor="text1"/>
        </w:rPr>
        <w:t>S]</w:t>
      </w:r>
      <w:r w:rsidR="00F85C48">
        <w:rPr>
          <w:color w:val="000000" w:themeColor="text1"/>
        </w:rPr>
        <w:t>-</w:t>
      </w:r>
      <w:r w:rsidR="00F85C48" w:rsidRPr="00036F13">
        <w:rPr>
          <w:color w:val="000000" w:themeColor="text1"/>
        </w:rPr>
        <w:t>methionine and [</w:t>
      </w:r>
      <w:r w:rsidR="00F85C48" w:rsidRPr="00036F13">
        <w:rPr>
          <w:color w:val="000000" w:themeColor="text1"/>
          <w:vertAlign w:val="superscript"/>
        </w:rPr>
        <w:t>35</w:t>
      </w:r>
      <w:r w:rsidR="00F85C48" w:rsidRPr="00036F13">
        <w:rPr>
          <w:color w:val="000000" w:themeColor="text1"/>
        </w:rPr>
        <w:t>S]</w:t>
      </w:r>
      <w:r w:rsidR="00F85C48">
        <w:rPr>
          <w:color w:val="000000" w:themeColor="text1"/>
        </w:rPr>
        <w:t>-</w:t>
      </w:r>
      <w:r w:rsidR="00F85C48" w:rsidRPr="00036F13">
        <w:rPr>
          <w:color w:val="000000" w:themeColor="text1"/>
        </w:rPr>
        <w:t>cysteine</w:t>
      </w:r>
      <w:r w:rsidR="00640547">
        <w:rPr>
          <w:color w:val="000000" w:themeColor="text1"/>
        </w:rPr>
        <w:t xml:space="preserve">, with </w:t>
      </w:r>
      <w:r w:rsidR="00F85C48" w:rsidRPr="00036F13">
        <w:rPr>
          <w:color w:val="000000" w:themeColor="text1"/>
        </w:rPr>
        <w:t>different growth rates of the strains accommodated by growing cultures to the same optical density</w:t>
      </w:r>
      <w:r w:rsidR="00640547">
        <w:rPr>
          <w:color w:val="000000" w:themeColor="text1"/>
        </w:rPr>
        <w:t xml:space="preserve">. </w:t>
      </w:r>
      <w:r w:rsidR="00F85C48" w:rsidRPr="00036F13">
        <w:rPr>
          <w:color w:val="000000" w:themeColor="text1"/>
        </w:rPr>
        <w:t>[</w:t>
      </w:r>
      <w:r w:rsidR="00F85C48" w:rsidRPr="00036F13">
        <w:rPr>
          <w:color w:val="000000" w:themeColor="text1"/>
          <w:vertAlign w:val="superscript"/>
        </w:rPr>
        <w:t>35</w:t>
      </w:r>
      <w:r w:rsidR="00F85C48" w:rsidRPr="00036F13">
        <w:rPr>
          <w:color w:val="000000" w:themeColor="text1"/>
        </w:rPr>
        <w:t>S]</w:t>
      </w:r>
      <w:r w:rsidR="00640547">
        <w:rPr>
          <w:color w:val="000000" w:themeColor="text1"/>
        </w:rPr>
        <w:t>-labeled proteins</w:t>
      </w:r>
      <w:r w:rsidR="00F85C48" w:rsidRPr="00036F13">
        <w:rPr>
          <w:color w:val="000000" w:themeColor="text1"/>
        </w:rPr>
        <w:t xml:space="preserve"> in soluble and insoluble</w:t>
      </w:r>
      <w:r w:rsidR="00640547">
        <w:rPr>
          <w:color w:val="000000" w:themeColor="text1"/>
        </w:rPr>
        <w:t xml:space="preserve"> fractions were isolated and </w:t>
      </w:r>
      <w:r w:rsidR="00640547" w:rsidRPr="00036F13">
        <w:rPr>
          <w:color w:val="000000" w:themeColor="text1"/>
        </w:rPr>
        <w:t>quantif</w:t>
      </w:r>
      <w:r w:rsidR="00640547">
        <w:rPr>
          <w:color w:val="000000" w:themeColor="text1"/>
        </w:rPr>
        <w:t>ied as described in Methods</w:t>
      </w:r>
      <w:r w:rsidR="00F85C48" w:rsidRPr="00036F13">
        <w:rPr>
          <w:color w:val="000000" w:themeColor="text1"/>
        </w:rPr>
        <w:t xml:space="preserve">. </w:t>
      </w:r>
      <w:r w:rsidR="00F85C48">
        <w:rPr>
          <w:color w:val="000000" w:themeColor="text1"/>
        </w:rPr>
        <w:t>(</w:t>
      </w:r>
      <w:r w:rsidR="00F85C48" w:rsidRPr="00F73A16">
        <w:rPr>
          <w:b/>
          <w:bCs/>
          <w:color w:val="000000" w:themeColor="text1"/>
        </w:rPr>
        <w:t>A</w:t>
      </w:r>
      <w:r w:rsidR="00F85C48">
        <w:rPr>
          <w:color w:val="000000" w:themeColor="text1"/>
        </w:rPr>
        <w:t>) P</w:t>
      </w:r>
      <w:r w:rsidR="00F85C48" w:rsidRPr="00036F13">
        <w:rPr>
          <w:color w:val="000000" w:themeColor="text1"/>
        </w:rPr>
        <w:t>rogressively diminishing [</w:t>
      </w:r>
      <w:r w:rsidR="00F85C48" w:rsidRPr="00036F13">
        <w:rPr>
          <w:color w:val="000000" w:themeColor="text1"/>
          <w:vertAlign w:val="superscript"/>
        </w:rPr>
        <w:t>35</w:t>
      </w:r>
      <w:r w:rsidR="00F85C48" w:rsidRPr="00036F13">
        <w:rPr>
          <w:color w:val="000000" w:themeColor="text1"/>
        </w:rPr>
        <w:t xml:space="preserve">S] in soluble and insoluble proteins in all fractions in the order WT &gt; </w:t>
      </w:r>
      <w:r w:rsidR="00F85C48" w:rsidRPr="00036F13">
        <w:rPr>
          <w:i/>
          <w:iCs/>
          <w:color w:val="000000" w:themeColor="text1"/>
        </w:rPr>
        <w:t>sua5</w:t>
      </w:r>
      <w:r w:rsidR="00F85C48" w:rsidRPr="00036F13">
        <w:rPr>
          <w:color w:val="000000" w:themeColor="text1"/>
        </w:rPr>
        <w:t xml:space="preserve"> &gt; </w:t>
      </w:r>
      <w:r w:rsidR="00F85C48" w:rsidRPr="00036F13">
        <w:rPr>
          <w:i/>
          <w:iCs/>
          <w:color w:val="000000" w:themeColor="text1"/>
        </w:rPr>
        <w:t>sua5 elp3</w:t>
      </w:r>
      <w:r w:rsidR="00F85C48" w:rsidRPr="00036F13">
        <w:rPr>
          <w:color w:val="000000" w:themeColor="text1"/>
        </w:rPr>
        <w:t xml:space="preserve">. </w:t>
      </w:r>
      <w:r w:rsidR="00640547">
        <w:rPr>
          <w:color w:val="000000" w:themeColor="text1"/>
        </w:rPr>
        <w:t>(</w:t>
      </w:r>
      <w:r w:rsidR="00640547" w:rsidRPr="00640547">
        <w:rPr>
          <w:b/>
          <w:bCs/>
          <w:color w:val="000000" w:themeColor="text1"/>
        </w:rPr>
        <w:t>B</w:t>
      </w:r>
      <w:r w:rsidR="00640547">
        <w:rPr>
          <w:color w:val="000000" w:themeColor="text1"/>
        </w:rPr>
        <w:t>) Total</w:t>
      </w:r>
      <w:r w:rsidR="00F85C48" w:rsidRPr="00036F13">
        <w:rPr>
          <w:color w:val="000000" w:themeColor="text1"/>
        </w:rPr>
        <w:t xml:space="preserve"> protein concentration in the soluble fractions were </w:t>
      </w:r>
      <w:r w:rsidR="00640547">
        <w:rPr>
          <w:color w:val="000000" w:themeColor="text1"/>
        </w:rPr>
        <w:t xml:space="preserve">quantified and found to be </w:t>
      </w:r>
      <w:r w:rsidR="00F85C48" w:rsidRPr="00036F13">
        <w:rPr>
          <w:color w:val="000000" w:themeColor="text1"/>
        </w:rPr>
        <w:t>the same for the three strains</w:t>
      </w:r>
      <w:r w:rsidR="00640547">
        <w:rPr>
          <w:color w:val="000000" w:themeColor="text1"/>
        </w:rPr>
        <w:t>. (</w:t>
      </w:r>
      <w:r w:rsidR="00640547" w:rsidRPr="00640547">
        <w:rPr>
          <w:b/>
          <w:bCs/>
          <w:color w:val="000000" w:themeColor="text1"/>
        </w:rPr>
        <w:t>C</w:t>
      </w:r>
      <w:r w:rsidR="00640547">
        <w:rPr>
          <w:color w:val="000000" w:themeColor="text1"/>
        </w:rPr>
        <w:t xml:space="preserve">) </w:t>
      </w:r>
      <w:r w:rsidR="00F85C48" w:rsidRPr="00036F13">
        <w:rPr>
          <w:color w:val="000000" w:themeColor="text1"/>
        </w:rPr>
        <w:t xml:space="preserve">SDS-PAGE gels </w:t>
      </w:r>
      <w:r w:rsidR="00640547">
        <w:rPr>
          <w:color w:val="000000" w:themeColor="text1"/>
        </w:rPr>
        <w:t>were prepared</w:t>
      </w:r>
      <w:r w:rsidR="00F85C48" w:rsidRPr="00036F13">
        <w:rPr>
          <w:color w:val="000000" w:themeColor="text1"/>
        </w:rPr>
        <w:t xml:space="preserve"> with samples normalized for either protein concentration</w:t>
      </w:r>
      <w:r w:rsidR="00640547">
        <w:rPr>
          <w:color w:val="000000" w:themeColor="text1"/>
        </w:rPr>
        <w:t xml:space="preserve"> (left column)</w:t>
      </w:r>
      <w:r w:rsidR="00F85C48" w:rsidRPr="00036F13">
        <w:rPr>
          <w:color w:val="000000" w:themeColor="text1"/>
        </w:rPr>
        <w:t xml:space="preserve"> or [</w:t>
      </w:r>
      <w:r w:rsidR="00F85C48" w:rsidRPr="00036F13">
        <w:rPr>
          <w:color w:val="000000" w:themeColor="text1"/>
          <w:vertAlign w:val="superscript"/>
        </w:rPr>
        <w:t>35</w:t>
      </w:r>
      <w:r w:rsidR="00F85C48" w:rsidRPr="00036F13">
        <w:rPr>
          <w:color w:val="000000" w:themeColor="text1"/>
        </w:rPr>
        <w:t>S] content</w:t>
      </w:r>
      <w:r w:rsidR="00640547">
        <w:rPr>
          <w:color w:val="000000" w:themeColor="text1"/>
        </w:rPr>
        <w:t xml:space="preserve"> (right column) and the gels were subjected to silver staining (upper row) and </w:t>
      </w:r>
      <w:proofErr w:type="spellStart"/>
      <w:r w:rsidR="00640547">
        <w:rPr>
          <w:color w:val="000000" w:themeColor="text1"/>
        </w:rPr>
        <w:t>phosphorimager</w:t>
      </w:r>
      <w:proofErr w:type="spellEnd"/>
      <w:r w:rsidR="00640547">
        <w:rPr>
          <w:color w:val="000000" w:themeColor="text1"/>
        </w:rPr>
        <w:t xml:space="preserve"> analysis (lower row).</w:t>
      </w:r>
      <w:r w:rsidR="00295102">
        <w:rPr>
          <w:b/>
          <w:bCs/>
          <w:highlight w:val="yellow"/>
        </w:rPr>
        <w:br w:type="page"/>
      </w:r>
    </w:p>
    <w:p w14:paraId="4D66EDE0" w14:textId="423FB88F" w:rsidR="00BA6CD8" w:rsidRPr="003F1B80" w:rsidRDefault="003F1B80" w:rsidP="003F1B80">
      <w:pPr>
        <w:pStyle w:val="MDPI31text"/>
        <w:jc w:val="center"/>
        <w:rPr>
          <w:b/>
          <w:bCs/>
        </w:rPr>
      </w:pPr>
      <w:r>
        <w:rPr>
          <w:b/>
          <w:bCs/>
          <w:noProof/>
          <w:snapToGrid/>
          <w:lang w:eastAsia="en-US" w:bidi="ar-SA"/>
        </w:rPr>
        <w:lastRenderedPageBreak/>
        <w:drawing>
          <wp:inline distT="0" distB="0" distL="0" distR="0" wp14:anchorId="40F79F7F" wp14:editId="380566A6">
            <wp:extent cx="4313373" cy="666205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ary Figure S3 GO Category analysis sua5 proteomics 2019 8-18.pdf"/>
                    <pic:cNvPicPr/>
                  </pic:nvPicPr>
                  <pic:blipFill>
                    <a:blip r:embed="rId8">
                      <a:extLst>
                        <a:ext uri="{28A0092B-C50C-407E-A947-70E740481C1C}">
                          <a14:useLocalDpi xmlns:a14="http://schemas.microsoft.com/office/drawing/2010/main" val="0"/>
                        </a:ext>
                      </a:extLst>
                    </a:blip>
                    <a:stretch>
                      <a:fillRect/>
                    </a:stretch>
                  </pic:blipFill>
                  <pic:spPr>
                    <a:xfrm>
                      <a:off x="0" y="0"/>
                      <a:ext cx="4323740" cy="6678069"/>
                    </a:xfrm>
                    <a:prstGeom prst="rect">
                      <a:avLst/>
                    </a:prstGeom>
                  </pic:spPr>
                </pic:pic>
              </a:graphicData>
            </a:graphic>
          </wp:inline>
        </w:drawing>
      </w:r>
    </w:p>
    <w:p w14:paraId="76ADEBDA" w14:textId="39738205" w:rsidR="00BA6CD8" w:rsidRPr="002F2048" w:rsidRDefault="00BA6CD8" w:rsidP="003F1B80">
      <w:pPr>
        <w:pStyle w:val="MDPI31text"/>
        <w:ind w:firstLine="0"/>
        <w:rPr>
          <w:b/>
          <w:bCs/>
        </w:rPr>
      </w:pPr>
      <w:r w:rsidRPr="00D005AD">
        <w:rPr>
          <w:b/>
          <w:bCs/>
        </w:rPr>
        <w:t xml:space="preserve">Figure </w:t>
      </w:r>
      <w:r w:rsidR="002F2048" w:rsidRPr="00D005AD">
        <w:rPr>
          <w:b/>
          <w:bCs/>
        </w:rPr>
        <w:t>S</w:t>
      </w:r>
      <w:r w:rsidR="00C573C6">
        <w:rPr>
          <w:b/>
          <w:bCs/>
        </w:rPr>
        <w:t>4</w:t>
      </w:r>
      <w:r w:rsidR="003F1B80" w:rsidRPr="00D005AD">
        <w:rPr>
          <w:b/>
          <w:bCs/>
        </w:rPr>
        <w:t xml:space="preserve">: </w:t>
      </w:r>
      <w:r w:rsidR="00E42FD9" w:rsidRPr="004E0FA8">
        <w:rPr>
          <w:color w:val="000000" w:themeColor="text1"/>
        </w:rPr>
        <w:t xml:space="preserve">Gene Ontology </w:t>
      </w:r>
      <w:r w:rsidR="00E42FD9">
        <w:rPr>
          <w:color w:val="000000" w:themeColor="text1"/>
        </w:rPr>
        <w:t xml:space="preserve">enrichment analysis of proteomics datasets. </w:t>
      </w:r>
      <w:r w:rsidR="00F830B5" w:rsidRPr="00D005AD">
        <w:rPr>
          <w:color w:val="000000" w:themeColor="text1"/>
        </w:rPr>
        <w:t>Proteins</w:t>
      </w:r>
      <w:r w:rsidR="00F830B5">
        <w:rPr>
          <w:color w:val="000000" w:themeColor="text1"/>
        </w:rPr>
        <w:t xml:space="preserve"> in total cell extracts (Whole Proteome), soluble fraction</w:t>
      </w:r>
      <w:r w:rsidR="00375BB2">
        <w:rPr>
          <w:color w:val="000000" w:themeColor="text1"/>
        </w:rPr>
        <w:t xml:space="preserve">, </w:t>
      </w:r>
      <w:r w:rsidR="00F830B5">
        <w:rPr>
          <w:color w:val="000000" w:themeColor="text1"/>
        </w:rPr>
        <w:t>and insoluble fraction</w:t>
      </w:r>
      <w:r w:rsidR="00375BB2">
        <w:rPr>
          <w:color w:val="000000" w:themeColor="text1"/>
        </w:rPr>
        <w:t xml:space="preserve"> from the </w:t>
      </w:r>
      <w:r w:rsidR="00375BB2" w:rsidRPr="00375BB2">
        <w:rPr>
          <w:i/>
          <w:iCs/>
          <w:color w:val="000000" w:themeColor="text1"/>
        </w:rPr>
        <w:t>sua5</w:t>
      </w:r>
      <w:r w:rsidR="00375BB2">
        <w:rPr>
          <w:color w:val="000000" w:themeColor="text1"/>
        </w:rPr>
        <w:t xml:space="preserve"> mutant</w:t>
      </w:r>
      <w:r w:rsidR="00F830B5">
        <w:rPr>
          <w:color w:val="000000" w:themeColor="text1"/>
        </w:rPr>
        <w:t xml:space="preserve"> </w:t>
      </w:r>
      <w:r w:rsidR="00F830B5" w:rsidRPr="004E0FA8">
        <w:rPr>
          <w:color w:val="000000" w:themeColor="text1"/>
        </w:rPr>
        <w:t>were analyzed for Gene Ontology category enrichment</w:t>
      </w:r>
      <w:r w:rsidR="00375BB2">
        <w:rPr>
          <w:color w:val="000000" w:themeColor="text1"/>
        </w:rPr>
        <w:t xml:space="preserve"> in the three major categories of (</w:t>
      </w:r>
      <w:r w:rsidR="00375BB2" w:rsidRPr="00375BB2">
        <w:rPr>
          <w:b/>
          <w:bCs/>
          <w:color w:val="000000" w:themeColor="text1"/>
        </w:rPr>
        <w:t>A</w:t>
      </w:r>
      <w:r w:rsidR="00375BB2">
        <w:rPr>
          <w:color w:val="000000" w:themeColor="text1"/>
        </w:rPr>
        <w:t>) biological process, (</w:t>
      </w:r>
      <w:r w:rsidR="00375BB2" w:rsidRPr="00375BB2">
        <w:rPr>
          <w:b/>
          <w:bCs/>
          <w:color w:val="000000" w:themeColor="text1"/>
        </w:rPr>
        <w:t>B</w:t>
      </w:r>
      <w:r w:rsidR="00375BB2">
        <w:rPr>
          <w:color w:val="000000" w:themeColor="text1"/>
        </w:rPr>
        <w:t>) molecular function, and (</w:t>
      </w:r>
      <w:r w:rsidR="00375BB2" w:rsidRPr="00375BB2">
        <w:rPr>
          <w:b/>
          <w:bCs/>
          <w:color w:val="000000" w:themeColor="text1"/>
        </w:rPr>
        <w:t>C</w:t>
      </w:r>
      <w:r w:rsidR="00375BB2">
        <w:rPr>
          <w:color w:val="000000" w:themeColor="text1"/>
        </w:rPr>
        <w:t>) cellular component</w:t>
      </w:r>
      <w:r w:rsidR="00F830B5" w:rsidRPr="004E0FA8">
        <w:rPr>
          <w:color w:val="000000" w:themeColor="text1"/>
        </w:rPr>
        <w:t xml:space="preserve"> </w:t>
      </w:r>
      <w:r w:rsidR="00F830B5" w:rsidRPr="004E0FA8">
        <w:rPr>
          <w:color w:val="000000" w:themeColor="text1"/>
        </w:rPr>
        <w:fldChar w:fldCharType="begin" w:fldLock="1"/>
      </w:r>
      <w:r w:rsidR="003E7F23">
        <w:rPr>
          <w:color w:val="000000" w:themeColor="text1"/>
        </w:rPr>
        <w:instrText>ADDIN CSL_CITATION {"citationItems":[{"id":"ITEM-1","itemData":{"DOI":"10.1093/nar/gkr1029","author":[{"dropping-particle":"","family":"Cherry","given":"J Michael","non-dropping-particle":"","parse-names":false,"suffix":""},{"dropping-particle":"","family":"Hong","given":"Eurie L","non-dropping-particle":"","parse-names":false,"suffix":""},{"dropping-particle":"","family":"Amundsen","given":"Craig","non-dropping-particle":"","parse-names":false,"suffix":""},{"dropping-particle":"","family":"Balakrishnan","given":"Rama","non-dropping-particle":"","parse-names":false,"suffix":""},{"dropping-particle":"","family":"Binkley","given":"Gail","non-dropping-particle":"","parse-names":false,"suffix":""},{"dropping-particle":"","family":"Chan","given":"Esther T","non-dropping-particle":"","parse-names":false,"suffix":""},{"dropping-particle":"","family":"Christie","given":"Karen R","non-dropping-particle":"","parse-names":false,"suffix":""},{"dropping-particle":"","family":"Costanzo","given":"Maria C","non-dropping-particle":"","parse-names":false,"suffix":""},{"dropping-particle":"","family":"Dwight","given":"Selina S","non-dropping-particle":"","parse-names":false,"suffix":""},{"dropping-particle":"","family":"Engel","given":"Stacia R","non-dropping-particle":"","parse-names":false,"suffix":""},{"dropping-particle":"","family":"Fisk","given":"Dianna G","non-dropping-particle":"","parse-names":false,"suffix":""},{"dropping-particle":"","family":"Hirschman","given":"Jodi E","non-dropping-particle":"","parse-names":false,"suffix":""},{"dropping-particle":"","family":"Hitz","given":"Benjamin C","non-dropping-particle":"","parse-names":false,"suffix":""},{"dropping-particle":"","family":"Karra","given":"Kalpana","non-dropping-particle":"","parse-names":false,"suffix":""},{"dropping-particle":"","family":"Krieger","given":"Cynthia J","non-dropping-particle":"","parse-names":false,"suffix":""},{"dropping-particle":"","family":"Miyasato","given":"Stuart R","non-dropping-particle":"","parse-names":false,"suffix":""},{"dropping-particle":"","family":"Nash","given":"Rob S","non-dropping-particle":"","parse-names":false,"suffix":""},{"dropping-particle":"","family":"Park","given":"Julie","non-dropping-particle":"","parse-names":false,"suffix":""},{"dropping-particle":"","family":"Skrzypek","given":"Marek S","non-dropping-particle":"","parse-names":false,"suffix":""},{"dropping-particle":"","family":"Simison","given":"Matt","non-dropping-particle":"","parse-names":false,"suffix":""},{"dropping-particle":"","family":"Weng","given":"Shuai","non-dropping-particle":"","parse-names":false,"suffix":""},{"dropping-particle":"","family":"Wong","given":"Edith D","non-dropping-particle":"","parse-names":false,"suffix":""}],"container-title":"Nucleic Acids Res","id":"ITEM-1","issue":"D1","issued":{"date-parts":[["2012"]]},"page":"D700-D705","title":"Saccharomyces Genome Database: the genomics resource of budding yeast","type":"article-journal","volume":"40"},"uris":["http://www.mendeley.com/documents/?uuid=83e4dae8-c1d5-42b8-b6d1-54e1b165c0cb"]}],"mendeley":{"formattedCitation":"(1)","plainTextFormattedCitation":"(1)","previouslyFormattedCitation":"[1]"},"properties":{"noteIndex":0},"schema":"https://github.com/citation-style-language/schema/raw/master/csl-citation.json"}</w:instrText>
      </w:r>
      <w:r w:rsidR="00F830B5" w:rsidRPr="004E0FA8">
        <w:rPr>
          <w:color w:val="000000" w:themeColor="text1"/>
        </w:rPr>
        <w:fldChar w:fldCharType="separate"/>
      </w:r>
      <w:r w:rsidR="003E7F23" w:rsidRPr="003E7F23">
        <w:rPr>
          <w:noProof/>
          <w:color w:val="000000" w:themeColor="text1"/>
        </w:rPr>
        <w:t>(1)</w:t>
      </w:r>
      <w:r w:rsidR="00F830B5" w:rsidRPr="004E0FA8">
        <w:rPr>
          <w:color w:val="000000" w:themeColor="text1"/>
        </w:rPr>
        <w:fldChar w:fldCharType="end"/>
      </w:r>
      <w:r w:rsidR="00F830B5" w:rsidRPr="004E0FA8">
        <w:rPr>
          <w:color w:val="000000" w:themeColor="text1"/>
        </w:rPr>
        <w:t>.</w:t>
      </w:r>
      <w:r w:rsidR="00F830B5">
        <w:rPr>
          <w:color w:val="000000" w:themeColor="text1"/>
        </w:rPr>
        <w:t xml:space="preserve"> </w:t>
      </w:r>
    </w:p>
    <w:p w14:paraId="6018ACC1" w14:textId="77777777" w:rsidR="00E01C96" w:rsidRDefault="00E01C96" w:rsidP="003F1B80">
      <w:pPr>
        <w:pStyle w:val="MDPI31text"/>
        <w:ind w:firstLine="0"/>
      </w:pPr>
    </w:p>
    <w:p w14:paraId="309CDD89" w14:textId="0603E3ED" w:rsidR="00B137E1" w:rsidRDefault="00E01C96">
      <w:r w:rsidRPr="00E01C96">
        <w:rPr>
          <w:noProof/>
        </w:rPr>
        <w:lastRenderedPageBreak/>
        <w:drawing>
          <wp:inline distT="0" distB="0" distL="0" distR="0" wp14:anchorId="665A5FEA" wp14:editId="2D2AF94A">
            <wp:extent cx="5543550" cy="5837903"/>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43880" cy="5838251"/>
                    </a:xfrm>
                    <a:prstGeom prst="rect">
                      <a:avLst/>
                    </a:prstGeom>
                  </pic:spPr>
                </pic:pic>
              </a:graphicData>
            </a:graphic>
          </wp:inline>
        </w:drawing>
      </w:r>
    </w:p>
    <w:p w14:paraId="5E4BA249" w14:textId="169DA449" w:rsidR="00BA6CD8" w:rsidRDefault="00BA6CD8"/>
    <w:p w14:paraId="2A6BFD98" w14:textId="777D15B5" w:rsidR="007D7517" w:rsidRDefault="00BA6CD8" w:rsidP="00EE7218">
      <w:pPr>
        <w:pStyle w:val="MDPI31text"/>
        <w:ind w:firstLine="0"/>
        <w:rPr>
          <w:color w:val="000000" w:themeColor="text1"/>
        </w:rPr>
      </w:pPr>
      <w:r w:rsidRPr="00C47987">
        <w:rPr>
          <w:b/>
          <w:bCs/>
        </w:rPr>
        <w:t xml:space="preserve">Figure </w:t>
      </w:r>
      <w:r w:rsidR="002F2048" w:rsidRPr="00C47987">
        <w:rPr>
          <w:b/>
          <w:bCs/>
        </w:rPr>
        <w:t>S</w:t>
      </w:r>
      <w:r w:rsidR="00C573C6">
        <w:rPr>
          <w:b/>
          <w:bCs/>
        </w:rPr>
        <w:t>5</w:t>
      </w:r>
      <w:r w:rsidR="00951FD6" w:rsidRPr="00577F13">
        <w:t>:</w:t>
      </w:r>
      <w:r w:rsidR="00577F13">
        <w:t xml:space="preserve"> </w:t>
      </w:r>
      <w:r w:rsidR="00EE7218">
        <w:t xml:space="preserve">Quantification of the </w:t>
      </w:r>
      <w:r w:rsidR="00EE7218" w:rsidRPr="004E0FA8">
        <w:rPr>
          <w:color w:val="000000" w:themeColor="text1"/>
        </w:rPr>
        <w:t xml:space="preserve">physicochemical properties </w:t>
      </w:r>
      <w:r w:rsidR="00EE7218">
        <w:rPr>
          <w:color w:val="000000" w:themeColor="text1"/>
        </w:rPr>
        <w:t xml:space="preserve">of </w:t>
      </w:r>
      <w:r w:rsidR="00EE7218" w:rsidRPr="00036F13">
        <w:rPr>
          <w:color w:val="000000" w:themeColor="text1"/>
        </w:rPr>
        <w:t>significantly up- and down-regulated proteins in the soluble and insoluble fractions from</w:t>
      </w:r>
      <w:r w:rsidR="00EE7218" w:rsidRPr="004E0FA8">
        <w:rPr>
          <w:color w:val="000000" w:themeColor="text1"/>
        </w:rPr>
        <w:t xml:space="preserve"> WT and </w:t>
      </w:r>
      <w:r w:rsidR="00EE7218" w:rsidRPr="004E0FA8">
        <w:rPr>
          <w:i/>
          <w:iCs/>
          <w:color w:val="000000" w:themeColor="text1"/>
        </w:rPr>
        <w:t>sau5</w:t>
      </w:r>
      <w:r w:rsidR="00EE7218" w:rsidRPr="004E0FA8">
        <w:rPr>
          <w:color w:val="000000" w:themeColor="text1"/>
        </w:rPr>
        <w:t xml:space="preserve"> strains</w:t>
      </w:r>
      <w:r w:rsidR="00EE7218">
        <w:rPr>
          <w:color w:val="000000" w:themeColor="text1"/>
        </w:rPr>
        <w:t xml:space="preserve">.  Significantly altered proteins in the soluble and insoluble fractions from the </w:t>
      </w:r>
      <w:r w:rsidR="00EE7218" w:rsidRPr="00EE7218">
        <w:rPr>
          <w:i/>
          <w:iCs/>
          <w:color w:val="000000" w:themeColor="text1"/>
        </w:rPr>
        <w:t>sua5</w:t>
      </w:r>
      <w:r w:rsidR="00EE7218">
        <w:rPr>
          <w:color w:val="000000" w:themeColor="text1"/>
        </w:rPr>
        <w:t xml:space="preserve"> mutant </w:t>
      </w:r>
      <w:r w:rsidR="00C47987" w:rsidRPr="004E0FA8">
        <w:rPr>
          <w:color w:val="000000" w:themeColor="text1"/>
        </w:rPr>
        <w:t>(</w:t>
      </w:r>
      <w:r w:rsidR="00C47987">
        <w:rPr>
          <w:color w:val="000000" w:themeColor="text1"/>
        </w:rPr>
        <w:t xml:space="preserve">+30% fold-change relative to WT values, </w:t>
      </w:r>
      <w:r w:rsidR="00C47987" w:rsidRPr="004E0FA8">
        <w:rPr>
          <w:color w:val="000000" w:themeColor="text1"/>
        </w:rPr>
        <w:t>p&lt;0.05)</w:t>
      </w:r>
      <w:r w:rsidR="00EE7218">
        <w:rPr>
          <w:color w:val="000000" w:themeColor="text1"/>
        </w:rPr>
        <w:t xml:space="preserve"> were analyzed </w:t>
      </w:r>
      <w:r w:rsidR="00C47987" w:rsidRPr="00036F13">
        <w:rPr>
          <w:color w:val="000000" w:themeColor="text1"/>
        </w:rPr>
        <w:t>for isoelectric point (</w:t>
      </w:r>
      <w:proofErr w:type="spellStart"/>
      <w:r w:rsidR="00C47987" w:rsidRPr="00036F13">
        <w:rPr>
          <w:color w:val="000000" w:themeColor="text1"/>
        </w:rPr>
        <w:t>pI</w:t>
      </w:r>
      <w:proofErr w:type="spellEnd"/>
      <w:r w:rsidR="00C47987" w:rsidRPr="00036F13">
        <w:rPr>
          <w:color w:val="000000" w:themeColor="text1"/>
        </w:rPr>
        <w:t>), codon adaptation index (CAI), protein size (Da), protein half-life,</w:t>
      </w:r>
      <w:r w:rsidR="00C47987" w:rsidRPr="004E0FA8">
        <w:rPr>
          <w:color w:val="000000" w:themeColor="text1"/>
        </w:rPr>
        <w:t xml:space="preserve"> hydrophobicity (GRAVY score), and abundance</w:t>
      </w:r>
      <w:r w:rsidR="00EE7218">
        <w:rPr>
          <w:color w:val="000000" w:themeColor="text1"/>
        </w:rPr>
        <w:t xml:space="preserve"> relative to the whole proteome</w:t>
      </w:r>
      <w:r w:rsidR="009F2AFD">
        <w:rPr>
          <w:color w:val="000000" w:themeColor="text1"/>
        </w:rPr>
        <w:t xml:space="preserve">, using published data for each protein </w:t>
      </w:r>
      <w:r w:rsidR="009F2AFD" w:rsidRPr="00036F13">
        <w:rPr>
          <w:color w:val="000000" w:themeColor="text1"/>
        </w:rPr>
        <w:fldChar w:fldCharType="begin" w:fldLock="1"/>
      </w:r>
      <w:r w:rsidR="003E7F23">
        <w:rPr>
          <w:color w:val="000000" w:themeColor="text1"/>
        </w:rPr>
        <w:instrText>ADDIN CSL_CITATION {"citationItems":[{"id":"ITEM-1","itemData":{"DOI":"10.1038/srep24554","ISSN":"2045-2322","abstract":"Protein aggregation is the abnormal association of proteins into larger aggregate structures which tend to be insoluble. This occurs during normal physiological conditions and in response to age or stress-induced protein misfolding and denaturation. In this present study we have defined the range of proteins that aggregate in yeast cells during normal growth and after exposure to stress conditions including an oxidative stress (hydrogen peroxide), a heavy metal stress (arsenite) and an amino acid analogue (azetidine-2-carboxylic acid). Our data indicate that these three stress conditions, which work by distinct mechanisms, promote the aggregation of similar types of proteins probably by lowering the threshold of protein aggregation. The proteins that aggregate during physiological conditions and stress share several features; however, stress conditions shift the criteria for protein aggregation propensity. This suggests that the proteins in aggregates are intrinsically aggregation-prone, rather than being proteins which are affected in a stress-specific manner. We additionally identified significant overlaps between stress aggregating yeast proteins and proteins that aggregate during ageing in yeast and C. elegans. We suggest that similar mechanisms may apply in disease- and non-disease settings and that the factors and components that control protein aggregation may be evolutionary conserved.","author":[{"dropping-particle":"","family":"Weids","given":"Alan J","non-dropping-particle":"","parse-names":false,"suffix":""},{"dropping-particle":"","family":"Ibstedt","given":"Sebastian","non-dropping-particle":"","parse-names":false,"suffix":""},{"dropping-particle":"","family":"Tamás","given":"Markus J","non-dropping-particle":"","parse-names":false,"suffix":""},{"dropping-particle":"","family":"Grant","given":"Chris M","non-dropping-particle":"","parse-names":false,"suffix":""}],"container-title":"Scientific reports","id":"ITEM-1","issued":{"date-parts":[["2016","4","18"]]},"language":"eng","page":"24554","publisher":"Nature Publishing Group","title":"Distinct stress conditions result in aggregation of proteins with similar properties","type":"article-journal","volume":"6"},"uris":["http://www.mendeley.com/documents/?uuid=5dbc851c-fa2b-4126-8bbd-f82ce3e74714"]}],"mendeley":{"formattedCitation":"(2)","plainTextFormattedCitation":"(2)","previouslyFormattedCitation":"[2]"},"properties":{"noteIndex":0},"schema":"https://github.com/citation-style-language/schema/raw/master/csl-citation.json"}</w:instrText>
      </w:r>
      <w:r w:rsidR="009F2AFD" w:rsidRPr="00036F13">
        <w:rPr>
          <w:color w:val="000000" w:themeColor="text1"/>
        </w:rPr>
        <w:fldChar w:fldCharType="separate"/>
      </w:r>
      <w:r w:rsidR="003E7F23" w:rsidRPr="003E7F23">
        <w:rPr>
          <w:noProof/>
          <w:color w:val="000000" w:themeColor="text1"/>
        </w:rPr>
        <w:t>(2)</w:t>
      </w:r>
      <w:r w:rsidR="009F2AFD" w:rsidRPr="00036F13">
        <w:rPr>
          <w:color w:val="000000" w:themeColor="text1"/>
        </w:rPr>
        <w:fldChar w:fldCharType="end"/>
      </w:r>
      <w:r w:rsidR="009F2AFD">
        <w:rPr>
          <w:color w:val="000000" w:themeColor="text1"/>
        </w:rPr>
        <w:t>.</w:t>
      </w:r>
      <w:r w:rsidR="00C47987" w:rsidRPr="004E0FA8">
        <w:rPr>
          <w:color w:val="000000" w:themeColor="text1"/>
        </w:rPr>
        <w:t xml:space="preserve"> </w:t>
      </w:r>
      <w:r w:rsidR="00C47987">
        <w:rPr>
          <w:color w:val="000000" w:themeColor="text1"/>
        </w:rPr>
        <w:t>Of note,</w:t>
      </w:r>
      <w:r w:rsidR="00C47987" w:rsidRPr="004E0FA8">
        <w:rPr>
          <w:color w:val="000000" w:themeColor="text1"/>
        </w:rPr>
        <w:t xml:space="preserve"> </w:t>
      </w:r>
      <w:r w:rsidR="00C47987">
        <w:rPr>
          <w:color w:val="000000" w:themeColor="text1"/>
        </w:rPr>
        <w:t>the limited number of significantly differentially expressed proteins in the</w:t>
      </w:r>
      <w:r w:rsidR="00C47987" w:rsidRPr="004E0FA8">
        <w:rPr>
          <w:color w:val="000000" w:themeColor="text1"/>
        </w:rPr>
        <w:t xml:space="preserve"> insoluble fraction </w:t>
      </w:r>
      <w:r w:rsidR="00C47987">
        <w:rPr>
          <w:color w:val="000000" w:themeColor="text1"/>
        </w:rPr>
        <w:t>constrains the statistical confidence of group-averaged physicochemical analyses of this group</w:t>
      </w:r>
      <w:r w:rsidR="00C47987" w:rsidRPr="004E0FA8">
        <w:rPr>
          <w:color w:val="000000" w:themeColor="text1"/>
        </w:rPr>
        <w:t>.</w:t>
      </w:r>
      <w:r w:rsidR="00DD36DF">
        <w:rPr>
          <w:color w:val="000000" w:themeColor="text1"/>
        </w:rPr>
        <w:t xml:space="preserve"> Categories 1-5 denoted along the X-axes of each plot are defined in the key at the top of the figure. The number of proteins for which data are available for each property are denoted by “N” values in each plot.</w:t>
      </w:r>
    </w:p>
    <w:p w14:paraId="63A152D1" w14:textId="0A666AE5" w:rsidR="007D7517" w:rsidRPr="007D7517" w:rsidRDefault="007D7517" w:rsidP="007D7517">
      <w:pPr>
        <w:pStyle w:val="MDPI31text"/>
        <w:ind w:firstLine="0"/>
        <w:jc w:val="left"/>
        <w:rPr>
          <w:rFonts w:ascii="Arial" w:hAnsi="Arial" w:cs="Arial"/>
          <w:b/>
          <w:bCs/>
          <w:sz w:val="28"/>
          <w:szCs w:val="28"/>
        </w:rPr>
      </w:pPr>
      <w:r>
        <w:rPr>
          <w:rFonts w:ascii="Arial" w:hAnsi="Arial" w:cs="Arial"/>
          <w:b/>
          <w:bCs/>
          <w:sz w:val="28"/>
          <w:szCs w:val="28"/>
        </w:rPr>
        <w:lastRenderedPageBreak/>
        <w:t>A</w:t>
      </w:r>
    </w:p>
    <w:p w14:paraId="6F91CCC4" w14:textId="77777777" w:rsidR="009241D5" w:rsidRDefault="009241D5" w:rsidP="009241D5">
      <w:pPr>
        <w:pStyle w:val="MDPI31text"/>
        <w:ind w:firstLine="0"/>
        <w:jc w:val="center"/>
      </w:pPr>
      <w:r w:rsidRPr="007D7517">
        <w:rPr>
          <w:noProof/>
          <w:lang w:eastAsia="en-US" w:bidi="ar-SA"/>
        </w:rPr>
        <w:drawing>
          <wp:inline distT="0" distB="0" distL="0" distR="0" wp14:anchorId="277CE166" wp14:editId="7808AE89">
            <wp:extent cx="4643437" cy="2436316"/>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48184" cy="2438806"/>
                    </a:xfrm>
                    <a:prstGeom prst="rect">
                      <a:avLst/>
                    </a:prstGeom>
                  </pic:spPr>
                </pic:pic>
              </a:graphicData>
            </a:graphic>
          </wp:inline>
        </w:drawing>
      </w:r>
    </w:p>
    <w:p w14:paraId="19B7A230" w14:textId="3E737D11" w:rsidR="007D7517" w:rsidRPr="009241D5" w:rsidRDefault="007D7517" w:rsidP="009241D5">
      <w:pPr>
        <w:pStyle w:val="MDPI31text"/>
        <w:ind w:firstLine="0"/>
      </w:pPr>
      <w:r w:rsidRPr="007D7517">
        <w:rPr>
          <w:rFonts w:ascii="Arial" w:hAnsi="Arial" w:cs="Arial"/>
          <w:b/>
          <w:bCs/>
          <w:sz w:val="28"/>
          <w:szCs w:val="28"/>
        </w:rPr>
        <w:t>B</w:t>
      </w:r>
    </w:p>
    <w:p w14:paraId="53921360" w14:textId="55D3D504" w:rsidR="007D7517" w:rsidRDefault="007D7517" w:rsidP="009241D5">
      <w:pPr>
        <w:pStyle w:val="MDPI31text"/>
        <w:ind w:firstLine="0"/>
        <w:jc w:val="center"/>
        <w:rPr>
          <w:rFonts w:ascii="Arial" w:hAnsi="Arial" w:cs="Arial"/>
          <w:b/>
          <w:bCs/>
          <w:sz w:val="28"/>
          <w:szCs w:val="28"/>
        </w:rPr>
      </w:pPr>
      <w:r w:rsidRPr="007D7517">
        <w:rPr>
          <w:rFonts w:ascii="Arial" w:hAnsi="Arial" w:cs="Arial"/>
          <w:b/>
          <w:bCs/>
          <w:noProof/>
          <w:sz w:val="28"/>
          <w:szCs w:val="28"/>
          <w:lang w:eastAsia="en-US" w:bidi="ar-SA"/>
        </w:rPr>
        <w:drawing>
          <wp:inline distT="0" distB="0" distL="0" distR="0" wp14:anchorId="5F819DBB" wp14:editId="6E9EDDA9">
            <wp:extent cx="4057090" cy="2644954"/>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77475" cy="2658244"/>
                    </a:xfrm>
                    <a:prstGeom prst="rect">
                      <a:avLst/>
                    </a:prstGeom>
                  </pic:spPr>
                </pic:pic>
              </a:graphicData>
            </a:graphic>
          </wp:inline>
        </w:drawing>
      </w:r>
    </w:p>
    <w:p w14:paraId="2099C0C7" w14:textId="593536CE" w:rsidR="009241D5" w:rsidRPr="00895AFA" w:rsidRDefault="007D7517" w:rsidP="00C65F76">
      <w:pPr>
        <w:jc w:val="both"/>
        <w:rPr>
          <w:rFonts w:ascii="Palatino Linotype" w:hAnsi="Palatino Linotype" w:cs="Arial"/>
          <w:sz w:val="22"/>
          <w:szCs w:val="22"/>
        </w:rPr>
      </w:pPr>
      <w:r w:rsidRPr="00895AFA">
        <w:rPr>
          <w:rFonts w:ascii="Palatino Linotype" w:hAnsi="Palatino Linotype" w:cs="Arial"/>
          <w:b/>
          <w:bCs/>
          <w:sz w:val="22"/>
          <w:szCs w:val="22"/>
        </w:rPr>
        <w:t>Figure S</w:t>
      </w:r>
      <w:r w:rsidR="00C573C6" w:rsidRPr="00895AFA">
        <w:rPr>
          <w:rFonts w:ascii="Palatino Linotype" w:hAnsi="Palatino Linotype" w:cs="Arial"/>
          <w:b/>
          <w:bCs/>
          <w:sz w:val="22"/>
          <w:szCs w:val="22"/>
        </w:rPr>
        <w:t>6</w:t>
      </w:r>
      <w:r w:rsidRPr="00895AFA">
        <w:rPr>
          <w:rFonts w:ascii="Palatino Linotype" w:hAnsi="Palatino Linotype" w:cs="Arial"/>
          <w:b/>
          <w:bCs/>
          <w:sz w:val="22"/>
          <w:szCs w:val="22"/>
        </w:rPr>
        <w:t xml:space="preserve">: </w:t>
      </w:r>
      <w:r w:rsidR="009241D5" w:rsidRPr="00C65F76">
        <w:rPr>
          <w:rFonts w:ascii="Palatino Linotype" w:hAnsi="Palatino Linotype" w:cs="Arial"/>
          <w:bCs/>
          <w:sz w:val="22"/>
          <w:szCs w:val="22"/>
        </w:rPr>
        <w:t xml:space="preserve">AGA and AGG </w:t>
      </w:r>
      <w:proofErr w:type="spellStart"/>
      <w:r w:rsidR="00C65F76">
        <w:rPr>
          <w:rFonts w:ascii="Palatino Linotype" w:hAnsi="Palatino Linotype" w:cs="Arial"/>
          <w:bCs/>
          <w:sz w:val="22"/>
          <w:szCs w:val="22"/>
        </w:rPr>
        <w:t>d</w:t>
      </w:r>
      <w:r w:rsidR="009241D5" w:rsidRPr="00C65F76">
        <w:rPr>
          <w:rFonts w:ascii="Palatino Linotype" w:hAnsi="Palatino Linotype" w:cs="Arial"/>
          <w:bCs/>
          <w:sz w:val="22"/>
          <w:szCs w:val="22"/>
        </w:rPr>
        <w:t>icodon</w:t>
      </w:r>
      <w:proofErr w:type="spellEnd"/>
      <w:r w:rsidR="009241D5" w:rsidRPr="00C65F76">
        <w:rPr>
          <w:rFonts w:ascii="Palatino Linotype" w:hAnsi="Palatino Linotype" w:cs="Arial"/>
          <w:bCs/>
          <w:sz w:val="22"/>
          <w:szCs w:val="22"/>
        </w:rPr>
        <w:t xml:space="preserve"> </w:t>
      </w:r>
      <w:r w:rsidR="00C65F76">
        <w:rPr>
          <w:rFonts w:ascii="Palatino Linotype" w:hAnsi="Palatino Linotype" w:cs="Arial"/>
          <w:bCs/>
          <w:sz w:val="22"/>
          <w:szCs w:val="22"/>
        </w:rPr>
        <w:t>a</w:t>
      </w:r>
      <w:r w:rsidR="009241D5" w:rsidRPr="00C65F76">
        <w:rPr>
          <w:rFonts w:ascii="Palatino Linotype" w:hAnsi="Palatino Linotype" w:cs="Arial"/>
          <w:bCs/>
          <w:sz w:val="22"/>
          <w:szCs w:val="22"/>
        </w:rPr>
        <w:t xml:space="preserve">nalysis in </w:t>
      </w:r>
      <w:r w:rsidR="00C65F76">
        <w:rPr>
          <w:rFonts w:ascii="Palatino Linotype" w:hAnsi="Palatino Linotype" w:cs="Arial"/>
          <w:bCs/>
          <w:sz w:val="22"/>
          <w:szCs w:val="22"/>
        </w:rPr>
        <w:t>a</w:t>
      </w:r>
      <w:r w:rsidR="009241D5" w:rsidRPr="00C65F76">
        <w:rPr>
          <w:rFonts w:ascii="Palatino Linotype" w:hAnsi="Palatino Linotype" w:cs="Arial"/>
          <w:bCs/>
          <w:sz w:val="22"/>
          <w:szCs w:val="22"/>
        </w:rPr>
        <w:t xml:space="preserve">ll and </w:t>
      </w:r>
      <w:r w:rsidR="00C65F76">
        <w:rPr>
          <w:rFonts w:ascii="Palatino Linotype" w:hAnsi="Palatino Linotype" w:cs="Arial"/>
          <w:bCs/>
          <w:sz w:val="22"/>
          <w:szCs w:val="22"/>
        </w:rPr>
        <w:t>se</w:t>
      </w:r>
      <w:r w:rsidR="009241D5" w:rsidRPr="00C65F76">
        <w:rPr>
          <w:rFonts w:ascii="Palatino Linotype" w:hAnsi="Palatino Linotype" w:cs="Arial"/>
          <w:bCs/>
          <w:sz w:val="22"/>
          <w:szCs w:val="22"/>
        </w:rPr>
        <w:t xml:space="preserve">lect </w:t>
      </w:r>
      <w:r w:rsidR="00C65F76">
        <w:rPr>
          <w:rFonts w:ascii="Palatino Linotype" w:hAnsi="Palatino Linotype" w:cs="Arial"/>
          <w:bCs/>
          <w:sz w:val="22"/>
          <w:szCs w:val="22"/>
        </w:rPr>
        <w:t>y</w:t>
      </w:r>
      <w:r w:rsidR="009241D5" w:rsidRPr="00C65F76">
        <w:rPr>
          <w:rFonts w:ascii="Palatino Linotype" w:hAnsi="Palatino Linotype" w:cs="Arial"/>
          <w:bCs/>
          <w:sz w:val="22"/>
          <w:szCs w:val="22"/>
        </w:rPr>
        <w:t xml:space="preserve">east </w:t>
      </w:r>
      <w:r w:rsidR="00C65F76">
        <w:rPr>
          <w:rFonts w:ascii="Palatino Linotype" w:hAnsi="Palatino Linotype" w:cs="Arial"/>
          <w:bCs/>
          <w:sz w:val="22"/>
          <w:szCs w:val="22"/>
        </w:rPr>
        <w:t>g</w:t>
      </w:r>
      <w:r w:rsidR="009241D5" w:rsidRPr="00C65F76">
        <w:rPr>
          <w:rFonts w:ascii="Palatino Linotype" w:hAnsi="Palatino Linotype" w:cs="Arial"/>
          <w:bCs/>
          <w:sz w:val="22"/>
          <w:szCs w:val="22"/>
        </w:rPr>
        <w:t xml:space="preserve">enes.   </w:t>
      </w:r>
      <w:r w:rsidR="009241D5" w:rsidRPr="00895AFA">
        <w:rPr>
          <w:rFonts w:ascii="Palatino Linotype" w:hAnsi="Palatino Linotype" w:cs="Arial"/>
          <w:sz w:val="22"/>
          <w:szCs w:val="22"/>
        </w:rPr>
        <w:t xml:space="preserve">There are six arginine codons (CGU, CGC, CGA, CGG, AGA and AGG) with the AGN variants linked to decoding by Sua5 catalyzed marks in tRNA.   </w:t>
      </w:r>
      <w:r w:rsidR="009241D5" w:rsidRPr="00895AFA">
        <w:rPr>
          <w:rFonts w:ascii="Palatino Linotype" w:hAnsi="Palatino Linotype" w:cs="Arial"/>
          <w:b/>
          <w:sz w:val="22"/>
          <w:szCs w:val="22"/>
        </w:rPr>
        <w:t>(A)</w:t>
      </w:r>
      <w:r w:rsidR="009241D5" w:rsidRPr="00895AFA">
        <w:rPr>
          <w:rFonts w:ascii="Palatino Linotype" w:hAnsi="Palatino Linotype" w:cs="Arial"/>
          <w:sz w:val="22"/>
          <w:szCs w:val="22"/>
        </w:rPr>
        <w:t xml:space="preserve">  The number of AGN </w:t>
      </w:r>
      <w:proofErr w:type="spellStart"/>
      <w:r w:rsidR="009241D5" w:rsidRPr="00895AFA">
        <w:rPr>
          <w:rFonts w:ascii="Palatino Linotype" w:hAnsi="Palatino Linotype" w:cs="Arial"/>
          <w:sz w:val="22"/>
          <w:szCs w:val="22"/>
        </w:rPr>
        <w:t>dicodons</w:t>
      </w:r>
      <w:proofErr w:type="spellEnd"/>
      <w:r w:rsidR="009241D5" w:rsidRPr="00895AFA">
        <w:rPr>
          <w:rFonts w:ascii="Palatino Linotype" w:hAnsi="Palatino Linotype" w:cs="Arial"/>
          <w:sz w:val="22"/>
          <w:szCs w:val="22"/>
        </w:rPr>
        <w:t xml:space="preserve"> in each gene for all yeast genes, with this analysis including yeast genes that use CGU, CGC, CGA and CGG arginine codons.  The number of any of the four possible AGN </w:t>
      </w:r>
      <w:proofErr w:type="spellStart"/>
      <w:r w:rsidR="009241D5" w:rsidRPr="00895AFA">
        <w:rPr>
          <w:rFonts w:ascii="Palatino Linotype" w:hAnsi="Palatino Linotype" w:cs="Arial"/>
          <w:sz w:val="22"/>
          <w:szCs w:val="22"/>
        </w:rPr>
        <w:t>dicodons</w:t>
      </w:r>
      <w:proofErr w:type="spellEnd"/>
      <w:r w:rsidR="009241D5" w:rsidRPr="00895AFA">
        <w:rPr>
          <w:rFonts w:ascii="Palatino Linotype" w:hAnsi="Palatino Linotype" w:cs="Arial"/>
          <w:sz w:val="22"/>
          <w:szCs w:val="22"/>
        </w:rPr>
        <w:t xml:space="preserve"> was determined for each yeast gene and the number of genes with 0 to 14 AGN </w:t>
      </w:r>
      <w:proofErr w:type="spellStart"/>
      <w:r w:rsidR="009241D5" w:rsidRPr="00895AFA">
        <w:rPr>
          <w:rFonts w:ascii="Palatino Linotype" w:hAnsi="Palatino Linotype" w:cs="Arial"/>
          <w:sz w:val="22"/>
          <w:szCs w:val="22"/>
        </w:rPr>
        <w:t>dicodons</w:t>
      </w:r>
      <w:proofErr w:type="spellEnd"/>
      <w:r w:rsidR="009241D5" w:rsidRPr="00895AFA">
        <w:rPr>
          <w:rFonts w:ascii="Palatino Linotype" w:hAnsi="Palatino Linotype" w:cs="Arial"/>
          <w:sz w:val="22"/>
          <w:szCs w:val="22"/>
        </w:rPr>
        <w:t xml:space="preserve"> (inset box) is plotted on the X-axis, with the length of the bar indicating total number of genes.  (</w:t>
      </w:r>
      <w:r w:rsidR="009241D5" w:rsidRPr="00895AFA">
        <w:rPr>
          <w:rFonts w:ascii="Palatino Linotype" w:hAnsi="Palatino Linotype" w:cs="Arial"/>
          <w:b/>
          <w:sz w:val="22"/>
          <w:szCs w:val="22"/>
        </w:rPr>
        <w:t>B)</w:t>
      </w:r>
      <w:r w:rsidR="009241D5" w:rsidRPr="00895AFA">
        <w:rPr>
          <w:rFonts w:ascii="Palatino Linotype" w:hAnsi="Palatino Linotype" w:cs="Arial"/>
          <w:sz w:val="22"/>
          <w:szCs w:val="22"/>
        </w:rPr>
        <w:t xml:space="preserve">  The number of AGN </w:t>
      </w:r>
      <w:proofErr w:type="spellStart"/>
      <w:r w:rsidR="009241D5" w:rsidRPr="00895AFA">
        <w:rPr>
          <w:rFonts w:ascii="Palatino Linotype" w:hAnsi="Palatino Linotype" w:cs="Arial"/>
          <w:sz w:val="22"/>
          <w:szCs w:val="22"/>
        </w:rPr>
        <w:t>dicodons</w:t>
      </w:r>
      <w:proofErr w:type="spellEnd"/>
      <w:r w:rsidR="009241D5" w:rsidRPr="00895AFA">
        <w:rPr>
          <w:rFonts w:ascii="Palatino Linotype" w:hAnsi="Palatino Linotype" w:cs="Arial"/>
          <w:sz w:val="22"/>
          <w:szCs w:val="22"/>
        </w:rPr>
        <w:t xml:space="preserve"> in each yeast gene that only uses AGA or AGG arginine codons, with this list excluding genes that use CGU, CGC, CGA and CGG codons for arginine.    The number of AGN </w:t>
      </w:r>
      <w:proofErr w:type="spellStart"/>
      <w:r w:rsidR="009241D5" w:rsidRPr="00895AFA">
        <w:rPr>
          <w:rFonts w:ascii="Palatino Linotype" w:hAnsi="Palatino Linotype" w:cs="Arial"/>
          <w:sz w:val="22"/>
          <w:szCs w:val="22"/>
        </w:rPr>
        <w:t>dicodons</w:t>
      </w:r>
      <w:proofErr w:type="spellEnd"/>
      <w:r w:rsidR="009241D5" w:rsidRPr="00895AFA">
        <w:rPr>
          <w:rFonts w:ascii="Palatino Linotype" w:hAnsi="Palatino Linotype" w:cs="Arial"/>
          <w:sz w:val="22"/>
          <w:szCs w:val="22"/>
        </w:rPr>
        <w:t xml:space="preserve"> was determined for each yeast gene and the number of genes with 0 to 4 of the possible AGN </w:t>
      </w:r>
      <w:proofErr w:type="spellStart"/>
      <w:r w:rsidR="009241D5" w:rsidRPr="00895AFA">
        <w:rPr>
          <w:rFonts w:ascii="Palatino Linotype" w:hAnsi="Palatino Linotype" w:cs="Arial"/>
          <w:sz w:val="22"/>
          <w:szCs w:val="22"/>
        </w:rPr>
        <w:t>dicodons</w:t>
      </w:r>
      <w:proofErr w:type="spellEnd"/>
      <w:r w:rsidR="009241D5" w:rsidRPr="00895AFA">
        <w:rPr>
          <w:rFonts w:ascii="Palatino Linotype" w:hAnsi="Palatino Linotype" w:cs="Arial"/>
          <w:sz w:val="22"/>
          <w:szCs w:val="22"/>
        </w:rPr>
        <w:t xml:space="preserve"> is plotted on the X-axis, with the length of the bar indicating total number of genes</w:t>
      </w:r>
      <w:r w:rsidR="00C65F76">
        <w:rPr>
          <w:rFonts w:ascii="Palatino Linotype" w:hAnsi="Palatino Linotype" w:cs="Arial"/>
          <w:sz w:val="22"/>
          <w:szCs w:val="22"/>
        </w:rPr>
        <w:t>.</w:t>
      </w:r>
    </w:p>
    <w:p w14:paraId="1406C7A5" w14:textId="77777777" w:rsidR="00CC0C58" w:rsidRDefault="00CC0C58" w:rsidP="007D7517">
      <w:pPr>
        <w:pStyle w:val="MDPI31text"/>
        <w:ind w:firstLine="0"/>
        <w:jc w:val="left"/>
        <w:rPr>
          <w:rFonts w:ascii="Arial" w:hAnsi="Arial" w:cs="Arial"/>
          <w:b/>
          <w:bCs/>
          <w:sz w:val="28"/>
          <w:szCs w:val="28"/>
        </w:rPr>
      </w:pPr>
    </w:p>
    <w:p w14:paraId="51836E0C" w14:textId="6984503B" w:rsidR="007D7517" w:rsidRPr="007D7517" w:rsidRDefault="007D7517" w:rsidP="007D7517">
      <w:pPr>
        <w:pStyle w:val="MDPI31text"/>
        <w:ind w:firstLine="0"/>
        <w:jc w:val="left"/>
        <w:rPr>
          <w:rFonts w:ascii="Arial" w:hAnsi="Arial" w:cs="Arial"/>
          <w:b/>
          <w:bCs/>
          <w:sz w:val="28"/>
          <w:szCs w:val="28"/>
        </w:rPr>
      </w:pPr>
      <w:r>
        <w:rPr>
          <w:rFonts w:ascii="Arial" w:hAnsi="Arial" w:cs="Arial"/>
          <w:b/>
          <w:bCs/>
          <w:sz w:val="28"/>
          <w:szCs w:val="28"/>
        </w:rPr>
        <w:lastRenderedPageBreak/>
        <w:t>References</w:t>
      </w:r>
    </w:p>
    <w:p w14:paraId="32C6330E" w14:textId="2EA0DA35" w:rsidR="007D7517" w:rsidRDefault="007D7517" w:rsidP="007D7517">
      <w:pPr>
        <w:pStyle w:val="MDPI31text"/>
        <w:ind w:firstLine="0"/>
        <w:jc w:val="center"/>
      </w:pPr>
    </w:p>
    <w:p w14:paraId="5F88FDA9" w14:textId="64E9811E" w:rsidR="003E7F23" w:rsidRPr="003E7F23" w:rsidRDefault="007D7517" w:rsidP="003E7F23">
      <w:pPr>
        <w:widowControl w:val="0"/>
        <w:autoSpaceDE w:val="0"/>
        <w:autoSpaceDN w:val="0"/>
        <w:adjustRightInd w:val="0"/>
        <w:spacing w:after="160" w:line="240" w:lineRule="atLeast"/>
        <w:ind w:left="480" w:hanging="480"/>
        <w:rPr>
          <w:rFonts w:ascii="Palatino Linotype" w:hAnsi="Palatino Linotype" w:cs="Times New Roman"/>
          <w:noProof/>
          <w:sz w:val="22"/>
        </w:rPr>
      </w:pPr>
      <w:r>
        <w:rPr>
          <w:b/>
          <w:bCs/>
        </w:rPr>
        <w:fldChar w:fldCharType="begin" w:fldLock="1"/>
      </w:r>
      <w:r>
        <w:rPr>
          <w:b/>
          <w:bCs/>
        </w:rPr>
        <w:instrText xml:space="preserve">ADDIN Mendeley Bibliography CSL_BIBLIOGRAPHY </w:instrText>
      </w:r>
      <w:r>
        <w:rPr>
          <w:b/>
          <w:bCs/>
        </w:rPr>
        <w:fldChar w:fldCharType="separate"/>
      </w:r>
      <w:r w:rsidR="003E7F23" w:rsidRPr="003E7F23">
        <w:rPr>
          <w:rFonts w:ascii="Palatino Linotype" w:hAnsi="Palatino Linotype" w:cs="Times New Roman"/>
          <w:noProof/>
          <w:sz w:val="22"/>
        </w:rPr>
        <w:t xml:space="preserve">1. Cherry,J.M., Hong,E.L., Amundsen,C., Balakrishnan,R., Binkley,G., Chan,E.T., Christie,K.R., Costanzo,M.C., Dwight,S.S., Engel,S.R., </w:t>
      </w:r>
      <w:r w:rsidR="003E7F23" w:rsidRPr="003E7F23">
        <w:rPr>
          <w:rFonts w:ascii="Palatino Linotype" w:hAnsi="Palatino Linotype" w:cs="Times New Roman"/>
          <w:i/>
          <w:iCs/>
          <w:noProof/>
          <w:sz w:val="22"/>
        </w:rPr>
        <w:t>et al.</w:t>
      </w:r>
      <w:r w:rsidR="003E7F23" w:rsidRPr="003E7F23">
        <w:rPr>
          <w:rFonts w:ascii="Palatino Linotype" w:hAnsi="Palatino Linotype" w:cs="Times New Roman"/>
          <w:noProof/>
          <w:sz w:val="22"/>
        </w:rPr>
        <w:t xml:space="preserve"> (2012) Saccharomyces Genome Database: the genomics resource of budding yeast. </w:t>
      </w:r>
      <w:r w:rsidR="003E7F23" w:rsidRPr="003E7F23">
        <w:rPr>
          <w:rFonts w:ascii="Palatino Linotype" w:hAnsi="Palatino Linotype" w:cs="Times New Roman"/>
          <w:i/>
          <w:iCs/>
          <w:noProof/>
          <w:sz w:val="22"/>
        </w:rPr>
        <w:t>Nucleic Acids Res</w:t>
      </w:r>
      <w:r w:rsidR="003E7F23" w:rsidRPr="003E7F23">
        <w:rPr>
          <w:rFonts w:ascii="Palatino Linotype" w:hAnsi="Palatino Linotype" w:cs="Times New Roman"/>
          <w:noProof/>
          <w:sz w:val="22"/>
        </w:rPr>
        <w:t xml:space="preserve">, </w:t>
      </w:r>
      <w:r w:rsidR="003E7F23" w:rsidRPr="003E7F23">
        <w:rPr>
          <w:rFonts w:ascii="Palatino Linotype" w:hAnsi="Palatino Linotype" w:cs="Times New Roman"/>
          <w:b/>
          <w:bCs/>
          <w:noProof/>
          <w:sz w:val="22"/>
        </w:rPr>
        <w:t>40</w:t>
      </w:r>
      <w:r w:rsidR="003E7F23" w:rsidRPr="003E7F23">
        <w:rPr>
          <w:rFonts w:ascii="Palatino Linotype" w:hAnsi="Palatino Linotype" w:cs="Times New Roman"/>
          <w:noProof/>
          <w:sz w:val="22"/>
        </w:rPr>
        <w:t>, D700–D705.</w:t>
      </w:r>
    </w:p>
    <w:p w14:paraId="25782A04" w14:textId="77777777" w:rsidR="003E7F23" w:rsidRPr="003E7F23" w:rsidRDefault="003E7F23" w:rsidP="003E7F23">
      <w:pPr>
        <w:widowControl w:val="0"/>
        <w:autoSpaceDE w:val="0"/>
        <w:autoSpaceDN w:val="0"/>
        <w:adjustRightInd w:val="0"/>
        <w:spacing w:after="160" w:line="240" w:lineRule="atLeast"/>
        <w:ind w:left="480" w:hanging="480"/>
        <w:rPr>
          <w:rFonts w:ascii="Palatino Linotype" w:hAnsi="Palatino Linotype"/>
          <w:noProof/>
          <w:sz w:val="22"/>
        </w:rPr>
      </w:pPr>
      <w:r w:rsidRPr="003E7F23">
        <w:rPr>
          <w:rFonts w:ascii="Palatino Linotype" w:hAnsi="Palatino Linotype" w:cs="Times New Roman"/>
          <w:noProof/>
          <w:sz w:val="22"/>
        </w:rPr>
        <w:t xml:space="preserve">2. Weids,A.J., Ibstedt,S., Tamás,M.J. and Grant,C.M. (2016) Distinct stress conditions result in aggregation of proteins with similar properties. </w:t>
      </w:r>
      <w:r w:rsidRPr="003E7F23">
        <w:rPr>
          <w:rFonts w:ascii="Palatino Linotype" w:hAnsi="Palatino Linotype" w:cs="Times New Roman"/>
          <w:i/>
          <w:iCs/>
          <w:noProof/>
          <w:sz w:val="22"/>
        </w:rPr>
        <w:t>Sci. Rep.</w:t>
      </w:r>
      <w:r w:rsidRPr="003E7F23">
        <w:rPr>
          <w:rFonts w:ascii="Palatino Linotype" w:hAnsi="Palatino Linotype" w:cs="Times New Roman"/>
          <w:noProof/>
          <w:sz w:val="22"/>
        </w:rPr>
        <w:t xml:space="preserve">, </w:t>
      </w:r>
      <w:r w:rsidRPr="003E7F23">
        <w:rPr>
          <w:rFonts w:ascii="Palatino Linotype" w:hAnsi="Palatino Linotype" w:cs="Times New Roman"/>
          <w:b/>
          <w:bCs/>
          <w:noProof/>
          <w:sz w:val="22"/>
        </w:rPr>
        <w:t>6</w:t>
      </w:r>
      <w:r w:rsidRPr="003E7F23">
        <w:rPr>
          <w:rFonts w:ascii="Palatino Linotype" w:hAnsi="Palatino Linotype" w:cs="Times New Roman"/>
          <w:noProof/>
          <w:sz w:val="22"/>
        </w:rPr>
        <w:t>, 24554.</w:t>
      </w:r>
    </w:p>
    <w:p w14:paraId="6BDFEDCE" w14:textId="0DF0AB54" w:rsidR="007D7517" w:rsidRPr="007D7517" w:rsidRDefault="007D7517" w:rsidP="003E7F23">
      <w:pPr>
        <w:widowControl w:val="0"/>
        <w:autoSpaceDE w:val="0"/>
        <w:autoSpaceDN w:val="0"/>
        <w:adjustRightInd w:val="0"/>
        <w:spacing w:after="160" w:line="240" w:lineRule="atLeast"/>
        <w:ind w:left="640" w:hanging="640"/>
        <w:rPr>
          <w:b/>
          <w:bCs/>
        </w:rPr>
      </w:pPr>
      <w:r>
        <w:rPr>
          <w:b/>
          <w:bCs/>
        </w:rPr>
        <w:fldChar w:fldCharType="end"/>
      </w:r>
    </w:p>
    <w:sectPr w:rsidR="007D7517" w:rsidRPr="007D7517" w:rsidSect="001E3F5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73E83"/>
    <w:rsid w:val="000C6622"/>
    <w:rsid w:val="000F799B"/>
    <w:rsid w:val="00101DB5"/>
    <w:rsid w:val="00140D91"/>
    <w:rsid w:val="0016029E"/>
    <w:rsid w:val="001E3F5C"/>
    <w:rsid w:val="0027632A"/>
    <w:rsid w:val="00295102"/>
    <w:rsid w:val="002F2048"/>
    <w:rsid w:val="00300C1D"/>
    <w:rsid w:val="00307C81"/>
    <w:rsid w:val="00320505"/>
    <w:rsid w:val="003233B2"/>
    <w:rsid w:val="00375BB2"/>
    <w:rsid w:val="003E7F23"/>
    <w:rsid w:val="003F1B80"/>
    <w:rsid w:val="00444AD9"/>
    <w:rsid w:val="0045724A"/>
    <w:rsid w:val="004A292E"/>
    <w:rsid w:val="004D6C2F"/>
    <w:rsid w:val="0052437D"/>
    <w:rsid w:val="00577F13"/>
    <w:rsid w:val="00640547"/>
    <w:rsid w:val="007128BC"/>
    <w:rsid w:val="00743116"/>
    <w:rsid w:val="007651E0"/>
    <w:rsid w:val="00792D93"/>
    <w:rsid w:val="007D0491"/>
    <w:rsid w:val="007D7517"/>
    <w:rsid w:val="00895AFA"/>
    <w:rsid w:val="009241D5"/>
    <w:rsid w:val="00940D51"/>
    <w:rsid w:val="00951FD6"/>
    <w:rsid w:val="009B0740"/>
    <w:rsid w:val="009D4C29"/>
    <w:rsid w:val="009F2AFD"/>
    <w:rsid w:val="00A22B29"/>
    <w:rsid w:val="00A97162"/>
    <w:rsid w:val="00AE5F8D"/>
    <w:rsid w:val="00B14635"/>
    <w:rsid w:val="00BA6CD8"/>
    <w:rsid w:val="00C25982"/>
    <w:rsid w:val="00C47987"/>
    <w:rsid w:val="00C573C6"/>
    <w:rsid w:val="00C65F76"/>
    <w:rsid w:val="00C73E83"/>
    <w:rsid w:val="00CA201D"/>
    <w:rsid w:val="00CA7C77"/>
    <w:rsid w:val="00CC0B74"/>
    <w:rsid w:val="00CC0C58"/>
    <w:rsid w:val="00CD0D12"/>
    <w:rsid w:val="00D005AD"/>
    <w:rsid w:val="00D1124E"/>
    <w:rsid w:val="00D11254"/>
    <w:rsid w:val="00DD36DF"/>
    <w:rsid w:val="00DD4C74"/>
    <w:rsid w:val="00E01C96"/>
    <w:rsid w:val="00E42FD9"/>
    <w:rsid w:val="00E91687"/>
    <w:rsid w:val="00EA4CEA"/>
    <w:rsid w:val="00EE7028"/>
    <w:rsid w:val="00EE7218"/>
    <w:rsid w:val="00F113F6"/>
    <w:rsid w:val="00F22F3C"/>
    <w:rsid w:val="00F830B5"/>
    <w:rsid w:val="00F85C48"/>
    <w:rsid w:val="00FA40BD"/>
    <w:rsid w:val="00FF6B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5EDB75"/>
  <w15:docId w15:val="{D86A6620-98DD-473B-9999-7204AFAAB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31text">
    <w:name w:val="MDPI_3.1_text"/>
    <w:rsid w:val="00C73E83"/>
    <w:pPr>
      <w:adjustRightInd w:val="0"/>
      <w:snapToGrid w:val="0"/>
      <w:spacing w:after="160" w:line="260" w:lineRule="atLeast"/>
      <w:ind w:firstLine="425"/>
      <w:jc w:val="both"/>
    </w:pPr>
    <w:rPr>
      <w:rFonts w:ascii="Palatino Linotype" w:eastAsia="Times New Roman" w:hAnsi="Palatino Linotype"/>
      <w:snapToGrid w:val="0"/>
      <w:color w:val="000000"/>
      <w:sz w:val="22"/>
      <w:szCs w:val="22"/>
      <w:lang w:eastAsia="de-DE" w:bidi="en-US"/>
    </w:rPr>
  </w:style>
  <w:style w:type="table" w:styleId="TableGrid">
    <w:name w:val="Table Grid"/>
    <w:basedOn w:val="TableNormal"/>
    <w:uiPriority w:val="39"/>
    <w:rsid w:val="00E01C96"/>
    <w:pPr>
      <w:spacing w:after="160" w:line="259" w:lineRule="auto"/>
    </w:pPr>
    <w:rPr>
      <w:rFonts w:ascii="Times New Roman" w:eastAsiaTheme="minorEastAsia"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01C96"/>
    <w:rPr>
      <w:color w:val="0563C1"/>
      <w:u w:val="single"/>
    </w:rPr>
  </w:style>
  <w:style w:type="character" w:customStyle="1" w:styleId="html-italic">
    <w:name w:val="html-italic"/>
    <w:basedOn w:val="DefaultParagraphFont"/>
    <w:rsid w:val="00E01C96"/>
  </w:style>
  <w:style w:type="character" w:customStyle="1" w:styleId="apple-converted-space">
    <w:name w:val="apple-converted-space"/>
    <w:basedOn w:val="DefaultParagraphFont"/>
    <w:rsid w:val="00E01C96"/>
  </w:style>
  <w:style w:type="character" w:styleId="CommentReference">
    <w:name w:val="annotation reference"/>
    <w:basedOn w:val="DefaultParagraphFont"/>
    <w:uiPriority w:val="99"/>
    <w:semiHidden/>
    <w:unhideWhenUsed/>
    <w:rsid w:val="00E01C96"/>
    <w:rPr>
      <w:sz w:val="16"/>
      <w:szCs w:val="16"/>
    </w:rPr>
  </w:style>
  <w:style w:type="paragraph" w:styleId="BalloonText">
    <w:name w:val="Balloon Text"/>
    <w:basedOn w:val="Normal"/>
    <w:link w:val="BalloonTextChar"/>
    <w:uiPriority w:val="99"/>
    <w:semiHidden/>
    <w:unhideWhenUsed/>
    <w:rsid w:val="00E01C96"/>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01C96"/>
    <w:rPr>
      <w:rFonts w:ascii="Times New Roman" w:hAnsi="Times New Roman" w:cs="Times New Roman"/>
      <w:sz w:val="18"/>
      <w:szCs w:val="18"/>
    </w:rPr>
  </w:style>
  <w:style w:type="paragraph" w:styleId="CommentText">
    <w:name w:val="annotation text"/>
    <w:basedOn w:val="Normal"/>
    <w:link w:val="CommentTextChar"/>
    <w:uiPriority w:val="99"/>
    <w:semiHidden/>
    <w:unhideWhenUsed/>
    <w:rsid w:val="00F85C48"/>
    <w:pPr>
      <w:spacing w:after="160"/>
    </w:pPr>
    <w:rPr>
      <w:rFonts w:eastAsiaTheme="minorEastAsia"/>
      <w:sz w:val="20"/>
      <w:szCs w:val="20"/>
    </w:rPr>
  </w:style>
  <w:style w:type="character" w:customStyle="1" w:styleId="CommentTextChar">
    <w:name w:val="Comment Text Char"/>
    <w:basedOn w:val="DefaultParagraphFont"/>
    <w:link w:val="CommentText"/>
    <w:uiPriority w:val="99"/>
    <w:semiHidden/>
    <w:rsid w:val="00F85C48"/>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C65F76"/>
    <w:pPr>
      <w:spacing w:after="0"/>
    </w:pPr>
    <w:rPr>
      <w:rFonts w:eastAsiaTheme="minorHAnsi"/>
      <w:b/>
      <w:bCs/>
    </w:rPr>
  </w:style>
  <w:style w:type="character" w:customStyle="1" w:styleId="CommentSubjectChar">
    <w:name w:val="Comment Subject Char"/>
    <w:basedOn w:val="CommentTextChar"/>
    <w:link w:val="CommentSubject"/>
    <w:uiPriority w:val="99"/>
    <w:semiHidden/>
    <w:rsid w:val="00C65F76"/>
    <w:rPr>
      <w:rFonts w:eastAsiaTheme="minorEastAsi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0883669">
      <w:bodyDiv w:val="1"/>
      <w:marLeft w:val="0"/>
      <w:marRight w:val="0"/>
      <w:marTop w:val="0"/>
      <w:marBottom w:val="0"/>
      <w:divBdr>
        <w:top w:val="none" w:sz="0" w:space="0" w:color="auto"/>
        <w:left w:val="none" w:sz="0" w:space="0" w:color="auto"/>
        <w:bottom w:val="none" w:sz="0" w:space="0" w:color="auto"/>
        <w:right w:val="none" w:sz="0" w:space="0" w:color="auto"/>
      </w:divBdr>
    </w:div>
    <w:div w:id="445663061">
      <w:bodyDiv w:val="1"/>
      <w:marLeft w:val="0"/>
      <w:marRight w:val="0"/>
      <w:marTop w:val="0"/>
      <w:marBottom w:val="0"/>
      <w:divBdr>
        <w:top w:val="none" w:sz="0" w:space="0" w:color="auto"/>
        <w:left w:val="none" w:sz="0" w:space="0" w:color="auto"/>
        <w:bottom w:val="none" w:sz="0" w:space="0" w:color="auto"/>
        <w:right w:val="none" w:sz="0" w:space="0" w:color="auto"/>
      </w:divBdr>
    </w:div>
    <w:div w:id="492569698">
      <w:bodyDiv w:val="1"/>
      <w:marLeft w:val="0"/>
      <w:marRight w:val="0"/>
      <w:marTop w:val="0"/>
      <w:marBottom w:val="0"/>
      <w:divBdr>
        <w:top w:val="none" w:sz="0" w:space="0" w:color="auto"/>
        <w:left w:val="none" w:sz="0" w:space="0" w:color="auto"/>
        <w:bottom w:val="none" w:sz="0" w:space="0" w:color="auto"/>
        <w:right w:val="none" w:sz="0" w:space="0" w:color="auto"/>
      </w:divBdr>
    </w:div>
    <w:div w:id="1518153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tiff"/><Relationship Id="rId5" Type="http://schemas.openxmlformats.org/officeDocument/2006/relationships/image" Target="media/image1.pn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FA73DB-7B2D-5C48-847C-372BFD228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8</Pages>
  <Words>1722</Words>
  <Characters>9817</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Crecy-Lagard,Valerie</dc:creator>
  <cp:lastModifiedBy>de Crecy-Lagard,Valerie</cp:lastModifiedBy>
  <cp:revision>11</cp:revision>
  <dcterms:created xsi:type="dcterms:W3CDTF">2019-10-09T16:26:00Z</dcterms:created>
  <dcterms:modified xsi:type="dcterms:W3CDTF">2020-01-15T01:42:00Z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6th edition</vt:lpwstr>
  </property>
  <property fmtid="{D5CDD505-2E9C-101B-9397-08002B2CF9AE}" pid="4" name="Mendeley Recent Style Id 1_1">
    <vt:lpwstr>http://www.zotero.org/styles/chicago-author-date</vt:lpwstr>
  </property>
  <property fmtid="{D5CDD505-2E9C-101B-9397-08002B2CF9AE}" pid="5" name="Mendeley Recent Style Name 1_1">
    <vt:lpwstr>Chicago Manual of Style 17th edition (author-date)</vt:lpwstr>
  </property>
  <property fmtid="{D5CDD505-2E9C-101B-9397-08002B2CF9AE}" pid="6" name="Mendeley Recent Style Id 2_1">
    <vt:lpwstr>http://www.zotero.org/styles/ieee</vt:lpwstr>
  </property>
  <property fmtid="{D5CDD505-2E9C-101B-9397-08002B2CF9AE}" pid="7" name="Mendeley Recent Style Name 2_1">
    <vt:lpwstr>IEEE</vt:lpwstr>
  </property>
  <property fmtid="{D5CDD505-2E9C-101B-9397-08002B2CF9AE}" pid="8" name="Mendeley Recent Style Id 3_1">
    <vt:lpwstr>http://www.zotero.org/styles/modern-humanities-research-association</vt:lpwstr>
  </property>
  <property fmtid="{D5CDD505-2E9C-101B-9397-08002B2CF9AE}" pid="9" name="Mendeley Recent Style Name 3_1">
    <vt:lpwstr>Modern Humanities Research Association 3rd edition (note with bibliography)</vt:lpwstr>
  </property>
  <property fmtid="{D5CDD505-2E9C-101B-9397-08002B2CF9AE}" pid="10" name="Mendeley Recent Style Id 4_1">
    <vt:lpwstr>http://www.zotero.org/styles/modern-language-association</vt:lpwstr>
  </property>
  <property fmtid="{D5CDD505-2E9C-101B-9397-08002B2CF9AE}" pid="11" name="Mendeley Recent Style Name 4_1">
    <vt:lpwstr>Modern Language Association 8th edition</vt:lpwstr>
  </property>
  <property fmtid="{D5CDD505-2E9C-101B-9397-08002B2CF9AE}" pid="12" name="Mendeley Recent Style Id 5_1">
    <vt:lpwstr>http://www.zotero.org/styles/molecular-microbiology</vt:lpwstr>
  </property>
  <property fmtid="{D5CDD505-2E9C-101B-9397-08002B2CF9AE}" pid="13" name="Mendeley Recent Style Name 5_1">
    <vt:lpwstr>Molecular Microbiology</vt:lpwstr>
  </property>
  <property fmtid="{D5CDD505-2E9C-101B-9397-08002B2CF9AE}" pid="14" name="Mendeley Recent Style Id 6_1">
    <vt:lpwstr>http://www.zotero.org/styles/national-library-of-medicine</vt:lpwstr>
  </property>
  <property fmtid="{D5CDD505-2E9C-101B-9397-08002B2CF9AE}" pid="15" name="Mendeley Recent Style Name 6_1">
    <vt:lpwstr>National Library of Medicine</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http://csl.mendeley.com/styles/17577021/nucleic-acids-research</vt:lpwstr>
  </property>
  <property fmtid="{D5CDD505-2E9C-101B-9397-08002B2CF9AE}" pid="19" name="Mendeley Recent Style Name 8_1">
    <vt:lpwstr>Nucleic Acids Research - Valerie de Crecy-Lagard</vt:lpwstr>
  </property>
  <property fmtid="{D5CDD505-2E9C-101B-9397-08002B2CF9AE}" pid="20" name="Mendeley Recent Style Id 9_1">
    <vt:lpwstr>http://csl.mendeley.com/styles/17577021/vancouver</vt:lpwstr>
  </property>
  <property fmtid="{D5CDD505-2E9C-101B-9397-08002B2CF9AE}" pid="21" name="Mendeley Recent Style Name 9_1">
    <vt:lpwstr>Vancouver - Valérie de Crécy-Lagard, PhD</vt:lpwstr>
  </property>
  <property fmtid="{D5CDD505-2E9C-101B-9397-08002B2CF9AE}" pid="22" name="Mendeley Document_1">
    <vt:lpwstr>True</vt:lpwstr>
  </property>
  <property fmtid="{D5CDD505-2E9C-101B-9397-08002B2CF9AE}" pid="23" name="Mendeley Unique User Id_1">
    <vt:lpwstr>5d43828b-398a-387c-bd45-a83f13cc3782</vt:lpwstr>
  </property>
  <property fmtid="{D5CDD505-2E9C-101B-9397-08002B2CF9AE}" pid="24" name="Mendeley Citation Style_1">
    <vt:lpwstr>http://csl.mendeley.com/styles/17577021/nucleic-acids-research</vt:lpwstr>
  </property>
</Properties>
</file>