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19C" w:rsidRDefault="0052319C" w:rsidP="0052319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2F0D616" wp14:editId="4C51E986">
            <wp:extent cx="5893629" cy="262779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2w3e535t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025" cy="263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19C" w:rsidRDefault="0052319C" w:rsidP="0052319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Supplementary </w:t>
      </w:r>
      <w:r w:rsidRPr="003E70CD">
        <w:rPr>
          <w:rFonts w:ascii="Times New Roman" w:hAnsi="Times New Roman" w:cs="Times New Roman"/>
          <w:lang w:val="en-US"/>
        </w:rPr>
        <w:t xml:space="preserve">Figure </w:t>
      </w:r>
      <w:r>
        <w:rPr>
          <w:rFonts w:ascii="Times New Roman" w:hAnsi="Times New Roman" w:cs="Times New Roman"/>
          <w:lang w:val="en-US"/>
        </w:rPr>
        <w:t>2</w:t>
      </w:r>
      <w:r w:rsidRPr="003E70CD">
        <w:rPr>
          <w:rFonts w:ascii="Times New Roman" w:hAnsi="Times New Roman" w:cs="Times New Roman"/>
          <w:lang w:val="en-US"/>
        </w:rPr>
        <w:t>. Chromosomal preparation from cell culture of female dog mammary gland carcinoma (A). Graphic representation of chromosomal alterations in different cultures of canine mammary gland cancer and its metastases (B).</w:t>
      </w:r>
    </w:p>
    <w:p w:rsidR="0052319C" w:rsidRDefault="0052319C" w:rsidP="00947A6F">
      <w:pPr>
        <w:spacing w:after="0" w:line="360" w:lineRule="auto"/>
        <w:ind w:right="14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52319C" w:rsidRDefault="0052319C" w:rsidP="00947A6F">
      <w:pPr>
        <w:spacing w:after="0" w:line="360" w:lineRule="auto"/>
        <w:ind w:right="140"/>
        <w:jc w:val="both"/>
        <w:rPr>
          <w:rFonts w:ascii="Times New Roman" w:hAnsi="Times New Roman" w:cs="Times New Roman"/>
          <w:lang w:val="en-US"/>
        </w:rPr>
      </w:pPr>
    </w:p>
    <w:p w:rsidR="0052319C" w:rsidRDefault="0052319C" w:rsidP="00947A6F">
      <w:pPr>
        <w:spacing w:after="0" w:line="360" w:lineRule="auto"/>
        <w:ind w:right="140"/>
        <w:jc w:val="both"/>
        <w:rPr>
          <w:rFonts w:ascii="Times New Roman" w:hAnsi="Times New Roman" w:cs="Times New Roman"/>
          <w:lang w:val="en-US"/>
        </w:rPr>
      </w:pPr>
    </w:p>
    <w:p w:rsidR="00947A6F" w:rsidRPr="00CB3D1B" w:rsidRDefault="00947A6F" w:rsidP="00947A6F">
      <w:pPr>
        <w:spacing w:after="0" w:line="360" w:lineRule="auto"/>
        <w:ind w:right="140"/>
        <w:jc w:val="both"/>
        <w:rPr>
          <w:rFonts w:ascii="Times New Roman" w:hAnsi="Times New Roman" w:cs="Times New Roman"/>
          <w:i/>
          <w:iCs/>
          <w:lang w:val="en-US"/>
        </w:rPr>
      </w:pPr>
      <w:r w:rsidRPr="00CB3D1B">
        <w:rPr>
          <w:rFonts w:ascii="Times New Roman" w:hAnsi="Times New Roman" w:cs="Times New Roman"/>
          <w:lang w:val="en-US"/>
        </w:rPr>
        <w:t xml:space="preserve">Table 1: Mammary gland tumors information used to obtain neoplastic cells cultured </w:t>
      </w:r>
      <w:r w:rsidRPr="00CB3D1B">
        <w:rPr>
          <w:rFonts w:ascii="Times New Roman" w:hAnsi="Times New Roman" w:cs="Times New Roman"/>
          <w:i/>
          <w:iCs/>
          <w:lang w:val="en-US"/>
        </w:rPr>
        <w:t>in vitro.</w:t>
      </w:r>
    </w:p>
    <w:tbl>
      <w:tblPr>
        <w:tblW w:w="100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2072"/>
        <w:gridCol w:w="1397"/>
        <w:gridCol w:w="1468"/>
        <w:gridCol w:w="2293"/>
        <w:gridCol w:w="1350"/>
      </w:tblGrid>
      <w:tr w:rsidR="00947A6F" w:rsidRPr="0052319C" w:rsidTr="0081370E">
        <w:trPr>
          <w:trHeight w:val="282"/>
          <w:jc w:val="center"/>
        </w:trPr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A6F" w:rsidRPr="00CB3D1B" w:rsidRDefault="00947A6F" w:rsidP="008137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A6F" w:rsidRPr="00CB3D1B" w:rsidRDefault="00947A6F" w:rsidP="008137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A6F" w:rsidRPr="00CB3D1B" w:rsidRDefault="00947A6F" w:rsidP="008137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A6F" w:rsidRPr="00CB3D1B" w:rsidRDefault="00947A6F" w:rsidP="008137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A6F" w:rsidRPr="00CB3D1B" w:rsidRDefault="00947A6F" w:rsidP="008137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A6F" w:rsidRPr="00CB3D1B" w:rsidRDefault="00947A6F" w:rsidP="008137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 </w:t>
            </w:r>
          </w:p>
        </w:tc>
      </w:tr>
      <w:tr w:rsidR="00947A6F" w:rsidRPr="00CB3D1B" w:rsidTr="0081370E">
        <w:trPr>
          <w:trHeight w:val="509"/>
          <w:jc w:val="center"/>
        </w:trPr>
        <w:tc>
          <w:tcPr>
            <w:tcW w:w="150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Identification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Histologic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Classification</w:t>
            </w:r>
            <w:proofErr w:type="spellEnd"/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Graduation</w:t>
            </w:r>
            <w:proofErr w:type="spellEnd"/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CB3D1B">
              <w:rPr>
                <w:rFonts w:ascii="Times New Roman" w:hAnsi="Times New Roman" w:cs="Times New Roman"/>
                <w:b/>
                <w:bCs/>
                <w:color w:val="000000"/>
                <w:u w:color="000000"/>
                <w:lang w:val="en-US"/>
              </w:rPr>
              <w:t>Acquisition technique</w:t>
            </w:r>
          </w:p>
        </w:tc>
        <w:tc>
          <w:tcPr>
            <w:tcW w:w="22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Collagenase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/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explant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time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Actual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culture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passage</w:t>
            </w:r>
            <w:proofErr w:type="spellEnd"/>
          </w:p>
        </w:tc>
      </w:tr>
      <w:tr w:rsidR="00947A6F" w:rsidRPr="00CB3D1B" w:rsidTr="0081370E">
        <w:trPr>
          <w:trHeight w:val="509"/>
          <w:jc w:val="center"/>
        </w:trPr>
        <w:tc>
          <w:tcPr>
            <w:tcW w:w="15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F" w:rsidRPr="00CB3D1B" w:rsidRDefault="00947A6F" w:rsidP="0081370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07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F" w:rsidRPr="00CB3D1B" w:rsidRDefault="00947A6F" w:rsidP="0081370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9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F" w:rsidRPr="00CB3D1B" w:rsidRDefault="00947A6F" w:rsidP="0081370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4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F" w:rsidRPr="00CB3D1B" w:rsidRDefault="00947A6F" w:rsidP="0081370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2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F" w:rsidRPr="00CB3D1B" w:rsidRDefault="00947A6F" w:rsidP="0081370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47A6F" w:rsidRPr="00CB3D1B" w:rsidRDefault="00947A6F" w:rsidP="0081370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Solid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Carcinoma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MM1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Solid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Carcinoma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Comedocarcinoma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Overnight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CM3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Comedocarcinoma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Overnight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Tubulopapillary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Tubulopapillary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CM6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Carcinoma–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mixed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type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Explant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15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days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CM7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Carcinoma–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mixed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type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Explant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7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dayss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CM8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Comedocarcinoma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CM9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Tubulopapillary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CM10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Carcinoma–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mixed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type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CM11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Tubulopapillary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CM12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Carcinoma–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mixed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type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CM13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Carcinoma–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mixed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type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70"/>
          <w:jc w:val="center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CM14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Carcinoma–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mixed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type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82"/>
          <w:jc w:val="center"/>
        </w:trPr>
        <w:tc>
          <w:tcPr>
            <w:tcW w:w="15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CM15</w:t>
            </w:r>
          </w:p>
        </w:tc>
        <w:tc>
          <w:tcPr>
            <w:tcW w:w="2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Carcinoma–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mixed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type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</w:p>
        </w:tc>
        <w:tc>
          <w:tcPr>
            <w:tcW w:w="2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 hours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</w:tr>
      <w:tr w:rsidR="00947A6F" w:rsidRPr="00CB3D1B" w:rsidTr="0081370E">
        <w:trPr>
          <w:trHeight w:val="282"/>
          <w:jc w:val="center"/>
        </w:trPr>
        <w:tc>
          <w:tcPr>
            <w:tcW w:w="15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CM60</w:t>
            </w:r>
          </w:p>
        </w:tc>
        <w:tc>
          <w:tcPr>
            <w:tcW w:w="2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Adenosquamous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carcinoma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IV</w:t>
            </w:r>
          </w:p>
        </w:tc>
        <w:tc>
          <w:tcPr>
            <w:tcW w:w="2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 hours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82"/>
          <w:jc w:val="center"/>
        </w:trPr>
        <w:tc>
          <w:tcPr>
            <w:tcW w:w="15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CM61</w:t>
            </w:r>
          </w:p>
        </w:tc>
        <w:tc>
          <w:tcPr>
            <w:tcW w:w="2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Comedocarcinoma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Grade III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IV</w:t>
            </w:r>
          </w:p>
        </w:tc>
        <w:tc>
          <w:tcPr>
            <w:tcW w:w="2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 hours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82"/>
          <w:jc w:val="center"/>
        </w:trPr>
        <w:tc>
          <w:tcPr>
            <w:tcW w:w="15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MM3</w:t>
            </w:r>
          </w:p>
        </w:tc>
        <w:tc>
          <w:tcPr>
            <w:tcW w:w="2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CM60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Metastasis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IV</w:t>
            </w:r>
          </w:p>
        </w:tc>
        <w:tc>
          <w:tcPr>
            <w:tcW w:w="22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 hours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CB3D1B" w:rsidTr="0081370E">
        <w:trPr>
          <w:trHeight w:val="282"/>
          <w:jc w:val="center"/>
        </w:trPr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MM4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CM61 </w:t>
            </w: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Metastasis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Collagenase</w:t>
            </w:r>
            <w:proofErr w:type="spellEnd"/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IV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 hours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7A6F" w:rsidRPr="00CB3D1B" w:rsidRDefault="00947A6F" w:rsidP="008137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P10</w:t>
            </w:r>
          </w:p>
        </w:tc>
      </w:tr>
      <w:tr w:rsidR="00947A6F" w:rsidRPr="0052319C" w:rsidTr="0081370E">
        <w:trPr>
          <w:trHeight w:val="509"/>
          <w:jc w:val="center"/>
        </w:trPr>
        <w:tc>
          <w:tcPr>
            <w:tcW w:w="100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A6F" w:rsidRPr="00CB3D1B" w:rsidRDefault="00947A6F" w:rsidP="008137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</w:pPr>
            <w:r w:rsidRPr="00CB3D1B">
              <w:rPr>
                <w:rFonts w:ascii="Times New Roman" w:eastAsia="Times New Roman" w:hAnsi="Times New Roman" w:cs="Times New Roman"/>
                <w:color w:val="000000"/>
                <w:lang w:val="en-US" w:eastAsia="pt-BR"/>
              </w:rPr>
              <w:t>Neoplasms were classified following Goldschmidt et al., 2011.</w:t>
            </w:r>
          </w:p>
        </w:tc>
      </w:tr>
    </w:tbl>
    <w:p w:rsidR="00F04B83" w:rsidRPr="00D31223" w:rsidRDefault="0052319C">
      <w:pPr>
        <w:rPr>
          <w:lang w:val="en-US"/>
        </w:rPr>
      </w:pPr>
    </w:p>
    <w:p w:rsidR="00D31223" w:rsidRPr="00D31223" w:rsidRDefault="00D31223">
      <w:pPr>
        <w:rPr>
          <w:lang w:val="en-US"/>
        </w:rPr>
      </w:pPr>
    </w:p>
    <w:p w:rsidR="009B7092" w:rsidRDefault="009B7092" w:rsidP="00D31223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9B7092" w:rsidRDefault="009B7092" w:rsidP="00D31223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9B7092" w:rsidRDefault="009B7092" w:rsidP="00D31223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:rsidR="00D31223" w:rsidRPr="00CB3D1B" w:rsidRDefault="00D31223" w:rsidP="00D31223">
      <w:pPr>
        <w:spacing w:after="0" w:line="360" w:lineRule="auto"/>
        <w:jc w:val="both"/>
        <w:rPr>
          <w:rFonts w:ascii="Times New Roman" w:hAnsi="Times New Roman" w:cs="Times New Roman"/>
          <w:i/>
          <w:shd w:val="clear" w:color="auto" w:fill="FFFFFF"/>
          <w:lang w:val="en-US"/>
        </w:rPr>
      </w:pPr>
      <w:r w:rsidRPr="00CB3D1B">
        <w:rPr>
          <w:rFonts w:ascii="Times New Roman" w:hAnsi="Times New Roman" w:cs="Times New Roman"/>
          <w:shd w:val="clear" w:color="auto" w:fill="FFFFFF"/>
          <w:lang w:val="en-US"/>
        </w:rPr>
        <w:t xml:space="preserve">Table </w:t>
      </w:r>
      <w:r w:rsidR="009B7092">
        <w:rPr>
          <w:rFonts w:ascii="Times New Roman" w:hAnsi="Times New Roman" w:cs="Times New Roman"/>
          <w:shd w:val="clear" w:color="auto" w:fill="FFFFFF"/>
          <w:lang w:val="en-US"/>
        </w:rPr>
        <w:t>2</w:t>
      </w:r>
      <w:r w:rsidRPr="00CB3D1B">
        <w:rPr>
          <w:rFonts w:ascii="Times New Roman" w:hAnsi="Times New Roman" w:cs="Times New Roman"/>
          <w:shd w:val="clear" w:color="auto" w:fill="FFFFFF"/>
          <w:lang w:val="en-US"/>
        </w:rPr>
        <w:t>. Primary antibodies used in immuno</w:t>
      </w:r>
      <w:r>
        <w:rPr>
          <w:rFonts w:ascii="Times New Roman" w:hAnsi="Times New Roman" w:cs="Times New Roman"/>
          <w:shd w:val="clear" w:color="auto" w:fill="FFFFFF"/>
          <w:lang w:val="en-US"/>
        </w:rPr>
        <w:t>chemistry</w:t>
      </w:r>
      <w:r w:rsidRPr="00CB3D1B">
        <w:rPr>
          <w:rFonts w:ascii="Times New Roman" w:hAnsi="Times New Roman" w:cs="Times New Roman"/>
          <w:shd w:val="clear" w:color="auto" w:fill="FFFFFF"/>
          <w:lang w:val="en-US"/>
        </w:rPr>
        <w:t xml:space="preserve"> to characterize the </w:t>
      </w:r>
      <w:r>
        <w:rPr>
          <w:rFonts w:ascii="Times New Roman" w:hAnsi="Times New Roman" w:cs="Times New Roman"/>
          <w:shd w:val="clear" w:color="auto" w:fill="FFFFFF"/>
          <w:lang w:val="en-US"/>
        </w:rPr>
        <w:t>molecular phenotype from mammary gland tumors</w:t>
      </w:r>
      <w:r w:rsidRPr="00CB3D1B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:rsidR="00D31223" w:rsidRPr="00D31223" w:rsidRDefault="00D31223" w:rsidP="00D31223">
      <w:pPr>
        <w:spacing w:after="0" w:line="360" w:lineRule="auto"/>
        <w:jc w:val="both"/>
        <w:rPr>
          <w:rFonts w:ascii="Arial" w:hAnsi="Arial" w:cs="Arial"/>
          <w:color w:val="FF0000"/>
          <w:shd w:val="clear" w:color="auto" w:fill="FFFFFF"/>
          <w:lang w:val="en-US"/>
        </w:rPr>
      </w:pPr>
    </w:p>
    <w:tbl>
      <w:tblPr>
        <w:tblW w:w="9791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4052"/>
        <w:gridCol w:w="1118"/>
        <w:gridCol w:w="1258"/>
        <w:gridCol w:w="1719"/>
      </w:tblGrid>
      <w:tr w:rsidR="00D31223" w:rsidRPr="00CB3D1B" w:rsidTr="0081370E">
        <w:trPr>
          <w:trHeight w:val="365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CB3D1B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Antibody</w:t>
            </w:r>
            <w:proofErr w:type="spellEnd"/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CB3D1B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Manufacture</w:t>
            </w:r>
            <w:proofErr w:type="spellEnd"/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CB3D1B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Clone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CB3D1B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Dilution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CB3D1B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Imunolocalization</w:t>
            </w:r>
            <w:proofErr w:type="spellEnd"/>
          </w:p>
        </w:tc>
      </w:tr>
      <w:tr w:rsidR="00D31223" w:rsidRPr="00CB3D1B" w:rsidTr="00D31223">
        <w:tblPrEx>
          <w:tblBorders>
            <w:top w:val="none" w:sz="0" w:space="0" w:color="auto"/>
          </w:tblBorders>
        </w:tblPrEx>
        <w:trPr>
          <w:trHeight w:val="22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P63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Dako, </w:t>
            </w: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Agilent</w:t>
            </w:r>
            <w:proofErr w:type="spellEnd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Technologies, Santa Clara, CA, USA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4A4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1:100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122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Nuclei</w:t>
            </w:r>
            <w:proofErr w:type="spellEnd"/>
          </w:p>
        </w:tc>
      </w:tr>
      <w:tr w:rsidR="00D31223" w:rsidRPr="00CB3D1B" w:rsidTr="00D31223">
        <w:tblPrEx>
          <w:tblBorders>
            <w:top w:val="none" w:sz="0" w:space="0" w:color="auto"/>
          </w:tblBorders>
        </w:tblPrEx>
        <w:trPr>
          <w:trHeight w:val="22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HER2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Roche </w:t>
            </w: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Diagnostics</w:t>
            </w:r>
            <w:proofErr w:type="spellEnd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Risch-Rotkreuz</w:t>
            </w:r>
            <w:proofErr w:type="spellEnd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Suíça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4B5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1:400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Membrane</w:t>
            </w:r>
            <w:proofErr w:type="spellEnd"/>
          </w:p>
        </w:tc>
      </w:tr>
      <w:tr w:rsidR="00D31223" w:rsidRPr="00CB3D1B" w:rsidTr="00D31223">
        <w:tblPrEx>
          <w:tblBorders>
            <w:top w:val="none" w:sz="0" w:space="0" w:color="auto"/>
          </w:tblBorders>
        </w:tblPrEx>
        <w:trPr>
          <w:trHeight w:val="22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ERα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Santa Cruz </w:t>
            </w: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Biotechnology</w:t>
            </w:r>
            <w:proofErr w:type="spellEnd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®, Santa Cruz, CA, USA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C311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1:50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Nuclei</w:t>
            </w:r>
            <w:proofErr w:type="spellEnd"/>
          </w:p>
        </w:tc>
      </w:tr>
      <w:tr w:rsidR="00D31223" w:rsidRPr="00CB3D1B" w:rsidTr="00D31223">
        <w:tblPrEx>
          <w:tblBorders>
            <w:top w:val="none" w:sz="0" w:space="0" w:color="auto"/>
          </w:tblBorders>
        </w:tblPrEx>
        <w:trPr>
          <w:trHeight w:val="22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Roche </w:t>
            </w: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Diagnostics</w:t>
            </w:r>
            <w:proofErr w:type="spellEnd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Risch-Rotkreuz</w:t>
            </w:r>
            <w:proofErr w:type="spellEnd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Suíça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1E2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Prediluted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Nuclei</w:t>
            </w:r>
            <w:proofErr w:type="spellEnd"/>
          </w:p>
        </w:tc>
      </w:tr>
      <w:tr w:rsidR="00D31223" w:rsidRPr="00CB3D1B" w:rsidTr="00D31223">
        <w:tblPrEx>
          <w:tblBorders>
            <w:top w:val="none" w:sz="0" w:space="0" w:color="auto"/>
          </w:tblBorders>
        </w:tblPrEx>
        <w:trPr>
          <w:trHeight w:val="22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Ki-67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Dako, </w:t>
            </w: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Agilent</w:t>
            </w:r>
            <w:proofErr w:type="spellEnd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Technologies, Santa Clara, CA, USA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MIB1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1:50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Nuclei</w:t>
            </w:r>
            <w:proofErr w:type="spellEnd"/>
          </w:p>
        </w:tc>
      </w:tr>
      <w:tr w:rsidR="00D31223" w:rsidRPr="00CB3D1B" w:rsidTr="00D31223">
        <w:tblPrEx>
          <w:tblBorders>
            <w:top w:val="none" w:sz="0" w:space="0" w:color="auto"/>
          </w:tblBorders>
        </w:tblPrEx>
        <w:trPr>
          <w:trHeight w:val="365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CK5/6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Dako, </w:t>
            </w: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Agilent</w:t>
            </w:r>
            <w:proofErr w:type="spellEnd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Technologies, Santa Clara, CA, USA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D5/16B4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1:10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Citoplasm</w:t>
            </w:r>
            <w:proofErr w:type="spellEnd"/>
          </w:p>
        </w:tc>
      </w:tr>
      <w:tr w:rsidR="00D31223" w:rsidRPr="00CB3D1B" w:rsidTr="00D31223">
        <w:tblPrEx>
          <w:tblBorders>
            <w:top w:val="none" w:sz="0" w:space="0" w:color="auto"/>
          </w:tblBorders>
        </w:tblPrEx>
        <w:trPr>
          <w:trHeight w:val="365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EGFR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  <w:lang w:val="en-US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Invitrogen, Thermo Fisher Scientific Corporation, Carlsbad, CA, USA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31G7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1:20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D31223" w:rsidRPr="00D31223" w:rsidRDefault="00D31223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D312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Citoplasm</w:t>
            </w:r>
            <w:proofErr w:type="spellEnd"/>
          </w:p>
        </w:tc>
      </w:tr>
    </w:tbl>
    <w:p w:rsidR="009B7092" w:rsidRDefault="009B7092"/>
    <w:p w:rsidR="009B7092" w:rsidRDefault="009B7092" w:rsidP="009B7092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CB3D1B">
        <w:rPr>
          <w:rFonts w:ascii="Times New Roman" w:hAnsi="Times New Roman" w:cs="Times New Roman"/>
          <w:shd w:val="clear" w:color="auto" w:fill="FFFFFF"/>
          <w:lang w:val="en-US"/>
        </w:rPr>
        <w:t xml:space="preserve">Table </w:t>
      </w:r>
      <w:r>
        <w:rPr>
          <w:rFonts w:ascii="Times New Roman" w:hAnsi="Times New Roman" w:cs="Times New Roman"/>
          <w:shd w:val="clear" w:color="auto" w:fill="FFFFFF"/>
          <w:lang w:val="en-US"/>
        </w:rPr>
        <w:t>3</w:t>
      </w:r>
      <w:r w:rsidRPr="00CB3D1B">
        <w:rPr>
          <w:rFonts w:ascii="Times New Roman" w:hAnsi="Times New Roman" w:cs="Times New Roman"/>
          <w:shd w:val="clear" w:color="auto" w:fill="FFFFFF"/>
          <w:lang w:val="en-US"/>
        </w:rPr>
        <w:t>. Primary antibodies used in cell immunofluorescence to characterize the cell clone (cell origin) that was expanded in each culture.</w:t>
      </w:r>
    </w:p>
    <w:p w:rsidR="009B7092" w:rsidRPr="00CB3D1B" w:rsidRDefault="009B7092" w:rsidP="009B7092">
      <w:pPr>
        <w:spacing w:after="0" w:line="360" w:lineRule="auto"/>
        <w:jc w:val="both"/>
        <w:rPr>
          <w:rFonts w:ascii="Times New Roman" w:hAnsi="Times New Roman" w:cs="Times New Roman"/>
          <w:i/>
          <w:shd w:val="clear" w:color="auto" w:fill="FFFFFF"/>
          <w:lang w:val="en-US"/>
        </w:rPr>
      </w:pPr>
    </w:p>
    <w:tbl>
      <w:tblPr>
        <w:tblW w:w="9791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4052"/>
        <w:gridCol w:w="1118"/>
        <w:gridCol w:w="1258"/>
        <w:gridCol w:w="1719"/>
      </w:tblGrid>
      <w:tr w:rsidR="009B7092" w:rsidRPr="00CB3D1B" w:rsidTr="0081370E">
        <w:trPr>
          <w:trHeight w:val="365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Antibody</w:t>
            </w:r>
            <w:proofErr w:type="spellEnd"/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Manufacture</w:t>
            </w:r>
            <w:proofErr w:type="spellEnd"/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Clone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Dilution</w:t>
            </w:r>
            <w:proofErr w:type="spellEnd"/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kern w:val="1"/>
              </w:rPr>
            </w:pPr>
            <w:proofErr w:type="spellStart"/>
            <w:r w:rsidRPr="00CB3D1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Imunolocalization</w:t>
            </w:r>
            <w:proofErr w:type="spellEnd"/>
          </w:p>
        </w:tc>
      </w:tr>
      <w:tr w:rsidR="009B7092" w:rsidRPr="00CB3D1B" w:rsidTr="0081370E">
        <w:tblPrEx>
          <w:tblBorders>
            <w:top w:val="none" w:sz="0" w:space="0" w:color="auto"/>
          </w:tblBorders>
        </w:tblPrEx>
        <w:trPr>
          <w:trHeight w:val="22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B3D1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Pan-citoqueratin</w:t>
            </w:r>
            <w:proofErr w:type="spellEnd"/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3D1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Invitrogen, Thermo Fisher Scientific Corporation, Carlsbad, CA, USA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D1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AE1/AE3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D1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1:300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B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Citoplasm</w:t>
            </w:r>
            <w:proofErr w:type="spellEnd"/>
          </w:p>
        </w:tc>
      </w:tr>
      <w:tr w:rsidR="009B7092" w:rsidRPr="00CB3D1B" w:rsidTr="0081370E">
        <w:tblPrEx>
          <w:tblBorders>
            <w:top w:val="none" w:sz="0" w:space="0" w:color="auto"/>
          </w:tblBorders>
        </w:tblPrEx>
        <w:trPr>
          <w:trHeight w:val="22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9B7092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B7092">
              <w:rPr>
                <w:rFonts w:ascii="Times New Roman" w:hAnsi="Times New Roman" w:cs="Times New Roman"/>
                <w:sz w:val="18"/>
                <w:szCs w:val="18"/>
                <w:highlight w:val="darkGray"/>
                <w:shd w:val="clear" w:color="auto" w:fill="FFFFFF"/>
              </w:rPr>
              <w:lastRenderedPageBreak/>
              <w:t>Vimentin</w:t>
            </w:r>
            <w:proofErr w:type="spellEnd"/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9B7092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B70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Invitrogen, Thermo Fisher Scientific Corporation, Carlsbad, CA, USA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9B7092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darkGray"/>
              </w:rPr>
            </w:pPr>
            <w:r w:rsidRPr="009B7092">
              <w:rPr>
                <w:rFonts w:ascii="Times New Roman" w:hAnsi="Times New Roman" w:cs="Times New Roman"/>
                <w:sz w:val="18"/>
                <w:szCs w:val="18"/>
                <w:highlight w:val="darkGray"/>
                <w:shd w:val="clear" w:color="auto" w:fill="FFFFFF"/>
              </w:rPr>
              <w:t>V9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9B7092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darkGray"/>
              </w:rPr>
            </w:pPr>
            <w:r w:rsidRPr="009B7092">
              <w:rPr>
                <w:rFonts w:ascii="Times New Roman" w:hAnsi="Times New Roman" w:cs="Times New Roman"/>
                <w:sz w:val="18"/>
                <w:szCs w:val="18"/>
                <w:highlight w:val="darkGray"/>
                <w:shd w:val="clear" w:color="auto" w:fill="FFFFFF"/>
              </w:rPr>
              <w:t>1:300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9B7092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B709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Citoplasm</w:t>
            </w:r>
            <w:proofErr w:type="spellEnd"/>
          </w:p>
        </w:tc>
      </w:tr>
      <w:tr w:rsidR="009B7092" w:rsidRPr="00CB3D1B" w:rsidTr="0081370E">
        <w:tblPrEx>
          <w:tblBorders>
            <w:top w:val="none" w:sz="0" w:space="0" w:color="auto"/>
          </w:tblBorders>
        </w:tblPrEx>
        <w:trPr>
          <w:trHeight w:val="228"/>
          <w:jc w:val="center"/>
        </w:trPr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D1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CK8/18</w:t>
            </w:r>
          </w:p>
        </w:tc>
        <w:tc>
          <w:tcPr>
            <w:tcW w:w="4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3D1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Novocastra</w:t>
            </w:r>
            <w:proofErr w:type="spellEnd"/>
            <w:r w:rsidRPr="00CB3D1B">
              <w:rPr>
                <w:rStyle w:val="e24kjd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Vision </w:t>
            </w:r>
            <w:proofErr w:type="spellStart"/>
            <w:r w:rsidRPr="00CB3D1B">
              <w:rPr>
                <w:rStyle w:val="e24kjd"/>
                <w:rFonts w:ascii="Times New Roman" w:hAnsi="Times New Roman" w:cs="Times New Roman"/>
                <w:sz w:val="18"/>
                <w:szCs w:val="18"/>
                <w:lang w:val="en-US"/>
              </w:rPr>
              <w:t>BioSystems</w:t>
            </w:r>
            <w:proofErr w:type="spellEnd"/>
            <w:r w:rsidRPr="00CB3D1B">
              <w:rPr>
                <w:rStyle w:val="e24kjd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Ltd, Newcastle, UK, Europe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D1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5D3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B3D1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1:600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B7092" w:rsidRPr="00CB3D1B" w:rsidRDefault="009B7092" w:rsidP="0081370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B3D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Citoplasm</w:t>
            </w:r>
            <w:proofErr w:type="spellEnd"/>
          </w:p>
        </w:tc>
      </w:tr>
    </w:tbl>
    <w:p w:rsidR="009B7092" w:rsidRDefault="009B7092" w:rsidP="009B7092">
      <w:pPr>
        <w:spacing w:after="0" w:line="360" w:lineRule="auto"/>
        <w:jc w:val="both"/>
        <w:rPr>
          <w:rFonts w:ascii="Arial" w:hAnsi="Arial" w:cs="Arial"/>
          <w:color w:val="FF0000"/>
          <w:shd w:val="clear" w:color="auto" w:fill="FFFFFF"/>
        </w:rPr>
      </w:pPr>
    </w:p>
    <w:p w:rsidR="009B7092" w:rsidRDefault="009B7092"/>
    <w:sectPr w:rsidR="009B7092" w:rsidSect="00B35CE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E7"/>
    <w:rsid w:val="00097113"/>
    <w:rsid w:val="002E744D"/>
    <w:rsid w:val="003F69D3"/>
    <w:rsid w:val="0052319C"/>
    <w:rsid w:val="006F3BE7"/>
    <w:rsid w:val="00812C92"/>
    <w:rsid w:val="00947A6F"/>
    <w:rsid w:val="009B7092"/>
    <w:rsid w:val="00B35CE2"/>
    <w:rsid w:val="00D3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8AA38"/>
  <w15:chartTrackingRefBased/>
  <w15:docId w15:val="{C5AB54F9-2AB8-9B4B-9FB9-B72C0C5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6F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312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12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1223"/>
    <w:rPr>
      <w:sz w:val="20"/>
      <w:szCs w:val="20"/>
    </w:rPr>
  </w:style>
  <w:style w:type="character" w:customStyle="1" w:styleId="e24kjd">
    <w:name w:val="e24kjd"/>
    <w:basedOn w:val="Fontepargpadro"/>
    <w:rsid w:val="00D31223"/>
  </w:style>
  <w:style w:type="paragraph" w:styleId="Textodebalo">
    <w:name w:val="Balloon Text"/>
    <w:basedOn w:val="Normal"/>
    <w:link w:val="TextodebaloChar"/>
    <w:uiPriority w:val="99"/>
    <w:semiHidden/>
    <w:unhideWhenUsed/>
    <w:rsid w:val="00D312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223"/>
    <w:rPr>
      <w:rFonts w:ascii="Times New Roman" w:hAnsi="Times New Roman" w:cs="Times New Roman"/>
      <w:sz w:val="18"/>
      <w:szCs w:val="18"/>
    </w:rPr>
  </w:style>
  <w:style w:type="table" w:styleId="Tabelacomgrade">
    <w:name w:val="Table Grid"/>
    <w:basedOn w:val="Tabelanormal"/>
    <w:uiPriority w:val="39"/>
    <w:rsid w:val="00D3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441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6</cp:revision>
  <dcterms:created xsi:type="dcterms:W3CDTF">2019-11-26T19:21:00Z</dcterms:created>
  <dcterms:modified xsi:type="dcterms:W3CDTF">2019-12-10T21:35:00Z</dcterms:modified>
</cp:coreProperties>
</file>