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00" w:rsidRDefault="00973C00" w:rsidP="007B3EF3">
      <w:pPr>
        <w:rPr>
          <w:noProof/>
          <w:lang w:eastAsia="fr-CA"/>
        </w:rPr>
      </w:pPr>
    </w:p>
    <w:p w:rsidR="00BB65C5" w:rsidRDefault="00BB65C5" w:rsidP="007B3EF3">
      <w:pPr>
        <w:rPr>
          <w:noProof/>
          <w:lang w:eastAsia="fr-CA"/>
        </w:rPr>
      </w:pPr>
    </w:p>
    <w:p w:rsidR="00BB65C5" w:rsidRDefault="00BB65C5" w:rsidP="007B3EF3">
      <w:r w:rsidRPr="00BB65C5">
        <w:drawing>
          <wp:inline distT="0" distB="0" distL="0" distR="0">
            <wp:extent cx="5486400" cy="2338466"/>
            <wp:effectExtent l="0" t="0" r="0" b="0"/>
            <wp:docPr id="17" name="Graphique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B3EF3" w:rsidRDefault="00BB65C5">
      <w:r w:rsidRPr="00BB65C5">
        <w:drawing>
          <wp:inline distT="0" distB="0" distL="0" distR="0">
            <wp:extent cx="5486400" cy="2356780"/>
            <wp:effectExtent l="0" t="0" r="0" b="0"/>
            <wp:docPr id="18" name="Graphique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B65C5" w:rsidRDefault="00BB65C5" w:rsidP="00BB65C5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n-CA"/>
        </w:rPr>
      </w:pPr>
      <w:r w:rsidRPr="0063045B">
        <w:rPr>
          <w:rFonts w:ascii="Times New Roman" w:hAnsi="Times New Roman" w:cs="Times New Roman"/>
          <w:noProof/>
          <w:sz w:val="24"/>
          <w:szCs w:val="24"/>
          <w:lang w:val="en-CA"/>
        </w:rPr>
        <w:t>Figure 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5</w:t>
      </w:r>
      <w:r w:rsidRPr="0063045B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Relationsphip between incident light at 60 cm from the ground and median height for spruce and fir</w:t>
      </w:r>
      <w:r w:rsidRPr="00BA2D67"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seedlings established after the partial cut in </w:t>
      </w:r>
      <w:r w:rsidRPr="00BA2D67">
        <w:rPr>
          <w:rFonts w:ascii="Times New Roman" w:hAnsi="Times New Roman" w:cs="Times New Roman"/>
          <w:noProof/>
          <w:sz w:val="24"/>
          <w:szCs w:val="24"/>
          <w:lang w:val="en-CA"/>
        </w:rPr>
        <w:t>natural stands and plantations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 combined</w:t>
      </w:r>
      <w:r w:rsidRPr="00BA2D67">
        <w:rPr>
          <w:rFonts w:ascii="Times New Roman" w:hAnsi="Times New Roman" w:cs="Times New Roman"/>
          <w:noProof/>
          <w:sz w:val="24"/>
          <w:szCs w:val="24"/>
          <w:lang w:val="en-CA"/>
        </w:rPr>
        <w:t>.</w:t>
      </w:r>
      <w:r w:rsidRPr="00DC4126">
        <w:rPr>
          <w:rFonts w:ascii="Times New Roman" w:hAnsi="Times New Roman" w:cs="Times New Roman"/>
          <w:i/>
          <w:noProof/>
          <w:sz w:val="24"/>
          <w:szCs w:val="24"/>
          <w:lang w:val="en-CA"/>
        </w:rPr>
        <w:t xml:space="preserve"> </w:t>
      </w:r>
      <w:r w:rsidRPr="000B7CD1">
        <w:rPr>
          <w:rFonts w:ascii="Times New Roman" w:hAnsi="Times New Roman" w:cs="Times New Roman"/>
          <w:i/>
          <w:noProof/>
          <w:sz w:val="24"/>
          <w:szCs w:val="24"/>
          <w:lang w:val="en-CA"/>
        </w:rPr>
        <w:t>n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 xml:space="preserve">=1420 for fir and </w:t>
      </w:r>
      <w:r w:rsidRPr="000B7CD1">
        <w:rPr>
          <w:rFonts w:ascii="Times New Roman" w:hAnsi="Times New Roman" w:cs="Times New Roman"/>
          <w:i/>
          <w:noProof/>
          <w:sz w:val="24"/>
          <w:szCs w:val="24"/>
          <w:lang w:val="en-CA"/>
        </w:rPr>
        <w:t>n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=529 for spruce in total 1700 subunits of 4 m</w:t>
      </w:r>
      <w:r w:rsidRPr="00047F3B">
        <w:rPr>
          <w:rFonts w:ascii="Times New Roman" w:hAnsi="Times New Roman" w:cs="Times New Roman"/>
          <w:noProof/>
          <w:sz w:val="24"/>
          <w:szCs w:val="24"/>
          <w:vertAlign w:val="superscript"/>
          <w:lang w:val="en-CA"/>
        </w:rPr>
        <w:t>2</w:t>
      </w:r>
      <w:r>
        <w:rPr>
          <w:rFonts w:ascii="Times New Roman" w:hAnsi="Times New Roman" w:cs="Times New Roman"/>
          <w:noProof/>
          <w:sz w:val="24"/>
          <w:szCs w:val="24"/>
          <w:lang w:val="en-CA"/>
        </w:rPr>
        <w:t>.</w:t>
      </w:r>
    </w:p>
    <w:p w:rsidR="007B3EF3" w:rsidRDefault="007B3EF3"/>
    <w:p w:rsidR="007B3EF3" w:rsidRDefault="007B3EF3"/>
    <w:p w:rsidR="007B3EF3" w:rsidRDefault="007B3EF3"/>
    <w:p w:rsidR="007B3EF3" w:rsidRDefault="007B3EF3"/>
    <w:p w:rsidR="007B3EF3" w:rsidRDefault="007B3EF3"/>
    <w:sectPr w:rsidR="007B3EF3" w:rsidSect="00973C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07C55"/>
    <w:rsid w:val="001241AD"/>
    <w:rsid w:val="002915A7"/>
    <w:rsid w:val="00307C55"/>
    <w:rsid w:val="00584F75"/>
    <w:rsid w:val="007B3EF3"/>
    <w:rsid w:val="00973C00"/>
    <w:rsid w:val="00BB65C5"/>
    <w:rsid w:val="00D55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C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B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urent\Documents\Doctorat\fichiers%20donn&#233;es%20terrain\vieilles%20for&#234;ts%20&#233;claircies\REG&#201;N&#201;RATION\R&#233;sultats\Fichiers%20R\fichiers%20lumi&#232;re%20hauteur_nbr%20graines_semencier\lumi&#232;re_hauteur_graphiques%20r&#233;gressio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urent\Documents\Doctorat\fichiers%20donn&#233;es%20terrain\vieilles%20for&#234;ts%20&#233;claircies\REG&#201;N&#201;RATION\R&#233;sultats\Fichiers%20R\fichiers%20lumi&#232;re%20hauteur_nbr%20graines_semencier\lumi&#232;re_hauteur_graphiques%20r&#233;gress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title>
      <c:tx>
        <c:rich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r>
              <a:rPr lang="en-US" sz="1400" b="1">
                <a:latin typeface="Times New Roman" pitchFamily="18" charset="0"/>
                <a:cs typeface="Times New Roman" pitchFamily="18" charset="0"/>
              </a:rPr>
              <a:t>Spruce</a:t>
            </a:r>
          </a:p>
        </c:rich>
      </c:tx>
      <c:layout>
        <c:manualLayout>
          <c:xMode val="edge"/>
          <c:yMode val="edge"/>
          <c:x val="0.11728395061728408"/>
          <c:y val="2.7397260273972612E-2"/>
        </c:manualLayout>
      </c:layout>
    </c:title>
    <c:plotArea>
      <c:layout>
        <c:manualLayout>
          <c:layoutTarget val="inner"/>
          <c:xMode val="edge"/>
          <c:yMode val="edge"/>
          <c:x val="8.9537357051505201E-2"/>
          <c:y val="5.3124078668248698E-2"/>
          <c:w val="0.86860848553677394"/>
          <c:h val="0.72346528601732996"/>
        </c:manualLayout>
      </c:layout>
      <c:scatterChart>
        <c:scatterStyle val="lineMarker"/>
        <c:ser>
          <c:idx val="0"/>
          <c:order val="0"/>
          <c:tx>
            <c:strRef>
              <c:f>graphiques!$BA$49</c:f>
              <c:strCache>
                <c:ptCount val="1"/>
                <c:pt idx="0">
                  <c:v>épinettes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</c:trendline>
          <c:trendline>
            <c:trendlineType val="linear"/>
            <c:dispRSqr val="1"/>
            <c:dispEq val="1"/>
            <c:trendlineLbl>
              <c:layout>
                <c:manualLayout>
                  <c:x val="7.9961764038754424E-3"/>
                  <c:y val="0.35783482544133999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aseline="0"/>
                      <a:t>y = 0.5984x + 11.701
R² = 0.41</a:t>
                    </a:r>
                  </a:p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aseline="0"/>
                      <a:t>p=0.018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graphiques!$AZ$50:$AZ$62</c:f>
              <c:numCache>
                <c:formatCode>General</c:formatCode>
                <c:ptCount val="13"/>
                <c:pt idx="0">
                  <c:v>3</c:v>
                </c:pt>
                <c:pt idx="1">
                  <c:v>4</c:v>
                </c:pt>
                <c:pt idx="2">
                  <c:v>5</c:v>
                </c:pt>
                <c:pt idx="3">
                  <c:v>6</c:v>
                </c:pt>
                <c:pt idx="4">
                  <c:v>7</c:v>
                </c:pt>
                <c:pt idx="5">
                  <c:v>8</c:v>
                </c:pt>
                <c:pt idx="6">
                  <c:v>9</c:v>
                </c:pt>
                <c:pt idx="7">
                  <c:v>10</c:v>
                </c:pt>
                <c:pt idx="8">
                  <c:v>11</c:v>
                </c:pt>
                <c:pt idx="9">
                  <c:v>12</c:v>
                </c:pt>
                <c:pt idx="10">
                  <c:v>13</c:v>
                </c:pt>
                <c:pt idx="11">
                  <c:v>14</c:v>
                </c:pt>
                <c:pt idx="12">
                  <c:v>15</c:v>
                </c:pt>
              </c:numCache>
            </c:numRef>
          </c:xVal>
          <c:yVal>
            <c:numRef>
              <c:f>graphiques!$BA$50:$BA$62</c:f>
              <c:numCache>
                <c:formatCode>General</c:formatCode>
                <c:ptCount val="13"/>
                <c:pt idx="0">
                  <c:v>13.550581395348802</c:v>
                </c:pt>
                <c:pt idx="1">
                  <c:v>13.1935160427808</c:v>
                </c:pt>
                <c:pt idx="2">
                  <c:v>14.970221431237698</c:v>
                </c:pt>
                <c:pt idx="3">
                  <c:v>14.612830051892599</c:v>
                </c:pt>
                <c:pt idx="4">
                  <c:v>16.0595761261382</c:v>
                </c:pt>
                <c:pt idx="5">
                  <c:v>17.687380952381002</c:v>
                </c:pt>
                <c:pt idx="6">
                  <c:v>17.290584415584405</c:v>
                </c:pt>
                <c:pt idx="7">
                  <c:v>13.269687500000002</c:v>
                </c:pt>
                <c:pt idx="8">
                  <c:v>25.5675595238095</c:v>
                </c:pt>
                <c:pt idx="9">
                  <c:v>18.375</c:v>
                </c:pt>
                <c:pt idx="10">
                  <c:v>19.513333333333293</c:v>
                </c:pt>
                <c:pt idx="11">
                  <c:v>16.102198937426195</c:v>
                </c:pt>
                <c:pt idx="12">
                  <c:v>21.936282051282099</c:v>
                </c:pt>
              </c:numCache>
            </c:numRef>
          </c:yVal>
        </c:ser>
        <c:axId val="86357888"/>
        <c:axId val="86582784"/>
      </c:scatterChart>
      <c:valAx>
        <c:axId val="86357888"/>
        <c:scaling>
          <c:orientation val="minMax"/>
          <c:max val="15"/>
        </c:scaling>
        <c:axPos val="b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Incident light (%)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86582784"/>
        <c:crosses val="autoZero"/>
        <c:crossBetween val="midCat"/>
        <c:majorUnit val="1"/>
        <c:minorUnit val="0.4"/>
      </c:valAx>
      <c:valAx>
        <c:axId val="86582784"/>
        <c:scaling>
          <c:orientation val="minMax"/>
          <c:max val="25"/>
        </c:scaling>
        <c:axPos val="l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Median</a:t>
                </a:r>
                <a:r>
                  <a:rPr lang="fr-CA" baseline="0">
                    <a:latin typeface="Times New Roman" pitchFamily="18" charset="0"/>
                    <a:cs typeface="Times New Roman" pitchFamily="18" charset="0"/>
                  </a:rPr>
                  <a:t> height (cm)</a:t>
                </a:r>
                <a:endParaRPr lang="fr-CA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3.5273514541490029E-3"/>
              <c:y val="0.21477243221337763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86357888"/>
        <c:crosses val="autoZero"/>
        <c:crossBetween val="midCat"/>
        <c:majorUnit val="5"/>
        <c:minorUnit val="1"/>
      </c:valAx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CA"/>
  <c:chart>
    <c:title>
      <c:tx>
        <c:rich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r>
              <a:rPr lang="en-US" sz="1400" b="1" baseline="0">
                <a:latin typeface="Times New Roman" pitchFamily="18" charset="0"/>
                <a:cs typeface="Times New Roman" pitchFamily="18" charset="0"/>
              </a:rPr>
              <a:t>Fir</a:t>
            </a:r>
            <a:endParaRPr lang="en-US" sz="1400" b="1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13186845004946"/>
          <c:y val="0"/>
        </c:manualLayout>
      </c:layout>
    </c:title>
    <c:plotArea>
      <c:layout>
        <c:manualLayout>
          <c:layoutTarget val="inner"/>
          <c:xMode val="edge"/>
          <c:yMode val="edge"/>
          <c:x val="9.6263260759412245E-2"/>
          <c:y val="3.2391574622966442E-2"/>
          <c:w val="0.87091246893423258"/>
          <c:h val="0.75590731364530195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6.3584084675830333E-3"/>
                  <c:y val="0.35863781329393302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baseline="0"/>
                      <a:t>y = 0.313x + 15.0116
R² = 0.19</a:t>
                    </a:r>
                  </a:p>
                  <a:p>
                    <a:pPr>
                      <a:defRPr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i="1" baseline="0"/>
                      <a:t>p</a:t>
                    </a:r>
                    <a:r>
                      <a:rPr lang="en-US" baseline="0"/>
                      <a:t>=0.14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trendline>
            <c:trendlineType val="linear"/>
          </c:trendline>
          <c:xVal>
            <c:numRef>
              <c:f>graphiques!$AX$50:$AX$62</c:f>
              <c:numCache>
                <c:formatCode>General</c:formatCode>
                <c:ptCount val="13"/>
                <c:pt idx="0">
                  <c:v>3</c:v>
                </c:pt>
                <c:pt idx="1">
                  <c:v>4</c:v>
                </c:pt>
                <c:pt idx="2">
                  <c:v>5</c:v>
                </c:pt>
                <c:pt idx="3">
                  <c:v>6</c:v>
                </c:pt>
                <c:pt idx="4">
                  <c:v>7</c:v>
                </c:pt>
                <c:pt idx="5">
                  <c:v>8</c:v>
                </c:pt>
                <c:pt idx="6">
                  <c:v>9</c:v>
                </c:pt>
                <c:pt idx="7">
                  <c:v>10</c:v>
                </c:pt>
                <c:pt idx="8">
                  <c:v>11</c:v>
                </c:pt>
                <c:pt idx="9">
                  <c:v>12</c:v>
                </c:pt>
                <c:pt idx="10">
                  <c:v>13</c:v>
                </c:pt>
                <c:pt idx="11">
                  <c:v>14</c:v>
                </c:pt>
                <c:pt idx="12">
                  <c:v>15</c:v>
                </c:pt>
              </c:numCache>
            </c:numRef>
          </c:xVal>
          <c:yVal>
            <c:numRef>
              <c:f>graphiques!$AY$50:$AY$62</c:f>
              <c:numCache>
                <c:formatCode>General</c:formatCode>
                <c:ptCount val="13"/>
                <c:pt idx="0">
                  <c:v>14.593155783794899</c:v>
                </c:pt>
                <c:pt idx="1">
                  <c:v>13.4332835867579</c:v>
                </c:pt>
                <c:pt idx="2">
                  <c:v>16.641831160432709</c:v>
                </c:pt>
                <c:pt idx="3">
                  <c:v>17.926377452711197</c:v>
                </c:pt>
                <c:pt idx="4">
                  <c:v>20.564534313097202</c:v>
                </c:pt>
                <c:pt idx="5">
                  <c:v>19.539583690056201</c:v>
                </c:pt>
                <c:pt idx="6">
                  <c:v>21.771094709167802</c:v>
                </c:pt>
                <c:pt idx="7">
                  <c:v>16.930588665303802</c:v>
                </c:pt>
                <c:pt idx="8">
                  <c:v>15.712985170135099</c:v>
                </c:pt>
                <c:pt idx="9">
                  <c:v>15.8181182543356</c:v>
                </c:pt>
                <c:pt idx="10">
                  <c:v>21.477123806867194</c:v>
                </c:pt>
                <c:pt idx="11">
                  <c:v>16.058971974557</c:v>
                </c:pt>
                <c:pt idx="12">
                  <c:v>21.783283061057798</c:v>
                </c:pt>
              </c:numCache>
            </c:numRef>
          </c:yVal>
        </c:ser>
        <c:axId val="122743040"/>
        <c:axId val="132726784"/>
      </c:scatterChart>
      <c:valAx>
        <c:axId val="122743040"/>
        <c:scaling>
          <c:orientation val="minMax"/>
          <c:max val="15"/>
        </c:scaling>
        <c:axPos val="b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Incident light (%)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32726784"/>
        <c:crosses val="autoZero"/>
        <c:crossBetween val="midCat"/>
        <c:majorUnit val="1"/>
        <c:minorUnit val="0.4"/>
      </c:valAx>
      <c:valAx>
        <c:axId val="132726784"/>
        <c:scaling>
          <c:orientation val="minMax"/>
        </c:scaling>
        <c:axPos val="l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fr-CA">
                    <a:latin typeface="Times New Roman" pitchFamily="18" charset="0"/>
                    <a:cs typeface="Times New Roman" pitchFamily="18" charset="0"/>
                  </a:rPr>
                  <a:t>Median</a:t>
                </a:r>
                <a:r>
                  <a:rPr lang="fr-CA" baseline="0">
                    <a:latin typeface="Times New Roman" pitchFamily="18" charset="0"/>
                    <a:cs typeface="Times New Roman" pitchFamily="18" charset="0"/>
                  </a:rPr>
                  <a:t> height (cm)</a:t>
                </a:r>
                <a:endParaRPr lang="fr-CA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6.2299504228638164E-4"/>
              <c:y val="0.16232030820931923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fr-FR"/>
          </a:p>
        </c:txPr>
        <c:crossAx val="122743040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4</cp:revision>
  <dcterms:created xsi:type="dcterms:W3CDTF">2018-04-20T20:50:00Z</dcterms:created>
  <dcterms:modified xsi:type="dcterms:W3CDTF">2018-08-18T19:55:00Z</dcterms:modified>
</cp:coreProperties>
</file>