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00" w:rsidRDefault="00973C00"/>
    <w:p w:rsidR="00025D11" w:rsidRDefault="00025D11"/>
    <w:p w:rsidR="00025D11" w:rsidRDefault="00025D11">
      <w:r w:rsidRPr="00025D11">
        <w:drawing>
          <wp:inline distT="0" distB="0" distL="0" distR="0">
            <wp:extent cx="5402687" cy="2852670"/>
            <wp:effectExtent l="0" t="0" r="0" b="0"/>
            <wp:docPr id="9" name="Graphique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32B68" w:rsidRDefault="00D32B68"/>
    <w:p w:rsidR="00150997" w:rsidRDefault="00025D11">
      <w:r w:rsidRPr="00025D11">
        <w:drawing>
          <wp:inline distT="0" distB="0" distL="0" distR="0">
            <wp:extent cx="5338293" cy="2768958"/>
            <wp:effectExtent l="0" t="0" r="0" b="0"/>
            <wp:docPr id="10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32B68" w:rsidRPr="00025D11" w:rsidRDefault="00150997" w:rsidP="00025D11">
      <w:pPr>
        <w:jc w:val="both"/>
        <w:rPr>
          <w:rFonts w:ascii="Times New Roman" w:hAnsi="Times New Roman" w:cs="Times New Roman"/>
          <w:noProof/>
          <w:sz w:val="24"/>
          <w:szCs w:val="24"/>
          <w:lang w:val="en-CA"/>
        </w:rPr>
      </w:pP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>Figure 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3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Seedlings density (fir: white bar and spruce: black bar)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before and after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partial cut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for natural stands and plantations. Lower-case letters indicate a significant difference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before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vs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after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partial cut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for a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given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species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in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each stand type, while asterisk indicate a significant difference between species for each stand type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in a given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period. </w:t>
      </w:r>
    </w:p>
    <w:p w:rsidR="00D32B68" w:rsidRDefault="00D32B68"/>
    <w:sectPr w:rsidR="00D32B68" w:rsidSect="00973C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32B68"/>
    <w:rsid w:val="00025D11"/>
    <w:rsid w:val="00136C09"/>
    <w:rsid w:val="00150997"/>
    <w:rsid w:val="004D62A9"/>
    <w:rsid w:val="006B3E3A"/>
    <w:rsid w:val="00776D19"/>
    <w:rsid w:val="00877D4B"/>
    <w:rsid w:val="00973C00"/>
    <w:rsid w:val="00B25A7C"/>
    <w:rsid w:val="00C7756E"/>
    <w:rsid w:val="00D3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2B68"/>
    <w:rPr>
      <w:rFonts w:ascii="Times New Roman" w:eastAsiaTheme="minorEastAsia" w:hAnsi="Times New Roman" w:cs="Times New Roman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9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Laurent\Documents\Doctorat\fichiers%20donn&#233;es%20terrain\vieilles%20for&#234;ts%20&#233;claircies\REG&#201;N&#201;RATION\R&#233;sultats\figures_tableaux_manuscrit\figure%20nbr_semis%20_ha_sites%20regroup&#233;s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Laurent\Documents\Doctorat\fichiers%20donn&#233;es%20terrain\vieilles%20for&#234;ts%20&#233;claircies\REG&#201;N&#201;RATION\R&#233;sultats\figures_tableaux_manuscrit\figure%20nbr_semis%20_ha_sites%20regroup&#233;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fr-CA">
                <a:latin typeface="Times New Roman" pitchFamily="18" charset="0"/>
                <a:cs typeface="Times New Roman" pitchFamily="18" charset="0"/>
              </a:rPr>
              <a:t>Natural stands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0.1223814502532011"/>
          <c:y val="0.17605123691945443"/>
          <c:w val="0.85932914923188264"/>
          <c:h val="0.59028167407460452"/>
        </c:manualLayout>
      </c:layout>
      <c:barChart>
        <c:barDir val="col"/>
        <c:grouping val="clustered"/>
        <c:ser>
          <c:idx val="0"/>
          <c:order val="0"/>
          <c:tx>
            <c:strRef>
              <c:f>figure_nat_plant!$Q$9</c:f>
              <c:strCache>
                <c:ptCount val="1"/>
                <c:pt idx="0">
                  <c:v>Fir</c:v>
                </c:pt>
              </c:strCache>
            </c:strRef>
          </c:tx>
          <c:spPr>
            <a:solidFill>
              <a:schemeClr val="bg1"/>
            </a:solidFill>
            <a:ln>
              <a:solidFill>
                <a:prstClr val="black"/>
              </a:solidFill>
            </a:ln>
          </c:spPr>
          <c:cat>
            <c:multiLvlStrRef>
              <c:f>figure_nat_plant!$R$7:$S$8</c:f>
              <c:multiLvlStrCache>
                <c:ptCount val="2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</c:lvl>
              </c:multiLvlStrCache>
            </c:multiLvlStrRef>
          </c:cat>
          <c:val>
            <c:numRef>
              <c:f>figure_nat_plant!$R$9:$S$9</c:f>
              <c:numCache>
                <c:formatCode>General</c:formatCode>
                <c:ptCount val="2"/>
                <c:pt idx="0">
                  <c:v>13586.363636363614</c:v>
                </c:pt>
                <c:pt idx="1">
                  <c:v>70806.818181818177</c:v>
                </c:pt>
              </c:numCache>
            </c:numRef>
          </c:val>
        </c:ser>
        <c:ser>
          <c:idx val="1"/>
          <c:order val="1"/>
          <c:tx>
            <c:strRef>
              <c:f>figure_nat_plant!$Q$10</c:f>
              <c:strCache>
                <c:ptCount val="1"/>
                <c:pt idx="0">
                  <c:v>Spruce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multiLvlStrRef>
              <c:f>figure_nat_plant!$R$7:$S$8</c:f>
              <c:multiLvlStrCache>
                <c:ptCount val="2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</c:lvl>
              </c:multiLvlStrCache>
            </c:multiLvlStrRef>
          </c:cat>
          <c:val>
            <c:numRef>
              <c:f>figure_nat_plant!$R$10:$S$10</c:f>
              <c:numCache>
                <c:formatCode>General</c:formatCode>
                <c:ptCount val="2"/>
                <c:pt idx="0">
                  <c:v>895.45454545454538</c:v>
                </c:pt>
                <c:pt idx="1">
                  <c:v>3127.2727272727275</c:v>
                </c:pt>
              </c:numCache>
            </c:numRef>
          </c:val>
        </c:ser>
        <c:axId val="88920448"/>
        <c:axId val="89065728"/>
      </c:barChart>
      <c:catAx>
        <c:axId val="88920448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9065728"/>
        <c:crosses val="autoZero"/>
        <c:auto val="1"/>
        <c:lblAlgn val="ctr"/>
        <c:lblOffset val="100"/>
      </c:catAx>
      <c:valAx>
        <c:axId val="89065728"/>
        <c:scaling>
          <c:orientation val="minMax"/>
          <c:max val="5000"/>
        </c:scaling>
        <c:axPos val="l"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Number of seedlings/ha</a:t>
                </a:r>
              </a:p>
            </c:rich>
          </c:tx>
          <c:layout>
            <c:manualLayout>
              <c:xMode val="edge"/>
              <c:yMode val="edge"/>
              <c:x val="1.8688848715463281E-3"/>
              <c:y val="0.1520435241370367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89204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4300363788764088"/>
          <c:y val="1.4468230323108504E-2"/>
          <c:w val="0.14524153485833924"/>
          <c:h val="0.14039093200405234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fr-FR"/>
        </a:p>
      </c:txPr>
    </c:legend>
    <c:plotVisOnly val="1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plotArea>
      <c:layout>
        <c:manualLayout>
          <c:layoutTarget val="inner"/>
          <c:xMode val="edge"/>
          <c:yMode val="edge"/>
          <c:x val="0.12716218461594372"/>
          <c:y val="0.13960591388445306"/>
          <c:w val="0.84678360666977393"/>
          <c:h val="0.65145884312840008"/>
        </c:manualLayout>
      </c:layout>
      <c:barChart>
        <c:barDir val="col"/>
        <c:grouping val="clustered"/>
        <c:ser>
          <c:idx val="0"/>
          <c:order val="0"/>
          <c:tx>
            <c:strRef>
              <c:f>figure_nat_plant!$W$9</c:f>
              <c:strCache>
                <c:ptCount val="1"/>
                <c:pt idx="0">
                  <c:v>Fir</c:v>
                </c:pt>
              </c:strCache>
            </c:strRef>
          </c:tx>
          <c:spPr>
            <a:solidFill>
              <a:schemeClr val="lt1"/>
            </a:solidFill>
            <a:ln>
              <a:solidFill>
                <a:schemeClr val="tx1"/>
              </a:solidFill>
            </a:ln>
          </c:spPr>
          <c:cat>
            <c:multiLvlStrRef>
              <c:f>figure_nat_plant!$X$7:$Y$8</c:f>
              <c:multiLvlStrCache>
                <c:ptCount val="2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</c:lvl>
              </c:multiLvlStrCache>
            </c:multiLvlStrRef>
          </c:cat>
          <c:val>
            <c:numRef>
              <c:f>figure_nat_plant!$X$9:$Y$9</c:f>
              <c:numCache>
                <c:formatCode>General</c:formatCode>
                <c:ptCount val="2"/>
                <c:pt idx="0">
                  <c:v>4066.6666666666592</c:v>
                </c:pt>
                <c:pt idx="1">
                  <c:v>1350</c:v>
                </c:pt>
              </c:numCache>
            </c:numRef>
          </c:val>
        </c:ser>
        <c:ser>
          <c:idx val="1"/>
          <c:order val="1"/>
          <c:tx>
            <c:strRef>
              <c:f>figure_nat_plant!$W$10</c:f>
              <c:strCache>
                <c:ptCount val="1"/>
                <c:pt idx="0">
                  <c:v>Spruce</c:v>
                </c:pt>
              </c:strCache>
            </c:strRef>
          </c:tx>
          <c:spPr>
            <a:solidFill>
              <a:schemeClr val="tx1"/>
            </a:solidFill>
            <a:ln>
              <a:solidFill>
                <a:prstClr val="black"/>
              </a:solidFill>
            </a:ln>
          </c:spPr>
          <c:cat>
            <c:multiLvlStrRef>
              <c:f>figure_nat_plant!$X$7:$Y$8</c:f>
              <c:multiLvlStrCache>
                <c:ptCount val="2"/>
                <c:lvl>
                  <c:pt idx="0">
                    <c:v>Established before</c:v>
                  </c:pt>
                  <c:pt idx="1">
                    <c:v>Established after</c:v>
                  </c:pt>
                </c:lvl>
                <c:lvl>
                  <c:pt idx="0">
                    <c:v>partial cut</c:v>
                  </c:pt>
                  <c:pt idx="1">
                    <c:v>partial cut</c:v>
                  </c:pt>
                </c:lvl>
              </c:multiLvlStrCache>
            </c:multiLvlStrRef>
          </c:cat>
          <c:val>
            <c:numRef>
              <c:f>figure_nat_plant!$X$10:$Y$10</c:f>
              <c:numCache>
                <c:formatCode>General</c:formatCode>
                <c:ptCount val="2"/>
                <c:pt idx="0">
                  <c:v>175</c:v>
                </c:pt>
                <c:pt idx="1">
                  <c:v>658.3333333333336</c:v>
                </c:pt>
              </c:numCache>
            </c:numRef>
          </c:val>
        </c:ser>
        <c:axId val="106979712"/>
        <c:axId val="106981248"/>
      </c:barChart>
      <c:catAx>
        <c:axId val="106979712"/>
        <c:scaling>
          <c:orientation val="minMax"/>
        </c:scaling>
        <c:axPos val="b"/>
        <c:majorTickMark val="none"/>
        <c:tickLblPos val="nextTo"/>
        <c:crossAx val="106981248"/>
        <c:crosses val="autoZero"/>
        <c:auto val="1"/>
        <c:lblAlgn val="ctr"/>
        <c:lblOffset val="100"/>
      </c:catAx>
      <c:valAx>
        <c:axId val="106981248"/>
        <c:scaling>
          <c:orientation val="minMax"/>
          <c:max val="5000"/>
        </c:scaling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Number of seedlings/ha</a:t>
                </a:r>
              </a:p>
            </c:rich>
          </c:tx>
          <c:layout>
            <c:manualLayout>
              <c:xMode val="edge"/>
              <c:yMode val="edge"/>
              <c:x val="2.2081965152531005E-3"/>
              <c:y val="0.13261450697338117"/>
            </c:manualLayout>
          </c:layout>
        </c:title>
        <c:numFmt formatCode="General" sourceLinked="1"/>
        <c:tickLblPos val="nextTo"/>
        <c:crossAx val="1069797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172353455818417"/>
          <c:y val="3.3833168336536352E-3"/>
          <c:w val="0.14827646544181991"/>
          <c:h val="0.13513892229495703"/>
        </c:manualLayout>
      </c:layout>
      <c:txPr>
        <a:bodyPr/>
        <a:lstStyle/>
        <a:p>
          <a:pPr>
            <a:defRPr sz="1200"/>
          </a:pPr>
          <a:endParaRPr lang="fr-FR"/>
        </a:p>
      </c:txPr>
    </c:legend>
    <c:plotVisOnly val="1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fr-FR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0.21914</cdr:x>
      <cdr:y>0.17574</cdr:y>
    </cdr:from>
    <cdr:to>
      <cdr:x>0.32934</cdr:x>
      <cdr:y>0.17574</cdr:y>
    </cdr:to>
    <cdr:sp macro="" textlink="">
      <cdr:nvSpPr>
        <cdr:cNvPr id="3" name="Connecteur droit 2"/>
        <cdr:cNvSpPr/>
      </cdr:nvSpPr>
      <cdr:spPr>
        <a:xfrm xmlns:a="http://schemas.openxmlformats.org/drawingml/2006/main">
          <a:off x="1183820" y="483054"/>
          <a:ext cx="595313" cy="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fr-FR"/>
        </a:p>
      </cdr:txBody>
    </cdr:sp>
  </cdr:relSizeAnchor>
  <cdr:relSizeAnchor xmlns:cdr="http://schemas.openxmlformats.org/drawingml/2006/chartDrawing">
    <cdr:from>
      <cdr:x>0.22135</cdr:x>
      <cdr:y>0.1946</cdr:y>
    </cdr:from>
    <cdr:to>
      <cdr:x>0.33155</cdr:x>
      <cdr:y>0.31156</cdr:y>
    </cdr:to>
    <cdr:sp macro="" textlink="">
      <cdr:nvSpPr>
        <cdr:cNvPr id="4" name="ZoneTexte 3"/>
        <cdr:cNvSpPr txBox="1"/>
      </cdr:nvSpPr>
      <cdr:spPr>
        <a:xfrm xmlns:a="http://schemas.openxmlformats.org/drawingml/2006/main">
          <a:off x="1195727" y="586861"/>
          <a:ext cx="595312" cy="3527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13586</a:t>
          </a:r>
        </a:p>
      </cdr:txBody>
    </cdr:sp>
  </cdr:relSizeAnchor>
  <cdr:relSizeAnchor xmlns:cdr="http://schemas.openxmlformats.org/drawingml/2006/chartDrawing">
    <cdr:from>
      <cdr:x>0.64893</cdr:x>
      <cdr:y>0.17574</cdr:y>
    </cdr:from>
    <cdr:to>
      <cdr:x>0.76354</cdr:x>
      <cdr:y>0.17574</cdr:y>
    </cdr:to>
    <cdr:sp macro="" textlink="">
      <cdr:nvSpPr>
        <cdr:cNvPr id="6" name="Connecteur droit 5"/>
        <cdr:cNvSpPr/>
      </cdr:nvSpPr>
      <cdr:spPr>
        <a:xfrm xmlns:a="http://schemas.openxmlformats.org/drawingml/2006/main">
          <a:off x="3505538" y="483054"/>
          <a:ext cx="619125" cy="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fr-FR"/>
        </a:p>
      </cdr:txBody>
    </cdr:sp>
  </cdr:relSizeAnchor>
  <cdr:relSizeAnchor xmlns:cdr="http://schemas.openxmlformats.org/drawingml/2006/chartDrawing">
    <cdr:from>
      <cdr:x>0.65113</cdr:x>
      <cdr:y>0.18441</cdr:y>
    </cdr:from>
    <cdr:to>
      <cdr:x>0.76383</cdr:x>
      <cdr:y>0.27537</cdr:y>
    </cdr:to>
    <cdr:sp macro="" textlink="">
      <cdr:nvSpPr>
        <cdr:cNvPr id="7" name="ZoneTexte 6"/>
        <cdr:cNvSpPr txBox="1"/>
      </cdr:nvSpPr>
      <cdr:spPr>
        <a:xfrm xmlns:a="http://schemas.openxmlformats.org/drawingml/2006/main">
          <a:off x="3517851" y="526061"/>
          <a:ext cx="608875" cy="2594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70806</a:t>
          </a:r>
        </a:p>
      </cdr:txBody>
    </cdr:sp>
  </cdr:relSizeAnchor>
  <cdr:relSizeAnchor xmlns:cdr="http://schemas.openxmlformats.org/drawingml/2006/chartDrawing">
    <cdr:from>
      <cdr:x>0.25661</cdr:x>
      <cdr:y>0.57249</cdr:y>
    </cdr:from>
    <cdr:to>
      <cdr:x>0.32714</cdr:x>
      <cdr:y>0.68079</cdr:y>
    </cdr:to>
    <cdr:sp macro="" textlink="">
      <cdr:nvSpPr>
        <cdr:cNvPr id="8" name="ZoneTexte 7"/>
        <cdr:cNvSpPr txBox="1"/>
      </cdr:nvSpPr>
      <cdr:spPr>
        <a:xfrm xmlns:a="http://schemas.openxmlformats.org/drawingml/2006/main">
          <a:off x="1386207" y="1726461"/>
          <a:ext cx="381006" cy="32659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4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0.36461</cdr:x>
      <cdr:y>0.56778</cdr:y>
    </cdr:from>
    <cdr:to>
      <cdr:x>0.43293</cdr:x>
      <cdr:y>0.65874</cdr:y>
    </cdr:to>
    <cdr:sp macro="" textlink="">
      <cdr:nvSpPr>
        <cdr:cNvPr id="9" name="ZoneTexte 8"/>
        <cdr:cNvSpPr txBox="1"/>
      </cdr:nvSpPr>
      <cdr:spPr>
        <a:xfrm xmlns:a="http://schemas.openxmlformats.org/drawingml/2006/main">
          <a:off x="1969659" y="1712255"/>
          <a:ext cx="369067" cy="27430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400">
              <a:latin typeface="Times New Roman" pitchFamily="18" charset="0"/>
              <a:cs typeface="Times New Roman" pitchFamily="18" charset="0"/>
            </a:rPr>
            <a:t>a*</a:t>
          </a:r>
        </a:p>
      </cdr:txBody>
    </cdr:sp>
  </cdr:relSizeAnchor>
  <cdr:relSizeAnchor xmlns:cdr="http://schemas.openxmlformats.org/drawingml/2006/chartDrawing">
    <cdr:from>
      <cdr:x>0.66877</cdr:x>
      <cdr:y>0.29297</cdr:y>
    </cdr:from>
    <cdr:to>
      <cdr:x>0.7415</cdr:x>
      <cdr:y>0.40126</cdr:y>
    </cdr:to>
    <cdr:sp macro="" textlink="">
      <cdr:nvSpPr>
        <cdr:cNvPr id="10" name="ZoneTexte 9"/>
        <cdr:cNvSpPr txBox="1"/>
      </cdr:nvSpPr>
      <cdr:spPr>
        <a:xfrm xmlns:a="http://schemas.openxmlformats.org/drawingml/2006/main">
          <a:off x="3612720" y="883513"/>
          <a:ext cx="392890" cy="3265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4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0.79219</cdr:x>
      <cdr:y>0.29857</cdr:y>
    </cdr:from>
    <cdr:to>
      <cdr:x>0.86272</cdr:x>
      <cdr:y>0.40685</cdr:y>
    </cdr:to>
    <cdr:sp macro="" textlink="">
      <cdr:nvSpPr>
        <cdr:cNvPr id="11" name="ZoneTexte 10"/>
        <cdr:cNvSpPr txBox="1"/>
      </cdr:nvSpPr>
      <cdr:spPr>
        <a:xfrm xmlns:a="http://schemas.openxmlformats.org/drawingml/2006/main">
          <a:off x="4279439" y="900378"/>
          <a:ext cx="381005" cy="3265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400">
              <a:latin typeface="Times New Roman" pitchFamily="18" charset="0"/>
              <a:cs typeface="Times New Roman" pitchFamily="18" charset="0"/>
            </a:rPr>
            <a:t>b*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0.38281</cdr:x>
      <cdr:y>0.01739</cdr:y>
    </cdr:from>
    <cdr:to>
      <cdr:x>0.71875</cdr:x>
      <cdr:y>0.13043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1750219" y="47624"/>
          <a:ext cx="1535906" cy="30956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fr-CA" sz="1800" b="1">
              <a:latin typeface="Times New Roman" pitchFamily="18" charset="0"/>
              <a:cs typeface="Times New Roman" pitchFamily="18" charset="0"/>
            </a:rPr>
            <a:t>Plantations</a:t>
          </a:r>
        </a:p>
      </cdr:txBody>
    </cdr:sp>
  </cdr:relSizeAnchor>
  <cdr:relSizeAnchor xmlns:cdr="http://schemas.openxmlformats.org/drawingml/2006/chartDrawing">
    <cdr:from>
      <cdr:x>0.25269</cdr:x>
      <cdr:y>0.6093</cdr:y>
    </cdr:from>
    <cdr:to>
      <cdr:x>0.32024</cdr:x>
      <cdr:y>0.71502</cdr:y>
    </cdr:to>
    <cdr:sp macro="" textlink="">
      <cdr:nvSpPr>
        <cdr:cNvPr id="3" name="ZoneTexte 2"/>
        <cdr:cNvSpPr txBox="1"/>
      </cdr:nvSpPr>
      <cdr:spPr>
        <a:xfrm xmlns:a="http://schemas.openxmlformats.org/drawingml/2006/main">
          <a:off x="1348921" y="1687125"/>
          <a:ext cx="360610" cy="2927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2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0.36615</cdr:x>
      <cdr:y>0.66838</cdr:y>
    </cdr:from>
    <cdr:to>
      <cdr:x>0.43491</cdr:x>
      <cdr:y>0.75236</cdr:y>
    </cdr:to>
    <cdr:sp macro="" textlink="">
      <cdr:nvSpPr>
        <cdr:cNvPr id="4" name="ZoneTexte 3"/>
        <cdr:cNvSpPr txBox="1"/>
      </cdr:nvSpPr>
      <cdr:spPr>
        <a:xfrm xmlns:a="http://schemas.openxmlformats.org/drawingml/2006/main">
          <a:off x="1954616" y="1850707"/>
          <a:ext cx="367061" cy="23253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200"/>
            <a:t>a*</a:t>
          </a:r>
        </a:p>
      </cdr:txBody>
    </cdr:sp>
  </cdr:relSizeAnchor>
  <cdr:relSizeAnchor xmlns:cdr="http://schemas.openxmlformats.org/drawingml/2006/chartDrawing">
    <cdr:from>
      <cdr:x>0.67736</cdr:x>
      <cdr:y>0.50827</cdr:y>
    </cdr:from>
    <cdr:to>
      <cdr:x>0.72802</cdr:x>
      <cdr:y>0.60971</cdr:y>
    </cdr:to>
    <cdr:sp macro="" textlink="">
      <cdr:nvSpPr>
        <cdr:cNvPr id="5" name="ZoneTexte 4"/>
        <cdr:cNvSpPr txBox="1"/>
      </cdr:nvSpPr>
      <cdr:spPr>
        <a:xfrm xmlns:a="http://schemas.openxmlformats.org/drawingml/2006/main">
          <a:off x="3615951" y="1407380"/>
          <a:ext cx="270438" cy="280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200"/>
            <a:t>a</a:t>
          </a:r>
        </a:p>
      </cdr:txBody>
    </cdr:sp>
  </cdr:relSizeAnchor>
  <cdr:relSizeAnchor xmlns:cdr="http://schemas.openxmlformats.org/drawingml/2006/chartDrawing">
    <cdr:from>
      <cdr:x>0.78969</cdr:x>
      <cdr:y>0.6059</cdr:y>
    </cdr:from>
    <cdr:to>
      <cdr:x>0.85845</cdr:x>
      <cdr:y>0.69887</cdr:y>
    </cdr:to>
    <cdr:sp macro="" textlink="">
      <cdr:nvSpPr>
        <cdr:cNvPr id="6" name="ZoneTexte 5"/>
        <cdr:cNvSpPr txBox="1"/>
      </cdr:nvSpPr>
      <cdr:spPr>
        <a:xfrm xmlns:a="http://schemas.openxmlformats.org/drawingml/2006/main">
          <a:off x="4215571" y="1677724"/>
          <a:ext cx="367061" cy="2574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200"/>
            <a:t>b*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310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5</cp:revision>
  <dcterms:created xsi:type="dcterms:W3CDTF">2018-04-20T20:34:00Z</dcterms:created>
  <dcterms:modified xsi:type="dcterms:W3CDTF">2018-08-18T19:27:00Z</dcterms:modified>
</cp:coreProperties>
</file>