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B1576" w14:textId="77777777" w:rsidR="00942113" w:rsidRPr="00A93CD2" w:rsidRDefault="00924BB2" w:rsidP="00761567">
      <w:pPr>
        <w:jc w:val="center"/>
        <w:rPr>
          <w:rFonts w:ascii="Palatino Linotype" w:hAnsi="Palatino Linotype"/>
          <w:b/>
          <w:szCs w:val="20"/>
          <w:lang w:val="en-CA"/>
        </w:rPr>
      </w:pPr>
      <w:r w:rsidRPr="00A93CD2">
        <w:rPr>
          <w:rFonts w:ascii="Palatino Linotype" w:hAnsi="Palatino Linotype"/>
          <w:b/>
          <w:szCs w:val="20"/>
          <w:lang w:val="en-CA"/>
        </w:rPr>
        <w:t>Supplementary M</w:t>
      </w:r>
      <w:r w:rsidR="00761567" w:rsidRPr="00A93CD2">
        <w:rPr>
          <w:rFonts w:ascii="Palatino Linotype" w:hAnsi="Palatino Linotype"/>
          <w:b/>
          <w:szCs w:val="20"/>
          <w:lang w:val="en-CA"/>
        </w:rPr>
        <w:t>aterial</w:t>
      </w:r>
    </w:p>
    <w:p w14:paraId="60EB1577" w14:textId="77777777" w:rsidR="00924BB2" w:rsidRPr="00A93CD2" w:rsidRDefault="007F02D2" w:rsidP="007F02D2">
      <w:pPr>
        <w:jc w:val="both"/>
        <w:rPr>
          <w:rFonts w:ascii="Palatino Linotype" w:hAnsi="Palatino Linotype"/>
          <w:sz w:val="20"/>
          <w:szCs w:val="20"/>
          <w:lang w:val="en-CA"/>
        </w:rPr>
      </w:pPr>
      <w:r w:rsidRPr="00A93CD2">
        <w:rPr>
          <w:rFonts w:ascii="Palatino Linotype" w:hAnsi="Palatino Linotype"/>
          <w:sz w:val="20"/>
          <w:szCs w:val="20"/>
          <w:lang w:val="en-CA"/>
        </w:rPr>
        <w:t>In this document, we provide additional information related to</w:t>
      </w:r>
      <w:r w:rsidR="009A5895" w:rsidRPr="00A93CD2">
        <w:rPr>
          <w:rFonts w:ascii="Palatino Linotype" w:hAnsi="Palatino Linotype"/>
          <w:sz w:val="20"/>
          <w:szCs w:val="20"/>
          <w:lang w:val="en-CA"/>
        </w:rPr>
        <w:t xml:space="preserve"> the</w:t>
      </w:r>
      <w:r w:rsidRPr="00A93CD2">
        <w:rPr>
          <w:rFonts w:ascii="Palatino Linotype" w:hAnsi="Palatino Linotype"/>
          <w:sz w:val="20"/>
          <w:szCs w:val="20"/>
          <w:lang w:val="en-CA"/>
        </w:rPr>
        <w:t xml:space="preserve"> different steps </w:t>
      </w:r>
      <w:r w:rsidR="009A5895" w:rsidRPr="00A93CD2">
        <w:rPr>
          <w:rFonts w:ascii="Palatino Linotype" w:hAnsi="Palatino Linotype"/>
          <w:sz w:val="20"/>
          <w:szCs w:val="20"/>
          <w:lang w:val="en-CA"/>
        </w:rPr>
        <w:t>of our</w:t>
      </w:r>
      <w:r w:rsidRPr="00A93CD2">
        <w:rPr>
          <w:rFonts w:ascii="Palatino Linotype" w:hAnsi="Palatino Linotype"/>
          <w:sz w:val="20"/>
          <w:szCs w:val="20"/>
          <w:lang w:val="en-CA"/>
        </w:rPr>
        <w:t xml:space="preserve"> model framework. First, we present the data used to construct the Bayesian Network (BN)</w:t>
      </w:r>
      <w:r w:rsidR="00BF37FF" w:rsidRPr="00A93CD2">
        <w:rPr>
          <w:rFonts w:ascii="Palatino Linotype" w:hAnsi="Palatino Linotype"/>
          <w:sz w:val="20"/>
          <w:szCs w:val="20"/>
          <w:lang w:val="en-CA"/>
        </w:rPr>
        <w:t>,</w:t>
      </w:r>
      <w:r w:rsidRPr="00A93CD2">
        <w:rPr>
          <w:rFonts w:ascii="Palatino Linotype" w:hAnsi="Palatino Linotype"/>
          <w:sz w:val="20"/>
          <w:szCs w:val="20"/>
          <w:lang w:val="en-CA"/>
        </w:rPr>
        <w:t xml:space="preserve"> the estimates of the parametric distr</w:t>
      </w:r>
      <w:r w:rsidR="001466FA" w:rsidRPr="00A93CD2">
        <w:rPr>
          <w:rFonts w:ascii="Palatino Linotype" w:hAnsi="Palatino Linotype"/>
          <w:sz w:val="20"/>
          <w:szCs w:val="20"/>
          <w:lang w:val="en-CA"/>
        </w:rPr>
        <w:t>ibution fits</w:t>
      </w:r>
      <w:r w:rsidR="00BF37FF" w:rsidRPr="00A93CD2">
        <w:rPr>
          <w:rFonts w:ascii="Palatino Linotype" w:hAnsi="Palatino Linotype"/>
          <w:sz w:val="20"/>
          <w:szCs w:val="20"/>
          <w:lang w:val="en-CA"/>
        </w:rPr>
        <w:t xml:space="preserve"> and assess the serial dependence within the selected variables</w:t>
      </w:r>
      <w:r w:rsidR="001466FA" w:rsidRPr="00A93CD2">
        <w:rPr>
          <w:rFonts w:ascii="Palatino Linotype" w:hAnsi="Palatino Linotype"/>
          <w:sz w:val="20"/>
          <w:szCs w:val="20"/>
          <w:lang w:val="en-CA"/>
        </w:rPr>
        <w:t>. Then, we describe</w:t>
      </w:r>
      <w:r w:rsidRPr="00A93CD2">
        <w:rPr>
          <w:rFonts w:ascii="Palatino Linotype" w:hAnsi="Palatino Linotype"/>
          <w:sz w:val="20"/>
          <w:szCs w:val="20"/>
          <w:lang w:val="en-CA"/>
        </w:rPr>
        <w:t xml:space="preserve"> the hydraulic model developed for this study and validate its performance. Finally,</w:t>
      </w:r>
      <w:r w:rsidR="001466FA" w:rsidRPr="00A93CD2">
        <w:rPr>
          <w:rFonts w:ascii="Palatino Linotype" w:hAnsi="Palatino Linotype"/>
          <w:sz w:val="20"/>
          <w:szCs w:val="20"/>
          <w:lang w:val="en-CA"/>
        </w:rPr>
        <w:t xml:space="preserve"> we provide additional information on the BN construction and compare alternative copulas through Goodness-of-Fits tests. The validation of the BN structure is also presented. </w:t>
      </w:r>
    </w:p>
    <w:p w14:paraId="60EB1578" w14:textId="3EAF64EF" w:rsidR="00796297" w:rsidRPr="00A93CD2" w:rsidRDefault="00F26203" w:rsidP="00F26203">
      <w:pPr>
        <w:pStyle w:val="Heading2"/>
        <w:rPr>
          <w:rFonts w:ascii="Palatino Linotype" w:hAnsi="Palatino Linotype"/>
          <w:sz w:val="20"/>
          <w:szCs w:val="20"/>
          <w:lang w:val="en-CA"/>
        </w:rPr>
      </w:pPr>
      <w:r>
        <w:rPr>
          <w:rFonts w:ascii="Palatino Linotype" w:hAnsi="Palatino Linotype"/>
          <w:sz w:val="20"/>
          <w:szCs w:val="20"/>
          <w:lang w:val="en-CA"/>
        </w:rPr>
        <w:t xml:space="preserve">S1. </w:t>
      </w:r>
      <w:r w:rsidR="00A60502" w:rsidRPr="00A93CD2">
        <w:rPr>
          <w:rFonts w:ascii="Palatino Linotype" w:hAnsi="Palatino Linotype"/>
          <w:sz w:val="20"/>
          <w:szCs w:val="20"/>
          <w:lang w:val="en-CA"/>
        </w:rPr>
        <w:t>Data Collection</w:t>
      </w:r>
      <w:r w:rsidR="0076602C" w:rsidRPr="00A93CD2">
        <w:rPr>
          <w:rFonts w:ascii="Palatino Linotype" w:hAnsi="Palatino Linotype"/>
          <w:sz w:val="20"/>
          <w:szCs w:val="20"/>
          <w:lang w:val="en-CA"/>
        </w:rPr>
        <w:t xml:space="preserve"> and Manipulation</w:t>
      </w:r>
    </w:p>
    <w:p w14:paraId="60EB1579" w14:textId="41339340" w:rsidR="00A60502" w:rsidRPr="00A93CD2" w:rsidRDefault="00800CF2" w:rsidP="00AF5400">
      <w:pPr>
        <w:jc w:val="both"/>
        <w:rPr>
          <w:rFonts w:ascii="Palatino Linotype" w:hAnsi="Palatino Linotype"/>
          <w:sz w:val="20"/>
          <w:szCs w:val="20"/>
          <w:lang w:val="en-CA"/>
        </w:rPr>
      </w:pPr>
      <w:r w:rsidRPr="00A93CD2">
        <w:rPr>
          <w:rFonts w:ascii="Palatino Linotype" w:hAnsi="Palatino Linotype"/>
          <w:i/>
          <w:sz w:val="20"/>
          <w:szCs w:val="20"/>
          <w:u w:val="single"/>
          <w:lang w:val="en-CA"/>
        </w:rPr>
        <w:t>Mean Daily Discharge.</w:t>
      </w:r>
      <w:r w:rsidRPr="00A93CD2">
        <w:rPr>
          <w:rFonts w:ascii="Palatino Linotype" w:hAnsi="Palatino Linotype"/>
          <w:i/>
          <w:sz w:val="20"/>
          <w:szCs w:val="20"/>
          <w:lang w:val="en-CA"/>
        </w:rPr>
        <w:t xml:space="preserve"> </w:t>
      </w:r>
      <w:r w:rsidR="00CA7825" w:rsidRPr="00A93CD2">
        <w:rPr>
          <w:rFonts w:ascii="Palatino Linotype" w:hAnsi="Palatino Linotype"/>
          <w:sz w:val="20"/>
          <w:szCs w:val="20"/>
          <w:lang w:val="en-CA"/>
        </w:rPr>
        <w:t>Figure A1 shows the complete record of the mean daily discharge at the stations of interest</w:t>
      </w:r>
      <w:r w:rsidR="00CA7825" w:rsidRPr="00A93CD2">
        <w:rPr>
          <w:rFonts w:ascii="Palatino Linotype" w:hAnsi="Palatino Linotype"/>
          <w:i/>
          <w:sz w:val="20"/>
          <w:szCs w:val="20"/>
          <w:lang w:val="en-CA"/>
        </w:rPr>
        <w:t>.</w:t>
      </w:r>
      <w:r w:rsidR="00CA7825" w:rsidRPr="00A93CD2">
        <w:rPr>
          <w:rFonts w:ascii="Palatino Linotype" w:hAnsi="Palatino Linotype"/>
          <w:sz w:val="20"/>
          <w:szCs w:val="20"/>
          <w:lang w:val="en-CA"/>
        </w:rPr>
        <w:t xml:space="preserve"> </w:t>
      </w:r>
      <w:r w:rsidR="00AF5400" w:rsidRPr="00A93CD2">
        <w:rPr>
          <w:rFonts w:ascii="Palatino Linotype" w:hAnsi="Palatino Linotype"/>
          <w:sz w:val="20"/>
          <w:szCs w:val="20"/>
          <w:lang w:val="en-CA"/>
        </w:rPr>
        <w:t>In stations with records starting from the 1940s, a steady increase in discharge is observed. Land use changes, channelization and flow regulation</w:t>
      </w:r>
      <w:r w:rsidR="00D851FC" w:rsidRPr="00A93CD2">
        <w:rPr>
          <w:rFonts w:ascii="Palatino Linotype" w:hAnsi="Palatino Linotype"/>
          <w:sz w:val="20"/>
          <w:szCs w:val="20"/>
          <w:lang w:val="en-CA"/>
        </w:rPr>
        <w:t xml:space="preserve"> have been documented to cause trends and abrupt changes in discharge time series </w:t>
      </w:r>
      <w:r w:rsidR="00D851FC" w:rsidRPr="00A93CD2">
        <w:rPr>
          <w:rFonts w:ascii="Palatino Linotype" w:hAnsi="Palatino Linotype"/>
          <w:sz w:val="20"/>
          <w:szCs w:val="20"/>
          <w:lang w:val="en-CA"/>
        </w:rPr>
        <w:fldChar w:fldCharType="begin" w:fldLock="1"/>
      </w:r>
      <w:r w:rsidR="008D057C">
        <w:rPr>
          <w:rFonts w:ascii="Palatino Linotype" w:hAnsi="Palatino Linotype"/>
          <w:sz w:val="20"/>
          <w:szCs w:val="20"/>
          <w:lang w:val="en-CA"/>
        </w:rPr>
        <w:instrText>ADDIN CSL_CITATION {"citationItems":[{"id":"ITEM-1","itemData":{"DOI":"10.1111/j.1752-1688.2011.00540.x","ISBN":"1752-1688","ISSN":"1752-1688","abstract":"Villarini, Gabriele, James A. Smith, Mary Lynn Baeck, and Witold F. Krajewski, 2011. Examining Flood Frequency Distributions in the Midwest U.S. Journal of the American Water Resources Association (JAWRA) 47(3):447-463. DOI: 10.1111/j.1752-1688.2011.00540.x Abstract:  Annual maximum peak discharge time series from 196 stream gage stations with a record of at least 75 years from the Midwest United States is examined to study flood peak distributions from a regional point of view. The focus of this study is to evaluate: (1) “mixtures” of flood peak distributions, (2) upper tail and scaling properties of the flood peak distributions, and (3) presence of temporal nonstationarities in the flood peak records. Warm season convective systems are responsible for some of the largest floods in the area, in particular in Nebraska, Kansas, and Iowa. Spring events associated with snowmelt and rain-on-snow are common in the northern part of the study domain. Nonparametric tests are used to investigate the presence of abrupt and slowly varying changes. Change-points rather than monotonic trends are responsible for most violations of the stationarity assumption. The abrupt changes in flood peaks can be associated with anthropogenic changes, such as changes in land use/land cover, agricultural practice, and construction of dams. The trend analyses do not suggest an increase in the flood peak distribution due to anthropogenic climate change. Examination of the upper tail and scaling properties of the flood peak distributions are examined by means of the location, scale, and shape parameters of the Generalized Extreme Value distribution.","author":[{"dropping-particle":"","family":"Villarini","given":"Gabriele","non-dropping-particle":"","parse-names":false,"suffix":""},{"dropping-particle":"","family":"Smith","given":"James A","non-dropping-particle":"","parse-names":false,"suffix":""},{"dropping-particle":"","family":"Baeck","given":"Mary Lynn","non-dropping-particle":"","parse-names":false,"suffix":""},{"dropping-particle":"","family":"Krajewski","given":"Witold F","non-dropping-particle":"","parse-names":false,"suffix":""}],"container-title":"JAWRA Journal of the American Water Resources Association","id":"ITEM-1","issue":"3","issued":{"date-parts":[["2011"]]},"page":"447-463","title":"Examining Flood Frequency Distributions in the Midwest U.S.1","type":"article-journal","volume":"47"},"uris":["http://www.mendeley.com/documents/?uuid=0746c755-f2a7-4497-9243-612768b95dc9"]},{"id":"ITEM-2","itemData":{"DOI":"10.1038/nclimate2516","ISBN":"1758-678X\\r1758-6798","ISSN":"1758-678X","abstract":"In the twentieth and twenty-first centuries, flooding has taken a devastating societal and economic toll on the central United States, contributing to dozens of fatalities and causing billions of dollars in damage. As a warmer atmosphere can hold more moisture (the Clausius-Clapeyron relation), a pronounced increase in intense rainfall events is included in models of future climate. Therefore, it is crucial to examine whether the magnitude and/or frequency of flood events is remaining constant or has been changing over recent decades. If either or both of these attributes have changed over time, it is imperative that we understand the underlying mechanisms that are responsible. Here, we show that while observational records (774 stream gauge stations) from the central United States present limited evidence of significant changes in the magnitude of floodpeaks, strong evidence points to an increasing frequency of flooding. These changes in flood hydrology result from changes in both seasonal rainfall and temperature across this region.","author":[{"dropping-particle":"","family":"Mallakpour","given":"Iman","non-dropping-particle":"","parse-names":false,"suffix":""},{"dropping-particle":"","family":"Villarini","given":"Gabriele","non-dropping-particle":"","parse-names":false,"suffix":""}],"container-title":"Nature Climate Change","id":"ITEM-2","issue":"3","issued":{"date-parts":[["2015"]]},"page":"250-254","title":"The changing nature of flooding across the central United States","type":"article-journal","volume":"5"},"uris":["http://www.mendeley.com/documents/?uuid=8facaee5-38f4-4c4c-8f3c-abef7c1bba64"]}],"mendeley":{"formattedCitation":"[1,2]","plainTextFormattedCitation":"[1,2]","previouslyFormattedCitation":"[1,2]"},"properties":{"noteIndex":0},"schema":"https://github.com/citation-style-language/schema/raw/master/csl-citation.json"}</w:instrText>
      </w:r>
      <w:r w:rsidR="00D851FC" w:rsidRPr="00A93CD2">
        <w:rPr>
          <w:rFonts w:ascii="Palatino Linotype" w:hAnsi="Palatino Linotype"/>
          <w:sz w:val="20"/>
          <w:szCs w:val="20"/>
          <w:lang w:val="en-CA"/>
        </w:rPr>
        <w:fldChar w:fldCharType="separate"/>
      </w:r>
      <w:r w:rsidR="0065177F" w:rsidRPr="00A93CD2">
        <w:rPr>
          <w:rFonts w:ascii="Palatino Linotype" w:hAnsi="Palatino Linotype"/>
          <w:noProof/>
          <w:sz w:val="20"/>
          <w:szCs w:val="20"/>
          <w:lang w:val="en-CA"/>
        </w:rPr>
        <w:t>[1,2]</w:t>
      </w:r>
      <w:r w:rsidR="00D851FC" w:rsidRPr="00A93CD2">
        <w:rPr>
          <w:rFonts w:ascii="Palatino Linotype" w:hAnsi="Palatino Linotype"/>
          <w:sz w:val="20"/>
          <w:szCs w:val="20"/>
          <w:lang w:val="en-CA"/>
        </w:rPr>
        <w:fldChar w:fldCharType="end"/>
      </w:r>
      <w:r w:rsidR="00BD0655" w:rsidRPr="00A93CD2">
        <w:rPr>
          <w:rFonts w:ascii="Palatino Linotype" w:hAnsi="Palatino Linotype"/>
          <w:sz w:val="20"/>
          <w:szCs w:val="20"/>
          <w:lang w:val="en-CA"/>
        </w:rPr>
        <w:t xml:space="preserve">. We </w:t>
      </w:r>
      <w:r w:rsidR="00D851FC" w:rsidRPr="00A93CD2">
        <w:rPr>
          <w:rFonts w:ascii="Palatino Linotype" w:hAnsi="Palatino Linotype"/>
          <w:sz w:val="20"/>
          <w:szCs w:val="20"/>
          <w:lang w:val="en-CA"/>
        </w:rPr>
        <w:t xml:space="preserve">localize abrupt changes in the signal by minimizing the sum of the residual squared error from each local mean. Most of these abrupt changes fall between 1970 and 1980 as indicated by the red lines in Figure </w:t>
      </w:r>
      <w:r w:rsidR="009D4546" w:rsidRPr="00A93CD2">
        <w:rPr>
          <w:rFonts w:ascii="Palatino Linotype" w:hAnsi="Palatino Linotype"/>
          <w:sz w:val="20"/>
          <w:szCs w:val="20"/>
          <w:lang w:val="en-CA"/>
        </w:rPr>
        <w:t>A</w:t>
      </w:r>
      <w:r w:rsidR="00D851FC" w:rsidRPr="00A93CD2">
        <w:rPr>
          <w:rFonts w:ascii="Palatino Linotype" w:hAnsi="Palatino Linotype"/>
          <w:sz w:val="20"/>
          <w:szCs w:val="20"/>
          <w:lang w:val="en-CA"/>
        </w:rPr>
        <w:t xml:space="preserve">1, consistent with documented changes in the catchment </w:t>
      </w:r>
      <w:r w:rsidR="00D851FC" w:rsidRPr="00A93CD2">
        <w:rPr>
          <w:rFonts w:ascii="Palatino Linotype" w:hAnsi="Palatino Linotype"/>
          <w:sz w:val="20"/>
          <w:szCs w:val="20"/>
          <w:lang w:val="en-CA"/>
        </w:rPr>
        <w:fldChar w:fldCharType="begin" w:fldLock="1"/>
      </w:r>
      <w:r w:rsidR="004F3826">
        <w:rPr>
          <w:rFonts w:ascii="Palatino Linotype" w:hAnsi="Palatino Linotype"/>
          <w:sz w:val="20"/>
          <w:szCs w:val="20"/>
          <w:lang w:val="en-CA"/>
        </w:rPr>
        <w:instrText>ADDIN CSL_CITATION {"citationItems":[{"id":"ITEM-1","itemData":{"abstract":"Accessed February 19, 2014","author":[{"dropping-particle":"","family":"Federal Emergency Management Agency","given":"","non-dropping-particle":"","parse-names":false,"suffix":""}],"id":"ITEM-1","issue":"48201","issued":{"date-parts":[["2017"]]},"number-of-pages":"1-93","publisher-place":"Washington, D.C.","title":"Flood Insurance Study. Harris County, Texas and Incorporated Areas","type":"report","volume":"1&amp;2"},"uris":["http://www.mendeley.com/documents/?uuid=9041749b-f89f-4b1c-b37e-6c725f265430"]},{"id":"ITEM-2","itemData":{"DOI":"10.1016/j.cities.2009.11.006","ISBN":"0264-2751","ISSN":"02642751","PMID":"48098012","abstract":"Houston is the only major city in North America without zoning. The growth of Houston illustrates a traditional free market philosophy in which land use zoning is seen as a violation of private property and personal liberty. This paper explores how the lack of zoning has an impact on land use controls and urban development in Houston. Using a theoretical framework derived from institutional economics and public choice theories for institutional analyses of land development controls, it explores how local land use policies made by both the local government and non-governmental sectors shape urban development in Houston. The study results show that despite the city's lack of zoning, local land use regulatory policies made by the municipality have significant influence on urban development. Additionally, civic and private organizations such as super neighborhoods and homeowner associations fill the gaps left by the lack of land use zoning. These two aspects contribute to land use controls and urban development of the city. The study finds that land use controls by private contract and by government legislative intervention are not mutually exclusive or immutable; that equity goals are not met in market approaches, and public planning intervention is necessary; and that deed restrictions might be better at facilitating property sales and maintenance than at improving neighborhood welfare and governance. © 2009 Elsevier Ltd. All rights reserved.","author":[{"dropping-particle":"","family":"Qian","given":"Zhu","non-dropping-particle":"","parse-names":false,"suffix":""}],"container-title":"Cities","id":"ITEM-2","issue":"1","issued":{"date-parts":[["2010"]]},"page":"31-41","publisher":"Elsevier Ltd","title":"Without zoning: Urban development and land use controls in Houston","type":"article-journal","volume":"27"},"uris":["http://www.mendeley.com/documents/?uuid=fc411fc8-1a6c-4b29-a4d9-5d7d752cce9a"]}],"mendeley":{"formattedCitation":"[3,4]","plainTextFormattedCitation":"[3,4]","previouslyFormattedCitation":"[3,4]"},"properties":{"noteIndex":0},"schema":"https://github.com/citation-style-language/schema/raw/master/csl-citation.json"}</w:instrText>
      </w:r>
      <w:r w:rsidR="00D851FC" w:rsidRPr="00A93CD2">
        <w:rPr>
          <w:rFonts w:ascii="Palatino Linotype" w:hAnsi="Palatino Linotype"/>
          <w:sz w:val="20"/>
          <w:szCs w:val="20"/>
          <w:lang w:val="en-CA"/>
        </w:rPr>
        <w:fldChar w:fldCharType="separate"/>
      </w:r>
      <w:r w:rsidR="00ED1013" w:rsidRPr="00ED1013">
        <w:rPr>
          <w:rFonts w:ascii="Palatino Linotype" w:hAnsi="Palatino Linotype"/>
          <w:noProof/>
          <w:sz w:val="20"/>
          <w:szCs w:val="20"/>
          <w:lang w:val="en-CA"/>
        </w:rPr>
        <w:t>[3,4]</w:t>
      </w:r>
      <w:r w:rsidR="00D851FC" w:rsidRPr="00A93CD2">
        <w:rPr>
          <w:rFonts w:ascii="Palatino Linotype" w:hAnsi="Palatino Linotype"/>
          <w:sz w:val="20"/>
          <w:szCs w:val="20"/>
          <w:lang w:val="en-CA"/>
        </w:rPr>
        <w:fldChar w:fldCharType="end"/>
      </w:r>
      <w:r w:rsidR="00D851FC" w:rsidRPr="00A93CD2">
        <w:rPr>
          <w:rFonts w:ascii="Palatino Linotype" w:hAnsi="Palatino Linotype"/>
          <w:sz w:val="20"/>
          <w:szCs w:val="20"/>
          <w:lang w:val="en-CA"/>
        </w:rPr>
        <w:t xml:space="preserve">. </w:t>
      </w:r>
      <w:proofErr w:type="gramStart"/>
      <w:r w:rsidR="00D84CAE">
        <w:rPr>
          <w:rFonts w:ascii="Palatino Linotype" w:hAnsi="Palatino Linotype"/>
          <w:sz w:val="20"/>
          <w:szCs w:val="20"/>
          <w:lang w:val="en-CA"/>
        </w:rPr>
        <w:t>I</w:t>
      </w:r>
      <w:r w:rsidR="00D851FC" w:rsidRPr="00A93CD2">
        <w:rPr>
          <w:rFonts w:ascii="Palatino Linotype" w:hAnsi="Palatino Linotype"/>
          <w:sz w:val="20"/>
          <w:szCs w:val="20"/>
          <w:lang w:val="en-CA"/>
        </w:rPr>
        <w:t>n order to</w:t>
      </w:r>
      <w:proofErr w:type="gramEnd"/>
      <w:r w:rsidR="00D851FC" w:rsidRPr="00A93CD2">
        <w:rPr>
          <w:rFonts w:ascii="Palatino Linotype" w:hAnsi="Palatino Linotype"/>
          <w:sz w:val="20"/>
          <w:szCs w:val="20"/>
          <w:lang w:val="en-CA"/>
        </w:rPr>
        <w:t xml:space="preserve"> capture the </w:t>
      </w:r>
      <w:r w:rsidR="0093007C" w:rsidRPr="00A93CD2">
        <w:rPr>
          <w:rFonts w:ascii="Palatino Linotype" w:hAnsi="Palatino Linotype"/>
          <w:sz w:val="20"/>
          <w:szCs w:val="20"/>
          <w:lang w:val="en-CA"/>
        </w:rPr>
        <w:t>most recent</w:t>
      </w:r>
      <w:r w:rsidR="00D84CAE">
        <w:rPr>
          <w:rFonts w:ascii="Palatino Linotype" w:hAnsi="Palatino Linotype"/>
          <w:sz w:val="20"/>
          <w:szCs w:val="20"/>
          <w:lang w:val="en-CA"/>
        </w:rPr>
        <w:t xml:space="preserve"> characteristic</w:t>
      </w:r>
      <w:r w:rsidR="00D851FC" w:rsidRPr="00A93CD2">
        <w:rPr>
          <w:rFonts w:ascii="Palatino Linotype" w:hAnsi="Palatino Linotype"/>
          <w:sz w:val="20"/>
          <w:szCs w:val="20"/>
          <w:lang w:val="en-CA"/>
        </w:rPr>
        <w:t xml:space="preserve"> hydrologic response of the catchment and provide enough data overlap between the time series, we select observations starting from </w:t>
      </w:r>
      <w:r w:rsidR="001961F3" w:rsidRPr="00A93CD2">
        <w:rPr>
          <w:rFonts w:ascii="Palatino Linotype" w:hAnsi="Palatino Linotype"/>
          <w:sz w:val="20"/>
          <w:szCs w:val="20"/>
          <w:lang w:val="en-CA"/>
        </w:rPr>
        <w:t xml:space="preserve">January 1, </w:t>
      </w:r>
      <w:r w:rsidR="00D851FC" w:rsidRPr="00A93CD2">
        <w:rPr>
          <w:rFonts w:ascii="Palatino Linotype" w:hAnsi="Palatino Linotype"/>
          <w:sz w:val="20"/>
          <w:szCs w:val="20"/>
          <w:lang w:val="en-CA"/>
        </w:rPr>
        <w:t>1980</w:t>
      </w:r>
      <w:r w:rsidR="001961F3" w:rsidRPr="00A93CD2">
        <w:rPr>
          <w:rFonts w:ascii="Palatino Linotype" w:hAnsi="Palatino Linotype"/>
          <w:sz w:val="20"/>
          <w:szCs w:val="20"/>
          <w:lang w:val="en-CA"/>
        </w:rPr>
        <w:t xml:space="preserve"> onwards</w:t>
      </w:r>
      <w:r w:rsidR="0093007C" w:rsidRPr="00A93CD2">
        <w:rPr>
          <w:rFonts w:ascii="Palatino Linotype" w:hAnsi="Palatino Linotype"/>
          <w:sz w:val="20"/>
          <w:szCs w:val="20"/>
          <w:lang w:val="en-CA"/>
        </w:rPr>
        <w:t xml:space="preserve"> </w:t>
      </w:r>
      <w:r w:rsidR="00D851FC" w:rsidRPr="00A93CD2">
        <w:rPr>
          <w:rFonts w:ascii="Palatino Linotype" w:hAnsi="Palatino Linotype"/>
          <w:sz w:val="20"/>
          <w:szCs w:val="20"/>
          <w:lang w:val="en-CA"/>
        </w:rPr>
        <w:t xml:space="preserve">to construct the model. </w:t>
      </w:r>
    </w:p>
    <w:p w14:paraId="60EB157A" w14:textId="77777777" w:rsidR="00796297" w:rsidRPr="00A93CD2" w:rsidRDefault="00705CF3" w:rsidP="00B022A1">
      <w:pPr>
        <w:jc w:val="center"/>
        <w:rPr>
          <w:rFonts w:ascii="Palatino Linotype" w:hAnsi="Palatino Linotype"/>
          <w:sz w:val="20"/>
          <w:szCs w:val="20"/>
          <w:lang w:val="en-CA"/>
        </w:rPr>
      </w:pPr>
      <w:r w:rsidRPr="00A93CD2">
        <w:rPr>
          <w:rFonts w:ascii="Palatino Linotype" w:hAnsi="Palatino Linotype"/>
          <w:noProof/>
          <w:sz w:val="20"/>
          <w:szCs w:val="20"/>
          <w:lang w:eastAsia="nl-NL"/>
        </w:rPr>
        <w:drawing>
          <wp:inline distT="0" distB="0" distL="0" distR="0" wp14:anchorId="60EB16FC" wp14:editId="60EB16FD">
            <wp:extent cx="5521967" cy="48291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Discharges.png"/>
                    <pic:cNvPicPr/>
                  </pic:nvPicPr>
                  <pic:blipFill rotWithShape="1">
                    <a:blip r:embed="rId6" cstate="print">
                      <a:extLst>
                        <a:ext uri="{28A0092B-C50C-407E-A947-70E740481C1C}">
                          <a14:useLocalDpi xmlns:a14="http://schemas.microsoft.com/office/drawing/2010/main" val="0"/>
                        </a:ext>
                      </a:extLst>
                    </a:blip>
                    <a:srcRect t="5352" b="7195"/>
                    <a:stretch/>
                  </pic:blipFill>
                  <pic:spPr bwMode="auto">
                    <a:xfrm>
                      <a:off x="0" y="0"/>
                      <a:ext cx="5521144" cy="4828455"/>
                    </a:xfrm>
                    <a:prstGeom prst="rect">
                      <a:avLst/>
                    </a:prstGeom>
                    <a:ln>
                      <a:noFill/>
                    </a:ln>
                    <a:extLst>
                      <a:ext uri="{53640926-AAD7-44D8-BBD7-CCE9431645EC}">
                        <a14:shadowObscured xmlns:a14="http://schemas.microsoft.com/office/drawing/2010/main"/>
                      </a:ext>
                    </a:extLst>
                  </pic:spPr>
                </pic:pic>
              </a:graphicData>
            </a:graphic>
          </wp:inline>
        </w:drawing>
      </w:r>
    </w:p>
    <w:p w14:paraId="60EB157B" w14:textId="037B1C9B" w:rsidR="00796297" w:rsidRPr="00A93CD2" w:rsidRDefault="00B022A1" w:rsidP="00A521E5">
      <w:pPr>
        <w:pStyle w:val="MDPI51figurecaption"/>
      </w:pPr>
      <w:r w:rsidRPr="00A93CD2">
        <w:t xml:space="preserve">Figure </w:t>
      </w:r>
      <w:r w:rsidR="00F26203">
        <w:t>S</w:t>
      </w:r>
      <w:r w:rsidRPr="00A93CD2">
        <w:t xml:space="preserve">1: </w:t>
      </w:r>
      <w:r w:rsidR="002112F1" w:rsidRPr="00A93CD2">
        <w:t>Available r</w:t>
      </w:r>
      <w:r w:rsidRPr="00A93CD2">
        <w:t>e</w:t>
      </w:r>
      <w:r w:rsidR="00AE0B12" w:rsidRPr="00A93CD2">
        <w:t>cords of mean daily discharge for</w:t>
      </w:r>
      <w:r w:rsidRPr="00A93CD2">
        <w:t xml:space="preserve"> the stations </w:t>
      </w:r>
      <w:r w:rsidR="002112F1" w:rsidRPr="00A93CD2">
        <w:t>of interests</w:t>
      </w:r>
      <w:r w:rsidRPr="00A93CD2">
        <w:t>.</w:t>
      </w:r>
      <w:r w:rsidR="00CE7178" w:rsidRPr="00A93CD2">
        <w:t xml:space="preserve"> </w:t>
      </w:r>
    </w:p>
    <w:p w14:paraId="60EB157C" w14:textId="798BB237" w:rsidR="00BF37FF" w:rsidRPr="00A93CD2" w:rsidRDefault="00BF37FF" w:rsidP="00720BA7">
      <w:pPr>
        <w:jc w:val="both"/>
        <w:rPr>
          <w:rFonts w:ascii="Palatino Linotype" w:hAnsi="Palatino Linotype"/>
          <w:sz w:val="20"/>
          <w:szCs w:val="20"/>
          <w:lang w:val="en-CA"/>
        </w:rPr>
      </w:pPr>
      <w:r w:rsidRPr="00A93CD2">
        <w:rPr>
          <w:rFonts w:ascii="Palatino Linotype" w:hAnsi="Palatino Linotype"/>
          <w:sz w:val="20"/>
          <w:szCs w:val="20"/>
          <w:lang w:val="en-CA"/>
        </w:rPr>
        <w:lastRenderedPageBreak/>
        <w:t>Three stations have very little data after January 1, 1980: station 08074000</w:t>
      </w:r>
      <w:r w:rsidR="00272ACB" w:rsidRPr="00A93CD2">
        <w:rPr>
          <w:rFonts w:ascii="Palatino Linotype" w:hAnsi="Palatino Linotype"/>
          <w:sz w:val="20"/>
          <w:szCs w:val="20"/>
          <w:lang w:val="en-CA"/>
        </w:rPr>
        <w:t xml:space="preserve"> (21.0%)</w:t>
      </w:r>
      <w:r w:rsidRPr="00A93CD2">
        <w:rPr>
          <w:rFonts w:ascii="Palatino Linotype" w:hAnsi="Palatino Linotype"/>
          <w:sz w:val="20"/>
          <w:szCs w:val="20"/>
          <w:lang w:val="en-CA"/>
        </w:rPr>
        <w:t>, station 08076700</w:t>
      </w:r>
      <w:r w:rsidR="00272ACB" w:rsidRPr="00A93CD2">
        <w:rPr>
          <w:rFonts w:ascii="Palatino Linotype" w:hAnsi="Palatino Linotype"/>
          <w:sz w:val="20"/>
          <w:szCs w:val="20"/>
          <w:lang w:val="en-CA"/>
        </w:rPr>
        <w:t xml:space="preserve"> (9.7%)</w:t>
      </w:r>
      <w:r w:rsidRPr="00A93CD2">
        <w:rPr>
          <w:rFonts w:ascii="Palatino Linotype" w:hAnsi="Palatino Linotype"/>
          <w:sz w:val="20"/>
          <w:szCs w:val="20"/>
          <w:lang w:val="en-CA"/>
        </w:rPr>
        <w:t xml:space="preserve"> and station 08075500</w:t>
      </w:r>
      <w:r w:rsidR="00272ACB" w:rsidRPr="00A93CD2">
        <w:rPr>
          <w:rFonts w:ascii="Palatino Linotype" w:hAnsi="Palatino Linotype"/>
          <w:sz w:val="20"/>
          <w:szCs w:val="20"/>
          <w:lang w:val="en-CA"/>
        </w:rPr>
        <w:t xml:space="preserve"> (43%)</w:t>
      </w:r>
      <w:r w:rsidRPr="00A93CD2">
        <w:rPr>
          <w:rFonts w:ascii="Palatino Linotype" w:hAnsi="Palatino Linotype"/>
          <w:sz w:val="20"/>
          <w:szCs w:val="20"/>
          <w:lang w:val="en-CA"/>
        </w:rPr>
        <w:t>. The first two stations have sparsely recorded data throughout the period of interest</w:t>
      </w:r>
      <w:r w:rsidR="007F7734">
        <w:rPr>
          <w:rFonts w:ascii="Palatino Linotype" w:hAnsi="Palatino Linotype"/>
          <w:sz w:val="20"/>
          <w:szCs w:val="20"/>
          <w:lang w:val="en-CA"/>
        </w:rPr>
        <w:t xml:space="preserve">. To overcome this, </w:t>
      </w:r>
      <w:r w:rsidR="00D84CAE" w:rsidRPr="003F7817">
        <w:rPr>
          <w:rFonts w:ascii="Palatino Linotype" w:hAnsi="Palatino Linotype"/>
          <w:sz w:val="20"/>
          <w:szCs w:val="20"/>
          <w:lang w:val="en-CA"/>
        </w:rPr>
        <w:t>we</w:t>
      </w:r>
      <w:r w:rsidR="00CB16B9" w:rsidRPr="003F7817">
        <w:rPr>
          <w:rFonts w:ascii="Palatino Linotype" w:hAnsi="Palatino Linotype"/>
          <w:sz w:val="20"/>
          <w:szCs w:val="20"/>
          <w:lang w:val="en-CA"/>
        </w:rPr>
        <w:t xml:space="preserve"> fit</w:t>
      </w:r>
      <w:r w:rsidR="003F2284" w:rsidRPr="003F7817">
        <w:rPr>
          <w:rFonts w:ascii="Palatino Linotype" w:hAnsi="Palatino Linotype"/>
          <w:sz w:val="20"/>
          <w:szCs w:val="20"/>
          <w:lang w:val="en-CA"/>
        </w:rPr>
        <w:t xml:space="preserve"> the available data using </w:t>
      </w:r>
      <w:r w:rsidR="00C04627">
        <w:rPr>
          <w:rFonts w:ascii="Palatino Linotype" w:hAnsi="Palatino Linotype"/>
          <w:sz w:val="20"/>
          <w:szCs w:val="20"/>
          <w:lang w:val="en-CA"/>
        </w:rPr>
        <w:t>the distribution function presented in section A2</w:t>
      </w:r>
      <w:r w:rsidR="003F2284">
        <w:rPr>
          <w:rFonts w:ascii="Palatino Linotype" w:hAnsi="Palatino Linotype"/>
          <w:sz w:val="20"/>
          <w:szCs w:val="20"/>
          <w:lang w:val="en-CA"/>
        </w:rPr>
        <w:t xml:space="preserve"> and</w:t>
      </w:r>
      <w:r w:rsidR="00D84CAE" w:rsidRPr="00A93CD2">
        <w:rPr>
          <w:rFonts w:ascii="Palatino Linotype" w:hAnsi="Palatino Linotype"/>
          <w:sz w:val="20"/>
          <w:szCs w:val="20"/>
          <w:lang w:val="en-CA"/>
        </w:rPr>
        <w:t xml:space="preserve"> inserted </w:t>
      </w:r>
      <w:r w:rsidR="003F2284">
        <w:rPr>
          <w:rFonts w:ascii="Palatino Linotype" w:hAnsi="Palatino Linotype"/>
          <w:sz w:val="20"/>
          <w:szCs w:val="20"/>
          <w:lang w:val="en-CA"/>
        </w:rPr>
        <w:t xml:space="preserve">the two gages </w:t>
      </w:r>
      <w:r w:rsidR="00D84CAE" w:rsidRPr="00A93CD2">
        <w:rPr>
          <w:rFonts w:ascii="Palatino Linotype" w:hAnsi="Palatino Linotype"/>
          <w:sz w:val="20"/>
          <w:szCs w:val="20"/>
          <w:lang w:val="en-CA"/>
        </w:rPr>
        <w:t>as user defined random variable</w:t>
      </w:r>
      <w:r w:rsidR="007F7734">
        <w:rPr>
          <w:rFonts w:ascii="Palatino Linotype" w:hAnsi="Palatino Linotype"/>
          <w:sz w:val="20"/>
          <w:szCs w:val="20"/>
          <w:lang w:val="en-CA"/>
        </w:rPr>
        <w:t>s</w:t>
      </w:r>
      <w:r w:rsidR="00D84CAE" w:rsidRPr="00A93CD2">
        <w:rPr>
          <w:rFonts w:ascii="Palatino Linotype" w:hAnsi="Palatino Linotype"/>
          <w:sz w:val="20"/>
          <w:szCs w:val="20"/>
          <w:lang w:val="en-CA"/>
        </w:rPr>
        <w:t xml:space="preserve"> in the Bayesian Network. </w:t>
      </w:r>
      <w:r w:rsidR="007F7734">
        <w:rPr>
          <w:rFonts w:ascii="Palatino Linotype" w:hAnsi="Palatino Linotype"/>
          <w:sz w:val="20"/>
          <w:szCs w:val="20"/>
          <w:lang w:val="en-CA"/>
        </w:rPr>
        <w:t>T</w:t>
      </w:r>
      <w:r w:rsidRPr="00A93CD2">
        <w:rPr>
          <w:rFonts w:ascii="Palatino Linotype" w:hAnsi="Palatino Linotype"/>
          <w:sz w:val="20"/>
          <w:szCs w:val="20"/>
          <w:lang w:val="en-CA"/>
        </w:rPr>
        <w:t xml:space="preserve">he </w:t>
      </w:r>
      <w:r w:rsidR="00D84CAE">
        <w:rPr>
          <w:rFonts w:ascii="Palatino Linotype" w:hAnsi="Palatino Linotype"/>
          <w:sz w:val="20"/>
          <w:szCs w:val="20"/>
          <w:lang w:val="en-CA"/>
        </w:rPr>
        <w:t>third</w:t>
      </w:r>
      <w:r w:rsidR="00D84CAE" w:rsidRPr="00A93CD2">
        <w:rPr>
          <w:rFonts w:ascii="Palatino Linotype" w:hAnsi="Palatino Linotype"/>
          <w:sz w:val="20"/>
          <w:szCs w:val="20"/>
          <w:lang w:val="en-CA"/>
        </w:rPr>
        <w:t xml:space="preserve"> </w:t>
      </w:r>
      <w:r w:rsidRPr="00A93CD2">
        <w:rPr>
          <w:rFonts w:ascii="Palatino Linotype" w:hAnsi="Palatino Linotype"/>
          <w:sz w:val="20"/>
          <w:szCs w:val="20"/>
          <w:lang w:val="en-CA"/>
        </w:rPr>
        <w:t>station’s record stops after September 30, 1995</w:t>
      </w:r>
      <w:r w:rsidR="00CB16B9">
        <w:rPr>
          <w:rFonts w:ascii="Palatino Linotype" w:hAnsi="Palatino Linotype"/>
          <w:sz w:val="20"/>
          <w:szCs w:val="20"/>
          <w:lang w:val="en-CA"/>
        </w:rPr>
        <w:t xml:space="preserve">. </w:t>
      </w:r>
      <w:proofErr w:type="gramStart"/>
      <w:r w:rsidR="00CB16B9">
        <w:rPr>
          <w:rFonts w:ascii="Palatino Linotype" w:hAnsi="Palatino Linotype"/>
          <w:sz w:val="20"/>
          <w:szCs w:val="20"/>
          <w:lang w:val="en-CA"/>
        </w:rPr>
        <w:t>In order to</w:t>
      </w:r>
      <w:proofErr w:type="gramEnd"/>
      <w:r w:rsidR="00CB16B9">
        <w:rPr>
          <w:rFonts w:ascii="Palatino Linotype" w:hAnsi="Palatino Linotype"/>
          <w:sz w:val="20"/>
          <w:szCs w:val="20"/>
          <w:lang w:val="en-CA"/>
        </w:rPr>
        <w:t xml:space="preserve"> use the station as a variable within the model, </w:t>
      </w:r>
      <w:r w:rsidR="007F7734">
        <w:rPr>
          <w:rFonts w:ascii="Palatino Linotype" w:hAnsi="Palatino Linotype"/>
          <w:sz w:val="20"/>
          <w:szCs w:val="20"/>
          <w:lang w:val="en-CA"/>
        </w:rPr>
        <w:t xml:space="preserve">we </w:t>
      </w:r>
      <w:r w:rsidRPr="00A93CD2">
        <w:rPr>
          <w:rFonts w:ascii="Palatino Linotype" w:hAnsi="Palatino Linotype"/>
          <w:sz w:val="20"/>
          <w:szCs w:val="20"/>
          <w:lang w:val="en-CA"/>
        </w:rPr>
        <w:t>reconstruct</w:t>
      </w:r>
      <w:r w:rsidR="007F7734">
        <w:rPr>
          <w:rFonts w:ascii="Palatino Linotype" w:hAnsi="Palatino Linotype"/>
          <w:sz w:val="20"/>
          <w:szCs w:val="20"/>
          <w:lang w:val="en-CA"/>
        </w:rPr>
        <w:t>ed</w:t>
      </w:r>
      <w:r w:rsidRPr="00A93CD2">
        <w:rPr>
          <w:rFonts w:ascii="Palatino Linotype" w:hAnsi="Palatino Linotype"/>
          <w:sz w:val="20"/>
          <w:szCs w:val="20"/>
          <w:lang w:val="en-CA"/>
        </w:rPr>
        <w:t xml:space="preserve"> the</w:t>
      </w:r>
      <w:r w:rsidR="00CB16B9">
        <w:rPr>
          <w:rFonts w:ascii="Palatino Linotype" w:hAnsi="Palatino Linotype"/>
          <w:sz w:val="20"/>
          <w:szCs w:val="20"/>
          <w:lang w:val="en-CA"/>
        </w:rPr>
        <w:t xml:space="preserve"> missing</w:t>
      </w:r>
      <w:r w:rsidRPr="00A93CD2">
        <w:rPr>
          <w:rFonts w:ascii="Palatino Linotype" w:hAnsi="Palatino Linotype"/>
          <w:sz w:val="20"/>
          <w:szCs w:val="20"/>
          <w:lang w:val="en-CA"/>
        </w:rPr>
        <w:t xml:space="preserve"> data using a Gumbel copula conditionalized on station 08075000 since both stations are well correlated (Spearman rank correlation </w:t>
      </w:r>
      <m:oMath>
        <m:r>
          <w:rPr>
            <w:rFonts w:ascii="Cambria Math" w:hAnsi="Cambria Math"/>
            <w:sz w:val="20"/>
            <w:szCs w:val="20"/>
            <w:lang w:val="en-CA"/>
          </w:rPr>
          <m:t>r</m:t>
        </m:r>
      </m:oMath>
      <w:r w:rsidRPr="00A93CD2">
        <w:rPr>
          <w:rFonts w:ascii="Palatino Linotype" w:hAnsi="Palatino Linotype"/>
          <w:sz w:val="20"/>
          <w:szCs w:val="20"/>
          <w:lang w:val="en-CA"/>
        </w:rPr>
        <w:t xml:space="preserve"> = 0.69), see equation A.2 in section A4. </w:t>
      </w:r>
    </w:p>
    <w:p w14:paraId="60EB157D" w14:textId="1BFEB5DB" w:rsidR="00DB7252" w:rsidRPr="00A93CD2" w:rsidRDefault="00800CF2" w:rsidP="002734EA">
      <w:pPr>
        <w:jc w:val="both"/>
        <w:rPr>
          <w:rFonts w:ascii="Palatino Linotype" w:hAnsi="Palatino Linotype"/>
          <w:sz w:val="20"/>
          <w:szCs w:val="20"/>
          <w:lang w:val="en-CA"/>
        </w:rPr>
      </w:pPr>
      <w:r w:rsidRPr="00A93CD2">
        <w:rPr>
          <w:rFonts w:ascii="Palatino Linotype" w:hAnsi="Palatino Linotype"/>
          <w:i/>
          <w:sz w:val="20"/>
          <w:szCs w:val="20"/>
          <w:u w:val="single"/>
          <w:lang w:val="en-CA"/>
        </w:rPr>
        <w:t>Storm Surge.</w:t>
      </w:r>
      <w:r w:rsidRPr="00A93CD2">
        <w:rPr>
          <w:rFonts w:ascii="Palatino Linotype" w:hAnsi="Palatino Linotype"/>
          <w:i/>
          <w:sz w:val="20"/>
          <w:szCs w:val="20"/>
          <w:lang w:val="en-CA"/>
        </w:rPr>
        <w:t xml:space="preserve"> </w:t>
      </w:r>
      <w:r w:rsidR="00EE2069" w:rsidRPr="00A93CD2">
        <w:rPr>
          <w:rFonts w:ascii="Palatino Linotype" w:hAnsi="Palatino Linotype"/>
          <w:sz w:val="20"/>
          <w:szCs w:val="20"/>
          <w:lang w:val="en-CA"/>
        </w:rPr>
        <w:t xml:space="preserve">The maximum hourly non-tidal residuals in a day is set to be </w:t>
      </w:r>
      <w:r w:rsidR="0093007C" w:rsidRPr="00A93CD2">
        <w:rPr>
          <w:rFonts w:ascii="Palatino Linotype" w:hAnsi="Palatino Linotype"/>
          <w:sz w:val="20"/>
          <w:szCs w:val="20"/>
          <w:lang w:val="en-CA"/>
        </w:rPr>
        <w:t>the daily non-tidal residual</w:t>
      </w:r>
      <w:r w:rsidR="001F758A" w:rsidRPr="00A93CD2">
        <w:rPr>
          <w:rFonts w:ascii="Palatino Linotype" w:hAnsi="Palatino Linotype"/>
          <w:sz w:val="20"/>
          <w:szCs w:val="20"/>
          <w:lang w:val="en-CA"/>
        </w:rPr>
        <w:t xml:space="preserve"> which</w:t>
      </w:r>
      <w:r w:rsidR="0093007C" w:rsidRPr="00A93CD2">
        <w:rPr>
          <w:rFonts w:ascii="Palatino Linotype" w:hAnsi="Palatino Linotype"/>
          <w:sz w:val="20"/>
          <w:szCs w:val="20"/>
          <w:lang w:val="en-CA"/>
        </w:rPr>
        <w:t xml:space="preserve"> we refer to as the storm surge</w:t>
      </w:r>
      <w:r w:rsidR="001F758A" w:rsidRPr="00A93CD2">
        <w:rPr>
          <w:rFonts w:ascii="Palatino Linotype" w:hAnsi="Palatino Linotype"/>
          <w:sz w:val="20"/>
          <w:szCs w:val="20"/>
          <w:lang w:val="en-CA"/>
        </w:rPr>
        <w:t xml:space="preserve"> for simplicity</w:t>
      </w:r>
      <w:r w:rsidR="00EE2069" w:rsidRPr="00A93CD2">
        <w:rPr>
          <w:rFonts w:ascii="Palatino Linotype" w:hAnsi="Palatino Linotype"/>
          <w:sz w:val="20"/>
          <w:szCs w:val="20"/>
          <w:lang w:val="en-CA"/>
        </w:rPr>
        <w:t xml:space="preserve">. </w:t>
      </w:r>
      <w:proofErr w:type="gramStart"/>
      <w:r w:rsidR="00227B0D" w:rsidRPr="00A93CD2">
        <w:rPr>
          <w:rFonts w:ascii="Palatino Linotype" w:hAnsi="Palatino Linotype"/>
          <w:sz w:val="20"/>
          <w:szCs w:val="20"/>
          <w:lang w:val="en-CA"/>
        </w:rPr>
        <w:t>In order to</w:t>
      </w:r>
      <w:proofErr w:type="gramEnd"/>
      <w:r w:rsidR="00227B0D" w:rsidRPr="00A93CD2">
        <w:rPr>
          <w:rFonts w:ascii="Palatino Linotype" w:hAnsi="Palatino Linotype"/>
          <w:sz w:val="20"/>
          <w:szCs w:val="20"/>
          <w:lang w:val="en-CA"/>
        </w:rPr>
        <w:t xml:space="preserve"> correct for mean sea level rise, the linear trend in the storm surge</w:t>
      </w:r>
      <w:r w:rsidR="00EE2069" w:rsidRPr="00A93CD2">
        <w:rPr>
          <w:rFonts w:ascii="Palatino Linotype" w:hAnsi="Palatino Linotype"/>
          <w:sz w:val="20"/>
          <w:szCs w:val="20"/>
          <w:lang w:val="en-CA"/>
        </w:rPr>
        <w:t xml:space="preserve"> data at Galveston Pier 21</w:t>
      </w:r>
      <w:r w:rsidR="00227B0D" w:rsidRPr="00A93CD2">
        <w:rPr>
          <w:rFonts w:ascii="Palatino Linotype" w:hAnsi="Palatino Linotype"/>
          <w:sz w:val="20"/>
          <w:szCs w:val="20"/>
          <w:lang w:val="en-CA"/>
        </w:rPr>
        <w:t xml:space="preserve"> is removed and adjusted for the last </w:t>
      </w:r>
      <w:r w:rsidR="002734EA" w:rsidRPr="00A93CD2">
        <w:rPr>
          <w:rFonts w:ascii="Palatino Linotype" w:hAnsi="Palatino Linotype"/>
          <w:sz w:val="20"/>
          <w:szCs w:val="20"/>
          <w:lang w:val="en-CA"/>
        </w:rPr>
        <w:t>data point in the times series</w:t>
      </w:r>
      <w:r w:rsidR="00876A1D" w:rsidRPr="00A93CD2">
        <w:rPr>
          <w:rFonts w:ascii="Palatino Linotype" w:hAnsi="Palatino Linotype"/>
          <w:sz w:val="20"/>
          <w:szCs w:val="20"/>
          <w:lang w:val="en-CA"/>
        </w:rPr>
        <w:t xml:space="preserve"> (September 15, 2016)</w:t>
      </w:r>
      <w:r w:rsidR="002734EA" w:rsidRPr="00A93CD2">
        <w:rPr>
          <w:rFonts w:ascii="Palatino Linotype" w:hAnsi="Palatino Linotype"/>
          <w:sz w:val="20"/>
          <w:szCs w:val="20"/>
          <w:lang w:val="en-CA"/>
        </w:rPr>
        <w:t xml:space="preserve">. The average </w:t>
      </w:r>
      <w:r w:rsidR="001B5979" w:rsidRPr="00A93CD2">
        <w:rPr>
          <w:rFonts w:ascii="Palatino Linotype" w:hAnsi="Palatino Linotype"/>
          <w:sz w:val="20"/>
          <w:szCs w:val="20"/>
          <w:lang w:val="en-CA"/>
        </w:rPr>
        <w:t xml:space="preserve">rise in </w:t>
      </w:r>
      <w:r w:rsidR="002734EA" w:rsidRPr="00A93CD2">
        <w:rPr>
          <w:rFonts w:ascii="Palatino Linotype" w:hAnsi="Palatino Linotype"/>
          <w:sz w:val="20"/>
          <w:szCs w:val="20"/>
          <w:lang w:val="en-CA"/>
        </w:rPr>
        <w:t xml:space="preserve">mean sea level </w:t>
      </w:r>
      <w:r w:rsidR="001B5979" w:rsidRPr="00A93CD2">
        <w:rPr>
          <w:rFonts w:ascii="Palatino Linotype" w:hAnsi="Palatino Linotype"/>
          <w:sz w:val="20"/>
          <w:szCs w:val="20"/>
          <w:lang w:val="en-CA"/>
        </w:rPr>
        <w:t xml:space="preserve">was calculated to be 6.35 mm/year </w:t>
      </w:r>
      <w:r w:rsidR="002734EA" w:rsidRPr="00A93CD2">
        <w:rPr>
          <w:rFonts w:ascii="Palatino Linotype" w:hAnsi="Palatino Linotype"/>
          <w:sz w:val="20"/>
          <w:szCs w:val="20"/>
          <w:lang w:val="en-CA"/>
        </w:rPr>
        <w:t xml:space="preserve">between 1908 and 2016, within the range of the value reported by NOAA of 6.39 mm/year ± 0.28 mm/year (95% confidence interval) </w:t>
      </w:r>
      <w:r w:rsidR="002734EA" w:rsidRPr="00A93CD2">
        <w:rPr>
          <w:rFonts w:ascii="Palatino Linotype" w:hAnsi="Palatino Linotype"/>
          <w:sz w:val="20"/>
          <w:szCs w:val="20"/>
          <w:lang w:val="en-CA"/>
        </w:rPr>
        <w:fldChar w:fldCharType="begin" w:fldLock="1"/>
      </w:r>
      <w:r w:rsidR="004F3826">
        <w:rPr>
          <w:rFonts w:ascii="Palatino Linotype" w:hAnsi="Palatino Linotype"/>
          <w:sz w:val="20"/>
          <w:szCs w:val="20"/>
          <w:lang w:val="en-CA"/>
        </w:rPr>
        <w:instrText>ADDIN CSL_CITATION {"citationItems":[{"id":"ITEM-1","itemData":{"author":[{"dropping-particle":"","family":"NOAA","given":"","non-dropping-particle":"","parse-names":false,"suffix":""}],"id":"ITEM-1","issued":{"date-parts":[["2013"]]},"title":"National Oceanic and Atmospheric Administration. Tides and Currents. Annual Exceedance Probability Curves 8771450 Galveston Pier 21, TX, https://tidesandcurrents.noaa.gov/est/curves.shtml?stnid=8771450, [accessed December 2017].","type":"webpage"},"uris":["http://www.mendeley.com/documents/?uuid=028cd2b4-07e8-4669-bb75-7b6005409681"]}],"mendeley":{"formattedCitation":"[5]","plainTextFormattedCitation":"[5]","previouslyFormattedCitation":"[5]"},"properties":{"noteIndex":0},"schema":"https://github.com/citation-style-language/schema/raw/master/csl-citation.json"}</w:instrText>
      </w:r>
      <w:r w:rsidR="002734EA" w:rsidRPr="00A93CD2">
        <w:rPr>
          <w:rFonts w:ascii="Palatino Linotype" w:hAnsi="Palatino Linotype"/>
          <w:sz w:val="20"/>
          <w:szCs w:val="20"/>
          <w:lang w:val="en-CA"/>
        </w:rPr>
        <w:fldChar w:fldCharType="separate"/>
      </w:r>
      <w:r w:rsidR="00ED1013" w:rsidRPr="00ED1013">
        <w:rPr>
          <w:rFonts w:ascii="Palatino Linotype" w:hAnsi="Palatino Linotype"/>
          <w:noProof/>
          <w:sz w:val="20"/>
          <w:szCs w:val="20"/>
          <w:lang w:val="en-CA"/>
        </w:rPr>
        <w:t>[5]</w:t>
      </w:r>
      <w:r w:rsidR="002734EA" w:rsidRPr="00A93CD2">
        <w:rPr>
          <w:rFonts w:ascii="Palatino Linotype" w:hAnsi="Palatino Linotype"/>
          <w:sz w:val="20"/>
          <w:szCs w:val="20"/>
          <w:lang w:val="en-CA"/>
        </w:rPr>
        <w:fldChar w:fldCharType="end"/>
      </w:r>
      <w:r w:rsidR="002734EA" w:rsidRPr="00A93CD2">
        <w:rPr>
          <w:rFonts w:ascii="Palatino Linotype" w:hAnsi="Palatino Linotype"/>
          <w:sz w:val="20"/>
          <w:szCs w:val="20"/>
          <w:lang w:val="en-CA"/>
        </w:rPr>
        <w:t>.</w:t>
      </w:r>
    </w:p>
    <w:p w14:paraId="60EB157E" w14:textId="77777777" w:rsidR="00EE2069" w:rsidRPr="00A93CD2" w:rsidRDefault="00EE2069" w:rsidP="00EE2069">
      <w:pPr>
        <w:jc w:val="both"/>
        <w:rPr>
          <w:rFonts w:ascii="Palatino Linotype" w:hAnsi="Palatino Linotype"/>
          <w:sz w:val="20"/>
          <w:szCs w:val="20"/>
          <w:lang w:val="en-CA"/>
        </w:rPr>
      </w:pPr>
      <w:proofErr w:type="gramStart"/>
      <w:r w:rsidRPr="00A93CD2">
        <w:rPr>
          <w:rFonts w:ascii="Palatino Linotype" w:hAnsi="Palatino Linotype"/>
          <w:sz w:val="20"/>
          <w:szCs w:val="20"/>
          <w:lang w:val="en-CA"/>
        </w:rPr>
        <w:t>In order to</w:t>
      </w:r>
      <w:proofErr w:type="gramEnd"/>
      <w:r w:rsidRPr="00A93CD2">
        <w:rPr>
          <w:rFonts w:ascii="Palatino Linotype" w:hAnsi="Palatino Linotype"/>
          <w:sz w:val="20"/>
          <w:szCs w:val="20"/>
          <w:lang w:val="en-CA"/>
        </w:rPr>
        <w:t xml:space="preserve"> project the storm surge height from Galveston Pier 21, </w:t>
      </w:r>
      <m:oMath>
        <m:sSub>
          <m:sSubPr>
            <m:ctrlPr>
              <w:rPr>
                <w:rFonts w:ascii="Cambria Math" w:hAnsi="Cambria Math"/>
                <w:i/>
                <w:sz w:val="20"/>
                <w:szCs w:val="20"/>
                <w:lang w:val="en-CA"/>
              </w:rPr>
            </m:ctrlPr>
          </m:sSubPr>
          <m:e>
            <m:r>
              <w:rPr>
                <w:rFonts w:ascii="Cambria Math" w:hAnsi="Cambria Math"/>
                <w:sz w:val="20"/>
                <w:szCs w:val="20"/>
                <w:lang w:val="en-CA"/>
              </w:rPr>
              <m:t>S</m:t>
            </m:r>
          </m:e>
          <m:sub>
            <m:r>
              <w:rPr>
                <w:rFonts w:ascii="Cambria Math" w:hAnsi="Cambria Math"/>
                <w:sz w:val="20"/>
                <w:szCs w:val="20"/>
                <w:lang w:val="en-CA"/>
              </w:rPr>
              <m:t>GP21</m:t>
            </m:r>
          </m:sub>
        </m:sSub>
      </m:oMath>
      <w:r w:rsidRPr="00A93CD2">
        <w:rPr>
          <w:rFonts w:ascii="Palatino Linotype" w:hAnsi="Palatino Linotype"/>
          <w:sz w:val="20"/>
          <w:szCs w:val="20"/>
          <w:lang w:val="en-CA"/>
        </w:rPr>
        <w:t xml:space="preserve">, to the Lynchburg Landing site, </w:t>
      </w:r>
      <m:oMath>
        <m:sSub>
          <m:sSubPr>
            <m:ctrlPr>
              <w:rPr>
                <w:rFonts w:ascii="Cambria Math" w:hAnsi="Cambria Math"/>
                <w:i/>
                <w:sz w:val="20"/>
                <w:szCs w:val="20"/>
                <w:lang w:val="en-CA"/>
              </w:rPr>
            </m:ctrlPr>
          </m:sSubPr>
          <m:e>
            <m:r>
              <w:rPr>
                <w:rFonts w:ascii="Cambria Math" w:hAnsi="Cambria Math"/>
                <w:sz w:val="20"/>
                <w:szCs w:val="20"/>
                <w:lang w:val="en-CA"/>
              </w:rPr>
              <m:t>S</m:t>
            </m:r>
          </m:e>
          <m:sub>
            <m:r>
              <w:rPr>
                <w:rFonts w:ascii="Cambria Math" w:hAnsi="Cambria Math"/>
                <w:sz w:val="20"/>
                <w:szCs w:val="20"/>
                <w:lang w:val="en-CA"/>
              </w:rPr>
              <m:t>LL</m:t>
            </m:r>
          </m:sub>
        </m:sSub>
      </m:oMath>
      <w:r w:rsidRPr="00A93CD2">
        <w:rPr>
          <w:rFonts w:ascii="Palatino Linotype" w:hAnsi="Palatino Linotype"/>
          <w:sz w:val="20"/>
          <w:szCs w:val="20"/>
          <w:lang w:val="en-CA"/>
        </w:rPr>
        <w:t>, the following linear regression model was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EE2069" w:rsidRPr="00A93CD2" w14:paraId="60EB1582" w14:textId="77777777" w:rsidTr="009050A1">
        <w:trPr>
          <w:jc w:val="center"/>
        </w:trPr>
        <w:tc>
          <w:tcPr>
            <w:tcW w:w="392" w:type="dxa"/>
            <w:vAlign w:val="center"/>
          </w:tcPr>
          <w:p w14:paraId="60EB157F" w14:textId="77777777" w:rsidR="00EE2069" w:rsidRPr="00A93CD2" w:rsidRDefault="00EE2069" w:rsidP="009050A1">
            <w:pPr>
              <w:spacing w:before="240"/>
              <w:jc w:val="center"/>
              <w:rPr>
                <w:rFonts w:ascii="Palatino Linotype" w:hAnsi="Palatino Linotype"/>
                <w:sz w:val="20"/>
                <w:szCs w:val="20"/>
                <w:lang w:val="en-CA"/>
              </w:rPr>
            </w:pPr>
          </w:p>
        </w:tc>
        <w:tc>
          <w:tcPr>
            <w:tcW w:w="7938" w:type="dxa"/>
            <w:vAlign w:val="center"/>
          </w:tcPr>
          <w:p w14:paraId="60EB1580" w14:textId="77777777" w:rsidR="00EE2069" w:rsidRPr="00A93CD2" w:rsidRDefault="00F26203" w:rsidP="009050A1">
            <w:pPr>
              <w:spacing w:before="240"/>
              <w:ind w:firstLine="708"/>
              <w:rPr>
                <w:rFonts w:ascii="Palatino Linotype" w:hAnsi="Palatino Linotype"/>
                <w:sz w:val="20"/>
                <w:szCs w:val="20"/>
              </w:rPr>
            </w:pPr>
            <m:oMathPara>
              <m:oMath>
                <m:sSub>
                  <m:sSubPr>
                    <m:ctrlPr>
                      <w:rPr>
                        <w:rFonts w:ascii="Cambria Math" w:hAnsi="Cambria Math"/>
                        <w:i/>
                        <w:sz w:val="20"/>
                        <w:szCs w:val="20"/>
                        <w:lang w:val="en-CA"/>
                      </w:rPr>
                    </m:ctrlPr>
                  </m:sSubPr>
                  <m:e>
                    <m:r>
                      <w:rPr>
                        <w:rFonts w:ascii="Cambria Math" w:hAnsi="Cambria Math"/>
                        <w:sz w:val="20"/>
                        <w:szCs w:val="20"/>
                        <w:lang w:val="en-CA"/>
                      </w:rPr>
                      <m:t>S</m:t>
                    </m:r>
                  </m:e>
                  <m:sub>
                    <m:r>
                      <w:rPr>
                        <w:rFonts w:ascii="Cambria Math" w:hAnsi="Cambria Math"/>
                        <w:sz w:val="20"/>
                        <w:szCs w:val="20"/>
                        <w:lang w:val="en-CA"/>
                      </w:rPr>
                      <m:t>LL</m:t>
                    </m:r>
                  </m:sub>
                </m:sSub>
                <m:r>
                  <w:rPr>
                    <w:rFonts w:ascii="Cambria Math" w:hAnsi="Cambria Math"/>
                    <w:sz w:val="20"/>
                    <w:szCs w:val="20"/>
                    <w:lang w:val="en-CA"/>
                  </w:rPr>
                  <m:t xml:space="preserve">=1.0621 × </m:t>
                </m:r>
                <m:sSub>
                  <m:sSubPr>
                    <m:ctrlPr>
                      <w:rPr>
                        <w:rFonts w:ascii="Cambria Math" w:hAnsi="Cambria Math"/>
                        <w:i/>
                        <w:sz w:val="20"/>
                        <w:szCs w:val="20"/>
                        <w:lang w:val="en-CA"/>
                      </w:rPr>
                    </m:ctrlPr>
                  </m:sSubPr>
                  <m:e>
                    <m:r>
                      <w:rPr>
                        <w:rFonts w:ascii="Cambria Math" w:hAnsi="Cambria Math"/>
                        <w:sz w:val="20"/>
                        <w:szCs w:val="20"/>
                        <w:lang w:val="en-CA"/>
                      </w:rPr>
                      <m:t>S</m:t>
                    </m:r>
                  </m:e>
                  <m:sub>
                    <m:r>
                      <w:rPr>
                        <w:rFonts w:ascii="Cambria Math" w:hAnsi="Cambria Math"/>
                        <w:sz w:val="20"/>
                        <w:szCs w:val="20"/>
                        <w:lang w:val="en-CA"/>
                      </w:rPr>
                      <m:t>GP21</m:t>
                    </m:r>
                  </m:sub>
                </m:sSub>
                <m:r>
                  <w:rPr>
                    <w:rFonts w:ascii="Cambria Math" w:hAnsi="Cambria Math"/>
                    <w:sz w:val="20"/>
                    <w:szCs w:val="20"/>
                    <w:lang w:val="en-CA"/>
                  </w:rPr>
                  <m:t xml:space="preserve">-9.3593 × </m:t>
                </m:r>
                <m:sSup>
                  <m:sSupPr>
                    <m:ctrlPr>
                      <w:rPr>
                        <w:rFonts w:ascii="Cambria Math" w:hAnsi="Cambria Math"/>
                        <w:i/>
                        <w:sz w:val="20"/>
                        <w:szCs w:val="20"/>
                        <w:lang w:val="en-CA"/>
                      </w:rPr>
                    </m:ctrlPr>
                  </m:sSupPr>
                  <m:e>
                    <m:r>
                      <w:rPr>
                        <w:rFonts w:ascii="Cambria Math" w:hAnsi="Cambria Math"/>
                        <w:sz w:val="20"/>
                        <w:szCs w:val="20"/>
                        <w:lang w:val="en-CA"/>
                      </w:rPr>
                      <m:t>10</m:t>
                    </m:r>
                  </m:e>
                  <m:sup>
                    <m:r>
                      <w:rPr>
                        <w:rFonts w:ascii="Cambria Math" w:hAnsi="Cambria Math"/>
                        <w:sz w:val="20"/>
                        <w:szCs w:val="20"/>
                        <w:lang w:val="en-CA"/>
                      </w:rPr>
                      <m:t>-4</m:t>
                    </m:r>
                  </m:sup>
                </m:sSup>
              </m:oMath>
            </m:oMathPara>
          </w:p>
        </w:tc>
        <w:tc>
          <w:tcPr>
            <w:tcW w:w="882" w:type="dxa"/>
            <w:vAlign w:val="center"/>
          </w:tcPr>
          <w:p w14:paraId="60EB1581" w14:textId="547D18EA" w:rsidR="00EE2069" w:rsidRPr="00A93CD2" w:rsidRDefault="00EE2069" w:rsidP="009050A1">
            <w:pPr>
              <w:spacing w:before="240"/>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00800CF2"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1</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583" w14:textId="77777777" w:rsidR="0093007C" w:rsidRPr="00A93CD2" w:rsidRDefault="0093007C" w:rsidP="00EE2069">
      <w:pPr>
        <w:jc w:val="both"/>
        <w:rPr>
          <w:rFonts w:ascii="Palatino Linotype" w:hAnsi="Palatino Linotype"/>
          <w:sz w:val="20"/>
          <w:szCs w:val="20"/>
          <w:lang w:val="en-CA"/>
        </w:rPr>
      </w:pPr>
    </w:p>
    <w:p w14:paraId="60EB1584" w14:textId="77777777" w:rsidR="00EE2069" w:rsidRPr="00A93CD2" w:rsidRDefault="00EE2069" w:rsidP="00EE2069">
      <w:pPr>
        <w:jc w:val="both"/>
        <w:rPr>
          <w:rFonts w:ascii="Palatino Linotype" w:hAnsi="Palatino Linotype"/>
          <w:sz w:val="20"/>
          <w:szCs w:val="20"/>
          <w:lang w:val="en-CA"/>
        </w:rPr>
      </w:pPr>
      <w:r w:rsidRPr="00A93CD2">
        <w:rPr>
          <w:rFonts w:ascii="Palatino Linotype" w:hAnsi="Palatino Linotype"/>
          <w:sz w:val="20"/>
          <w:szCs w:val="20"/>
          <w:lang w:val="en-CA"/>
        </w:rPr>
        <w:t>The linear regression was fitted based on the joint observations</w:t>
      </w:r>
      <w:r w:rsidR="00BF37FF" w:rsidRPr="00A93CD2">
        <w:rPr>
          <w:rFonts w:ascii="Palatino Linotype" w:hAnsi="Palatino Linotype"/>
          <w:sz w:val="20"/>
          <w:szCs w:val="20"/>
          <w:lang w:val="en-CA"/>
        </w:rPr>
        <w:t xml:space="preserve"> (R</w:t>
      </w:r>
      <w:r w:rsidR="00BF37FF" w:rsidRPr="00A93CD2">
        <w:rPr>
          <w:rFonts w:ascii="Palatino Linotype" w:hAnsi="Palatino Linotype"/>
          <w:sz w:val="20"/>
          <w:szCs w:val="20"/>
          <w:vertAlign w:val="superscript"/>
          <w:lang w:val="en-CA"/>
        </w:rPr>
        <w:t>2</w:t>
      </w:r>
      <w:r w:rsidR="008377BE" w:rsidRPr="00A93CD2">
        <w:rPr>
          <w:rFonts w:ascii="Palatino Linotype" w:hAnsi="Palatino Linotype"/>
          <w:sz w:val="20"/>
          <w:szCs w:val="20"/>
          <w:vertAlign w:val="superscript"/>
          <w:lang w:val="en-CA"/>
        </w:rPr>
        <w:t xml:space="preserve"> </w:t>
      </w:r>
      <w:r w:rsidR="008377BE" w:rsidRPr="00A93CD2">
        <w:rPr>
          <w:rFonts w:ascii="Palatino Linotype" w:hAnsi="Palatino Linotype"/>
          <w:sz w:val="20"/>
          <w:szCs w:val="20"/>
          <w:lang w:val="en-CA"/>
        </w:rPr>
        <w:t>= 0.77</w:t>
      </w:r>
      <w:r w:rsidR="00BF37FF" w:rsidRPr="00A93CD2">
        <w:rPr>
          <w:rFonts w:ascii="Palatino Linotype" w:hAnsi="Palatino Linotype"/>
          <w:sz w:val="20"/>
          <w:szCs w:val="20"/>
          <w:lang w:val="en-CA"/>
        </w:rPr>
        <w:t>)</w:t>
      </w:r>
      <w:r w:rsidRPr="00A93CD2">
        <w:rPr>
          <w:rFonts w:ascii="Palatino Linotype" w:hAnsi="Palatino Linotype"/>
          <w:sz w:val="20"/>
          <w:szCs w:val="20"/>
          <w:lang w:val="en-CA"/>
        </w:rPr>
        <w:t xml:space="preserve"> of the simultaneous max</w:t>
      </w:r>
      <w:r w:rsidR="00BF37FF" w:rsidRPr="00A93CD2">
        <w:rPr>
          <w:rFonts w:ascii="Palatino Linotype" w:hAnsi="Palatino Linotype"/>
          <w:sz w:val="20"/>
          <w:szCs w:val="20"/>
          <w:lang w:val="en-CA"/>
        </w:rPr>
        <w:t>imum hourly residuals in a day, referred as storm surge above</w:t>
      </w:r>
      <w:r w:rsidRPr="00A93CD2">
        <w:rPr>
          <w:rFonts w:ascii="Palatino Linotype" w:hAnsi="Palatino Linotype"/>
          <w:sz w:val="20"/>
          <w:szCs w:val="20"/>
          <w:lang w:val="en-CA"/>
        </w:rPr>
        <w:t>, the equivalent of 11 years.</w:t>
      </w:r>
      <w:r w:rsidR="00BF37FF" w:rsidRPr="00A93CD2">
        <w:rPr>
          <w:rFonts w:ascii="Palatino Linotype" w:hAnsi="Palatino Linotype"/>
          <w:sz w:val="20"/>
          <w:szCs w:val="20"/>
          <w:lang w:val="en-CA"/>
        </w:rPr>
        <w:t xml:space="preserve"> </w:t>
      </w:r>
    </w:p>
    <w:p w14:paraId="60EB1585" w14:textId="21EFABBF" w:rsidR="00227B0D" w:rsidRPr="00A93CD2" w:rsidRDefault="00F26203" w:rsidP="00F26203">
      <w:pPr>
        <w:pStyle w:val="Heading2"/>
        <w:rPr>
          <w:rFonts w:ascii="Palatino Linotype" w:hAnsi="Palatino Linotype"/>
          <w:sz w:val="20"/>
          <w:szCs w:val="20"/>
          <w:lang w:val="en-CA"/>
        </w:rPr>
      </w:pPr>
      <w:r>
        <w:rPr>
          <w:rFonts w:ascii="Palatino Linotype" w:hAnsi="Palatino Linotype"/>
          <w:sz w:val="20"/>
          <w:szCs w:val="20"/>
          <w:lang w:val="en-CA"/>
        </w:rPr>
        <w:t xml:space="preserve">S2. </w:t>
      </w:r>
      <w:r w:rsidR="00227B0D" w:rsidRPr="00A93CD2">
        <w:rPr>
          <w:rFonts w:ascii="Palatino Linotype" w:hAnsi="Palatino Linotype"/>
          <w:sz w:val="20"/>
          <w:szCs w:val="20"/>
          <w:lang w:val="en-CA"/>
        </w:rPr>
        <w:t>Marginal Distributions</w:t>
      </w:r>
      <w:r w:rsidR="00924BB2" w:rsidRPr="00A93CD2">
        <w:rPr>
          <w:rFonts w:ascii="Palatino Linotype" w:hAnsi="Palatino Linotype"/>
          <w:sz w:val="20"/>
          <w:szCs w:val="20"/>
          <w:lang w:val="en-CA"/>
        </w:rPr>
        <w:t xml:space="preserve"> Fit </w:t>
      </w:r>
    </w:p>
    <w:p w14:paraId="60EB1586" w14:textId="542C8E29" w:rsidR="001961F3" w:rsidRPr="00A93CD2" w:rsidRDefault="009E0DB3" w:rsidP="001961F3">
      <w:pPr>
        <w:jc w:val="both"/>
        <w:rPr>
          <w:rFonts w:ascii="Palatino Linotype" w:hAnsi="Palatino Linotype"/>
          <w:sz w:val="20"/>
          <w:szCs w:val="20"/>
          <w:lang w:val="en-CA"/>
        </w:rPr>
      </w:pPr>
      <w:r w:rsidRPr="00A93CD2">
        <w:rPr>
          <w:rFonts w:ascii="Palatino Linotype" w:hAnsi="Palatino Linotype"/>
          <w:sz w:val="20"/>
          <w:szCs w:val="20"/>
          <w:lang w:val="en-CA"/>
        </w:rPr>
        <w:t xml:space="preserve">For the discharge variables, a Generalized Extreme Value (GEV) distribution was fitted with distribution parameters </w:t>
      </w:r>
      <w:r w:rsidR="00A91D6E" w:rsidRPr="00A93CD2">
        <w:rPr>
          <w:rFonts w:ascii="Palatino Linotype" w:hAnsi="Palatino Linotype"/>
          <w:sz w:val="20"/>
          <w:szCs w:val="20"/>
          <w:lang w:val="en-CA"/>
        </w:rPr>
        <w:t xml:space="preserve">obtained </w:t>
      </w:r>
      <w:r w:rsidRPr="00A93CD2">
        <w:rPr>
          <w:rFonts w:ascii="Palatino Linotype" w:hAnsi="Palatino Linotype"/>
          <w:sz w:val="20"/>
          <w:szCs w:val="20"/>
          <w:lang w:val="en-CA"/>
        </w:rPr>
        <w:t>with</w:t>
      </w:r>
      <w:r w:rsidR="00A91D6E" w:rsidRPr="00A93CD2">
        <w:rPr>
          <w:rFonts w:ascii="Palatino Linotype" w:hAnsi="Palatino Linotype"/>
          <w:sz w:val="20"/>
          <w:szCs w:val="20"/>
          <w:lang w:val="en-CA"/>
        </w:rPr>
        <w:t xml:space="preserve"> a </w:t>
      </w:r>
      <w:r w:rsidR="00924BB2" w:rsidRPr="00A93CD2">
        <w:rPr>
          <w:rFonts w:ascii="Palatino Linotype" w:hAnsi="Palatino Linotype"/>
          <w:sz w:val="20"/>
          <w:szCs w:val="20"/>
          <w:lang w:val="en-CA"/>
        </w:rPr>
        <w:t xml:space="preserve">truncated maximum likelihood method </w:t>
      </w:r>
      <w:r w:rsidRPr="00A93CD2">
        <w:rPr>
          <w:rFonts w:ascii="Palatino Linotype" w:hAnsi="Palatino Linotype"/>
          <w:sz w:val="20"/>
          <w:szCs w:val="20"/>
          <w:lang w:val="en-CA"/>
        </w:rPr>
        <w:t>(</w:t>
      </w:r>
      <w:r w:rsidR="00924BB2" w:rsidRPr="00A93CD2">
        <w:rPr>
          <w:rFonts w:ascii="Palatino Linotype" w:hAnsi="Palatino Linotype"/>
          <w:sz w:val="20"/>
          <w:szCs w:val="20"/>
          <w:lang w:val="en-CA"/>
        </w:rPr>
        <w:t xml:space="preserve">Table </w:t>
      </w:r>
      <w:r w:rsidRPr="00A93CD2">
        <w:rPr>
          <w:rFonts w:ascii="Palatino Linotype" w:hAnsi="Palatino Linotype"/>
          <w:sz w:val="20"/>
          <w:szCs w:val="20"/>
          <w:lang w:val="en-CA"/>
        </w:rPr>
        <w:t>A</w:t>
      </w:r>
      <w:r w:rsidR="00924BB2" w:rsidRPr="00A93CD2">
        <w:rPr>
          <w:rFonts w:ascii="Palatino Linotype" w:hAnsi="Palatino Linotype"/>
          <w:sz w:val="20"/>
          <w:szCs w:val="20"/>
          <w:lang w:val="en-CA"/>
        </w:rPr>
        <w:t>1</w:t>
      </w:r>
      <w:r w:rsidRPr="00A93CD2">
        <w:rPr>
          <w:rFonts w:ascii="Palatino Linotype" w:hAnsi="Palatino Linotype"/>
          <w:sz w:val="20"/>
          <w:szCs w:val="20"/>
          <w:lang w:val="en-CA"/>
        </w:rPr>
        <w:t>)</w:t>
      </w:r>
      <w:r w:rsidR="00924BB2" w:rsidRPr="00A93CD2">
        <w:rPr>
          <w:rFonts w:ascii="Palatino Linotype" w:hAnsi="Palatino Linotype"/>
          <w:sz w:val="20"/>
          <w:szCs w:val="20"/>
          <w:lang w:val="en-CA"/>
        </w:rPr>
        <w:t>.</w:t>
      </w:r>
      <w:r w:rsidRPr="00A93CD2">
        <w:rPr>
          <w:rFonts w:ascii="Palatino Linotype" w:hAnsi="Palatino Linotype"/>
          <w:sz w:val="20"/>
          <w:szCs w:val="20"/>
          <w:lang w:val="en-CA"/>
        </w:rPr>
        <w:t xml:space="preserve"> For the storm surge variables, we used a Gaussian mixture distribution with</w:t>
      </w:r>
      <w:r w:rsidR="004B7746">
        <w:rPr>
          <w:rFonts w:ascii="Palatino Linotype" w:hAnsi="Palatino Linotype"/>
          <w:sz w:val="20"/>
          <w:szCs w:val="20"/>
          <w:lang w:val="en-CA"/>
        </w:rPr>
        <w:t xml:space="preserve"> </w:t>
      </w:r>
      <w:r w:rsidR="00C55E43" w:rsidRPr="00A93CD2">
        <w:rPr>
          <w:rFonts w:ascii="Palatino Linotype" w:hAnsi="Palatino Linotype"/>
          <w:sz w:val="20"/>
          <w:szCs w:val="20"/>
          <w:lang w:val="en-CA"/>
        </w:rPr>
        <w:t xml:space="preserve">parameters estimated from the expectation maximization as described in McLachlan and Peel </w:t>
      </w:r>
      <w:r w:rsidR="00C55E43" w:rsidRPr="00A93CD2">
        <w:rPr>
          <w:rFonts w:ascii="Palatino Linotype" w:hAnsi="Palatino Linotype"/>
          <w:sz w:val="20"/>
          <w:szCs w:val="20"/>
          <w:lang w:val="en-CA"/>
        </w:rPr>
        <w:fldChar w:fldCharType="begin" w:fldLock="1"/>
      </w:r>
      <w:r w:rsidR="004F3826">
        <w:rPr>
          <w:rFonts w:ascii="Palatino Linotype" w:hAnsi="Palatino Linotype"/>
          <w:sz w:val="20"/>
          <w:szCs w:val="20"/>
          <w:lang w:val="en-CA"/>
        </w:rPr>
        <w:instrText>ADDIN CSL_CITATION {"citationItems":[{"id":"ITEM-1","itemData":{"author":[{"dropping-particle":"","family":"McLachlan","given":"G.","non-dropping-particle":"","parse-names":false,"suffix":""},{"dropping-particle":"","family":"Peel","given":"D.","non-dropping-particle":"","parse-names":false,"suffix":""}],"id":"ITEM-1","issued":{"date-parts":[["2000"]]},"publisher":"Wiley Interscience","publisher-place":"Hoboken, NJ","title":"Finite mixture models","type":"book"},"suppress-author":1,"uris":["http://www.mendeley.com/documents/?uuid=517444f6-c13e-48fd-b7d0-553ca01a5ba7"]}],"mendeley":{"formattedCitation":"[6]","plainTextFormattedCitation":"[6]","previouslyFormattedCitation":"[6]"},"properties":{"noteIndex":0},"schema":"https://github.com/citation-style-language/schema/raw/master/csl-citation.json"}</w:instrText>
      </w:r>
      <w:r w:rsidR="00C55E43" w:rsidRPr="00A93CD2">
        <w:rPr>
          <w:rFonts w:ascii="Palatino Linotype" w:hAnsi="Palatino Linotype"/>
          <w:sz w:val="20"/>
          <w:szCs w:val="20"/>
          <w:lang w:val="en-CA"/>
        </w:rPr>
        <w:fldChar w:fldCharType="separate"/>
      </w:r>
      <w:r w:rsidR="00ED1013" w:rsidRPr="00ED1013">
        <w:rPr>
          <w:rFonts w:ascii="Palatino Linotype" w:hAnsi="Palatino Linotype"/>
          <w:noProof/>
          <w:sz w:val="20"/>
          <w:szCs w:val="20"/>
          <w:lang w:val="en-CA"/>
        </w:rPr>
        <w:t>[6]</w:t>
      </w:r>
      <w:r w:rsidR="00C55E43" w:rsidRPr="00A93CD2">
        <w:rPr>
          <w:rFonts w:ascii="Palatino Linotype" w:hAnsi="Palatino Linotype"/>
          <w:sz w:val="20"/>
          <w:szCs w:val="20"/>
          <w:lang w:val="en-CA"/>
        </w:rPr>
        <w:fldChar w:fldCharType="end"/>
      </w:r>
      <w:r w:rsidR="00C55E43" w:rsidRPr="00A93CD2">
        <w:rPr>
          <w:rFonts w:ascii="Palatino Linotype" w:hAnsi="Palatino Linotype"/>
          <w:sz w:val="20"/>
          <w:szCs w:val="20"/>
          <w:lang w:val="en-CA"/>
        </w:rPr>
        <w:t xml:space="preserve">. The results are shown in Table A2. </w:t>
      </w:r>
    </w:p>
    <w:p w14:paraId="60EB1587" w14:textId="477B34F0" w:rsidR="00950729" w:rsidRPr="00A93CD2" w:rsidRDefault="00950729" w:rsidP="00A521E5">
      <w:pPr>
        <w:pStyle w:val="MDPI51figurecaption"/>
      </w:pPr>
      <w:r w:rsidRPr="00A93CD2">
        <w:t xml:space="preserve">Table </w:t>
      </w:r>
      <w:r w:rsidR="00F26203">
        <w:t>S</w:t>
      </w:r>
      <w:r w:rsidR="00EE2069" w:rsidRPr="00A93CD2">
        <w:t>1</w:t>
      </w:r>
      <w:r w:rsidRPr="00A93CD2">
        <w:t>: GEV distribution parameters f</w:t>
      </w:r>
      <w:r w:rsidR="001F758A" w:rsidRPr="00A93CD2">
        <w:t>or the discharge distributions</w:t>
      </w:r>
      <w:r w:rsidRPr="00A93CD2">
        <w:t>.</w:t>
      </w:r>
    </w:p>
    <w:tbl>
      <w:tblPr>
        <w:tblStyle w:val="TableGrid"/>
        <w:tblW w:w="0" w:type="auto"/>
        <w:jc w:val="center"/>
        <w:tblLook w:val="04A0" w:firstRow="1" w:lastRow="0" w:firstColumn="1" w:lastColumn="0" w:noHBand="0" w:noVBand="1"/>
      </w:tblPr>
      <w:tblGrid>
        <w:gridCol w:w="1242"/>
        <w:gridCol w:w="1701"/>
        <w:gridCol w:w="2213"/>
        <w:gridCol w:w="1376"/>
        <w:gridCol w:w="1369"/>
        <w:gridCol w:w="7"/>
        <w:gridCol w:w="1380"/>
      </w:tblGrid>
      <w:tr w:rsidR="0082516E" w:rsidRPr="00A93CD2" w14:paraId="60EB158D" w14:textId="77777777" w:rsidTr="004E2F43">
        <w:trPr>
          <w:trHeight w:val="452"/>
          <w:jc w:val="center"/>
        </w:trPr>
        <w:tc>
          <w:tcPr>
            <w:tcW w:w="1242" w:type="dxa"/>
            <w:vMerge w:val="restart"/>
            <w:vAlign w:val="center"/>
          </w:tcPr>
          <w:p w14:paraId="60EB1588" w14:textId="77777777" w:rsidR="0082516E" w:rsidRPr="00A93CD2" w:rsidRDefault="0082516E" w:rsidP="0082516E">
            <w:pPr>
              <w:jc w:val="center"/>
              <w:rPr>
                <w:rFonts w:ascii="Palatino Linotype" w:hAnsi="Palatino Linotype"/>
                <w:b/>
                <w:sz w:val="20"/>
                <w:szCs w:val="20"/>
                <w:lang w:val="en-CA"/>
              </w:rPr>
            </w:pPr>
            <w:r w:rsidRPr="00A93CD2">
              <w:rPr>
                <w:rFonts w:ascii="Palatino Linotype" w:hAnsi="Palatino Linotype"/>
                <w:b/>
                <w:sz w:val="20"/>
                <w:szCs w:val="20"/>
                <w:lang w:val="en-CA"/>
              </w:rPr>
              <w:t>Station</w:t>
            </w:r>
          </w:p>
        </w:tc>
        <w:tc>
          <w:tcPr>
            <w:tcW w:w="1701" w:type="dxa"/>
            <w:vMerge w:val="restart"/>
            <w:vAlign w:val="center"/>
          </w:tcPr>
          <w:p w14:paraId="60EB1589" w14:textId="77777777" w:rsidR="0082516E" w:rsidRPr="00A93CD2" w:rsidRDefault="0082516E" w:rsidP="0082516E">
            <w:pPr>
              <w:jc w:val="center"/>
              <w:rPr>
                <w:rFonts w:ascii="Palatino Linotype" w:hAnsi="Palatino Linotype"/>
                <w:b/>
                <w:sz w:val="20"/>
                <w:szCs w:val="20"/>
                <w:lang w:val="en-CA"/>
              </w:rPr>
            </w:pPr>
            <w:r w:rsidRPr="00A93CD2">
              <w:rPr>
                <w:rFonts w:ascii="Palatino Linotype" w:hAnsi="Palatino Linotype"/>
                <w:b/>
                <w:sz w:val="20"/>
                <w:szCs w:val="20"/>
                <w:lang w:val="en-CA"/>
              </w:rPr>
              <w:t>Threshold value</w:t>
            </w:r>
          </w:p>
          <w:p w14:paraId="60EB158A" w14:textId="77777777" w:rsidR="00F07AB0" w:rsidRPr="00A93CD2" w:rsidRDefault="00F07AB0" w:rsidP="0082516E">
            <w:pPr>
              <w:jc w:val="center"/>
              <w:rPr>
                <w:rFonts w:ascii="Palatino Linotype" w:hAnsi="Palatino Linotype"/>
                <w:b/>
                <w:sz w:val="20"/>
                <w:szCs w:val="20"/>
                <w:lang w:val="en-CA"/>
              </w:rPr>
            </w:pPr>
            <w:r w:rsidRPr="00A93CD2">
              <w:rPr>
                <w:rFonts w:ascii="Palatino Linotype" w:hAnsi="Palatino Linotype"/>
                <w:b/>
                <w:sz w:val="20"/>
                <w:szCs w:val="20"/>
                <w:lang w:val="en-CA"/>
              </w:rPr>
              <w:t>(m</w:t>
            </w:r>
            <w:proofErr w:type="gramStart"/>
            <w:r w:rsidRPr="00A93CD2">
              <w:rPr>
                <w:rFonts w:ascii="Palatino Linotype" w:hAnsi="Palatino Linotype"/>
                <w:b/>
                <w:sz w:val="20"/>
                <w:szCs w:val="20"/>
                <w:lang w:val="en-CA"/>
              </w:rPr>
              <w:t>³.s</w:t>
            </w:r>
            <w:proofErr w:type="gramEnd"/>
            <w:r w:rsidRPr="00A93CD2">
              <w:rPr>
                <w:rFonts w:ascii="Palatino Linotype" w:hAnsi="Palatino Linotype"/>
                <w:b/>
                <w:sz w:val="20"/>
                <w:szCs w:val="20"/>
                <w:vertAlign w:val="superscript"/>
                <w:lang w:val="en-CA"/>
              </w:rPr>
              <w:t>-1</w:t>
            </w:r>
            <w:r w:rsidRPr="00A93CD2">
              <w:rPr>
                <w:rFonts w:ascii="Palatino Linotype" w:hAnsi="Palatino Linotype"/>
                <w:b/>
                <w:sz w:val="20"/>
                <w:szCs w:val="20"/>
                <w:lang w:val="en-CA"/>
              </w:rPr>
              <w:t>)</w:t>
            </w:r>
          </w:p>
        </w:tc>
        <w:tc>
          <w:tcPr>
            <w:tcW w:w="2213" w:type="dxa"/>
            <w:vMerge w:val="restart"/>
            <w:vAlign w:val="center"/>
          </w:tcPr>
          <w:p w14:paraId="60EB158B" w14:textId="77777777" w:rsidR="0082516E" w:rsidRPr="00A93CD2" w:rsidRDefault="0082516E" w:rsidP="000A19D9">
            <w:pPr>
              <w:jc w:val="center"/>
              <w:rPr>
                <w:rFonts w:ascii="Palatino Linotype" w:hAnsi="Palatino Linotype"/>
                <w:b/>
                <w:sz w:val="20"/>
                <w:szCs w:val="20"/>
                <w:lang w:val="en-CA"/>
              </w:rPr>
            </w:pPr>
            <w:r w:rsidRPr="00A93CD2">
              <w:rPr>
                <w:rFonts w:ascii="Palatino Linotype" w:hAnsi="Palatino Linotype"/>
                <w:b/>
                <w:sz w:val="20"/>
                <w:szCs w:val="20"/>
                <w:lang w:val="en-CA"/>
              </w:rPr>
              <w:t xml:space="preserve">Nb. </w:t>
            </w:r>
            <w:r w:rsidR="000A19D9" w:rsidRPr="00A93CD2">
              <w:rPr>
                <w:rFonts w:ascii="Palatino Linotype" w:hAnsi="Palatino Linotype"/>
                <w:b/>
                <w:sz w:val="20"/>
                <w:szCs w:val="20"/>
                <w:lang w:val="en-CA"/>
              </w:rPr>
              <w:t>o</w:t>
            </w:r>
            <w:r w:rsidRPr="00A93CD2">
              <w:rPr>
                <w:rFonts w:ascii="Palatino Linotype" w:hAnsi="Palatino Linotype"/>
                <w:b/>
                <w:sz w:val="20"/>
                <w:szCs w:val="20"/>
                <w:lang w:val="en-CA"/>
              </w:rPr>
              <w:t>f observation</w:t>
            </w:r>
            <w:r w:rsidR="000A19D9" w:rsidRPr="00A93CD2">
              <w:rPr>
                <w:rFonts w:ascii="Palatino Linotype" w:hAnsi="Palatino Linotype"/>
                <w:b/>
                <w:sz w:val="20"/>
                <w:szCs w:val="20"/>
                <w:lang w:val="en-CA"/>
              </w:rPr>
              <w:t>s</w:t>
            </w:r>
            <w:r w:rsidRPr="00A93CD2">
              <w:rPr>
                <w:rFonts w:ascii="Palatino Linotype" w:hAnsi="Palatino Linotype"/>
                <w:b/>
                <w:sz w:val="20"/>
                <w:szCs w:val="20"/>
                <w:lang w:val="en-CA"/>
              </w:rPr>
              <w:t xml:space="preserve"> above threshold</w:t>
            </w:r>
          </w:p>
        </w:tc>
        <w:tc>
          <w:tcPr>
            <w:tcW w:w="4132" w:type="dxa"/>
            <w:gridSpan w:val="4"/>
            <w:vAlign w:val="center"/>
          </w:tcPr>
          <w:p w14:paraId="60EB158C" w14:textId="77777777" w:rsidR="0082516E" w:rsidRPr="00A93CD2" w:rsidRDefault="00362A8B" w:rsidP="0082516E">
            <w:pPr>
              <w:jc w:val="center"/>
              <w:rPr>
                <w:rFonts w:ascii="Palatino Linotype" w:hAnsi="Palatino Linotype"/>
                <w:b/>
                <w:sz w:val="20"/>
                <w:szCs w:val="20"/>
                <w:lang w:val="en-CA"/>
              </w:rPr>
            </w:pPr>
            <w:r w:rsidRPr="00A93CD2">
              <w:rPr>
                <w:rFonts w:ascii="Palatino Linotype" w:hAnsi="Palatino Linotype"/>
                <w:b/>
                <w:sz w:val="20"/>
                <w:szCs w:val="20"/>
                <w:lang w:val="en-CA"/>
              </w:rPr>
              <w:t xml:space="preserve">Distribution </w:t>
            </w:r>
            <w:r w:rsidR="0082516E" w:rsidRPr="00A93CD2">
              <w:rPr>
                <w:rFonts w:ascii="Palatino Linotype" w:hAnsi="Palatino Linotype"/>
                <w:b/>
                <w:sz w:val="20"/>
                <w:szCs w:val="20"/>
                <w:lang w:val="en-CA"/>
              </w:rPr>
              <w:t>Parameters</w:t>
            </w:r>
          </w:p>
        </w:tc>
      </w:tr>
      <w:tr w:rsidR="0082516E" w:rsidRPr="00A93CD2" w14:paraId="60EB1594" w14:textId="77777777" w:rsidTr="004E2F43">
        <w:trPr>
          <w:trHeight w:val="452"/>
          <w:jc w:val="center"/>
        </w:trPr>
        <w:tc>
          <w:tcPr>
            <w:tcW w:w="1242" w:type="dxa"/>
            <w:vMerge/>
          </w:tcPr>
          <w:p w14:paraId="60EB158E" w14:textId="77777777" w:rsidR="0082516E" w:rsidRPr="00A93CD2" w:rsidRDefault="0082516E" w:rsidP="009050A1">
            <w:pPr>
              <w:jc w:val="center"/>
              <w:rPr>
                <w:rFonts w:ascii="Palatino Linotype" w:hAnsi="Palatino Linotype"/>
                <w:b/>
                <w:sz w:val="20"/>
                <w:szCs w:val="20"/>
                <w:lang w:val="en-CA"/>
              </w:rPr>
            </w:pPr>
          </w:p>
        </w:tc>
        <w:tc>
          <w:tcPr>
            <w:tcW w:w="1701" w:type="dxa"/>
            <w:vMerge/>
          </w:tcPr>
          <w:p w14:paraId="60EB158F" w14:textId="77777777" w:rsidR="0082516E" w:rsidRPr="00A93CD2" w:rsidRDefault="0082516E" w:rsidP="009050A1">
            <w:pPr>
              <w:jc w:val="center"/>
              <w:rPr>
                <w:rFonts w:ascii="Palatino Linotype" w:hAnsi="Palatino Linotype"/>
                <w:b/>
                <w:sz w:val="20"/>
                <w:szCs w:val="20"/>
                <w:lang w:val="en-CA"/>
              </w:rPr>
            </w:pPr>
          </w:p>
        </w:tc>
        <w:tc>
          <w:tcPr>
            <w:tcW w:w="2213" w:type="dxa"/>
            <w:vMerge/>
          </w:tcPr>
          <w:p w14:paraId="60EB1590" w14:textId="77777777" w:rsidR="0082516E" w:rsidRPr="00A93CD2" w:rsidRDefault="0082516E" w:rsidP="009050A1">
            <w:pPr>
              <w:jc w:val="center"/>
              <w:rPr>
                <w:rFonts w:ascii="Palatino Linotype" w:hAnsi="Palatino Linotype"/>
                <w:b/>
                <w:sz w:val="20"/>
                <w:szCs w:val="20"/>
                <w:lang w:val="en-CA"/>
              </w:rPr>
            </w:pPr>
          </w:p>
        </w:tc>
        <w:tc>
          <w:tcPr>
            <w:tcW w:w="1376" w:type="dxa"/>
            <w:vAlign w:val="center"/>
          </w:tcPr>
          <w:p w14:paraId="60EB1591" w14:textId="77777777" w:rsidR="0082516E" w:rsidRPr="00A93CD2" w:rsidRDefault="0082516E" w:rsidP="0082516E">
            <w:pPr>
              <w:jc w:val="center"/>
              <w:rPr>
                <w:rFonts w:ascii="Palatino Linotype" w:hAnsi="Palatino Linotype"/>
                <w:b/>
                <w:sz w:val="20"/>
                <w:szCs w:val="20"/>
                <w:lang w:val="en-CA"/>
              </w:rPr>
            </w:pPr>
            <w:r w:rsidRPr="00A93CD2">
              <w:rPr>
                <w:rFonts w:ascii="Palatino Linotype" w:hAnsi="Palatino Linotype"/>
                <w:b/>
                <w:sz w:val="20"/>
                <w:szCs w:val="20"/>
                <w:lang w:val="en-CA"/>
              </w:rPr>
              <w:t>Shape</w:t>
            </w:r>
          </w:p>
        </w:tc>
        <w:tc>
          <w:tcPr>
            <w:tcW w:w="1376" w:type="dxa"/>
            <w:gridSpan w:val="2"/>
            <w:vAlign w:val="center"/>
          </w:tcPr>
          <w:p w14:paraId="60EB1592" w14:textId="77777777" w:rsidR="0082516E" w:rsidRPr="00A93CD2" w:rsidRDefault="0082516E" w:rsidP="0082516E">
            <w:pPr>
              <w:jc w:val="center"/>
              <w:rPr>
                <w:rFonts w:ascii="Palatino Linotype" w:hAnsi="Palatino Linotype"/>
                <w:b/>
                <w:sz w:val="20"/>
                <w:szCs w:val="20"/>
                <w:lang w:val="en-CA"/>
              </w:rPr>
            </w:pPr>
            <w:r w:rsidRPr="00A93CD2">
              <w:rPr>
                <w:rFonts w:ascii="Palatino Linotype" w:hAnsi="Palatino Linotype"/>
                <w:b/>
                <w:sz w:val="20"/>
                <w:szCs w:val="20"/>
                <w:lang w:val="en-CA"/>
              </w:rPr>
              <w:t>Scale</w:t>
            </w:r>
          </w:p>
        </w:tc>
        <w:tc>
          <w:tcPr>
            <w:tcW w:w="1380" w:type="dxa"/>
            <w:vAlign w:val="center"/>
          </w:tcPr>
          <w:p w14:paraId="60EB1593" w14:textId="77777777" w:rsidR="0082516E" w:rsidRPr="00A93CD2" w:rsidRDefault="0082516E" w:rsidP="0082516E">
            <w:pPr>
              <w:jc w:val="center"/>
              <w:rPr>
                <w:rFonts w:ascii="Palatino Linotype" w:hAnsi="Palatino Linotype"/>
                <w:b/>
                <w:sz w:val="20"/>
                <w:szCs w:val="20"/>
                <w:lang w:val="en-CA"/>
              </w:rPr>
            </w:pPr>
            <w:r w:rsidRPr="00A93CD2">
              <w:rPr>
                <w:rFonts w:ascii="Palatino Linotype" w:hAnsi="Palatino Linotype"/>
                <w:b/>
                <w:sz w:val="20"/>
                <w:szCs w:val="20"/>
                <w:lang w:val="en-CA"/>
              </w:rPr>
              <w:t>Location</w:t>
            </w:r>
          </w:p>
        </w:tc>
      </w:tr>
      <w:tr w:rsidR="0082516E" w:rsidRPr="00A93CD2" w14:paraId="60EB159B" w14:textId="77777777" w:rsidTr="004E2F43">
        <w:trPr>
          <w:jc w:val="center"/>
        </w:trPr>
        <w:tc>
          <w:tcPr>
            <w:tcW w:w="1242" w:type="dxa"/>
          </w:tcPr>
          <w:p w14:paraId="60EB1595" w14:textId="77777777" w:rsidR="0082516E" w:rsidRPr="00A93CD2" w:rsidRDefault="0082516E" w:rsidP="009050A1">
            <w:pPr>
              <w:jc w:val="center"/>
              <w:rPr>
                <w:rFonts w:ascii="Palatino Linotype" w:hAnsi="Palatino Linotype"/>
                <w:sz w:val="20"/>
                <w:szCs w:val="20"/>
                <w:lang w:val="en-CA"/>
              </w:rPr>
            </w:pPr>
            <w:r w:rsidRPr="00A93CD2">
              <w:rPr>
                <w:rFonts w:ascii="Palatino Linotype" w:hAnsi="Palatino Linotype"/>
                <w:sz w:val="20"/>
                <w:szCs w:val="20"/>
                <w:lang w:val="en-CA"/>
              </w:rPr>
              <w:t>08074000</w:t>
            </w:r>
          </w:p>
        </w:tc>
        <w:tc>
          <w:tcPr>
            <w:tcW w:w="1701" w:type="dxa"/>
          </w:tcPr>
          <w:p w14:paraId="60EB1596" w14:textId="77777777" w:rsidR="0082516E" w:rsidRPr="00A93CD2" w:rsidRDefault="00F07AB0" w:rsidP="009050A1">
            <w:pPr>
              <w:jc w:val="center"/>
              <w:rPr>
                <w:rFonts w:ascii="Palatino Linotype" w:hAnsi="Palatino Linotype"/>
                <w:sz w:val="20"/>
                <w:szCs w:val="20"/>
                <w:lang w:val="en-CA"/>
              </w:rPr>
            </w:pPr>
            <w:r w:rsidRPr="00A93CD2">
              <w:rPr>
                <w:rFonts w:ascii="Palatino Linotype" w:hAnsi="Palatino Linotype"/>
                <w:sz w:val="20"/>
                <w:szCs w:val="20"/>
                <w:lang w:val="en-CA"/>
              </w:rPr>
              <w:t>124</w:t>
            </w:r>
          </w:p>
        </w:tc>
        <w:tc>
          <w:tcPr>
            <w:tcW w:w="2213" w:type="dxa"/>
          </w:tcPr>
          <w:p w14:paraId="60EB1597"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46</w:t>
            </w:r>
          </w:p>
        </w:tc>
        <w:tc>
          <w:tcPr>
            <w:tcW w:w="1376" w:type="dxa"/>
          </w:tcPr>
          <w:p w14:paraId="60EB1598"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0.14</w:t>
            </w:r>
          </w:p>
        </w:tc>
        <w:tc>
          <w:tcPr>
            <w:tcW w:w="1369" w:type="dxa"/>
          </w:tcPr>
          <w:p w14:paraId="60EB1599"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22.23</w:t>
            </w:r>
          </w:p>
        </w:tc>
        <w:tc>
          <w:tcPr>
            <w:tcW w:w="1387" w:type="dxa"/>
            <w:gridSpan w:val="2"/>
          </w:tcPr>
          <w:p w14:paraId="60EB159A"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0.0011</w:t>
            </w:r>
          </w:p>
        </w:tc>
      </w:tr>
      <w:tr w:rsidR="0082516E" w:rsidRPr="00A93CD2" w14:paraId="60EB15A2" w14:textId="77777777" w:rsidTr="004E2F43">
        <w:trPr>
          <w:jc w:val="center"/>
        </w:trPr>
        <w:tc>
          <w:tcPr>
            <w:tcW w:w="1242" w:type="dxa"/>
          </w:tcPr>
          <w:p w14:paraId="60EB159C" w14:textId="77777777" w:rsidR="0082516E" w:rsidRPr="00A93CD2" w:rsidRDefault="0082516E" w:rsidP="009050A1">
            <w:pPr>
              <w:jc w:val="center"/>
              <w:rPr>
                <w:rFonts w:ascii="Palatino Linotype" w:hAnsi="Palatino Linotype"/>
                <w:sz w:val="20"/>
                <w:szCs w:val="20"/>
                <w:lang w:val="en-CA"/>
              </w:rPr>
            </w:pPr>
            <w:r w:rsidRPr="00A93CD2">
              <w:rPr>
                <w:rFonts w:ascii="Palatino Linotype" w:hAnsi="Palatino Linotype"/>
                <w:sz w:val="20"/>
                <w:szCs w:val="20"/>
                <w:lang w:val="en-CA"/>
              </w:rPr>
              <w:t>08074500</w:t>
            </w:r>
          </w:p>
        </w:tc>
        <w:tc>
          <w:tcPr>
            <w:tcW w:w="1701" w:type="dxa"/>
          </w:tcPr>
          <w:p w14:paraId="60EB159D" w14:textId="77777777" w:rsidR="0082516E" w:rsidRPr="00A93CD2" w:rsidRDefault="00BC0679" w:rsidP="009050A1">
            <w:pPr>
              <w:jc w:val="center"/>
              <w:rPr>
                <w:rFonts w:ascii="Palatino Linotype" w:hAnsi="Palatino Linotype"/>
                <w:sz w:val="20"/>
                <w:szCs w:val="20"/>
                <w:lang w:val="en-CA"/>
              </w:rPr>
            </w:pPr>
            <w:r w:rsidRPr="00A93CD2">
              <w:rPr>
                <w:rFonts w:ascii="Palatino Linotype" w:hAnsi="Palatino Linotype"/>
                <w:sz w:val="20"/>
                <w:szCs w:val="20"/>
                <w:lang w:val="en-CA"/>
              </w:rPr>
              <w:t>77</w:t>
            </w:r>
          </w:p>
        </w:tc>
        <w:tc>
          <w:tcPr>
            <w:tcW w:w="2213" w:type="dxa"/>
          </w:tcPr>
          <w:p w14:paraId="60EB159E"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70</w:t>
            </w:r>
          </w:p>
        </w:tc>
        <w:tc>
          <w:tcPr>
            <w:tcW w:w="1376" w:type="dxa"/>
          </w:tcPr>
          <w:p w14:paraId="60EB159F"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0.49</w:t>
            </w:r>
          </w:p>
        </w:tc>
        <w:tc>
          <w:tcPr>
            <w:tcW w:w="1369" w:type="dxa"/>
          </w:tcPr>
          <w:p w14:paraId="60EB15A0"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3.16</w:t>
            </w:r>
          </w:p>
        </w:tc>
        <w:tc>
          <w:tcPr>
            <w:tcW w:w="1387" w:type="dxa"/>
            <w:gridSpan w:val="2"/>
          </w:tcPr>
          <w:p w14:paraId="60EB15A1"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0.0028</w:t>
            </w:r>
          </w:p>
        </w:tc>
      </w:tr>
      <w:tr w:rsidR="0082516E" w:rsidRPr="00A93CD2" w14:paraId="60EB15A9" w14:textId="77777777" w:rsidTr="004E2F43">
        <w:trPr>
          <w:jc w:val="center"/>
        </w:trPr>
        <w:tc>
          <w:tcPr>
            <w:tcW w:w="1242" w:type="dxa"/>
          </w:tcPr>
          <w:p w14:paraId="60EB15A3" w14:textId="77777777" w:rsidR="0082516E" w:rsidRPr="00A93CD2" w:rsidRDefault="0082516E" w:rsidP="009050A1">
            <w:pPr>
              <w:jc w:val="center"/>
              <w:rPr>
                <w:rFonts w:ascii="Palatino Linotype" w:hAnsi="Palatino Linotype"/>
                <w:sz w:val="20"/>
                <w:szCs w:val="20"/>
                <w:lang w:val="en-CA"/>
              </w:rPr>
            </w:pPr>
            <w:r w:rsidRPr="00A93CD2">
              <w:rPr>
                <w:rFonts w:ascii="Palatino Linotype" w:hAnsi="Palatino Linotype"/>
                <w:sz w:val="20"/>
                <w:szCs w:val="20"/>
                <w:lang w:val="en-CA"/>
              </w:rPr>
              <w:t>08075000</w:t>
            </w:r>
          </w:p>
        </w:tc>
        <w:tc>
          <w:tcPr>
            <w:tcW w:w="1701" w:type="dxa"/>
          </w:tcPr>
          <w:p w14:paraId="60EB15A4" w14:textId="77777777" w:rsidR="0082516E" w:rsidRPr="00A93CD2" w:rsidRDefault="00BC0679" w:rsidP="009050A1">
            <w:pPr>
              <w:jc w:val="center"/>
              <w:rPr>
                <w:rFonts w:ascii="Palatino Linotype" w:hAnsi="Palatino Linotype"/>
                <w:sz w:val="20"/>
                <w:szCs w:val="20"/>
                <w:lang w:val="en-CA"/>
              </w:rPr>
            </w:pPr>
            <w:r w:rsidRPr="00A93CD2">
              <w:rPr>
                <w:rFonts w:ascii="Palatino Linotype" w:hAnsi="Palatino Linotype"/>
                <w:sz w:val="20"/>
                <w:szCs w:val="20"/>
                <w:lang w:val="en-CA"/>
              </w:rPr>
              <w:t>107</w:t>
            </w:r>
          </w:p>
        </w:tc>
        <w:tc>
          <w:tcPr>
            <w:tcW w:w="2213" w:type="dxa"/>
          </w:tcPr>
          <w:p w14:paraId="60EB15A5"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107</w:t>
            </w:r>
          </w:p>
        </w:tc>
        <w:tc>
          <w:tcPr>
            <w:tcW w:w="1376" w:type="dxa"/>
          </w:tcPr>
          <w:p w14:paraId="60EB15A6"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0.35</w:t>
            </w:r>
          </w:p>
        </w:tc>
        <w:tc>
          <w:tcPr>
            <w:tcW w:w="1369" w:type="dxa"/>
          </w:tcPr>
          <w:p w14:paraId="60EB15A7"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8.40</w:t>
            </w:r>
          </w:p>
        </w:tc>
        <w:tc>
          <w:tcPr>
            <w:tcW w:w="1387" w:type="dxa"/>
            <w:gridSpan w:val="2"/>
          </w:tcPr>
          <w:p w14:paraId="60EB15A8"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0.0046</w:t>
            </w:r>
          </w:p>
        </w:tc>
      </w:tr>
      <w:tr w:rsidR="0082516E" w:rsidRPr="00A93CD2" w14:paraId="60EB15B0" w14:textId="77777777" w:rsidTr="004E2F43">
        <w:trPr>
          <w:jc w:val="center"/>
        </w:trPr>
        <w:tc>
          <w:tcPr>
            <w:tcW w:w="1242" w:type="dxa"/>
          </w:tcPr>
          <w:p w14:paraId="60EB15AA" w14:textId="77777777" w:rsidR="0082516E" w:rsidRPr="00A93CD2" w:rsidRDefault="0082516E" w:rsidP="009050A1">
            <w:pPr>
              <w:jc w:val="center"/>
              <w:rPr>
                <w:rFonts w:ascii="Palatino Linotype" w:hAnsi="Palatino Linotype"/>
                <w:sz w:val="20"/>
                <w:szCs w:val="20"/>
                <w:lang w:val="en-CA"/>
              </w:rPr>
            </w:pPr>
            <w:r w:rsidRPr="00A93CD2">
              <w:rPr>
                <w:rFonts w:ascii="Palatino Linotype" w:hAnsi="Palatino Linotype"/>
                <w:sz w:val="20"/>
                <w:szCs w:val="20"/>
                <w:lang w:val="en-CA"/>
              </w:rPr>
              <w:t>08075730</w:t>
            </w:r>
          </w:p>
        </w:tc>
        <w:tc>
          <w:tcPr>
            <w:tcW w:w="1701" w:type="dxa"/>
          </w:tcPr>
          <w:p w14:paraId="60EB15AB" w14:textId="77777777" w:rsidR="0082516E" w:rsidRPr="00A93CD2" w:rsidRDefault="00BC0679" w:rsidP="009050A1">
            <w:pPr>
              <w:jc w:val="center"/>
              <w:rPr>
                <w:rFonts w:ascii="Palatino Linotype" w:hAnsi="Palatino Linotype"/>
                <w:sz w:val="20"/>
                <w:szCs w:val="20"/>
                <w:lang w:val="en-CA"/>
              </w:rPr>
            </w:pPr>
            <w:r w:rsidRPr="00A93CD2">
              <w:rPr>
                <w:rFonts w:ascii="Palatino Linotype" w:hAnsi="Palatino Linotype"/>
                <w:sz w:val="20"/>
                <w:szCs w:val="20"/>
                <w:lang w:val="en-CA"/>
              </w:rPr>
              <w:t>10</w:t>
            </w:r>
          </w:p>
        </w:tc>
        <w:tc>
          <w:tcPr>
            <w:tcW w:w="2213" w:type="dxa"/>
          </w:tcPr>
          <w:p w14:paraId="60EB15AC"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82</w:t>
            </w:r>
          </w:p>
        </w:tc>
        <w:tc>
          <w:tcPr>
            <w:tcW w:w="1376" w:type="dxa"/>
          </w:tcPr>
          <w:p w14:paraId="60EB15AD"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0.46</w:t>
            </w:r>
          </w:p>
        </w:tc>
        <w:tc>
          <w:tcPr>
            <w:tcW w:w="1369" w:type="dxa"/>
          </w:tcPr>
          <w:p w14:paraId="60EB15AE"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0.49</w:t>
            </w:r>
          </w:p>
        </w:tc>
        <w:tc>
          <w:tcPr>
            <w:tcW w:w="1387" w:type="dxa"/>
            <w:gridSpan w:val="2"/>
          </w:tcPr>
          <w:p w14:paraId="60EB15AF"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0.0010</w:t>
            </w:r>
          </w:p>
        </w:tc>
      </w:tr>
      <w:tr w:rsidR="0082516E" w:rsidRPr="00A93CD2" w14:paraId="60EB15B7" w14:textId="77777777" w:rsidTr="004E2F43">
        <w:trPr>
          <w:jc w:val="center"/>
        </w:trPr>
        <w:tc>
          <w:tcPr>
            <w:tcW w:w="1242" w:type="dxa"/>
          </w:tcPr>
          <w:p w14:paraId="60EB15B1" w14:textId="77777777" w:rsidR="0082516E" w:rsidRPr="00A93CD2" w:rsidRDefault="0082516E" w:rsidP="009050A1">
            <w:pPr>
              <w:jc w:val="center"/>
              <w:rPr>
                <w:rFonts w:ascii="Palatino Linotype" w:hAnsi="Palatino Linotype"/>
                <w:sz w:val="20"/>
                <w:szCs w:val="20"/>
                <w:lang w:val="en-CA"/>
              </w:rPr>
            </w:pPr>
            <w:r w:rsidRPr="00A93CD2">
              <w:rPr>
                <w:rFonts w:ascii="Palatino Linotype" w:hAnsi="Palatino Linotype"/>
                <w:sz w:val="20"/>
                <w:szCs w:val="20"/>
                <w:lang w:val="en-CA"/>
              </w:rPr>
              <w:t>08075770</w:t>
            </w:r>
          </w:p>
        </w:tc>
        <w:tc>
          <w:tcPr>
            <w:tcW w:w="1701" w:type="dxa"/>
          </w:tcPr>
          <w:p w14:paraId="60EB15B2" w14:textId="77777777" w:rsidR="0082516E" w:rsidRPr="00A93CD2" w:rsidRDefault="00BC0679" w:rsidP="009050A1">
            <w:pPr>
              <w:jc w:val="center"/>
              <w:rPr>
                <w:rFonts w:ascii="Palatino Linotype" w:hAnsi="Palatino Linotype"/>
                <w:sz w:val="20"/>
                <w:szCs w:val="20"/>
                <w:lang w:val="en-CA"/>
              </w:rPr>
            </w:pPr>
            <w:r w:rsidRPr="00A93CD2">
              <w:rPr>
                <w:rFonts w:ascii="Palatino Linotype" w:hAnsi="Palatino Linotype"/>
                <w:sz w:val="20"/>
                <w:szCs w:val="20"/>
                <w:lang w:val="en-CA"/>
              </w:rPr>
              <w:t>15</w:t>
            </w:r>
          </w:p>
        </w:tc>
        <w:tc>
          <w:tcPr>
            <w:tcW w:w="2213" w:type="dxa"/>
          </w:tcPr>
          <w:p w14:paraId="60EB15B3"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87</w:t>
            </w:r>
          </w:p>
        </w:tc>
        <w:tc>
          <w:tcPr>
            <w:tcW w:w="1376" w:type="dxa"/>
          </w:tcPr>
          <w:p w14:paraId="60EB15B4"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0.42</w:t>
            </w:r>
          </w:p>
        </w:tc>
        <w:tc>
          <w:tcPr>
            <w:tcW w:w="1369" w:type="dxa"/>
          </w:tcPr>
          <w:p w14:paraId="60EB15B5"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0.87</w:t>
            </w:r>
          </w:p>
        </w:tc>
        <w:tc>
          <w:tcPr>
            <w:tcW w:w="1387" w:type="dxa"/>
            <w:gridSpan w:val="2"/>
          </w:tcPr>
          <w:p w14:paraId="60EB15B6"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0.0035</w:t>
            </w:r>
          </w:p>
        </w:tc>
      </w:tr>
      <w:tr w:rsidR="0082516E" w:rsidRPr="00A93CD2" w14:paraId="60EB15BE" w14:textId="77777777" w:rsidTr="00E33023">
        <w:trPr>
          <w:jc w:val="center"/>
        </w:trPr>
        <w:tc>
          <w:tcPr>
            <w:tcW w:w="1242" w:type="dxa"/>
            <w:shd w:val="clear" w:color="auto" w:fill="auto"/>
          </w:tcPr>
          <w:p w14:paraId="60EB15B8" w14:textId="77777777" w:rsidR="0082516E" w:rsidRPr="00A93CD2" w:rsidRDefault="0082516E" w:rsidP="009050A1">
            <w:pPr>
              <w:jc w:val="center"/>
              <w:rPr>
                <w:rFonts w:ascii="Palatino Linotype" w:hAnsi="Palatino Linotype"/>
                <w:sz w:val="20"/>
                <w:szCs w:val="20"/>
                <w:lang w:val="en-CA"/>
              </w:rPr>
            </w:pPr>
            <w:r w:rsidRPr="00A93CD2">
              <w:rPr>
                <w:rFonts w:ascii="Palatino Linotype" w:hAnsi="Palatino Linotype"/>
                <w:sz w:val="20"/>
                <w:szCs w:val="20"/>
                <w:lang w:val="en-CA"/>
              </w:rPr>
              <w:t>08076700</w:t>
            </w:r>
          </w:p>
        </w:tc>
        <w:tc>
          <w:tcPr>
            <w:tcW w:w="1701" w:type="dxa"/>
            <w:shd w:val="clear" w:color="auto" w:fill="auto"/>
          </w:tcPr>
          <w:p w14:paraId="60EB15B9" w14:textId="77777777" w:rsidR="0082516E" w:rsidRPr="00A93CD2" w:rsidRDefault="00BC0679" w:rsidP="009050A1">
            <w:pPr>
              <w:jc w:val="center"/>
              <w:rPr>
                <w:rFonts w:ascii="Palatino Linotype" w:hAnsi="Palatino Linotype"/>
                <w:sz w:val="20"/>
                <w:szCs w:val="20"/>
                <w:lang w:val="en-CA"/>
              </w:rPr>
            </w:pPr>
            <w:r w:rsidRPr="00A93CD2">
              <w:rPr>
                <w:rFonts w:ascii="Palatino Linotype" w:hAnsi="Palatino Linotype"/>
                <w:sz w:val="20"/>
                <w:szCs w:val="20"/>
                <w:lang w:val="en-CA"/>
              </w:rPr>
              <w:t>307</w:t>
            </w:r>
          </w:p>
        </w:tc>
        <w:tc>
          <w:tcPr>
            <w:tcW w:w="2213" w:type="dxa"/>
            <w:shd w:val="clear" w:color="auto" w:fill="auto"/>
          </w:tcPr>
          <w:p w14:paraId="60EB15BA"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17</w:t>
            </w:r>
          </w:p>
        </w:tc>
        <w:tc>
          <w:tcPr>
            <w:tcW w:w="1376" w:type="dxa"/>
            <w:shd w:val="clear" w:color="auto" w:fill="auto"/>
          </w:tcPr>
          <w:p w14:paraId="60EB15BB"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0.57</w:t>
            </w:r>
          </w:p>
        </w:tc>
        <w:tc>
          <w:tcPr>
            <w:tcW w:w="1369" w:type="dxa"/>
            <w:shd w:val="clear" w:color="auto" w:fill="auto"/>
          </w:tcPr>
          <w:p w14:paraId="60EB15BC"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9.13</w:t>
            </w:r>
          </w:p>
        </w:tc>
        <w:tc>
          <w:tcPr>
            <w:tcW w:w="1387" w:type="dxa"/>
            <w:gridSpan w:val="2"/>
            <w:shd w:val="clear" w:color="auto" w:fill="auto"/>
          </w:tcPr>
          <w:p w14:paraId="60EB15BD"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132.80</w:t>
            </w:r>
          </w:p>
        </w:tc>
      </w:tr>
      <w:tr w:rsidR="0082516E" w:rsidRPr="00A93CD2" w14:paraId="60EB15C5" w14:textId="77777777" w:rsidTr="004E2F43">
        <w:trPr>
          <w:jc w:val="center"/>
        </w:trPr>
        <w:tc>
          <w:tcPr>
            <w:tcW w:w="1242" w:type="dxa"/>
          </w:tcPr>
          <w:p w14:paraId="60EB15BF" w14:textId="77777777" w:rsidR="0082516E" w:rsidRPr="00A93CD2" w:rsidRDefault="0082516E" w:rsidP="009050A1">
            <w:pPr>
              <w:jc w:val="center"/>
              <w:rPr>
                <w:rFonts w:ascii="Palatino Linotype" w:hAnsi="Palatino Linotype"/>
                <w:sz w:val="20"/>
                <w:szCs w:val="20"/>
                <w:lang w:val="en-CA"/>
              </w:rPr>
            </w:pPr>
            <w:r w:rsidRPr="00A93CD2">
              <w:rPr>
                <w:rFonts w:ascii="Palatino Linotype" w:hAnsi="Palatino Linotype"/>
                <w:sz w:val="20"/>
                <w:szCs w:val="20"/>
                <w:lang w:val="en-CA"/>
              </w:rPr>
              <w:t>08075500</w:t>
            </w:r>
          </w:p>
        </w:tc>
        <w:tc>
          <w:tcPr>
            <w:tcW w:w="1701" w:type="dxa"/>
          </w:tcPr>
          <w:p w14:paraId="60EB15C0" w14:textId="77777777" w:rsidR="0082516E" w:rsidRPr="00A93CD2" w:rsidRDefault="00BC0679" w:rsidP="009050A1">
            <w:pPr>
              <w:jc w:val="center"/>
              <w:rPr>
                <w:rFonts w:ascii="Palatino Linotype" w:hAnsi="Palatino Linotype"/>
                <w:sz w:val="20"/>
                <w:szCs w:val="20"/>
                <w:lang w:val="en-CA"/>
              </w:rPr>
            </w:pPr>
            <w:r w:rsidRPr="00A93CD2">
              <w:rPr>
                <w:rFonts w:ascii="Palatino Linotype" w:hAnsi="Palatino Linotype"/>
                <w:sz w:val="20"/>
                <w:szCs w:val="20"/>
                <w:lang w:val="en-CA"/>
              </w:rPr>
              <w:t>56</w:t>
            </w:r>
          </w:p>
        </w:tc>
        <w:tc>
          <w:tcPr>
            <w:tcW w:w="2213" w:type="dxa"/>
          </w:tcPr>
          <w:p w14:paraId="60EB15C1"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90</w:t>
            </w:r>
          </w:p>
        </w:tc>
        <w:tc>
          <w:tcPr>
            <w:tcW w:w="1376" w:type="dxa"/>
          </w:tcPr>
          <w:p w14:paraId="60EB15C2"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0.40</w:t>
            </w:r>
          </w:p>
        </w:tc>
        <w:tc>
          <w:tcPr>
            <w:tcW w:w="1369" w:type="dxa"/>
          </w:tcPr>
          <w:p w14:paraId="60EB15C3"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3.52</w:t>
            </w:r>
          </w:p>
        </w:tc>
        <w:tc>
          <w:tcPr>
            <w:tcW w:w="1387" w:type="dxa"/>
            <w:gridSpan w:val="2"/>
          </w:tcPr>
          <w:p w14:paraId="60EB15C4" w14:textId="77777777" w:rsidR="0082516E" w:rsidRPr="00A93CD2" w:rsidRDefault="0082516E" w:rsidP="0082516E">
            <w:pPr>
              <w:jc w:val="center"/>
              <w:rPr>
                <w:rFonts w:ascii="Palatino Linotype" w:hAnsi="Palatino Linotype"/>
                <w:sz w:val="20"/>
                <w:szCs w:val="20"/>
              </w:rPr>
            </w:pPr>
            <w:r w:rsidRPr="00A93CD2">
              <w:rPr>
                <w:rFonts w:ascii="Palatino Linotype" w:hAnsi="Palatino Linotype"/>
                <w:sz w:val="20"/>
                <w:szCs w:val="20"/>
              </w:rPr>
              <w:t>0.0011</w:t>
            </w:r>
          </w:p>
        </w:tc>
      </w:tr>
    </w:tbl>
    <w:p w14:paraId="60EB15C6" w14:textId="77777777" w:rsidR="001F66B3" w:rsidRPr="00A93CD2" w:rsidRDefault="001F66B3" w:rsidP="00950729">
      <w:pPr>
        <w:jc w:val="center"/>
        <w:rPr>
          <w:rFonts w:ascii="Palatino Linotype" w:hAnsi="Palatino Linotype"/>
          <w:sz w:val="20"/>
          <w:szCs w:val="20"/>
          <w:lang w:val="en-CA"/>
        </w:rPr>
      </w:pPr>
    </w:p>
    <w:p w14:paraId="60EB15C7" w14:textId="77777777" w:rsidR="00BD0655" w:rsidRPr="00A93CD2" w:rsidRDefault="00BD0655" w:rsidP="00950729">
      <w:pPr>
        <w:jc w:val="center"/>
        <w:rPr>
          <w:rFonts w:ascii="Palatino Linotype" w:hAnsi="Palatino Linotype"/>
          <w:sz w:val="20"/>
          <w:szCs w:val="20"/>
          <w:lang w:val="en-CA"/>
        </w:rPr>
      </w:pPr>
    </w:p>
    <w:p w14:paraId="60EB15C8" w14:textId="77777777" w:rsidR="00BD0655" w:rsidRPr="00A93CD2" w:rsidRDefault="00BD0655" w:rsidP="00950729">
      <w:pPr>
        <w:jc w:val="center"/>
        <w:rPr>
          <w:rFonts w:ascii="Palatino Linotype" w:hAnsi="Palatino Linotype"/>
          <w:sz w:val="20"/>
          <w:szCs w:val="20"/>
          <w:lang w:val="en-CA"/>
        </w:rPr>
      </w:pPr>
    </w:p>
    <w:p w14:paraId="60EB15C9" w14:textId="77777777" w:rsidR="001F66B3" w:rsidRPr="00A93CD2" w:rsidRDefault="001F66B3" w:rsidP="00950729">
      <w:pPr>
        <w:jc w:val="center"/>
        <w:rPr>
          <w:rFonts w:ascii="Palatino Linotype" w:hAnsi="Palatino Linotype"/>
          <w:sz w:val="20"/>
          <w:szCs w:val="20"/>
          <w:lang w:val="en-CA"/>
        </w:rPr>
      </w:pPr>
    </w:p>
    <w:p w14:paraId="60EB15CA" w14:textId="1DD2A07E" w:rsidR="00950729" w:rsidRPr="00A93CD2" w:rsidRDefault="00950729" w:rsidP="00A521E5">
      <w:pPr>
        <w:pStyle w:val="MDPI51figurecaption"/>
      </w:pPr>
      <w:r w:rsidRPr="00A93CD2">
        <w:lastRenderedPageBreak/>
        <w:t xml:space="preserve">Table </w:t>
      </w:r>
      <w:r w:rsidR="00F26203">
        <w:t>S</w:t>
      </w:r>
      <w:r w:rsidR="00EE2069" w:rsidRPr="00A93CD2">
        <w:t>2</w:t>
      </w:r>
      <w:r w:rsidRPr="00A93CD2">
        <w:t>: Gaussian mixture distribution parameters obtained for the storm surge distributions.</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30536D" w:rsidRPr="00A93CD2" w14:paraId="60EB15CE" w14:textId="77777777" w:rsidTr="0030536D">
        <w:tc>
          <w:tcPr>
            <w:tcW w:w="1316" w:type="dxa"/>
            <w:vMerge w:val="restart"/>
            <w:vAlign w:val="center"/>
          </w:tcPr>
          <w:p w14:paraId="60EB15CB" w14:textId="77777777" w:rsidR="0030536D" w:rsidRPr="00A93CD2" w:rsidRDefault="0030536D" w:rsidP="0030536D">
            <w:pPr>
              <w:jc w:val="center"/>
              <w:rPr>
                <w:rFonts w:ascii="Palatino Linotype" w:hAnsi="Palatino Linotype"/>
                <w:sz w:val="20"/>
                <w:szCs w:val="20"/>
                <w:lang w:val="en-CA"/>
              </w:rPr>
            </w:pPr>
            <w:r w:rsidRPr="00A93CD2">
              <w:rPr>
                <w:rFonts w:ascii="Palatino Linotype" w:hAnsi="Palatino Linotype"/>
                <w:sz w:val="20"/>
                <w:szCs w:val="20"/>
                <w:lang w:val="en-CA"/>
              </w:rPr>
              <w:t>Station</w:t>
            </w:r>
          </w:p>
        </w:tc>
        <w:tc>
          <w:tcPr>
            <w:tcW w:w="3948" w:type="dxa"/>
            <w:gridSpan w:val="3"/>
          </w:tcPr>
          <w:p w14:paraId="60EB15CC" w14:textId="77777777" w:rsidR="0030536D" w:rsidRPr="00A93CD2" w:rsidRDefault="0030536D" w:rsidP="000F2F23">
            <w:pPr>
              <w:jc w:val="center"/>
              <w:rPr>
                <w:rFonts w:ascii="Palatino Linotype" w:hAnsi="Palatino Linotype"/>
                <w:sz w:val="20"/>
                <w:szCs w:val="20"/>
                <w:lang w:val="en-CA"/>
              </w:rPr>
            </w:pPr>
            <w:r w:rsidRPr="00A93CD2">
              <w:rPr>
                <w:rFonts w:ascii="Palatino Linotype" w:hAnsi="Palatino Linotype"/>
                <w:sz w:val="20"/>
                <w:szCs w:val="20"/>
                <w:lang w:val="en-CA"/>
              </w:rPr>
              <w:t>First component (c=1)</w:t>
            </w:r>
          </w:p>
        </w:tc>
        <w:tc>
          <w:tcPr>
            <w:tcW w:w="3948" w:type="dxa"/>
            <w:gridSpan w:val="3"/>
          </w:tcPr>
          <w:p w14:paraId="60EB15CD" w14:textId="77777777" w:rsidR="0030536D" w:rsidRPr="00A93CD2" w:rsidRDefault="0030536D" w:rsidP="000F2F23">
            <w:pPr>
              <w:jc w:val="center"/>
              <w:rPr>
                <w:rFonts w:ascii="Palatino Linotype" w:hAnsi="Palatino Linotype"/>
                <w:sz w:val="20"/>
                <w:szCs w:val="20"/>
                <w:lang w:val="en-CA"/>
              </w:rPr>
            </w:pPr>
            <w:r w:rsidRPr="00A93CD2">
              <w:rPr>
                <w:rFonts w:ascii="Palatino Linotype" w:hAnsi="Palatino Linotype"/>
                <w:sz w:val="20"/>
                <w:szCs w:val="20"/>
                <w:lang w:val="en-CA"/>
              </w:rPr>
              <w:t>Second component (c=2)</w:t>
            </w:r>
          </w:p>
        </w:tc>
      </w:tr>
      <w:tr w:rsidR="0030536D" w:rsidRPr="00A93CD2" w14:paraId="60EB15D6" w14:textId="77777777" w:rsidTr="00670C59">
        <w:tc>
          <w:tcPr>
            <w:tcW w:w="1316" w:type="dxa"/>
            <w:vMerge/>
          </w:tcPr>
          <w:p w14:paraId="60EB15CF" w14:textId="77777777" w:rsidR="0030536D" w:rsidRPr="00A93CD2" w:rsidRDefault="0030536D" w:rsidP="000F2F23">
            <w:pPr>
              <w:jc w:val="center"/>
              <w:rPr>
                <w:rFonts w:ascii="Palatino Linotype" w:hAnsi="Palatino Linotype"/>
                <w:sz w:val="20"/>
                <w:szCs w:val="20"/>
                <w:lang w:val="en-CA"/>
              </w:rPr>
            </w:pPr>
          </w:p>
        </w:tc>
        <w:tc>
          <w:tcPr>
            <w:tcW w:w="1316" w:type="dxa"/>
          </w:tcPr>
          <w:p w14:paraId="60EB15D0" w14:textId="77777777" w:rsidR="0030536D" w:rsidRPr="00A93CD2" w:rsidRDefault="0030536D" w:rsidP="0030536D">
            <w:pPr>
              <w:jc w:val="center"/>
              <w:rPr>
                <w:rFonts w:ascii="Palatino Linotype" w:hAnsi="Palatino Linotype"/>
                <w:sz w:val="20"/>
                <w:szCs w:val="20"/>
                <w:lang w:val="en-CA"/>
              </w:rPr>
            </w:pPr>
            <w:r w:rsidRPr="00A93CD2">
              <w:rPr>
                <w:rFonts w:ascii="Palatino Linotype" w:hAnsi="Palatino Linotype"/>
                <w:sz w:val="20"/>
                <w:szCs w:val="20"/>
                <w:lang w:val="en-CA"/>
              </w:rPr>
              <w:t xml:space="preserve"> </w:t>
            </w:r>
            <m:oMath>
              <m:sSub>
                <m:sSubPr>
                  <m:ctrlPr>
                    <w:rPr>
                      <w:rFonts w:ascii="Cambria Math" w:hAnsi="Cambria Math"/>
                      <w:i/>
                      <w:sz w:val="20"/>
                      <w:szCs w:val="20"/>
                      <w:lang w:val="en-CA"/>
                    </w:rPr>
                  </m:ctrlPr>
                </m:sSubPr>
                <m:e>
                  <m:r>
                    <w:rPr>
                      <w:rFonts w:ascii="Cambria Math" w:hAnsi="Cambria Math"/>
                      <w:sz w:val="20"/>
                      <w:szCs w:val="20"/>
                      <w:lang w:val="en-CA"/>
                    </w:rPr>
                    <m:t>w</m:t>
                  </m:r>
                </m:e>
                <m:sub>
                  <m:r>
                    <w:rPr>
                      <w:rFonts w:ascii="Cambria Math" w:hAnsi="Cambria Math"/>
                      <w:sz w:val="20"/>
                      <w:szCs w:val="20"/>
                      <w:lang w:val="en-CA"/>
                    </w:rPr>
                    <m:t>1</m:t>
                  </m:r>
                </m:sub>
              </m:sSub>
            </m:oMath>
          </w:p>
        </w:tc>
        <w:tc>
          <w:tcPr>
            <w:tcW w:w="1316" w:type="dxa"/>
          </w:tcPr>
          <w:p w14:paraId="60EB15D1" w14:textId="77777777" w:rsidR="0030536D" w:rsidRPr="00A93CD2" w:rsidRDefault="0030536D" w:rsidP="000F2F23">
            <w:pPr>
              <w:jc w:val="center"/>
              <w:rPr>
                <w:rFonts w:ascii="Palatino Linotype" w:hAnsi="Palatino Linotype"/>
                <w:sz w:val="20"/>
                <w:szCs w:val="20"/>
                <w:lang w:val="en-CA"/>
              </w:rPr>
            </w:pPr>
            <w:r w:rsidRPr="00A93CD2">
              <w:rPr>
                <w:rFonts w:ascii="Palatino Linotype" w:hAnsi="Palatino Linotype"/>
                <w:sz w:val="20"/>
                <w:szCs w:val="20"/>
                <w:lang w:val="en-CA"/>
              </w:rPr>
              <w:t xml:space="preserve"> </w:t>
            </w:r>
            <m:oMath>
              <m:sSub>
                <m:sSubPr>
                  <m:ctrlPr>
                    <w:rPr>
                      <w:rFonts w:ascii="Cambria Math" w:hAnsi="Cambria Math"/>
                      <w:i/>
                      <w:sz w:val="20"/>
                      <w:szCs w:val="20"/>
                      <w:lang w:val="en-CA"/>
                    </w:rPr>
                  </m:ctrlPr>
                </m:sSubPr>
                <m:e>
                  <m:r>
                    <w:rPr>
                      <w:rFonts w:ascii="Cambria Math" w:hAnsi="Cambria Math"/>
                      <w:sz w:val="20"/>
                      <w:szCs w:val="20"/>
                      <w:lang w:val="en-CA"/>
                    </w:rPr>
                    <m:t>μ</m:t>
                  </m:r>
                </m:e>
                <m:sub>
                  <m:r>
                    <w:rPr>
                      <w:rFonts w:ascii="Cambria Math" w:hAnsi="Cambria Math"/>
                      <w:sz w:val="20"/>
                      <w:szCs w:val="20"/>
                      <w:lang w:val="en-CA"/>
                    </w:rPr>
                    <m:t>1</m:t>
                  </m:r>
                </m:sub>
              </m:sSub>
            </m:oMath>
            <w:r w:rsidR="00950729" w:rsidRPr="00A93CD2">
              <w:rPr>
                <w:rFonts w:ascii="Palatino Linotype" w:hAnsi="Palatino Linotype"/>
                <w:sz w:val="20"/>
                <w:szCs w:val="20"/>
                <w:lang w:val="en-CA"/>
              </w:rPr>
              <w:t xml:space="preserve"> (m)</w:t>
            </w:r>
          </w:p>
        </w:tc>
        <w:tc>
          <w:tcPr>
            <w:tcW w:w="1316" w:type="dxa"/>
          </w:tcPr>
          <w:p w14:paraId="60EB15D2" w14:textId="77777777" w:rsidR="0030536D" w:rsidRPr="00A93CD2" w:rsidRDefault="00F26203" w:rsidP="000F2F23">
            <w:pPr>
              <w:jc w:val="center"/>
              <w:rPr>
                <w:rFonts w:ascii="Palatino Linotype" w:hAnsi="Palatino Linotype"/>
                <w:sz w:val="20"/>
                <w:szCs w:val="20"/>
                <w:lang w:val="en-CA"/>
              </w:rPr>
            </w:pPr>
            <m:oMath>
              <m:sSub>
                <m:sSubPr>
                  <m:ctrlPr>
                    <w:rPr>
                      <w:rFonts w:ascii="Cambria Math" w:hAnsi="Cambria Math"/>
                      <w:i/>
                      <w:sz w:val="20"/>
                      <w:szCs w:val="20"/>
                      <w:lang w:val="en-CA"/>
                    </w:rPr>
                  </m:ctrlPr>
                </m:sSubPr>
                <m:e>
                  <m:r>
                    <w:rPr>
                      <w:rFonts w:ascii="Cambria Math" w:hAnsi="Cambria Math"/>
                      <w:sz w:val="20"/>
                      <w:szCs w:val="20"/>
                      <w:lang w:val="en-CA"/>
                    </w:rPr>
                    <m:t>σ</m:t>
                  </m:r>
                </m:e>
                <m:sub>
                  <m:r>
                    <w:rPr>
                      <w:rFonts w:ascii="Cambria Math" w:hAnsi="Cambria Math"/>
                      <w:sz w:val="20"/>
                      <w:szCs w:val="20"/>
                      <w:lang w:val="en-CA"/>
                    </w:rPr>
                    <m:t>1</m:t>
                  </m:r>
                </m:sub>
              </m:sSub>
            </m:oMath>
            <w:r w:rsidR="00950729" w:rsidRPr="00A93CD2">
              <w:rPr>
                <w:rFonts w:ascii="Palatino Linotype" w:hAnsi="Palatino Linotype"/>
                <w:sz w:val="20"/>
                <w:szCs w:val="20"/>
                <w:lang w:val="en-CA"/>
              </w:rPr>
              <w:t xml:space="preserve"> (m)</w:t>
            </w:r>
          </w:p>
        </w:tc>
        <w:tc>
          <w:tcPr>
            <w:tcW w:w="1316" w:type="dxa"/>
          </w:tcPr>
          <w:p w14:paraId="60EB15D3" w14:textId="77777777" w:rsidR="0030536D" w:rsidRPr="00A93CD2" w:rsidRDefault="0030536D" w:rsidP="009050A1">
            <w:pPr>
              <w:jc w:val="center"/>
              <w:rPr>
                <w:rFonts w:ascii="Palatino Linotype" w:hAnsi="Palatino Linotype"/>
                <w:sz w:val="20"/>
                <w:szCs w:val="20"/>
                <w:lang w:val="en-CA"/>
              </w:rPr>
            </w:pPr>
            <w:r w:rsidRPr="00A93CD2">
              <w:rPr>
                <w:rFonts w:ascii="Palatino Linotype" w:hAnsi="Palatino Linotype"/>
                <w:sz w:val="20"/>
                <w:szCs w:val="20"/>
                <w:lang w:val="en-CA"/>
              </w:rPr>
              <w:t xml:space="preserve"> </w:t>
            </w:r>
            <m:oMath>
              <m:sSub>
                <m:sSubPr>
                  <m:ctrlPr>
                    <w:rPr>
                      <w:rFonts w:ascii="Cambria Math" w:hAnsi="Cambria Math"/>
                      <w:i/>
                      <w:sz w:val="20"/>
                      <w:szCs w:val="20"/>
                      <w:lang w:val="en-CA"/>
                    </w:rPr>
                  </m:ctrlPr>
                </m:sSubPr>
                <m:e>
                  <m:r>
                    <w:rPr>
                      <w:rFonts w:ascii="Cambria Math" w:hAnsi="Cambria Math"/>
                      <w:sz w:val="20"/>
                      <w:szCs w:val="20"/>
                      <w:lang w:val="en-CA"/>
                    </w:rPr>
                    <m:t>w</m:t>
                  </m:r>
                </m:e>
                <m:sub>
                  <m:r>
                    <w:rPr>
                      <w:rFonts w:ascii="Cambria Math" w:hAnsi="Cambria Math"/>
                      <w:sz w:val="20"/>
                      <w:szCs w:val="20"/>
                      <w:lang w:val="en-CA"/>
                    </w:rPr>
                    <m:t>2</m:t>
                  </m:r>
                </m:sub>
              </m:sSub>
            </m:oMath>
          </w:p>
        </w:tc>
        <w:tc>
          <w:tcPr>
            <w:tcW w:w="1316" w:type="dxa"/>
          </w:tcPr>
          <w:p w14:paraId="60EB15D4" w14:textId="77777777" w:rsidR="0030536D" w:rsidRPr="00A93CD2" w:rsidRDefault="0030536D" w:rsidP="009050A1">
            <w:pPr>
              <w:jc w:val="center"/>
              <w:rPr>
                <w:rFonts w:ascii="Palatino Linotype" w:hAnsi="Palatino Linotype"/>
                <w:sz w:val="20"/>
                <w:szCs w:val="20"/>
                <w:lang w:val="en-CA"/>
              </w:rPr>
            </w:pPr>
            <w:r w:rsidRPr="00A93CD2">
              <w:rPr>
                <w:rFonts w:ascii="Palatino Linotype" w:hAnsi="Palatino Linotype"/>
                <w:sz w:val="20"/>
                <w:szCs w:val="20"/>
                <w:lang w:val="en-CA"/>
              </w:rPr>
              <w:t xml:space="preserve"> </w:t>
            </w:r>
            <m:oMath>
              <m:sSub>
                <m:sSubPr>
                  <m:ctrlPr>
                    <w:rPr>
                      <w:rFonts w:ascii="Cambria Math" w:hAnsi="Cambria Math"/>
                      <w:i/>
                      <w:sz w:val="20"/>
                      <w:szCs w:val="20"/>
                      <w:lang w:val="en-CA"/>
                    </w:rPr>
                  </m:ctrlPr>
                </m:sSubPr>
                <m:e>
                  <m:r>
                    <w:rPr>
                      <w:rFonts w:ascii="Cambria Math" w:hAnsi="Cambria Math"/>
                      <w:sz w:val="20"/>
                      <w:szCs w:val="20"/>
                      <w:lang w:val="en-CA"/>
                    </w:rPr>
                    <m:t>μ</m:t>
                  </m:r>
                </m:e>
                <m:sub>
                  <m:r>
                    <w:rPr>
                      <w:rFonts w:ascii="Cambria Math" w:hAnsi="Cambria Math"/>
                      <w:sz w:val="20"/>
                      <w:szCs w:val="20"/>
                      <w:lang w:val="en-CA"/>
                    </w:rPr>
                    <m:t>2</m:t>
                  </m:r>
                </m:sub>
              </m:sSub>
            </m:oMath>
            <w:r w:rsidR="00950729" w:rsidRPr="00A93CD2">
              <w:rPr>
                <w:rFonts w:ascii="Palatino Linotype" w:hAnsi="Palatino Linotype"/>
                <w:sz w:val="20"/>
                <w:szCs w:val="20"/>
                <w:lang w:val="en-CA"/>
              </w:rPr>
              <w:t xml:space="preserve"> (m)</w:t>
            </w:r>
          </w:p>
        </w:tc>
        <w:tc>
          <w:tcPr>
            <w:tcW w:w="1316" w:type="dxa"/>
          </w:tcPr>
          <w:p w14:paraId="60EB15D5" w14:textId="77777777" w:rsidR="0030536D" w:rsidRPr="00A93CD2" w:rsidRDefault="00F26203" w:rsidP="009050A1">
            <w:pPr>
              <w:jc w:val="center"/>
              <w:rPr>
                <w:rFonts w:ascii="Palatino Linotype" w:hAnsi="Palatino Linotype"/>
                <w:sz w:val="20"/>
                <w:szCs w:val="20"/>
                <w:lang w:val="en-CA"/>
              </w:rPr>
            </w:pPr>
            <m:oMath>
              <m:sSub>
                <m:sSubPr>
                  <m:ctrlPr>
                    <w:rPr>
                      <w:rFonts w:ascii="Cambria Math" w:hAnsi="Cambria Math"/>
                      <w:i/>
                      <w:sz w:val="20"/>
                      <w:szCs w:val="20"/>
                      <w:lang w:val="en-CA"/>
                    </w:rPr>
                  </m:ctrlPr>
                </m:sSubPr>
                <m:e>
                  <m:r>
                    <w:rPr>
                      <w:rFonts w:ascii="Cambria Math" w:hAnsi="Cambria Math"/>
                      <w:sz w:val="20"/>
                      <w:szCs w:val="20"/>
                      <w:lang w:val="en-CA"/>
                    </w:rPr>
                    <m:t>σ</m:t>
                  </m:r>
                </m:e>
                <m:sub>
                  <m:r>
                    <w:rPr>
                      <w:rFonts w:ascii="Cambria Math" w:hAnsi="Cambria Math"/>
                      <w:sz w:val="20"/>
                      <w:szCs w:val="20"/>
                      <w:lang w:val="en-CA"/>
                    </w:rPr>
                    <m:t>2</m:t>
                  </m:r>
                </m:sub>
              </m:sSub>
            </m:oMath>
            <w:r w:rsidR="00950729" w:rsidRPr="00A93CD2">
              <w:rPr>
                <w:rFonts w:ascii="Palatino Linotype" w:hAnsi="Palatino Linotype"/>
                <w:sz w:val="20"/>
                <w:szCs w:val="20"/>
                <w:lang w:val="en-CA"/>
              </w:rPr>
              <w:t xml:space="preserve"> (m)</w:t>
            </w:r>
          </w:p>
        </w:tc>
      </w:tr>
      <w:tr w:rsidR="00670C59" w:rsidRPr="00A93CD2" w14:paraId="60EB15DE" w14:textId="77777777" w:rsidTr="00950729">
        <w:tc>
          <w:tcPr>
            <w:tcW w:w="1316" w:type="dxa"/>
          </w:tcPr>
          <w:p w14:paraId="60EB15D7" w14:textId="77777777" w:rsidR="00670C59" w:rsidRPr="00A93CD2" w:rsidRDefault="00670C59" w:rsidP="000F2F23">
            <w:pPr>
              <w:jc w:val="center"/>
              <w:rPr>
                <w:rFonts w:ascii="Palatino Linotype" w:hAnsi="Palatino Linotype"/>
                <w:sz w:val="20"/>
                <w:szCs w:val="20"/>
                <w:lang w:val="en-CA"/>
              </w:rPr>
            </w:pPr>
            <w:r w:rsidRPr="00A93CD2">
              <w:rPr>
                <w:rFonts w:ascii="Palatino Linotype" w:hAnsi="Palatino Linotype"/>
                <w:sz w:val="20"/>
                <w:szCs w:val="20"/>
                <w:lang w:val="en-CA"/>
              </w:rPr>
              <w:t>Galveston Pier 21</w:t>
            </w:r>
          </w:p>
        </w:tc>
        <w:tc>
          <w:tcPr>
            <w:tcW w:w="1316" w:type="dxa"/>
            <w:vAlign w:val="center"/>
          </w:tcPr>
          <w:p w14:paraId="60EB15D8"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0.9988</w:t>
            </w:r>
          </w:p>
        </w:tc>
        <w:tc>
          <w:tcPr>
            <w:tcW w:w="1316" w:type="dxa"/>
            <w:vAlign w:val="center"/>
          </w:tcPr>
          <w:p w14:paraId="60EB15D9"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w:t>
            </w:r>
            <w:r w:rsidR="00857523" w:rsidRPr="00A93CD2">
              <w:rPr>
                <w:rFonts w:ascii="Palatino Linotype" w:hAnsi="Palatino Linotype"/>
                <w:sz w:val="20"/>
                <w:szCs w:val="20"/>
                <w:lang w:val="en-CA"/>
              </w:rPr>
              <w:t>1222</w:t>
            </w:r>
          </w:p>
        </w:tc>
        <w:tc>
          <w:tcPr>
            <w:tcW w:w="1316" w:type="dxa"/>
            <w:vAlign w:val="center"/>
          </w:tcPr>
          <w:p w14:paraId="60EB15DA"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w:t>
            </w:r>
            <w:r w:rsidR="00950729" w:rsidRPr="00A93CD2">
              <w:rPr>
                <w:rFonts w:ascii="Palatino Linotype" w:hAnsi="Palatino Linotype"/>
                <w:sz w:val="20"/>
                <w:szCs w:val="20"/>
                <w:lang w:val="en-CA"/>
              </w:rPr>
              <w:t>2079</w:t>
            </w:r>
          </w:p>
        </w:tc>
        <w:tc>
          <w:tcPr>
            <w:tcW w:w="1316" w:type="dxa"/>
            <w:vAlign w:val="center"/>
          </w:tcPr>
          <w:p w14:paraId="60EB15DB"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0.0012</w:t>
            </w:r>
          </w:p>
        </w:tc>
        <w:tc>
          <w:tcPr>
            <w:tcW w:w="1316" w:type="dxa"/>
            <w:vAlign w:val="center"/>
          </w:tcPr>
          <w:p w14:paraId="60EB15DC" w14:textId="77777777" w:rsidR="00670C59" w:rsidRPr="00A93CD2" w:rsidRDefault="00950729" w:rsidP="00950729">
            <w:pPr>
              <w:jc w:val="center"/>
              <w:rPr>
                <w:rFonts w:ascii="Palatino Linotype" w:hAnsi="Palatino Linotype"/>
                <w:sz w:val="20"/>
                <w:szCs w:val="20"/>
                <w:lang w:val="en-CA"/>
              </w:rPr>
            </w:pPr>
            <w:r w:rsidRPr="00A93CD2">
              <w:rPr>
                <w:rFonts w:ascii="Palatino Linotype" w:hAnsi="Palatino Linotype"/>
                <w:sz w:val="20"/>
                <w:szCs w:val="20"/>
                <w:lang w:val="en-CA"/>
              </w:rPr>
              <w:t>0.9071</w:t>
            </w:r>
          </w:p>
        </w:tc>
        <w:tc>
          <w:tcPr>
            <w:tcW w:w="1316" w:type="dxa"/>
            <w:vAlign w:val="center"/>
          </w:tcPr>
          <w:p w14:paraId="60EB15DD" w14:textId="77777777" w:rsidR="00670C59" w:rsidRPr="00A93CD2" w:rsidRDefault="00950729" w:rsidP="00950729">
            <w:pPr>
              <w:jc w:val="center"/>
              <w:rPr>
                <w:rFonts w:ascii="Palatino Linotype" w:hAnsi="Palatino Linotype"/>
                <w:sz w:val="20"/>
                <w:szCs w:val="20"/>
                <w:lang w:val="en-CA"/>
              </w:rPr>
            </w:pPr>
            <w:r w:rsidRPr="00A93CD2">
              <w:rPr>
                <w:rFonts w:ascii="Palatino Linotype" w:hAnsi="Palatino Linotype"/>
                <w:sz w:val="20"/>
                <w:szCs w:val="20"/>
                <w:lang w:val="en-CA"/>
              </w:rPr>
              <w:t>0.5918</w:t>
            </w:r>
          </w:p>
        </w:tc>
      </w:tr>
      <w:tr w:rsidR="00670C59" w:rsidRPr="00A93CD2" w14:paraId="60EB15E6" w14:textId="77777777" w:rsidTr="00950729">
        <w:tc>
          <w:tcPr>
            <w:tcW w:w="1316" w:type="dxa"/>
          </w:tcPr>
          <w:p w14:paraId="60EB15DF" w14:textId="77777777" w:rsidR="00670C59" w:rsidRPr="00A93CD2" w:rsidRDefault="00670C59" w:rsidP="000F2F23">
            <w:pPr>
              <w:jc w:val="center"/>
              <w:rPr>
                <w:rFonts w:ascii="Palatino Linotype" w:hAnsi="Palatino Linotype"/>
                <w:sz w:val="20"/>
                <w:szCs w:val="20"/>
                <w:lang w:val="en-CA"/>
              </w:rPr>
            </w:pPr>
            <w:r w:rsidRPr="00A93CD2">
              <w:rPr>
                <w:rFonts w:ascii="Palatino Linotype" w:hAnsi="Palatino Linotype"/>
                <w:sz w:val="20"/>
                <w:szCs w:val="20"/>
                <w:lang w:val="en-CA"/>
              </w:rPr>
              <w:t>Lynchburg Landing</w:t>
            </w:r>
          </w:p>
        </w:tc>
        <w:tc>
          <w:tcPr>
            <w:tcW w:w="1316" w:type="dxa"/>
            <w:vAlign w:val="center"/>
          </w:tcPr>
          <w:p w14:paraId="60EB15E0"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0.9951</w:t>
            </w:r>
          </w:p>
        </w:tc>
        <w:tc>
          <w:tcPr>
            <w:tcW w:w="1316" w:type="dxa"/>
            <w:vAlign w:val="center"/>
          </w:tcPr>
          <w:p w14:paraId="60EB15E1"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w:t>
            </w:r>
            <w:r w:rsidR="00950729" w:rsidRPr="00A93CD2">
              <w:rPr>
                <w:rFonts w:ascii="Palatino Linotype" w:hAnsi="Palatino Linotype"/>
                <w:sz w:val="20"/>
                <w:szCs w:val="20"/>
                <w:lang w:val="en-CA"/>
              </w:rPr>
              <w:t>1058</w:t>
            </w:r>
          </w:p>
        </w:tc>
        <w:tc>
          <w:tcPr>
            <w:tcW w:w="1316" w:type="dxa"/>
            <w:vAlign w:val="center"/>
          </w:tcPr>
          <w:p w14:paraId="60EB15E2"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w:t>
            </w:r>
            <w:r w:rsidR="00950729" w:rsidRPr="00A93CD2">
              <w:rPr>
                <w:rFonts w:ascii="Palatino Linotype" w:hAnsi="Palatino Linotype"/>
                <w:sz w:val="20"/>
                <w:szCs w:val="20"/>
                <w:lang w:val="en-CA"/>
              </w:rPr>
              <w:t>2255</w:t>
            </w:r>
          </w:p>
        </w:tc>
        <w:tc>
          <w:tcPr>
            <w:tcW w:w="1316" w:type="dxa"/>
            <w:vAlign w:val="center"/>
          </w:tcPr>
          <w:p w14:paraId="60EB15E3" w14:textId="77777777" w:rsidR="00670C59" w:rsidRPr="00A93CD2" w:rsidRDefault="0030536D" w:rsidP="00950729">
            <w:pPr>
              <w:jc w:val="center"/>
              <w:rPr>
                <w:rFonts w:ascii="Palatino Linotype" w:hAnsi="Palatino Linotype"/>
                <w:sz w:val="20"/>
                <w:szCs w:val="20"/>
                <w:lang w:val="en-CA"/>
              </w:rPr>
            </w:pPr>
            <w:r w:rsidRPr="00A93CD2">
              <w:rPr>
                <w:rFonts w:ascii="Palatino Linotype" w:hAnsi="Palatino Linotype"/>
                <w:sz w:val="20"/>
                <w:szCs w:val="20"/>
                <w:lang w:val="en-CA"/>
              </w:rPr>
              <w:t>0.0049</w:t>
            </w:r>
          </w:p>
        </w:tc>
        <w:tc>
          <w:tcPr>
            <w:tcW w:w="1316" w:type="dxa"/>
            <w:vAlign w:val="center"/>
          </w:tcPr>
          <w:p w14:paraId="60EB15E4" w14:textId="77777777" w:rsidR="00670C59" w:rsidRPr="00A93CD2" w:rsidRDefault="00950729" w:rsidP="00950729">
            <w:pPr>
              <w:jc w:val="center"/>
              <w:rPr>
                <w:rFonts w:ascii="Palatino Linotype" w:hAnsi="Palatino Linotype"/>
                <w:sz w:val="20"/>
                <w:szCs w:val="20"/>
                <w:lang w:val="en-CA"/>
              </w:rPr>
            </w:pPr>
            <w:r w:rsidRPr="00A93CD2">
              <w:rPr>
                <w:rFonts w:ascii="Palatino Linotype" w:hAnsi="Palatino Linotype"/>
                <w:sz w:val="20"/>
                <w:szCs w:val="20"/>
                <w:lang w:val="en-CA"/>
              </w:rPr>
              <w:t>0.5865</w:t>
            </w:r>
          </w:p>
        </w:tc>
        <w:tc>
          <w:tcPr>
            <w:tcW w:w="1316" w:type="dxa"/>
            <w:vAlign w:val="center"/>
          </w:tcPr>
          <w:p w14:paraId="60EB15E5" w14:textId="77777777" w:rsidR="00670C59" w:rsidRPr="00A93CD2" w:rsidRDefault="00950729" w:rsidP="00950729">
            <w:pPr>
              <w:jc w:val="center"/>
              <w:rPr>
                <w:rFonts w:ascii="Palatino Linotype" w:hAnsi="Palatino Linotype"/>
                <w:sz w:val="20"/>
                <w:szCs w:val="20"/>
                <w:lang w:val="en-CA"/>
              </w:rPr>
            </w:pPr>
            <w:r w:rsidRPr="00A93CD2">
              <w:rPr>
                <w:rFonts w:ascii="Palatino Linotype" w:hAnsi="Palatino Linotype"/>
                <w:sz w:val="20"/>
                <w:szCs w:val="20"/>
                <w:lang w:val="en-CA"/>
              </w:rPr>
              <w:t>0.6423</w:t>
            </w:r>
          </w:p>
        </w:tc>
      </w:tr>
    </w:tbl>
    <w:p w14:paraId="60EB15E7" w14:textId="77777777" w:rsidR="002734EA" w:rsidRPr="00A93CD2" w:rsidRDefault="002734EA" w:rsidP="00DD3807">
      <w:pPr>
        <w:rPr>
          <w:rFonts w:ascii="Palatino Linotype" w:hAnsi="Palatino Linotype"/>
          <w:sz w:val="20"/>
          <w:szCs w:val="20"/>
          <w:lang w:val="en-CA"/>
        </w:rPr>
      </w:pPr>
    </w:p>
    <w:p w14:paraId="60EB15E8" w14:textId="4C16DF33" w:rsidR="00FC4EF0" w:rsidRPr="00A93CD2" w:rsidRDefault="00F26203" w:rsidP="00F26203">
      <w:pPr>
        <w:pStyle w:val="Heading2"/>
        <w:rPr>
          <w:rFonts w:ascii="Palatino Linotype" w:hAnsi="Palatino Linotype"/>
          <w:sz w:val="20"/>
          <w:szCs w:val="20"/>
          <w:lang w:val="en-CA"/>
        </w:rPr>
      </w:pPr>
      <w:r>
        <w:rPr>
          <w:rFonts w:ascii="Palatino Linotype" w:hAnsi="Palatino Linotype"/>
          <w:sz w:val="20"/>
          <w:szCs w:val="20"/>
          <w:lang w:val="en-CA"/>
        </w:rPr>
        <w:t xml:space="preserve">S3. </w:t>
      </w:r>
      <w:r w:rsidR="00F21185" w:rsidRPr="00A93CD2">
        <w:rPr>
          <w:rFonts w:ascii="Palatino Linotype" w:hAnsi="Palatino Linotype"/>
          <w:sz w:val="20"/>
          <w:szCs w:val="20"/>
          <w:lang w:val="en-CA"/>
        </w:rPr>
        <w:t>Autocorrelation function (ACF)</w:t>
      </w:r>
    </w:p>
    <w:p w14:paraId="60EB15E9" w14:textId="44945BED" w:rsidR="0027427A" w:rsidRPr="00A93CD2" w:rsidRDefault="00D24E0A" w:rsidP="0027427A">
      <w:pPr>
        <w:jc w:val="both"/>
        <w:rPr>
          <w:rFonts w:ascii="Palatino Linotype" w:hAnsi="Palatino Linotype"/>
          <w:sz w:val="20"/>
          <w:szCs w:val="20"/>
          <w:lang w:val="en-CA"/>
        </w:rPr>
      </w:pPr>
      <w:r w:rsidRPr="00A93CD2">
        <w:rPr>
          <w:rFonts w:ascii="Palatino Linotype" w:hAnsi="Palatino Linotype"/>
          <w:sz w:val="20"/>
          <w:szCs w:val="20"/>
          <w:lang w:val="en-CA"/>
        </w:rPr>
        <w:t>The BN model is constructed on daily observations of mean daily discharge and storm surge. A clear advantage of this choice is that it highlights the statistical dependence calculated between the variables has a physical meaning. However</w:t>
      </w:r>
      <w:r w:rsidR="00DF1584" w:rsidRPr="00A93CD2">
        <w:rPr>
          <w:rFonts w:ascii="Palatino Linotype" w:hAnsi="Palatino Linotype"/>
          <w:sz w:val="20"/>
          <w:szCs w:val="20"/>
          <w:lang w:val="en-CA"/>
        </w:rPr>
        <w:t>,</w:t>
      </w:r>
      <w:r w:rsidRPr="00A93CD2">
        <w:rPr>
          <w:rFonts w:ascii="Palatino Linotype" w:hAnsi="Palatino Linotype"/>
          <w:sz w:val="20"/>
          <w:szCs w:val="20"/>
          <w:lang w:val="en-CA"/>
        </w:rPr>
        <w:t xml:space="preserve"> in the case of strong serial dependence within the time series, this may lead to an incorrect quantification of the joint exceedance probability and therefore flood hazard </w:t>
      </w:r>
      <w:r w:rsidRPr="00A93CD2">
        <w:rPr>
          <w:rFonts w:ascii="Palatino Linotype" w:hAnsi="Palatino Linotype"/>
          <w:sz w:val="20"/>
          <w:szCs w:val="20"/>
          <w:lang w:val="en-CA"/>
        </w:rPr>
        <w:fldChar w:fldCharType="begin" w:fldLock="1"/>
      </w:r>
      <w:r w:rsidR="004F3826">
        <w:rPr>
          <w:rFonts w:ascii="Palatino Linotype" w:hAnsi="Palatino Linotype"/>
          <w:sz w:val="20"/>
          <w:szCs w:val="20"/>
          <w:lang w:val="en-CA"/>
        </w:rPr>
        <w:instrText>ADDIN CSL_CITATION {"citationItems":[{"id":"ITEM-1","itemData":{"DOI":"10.1007/s00477-015-1124-3","ISSN":"14363259","abstract":"The joint occurrence of extreme hydroclimatic events, such as simultaneous precipitation deficit and high temperature, results in the so-called compound events, and has a serious impact on risk assessment and mitigation strategies. Multivariate frequency analysis (MFA) allows a probabilistic quantitative assessment of this risk under uncertainty. Analyzing precipitation and temperature records in the contiguous United States (CONUS), and focusing on the assessment of the degree of rarity of the 2014 California drought, we highlight some critical aspects of MFA that are often overlooked and should be carefully taken into account for a correct interpretation of the results. In particular, we show that an informative exploratory data analysis (EDA) devised to check the basic hypotheses of MFA, a suitable assessment of the sampling uncertainty, and a better understanding of probabilistic concepts can help to avoid misinterpretation of univariate and multivariate return periods, and incoherent conclusions concerning the risk of compound extreme hydroclimatic events. Empirical results show that the dependence between precipitation deficit and temperature across the CONUS can be positive, negative or not significant and does not exhibit significant changes in the last three decades. Focusing on the 2014 California drought as a compound event and based on the data used, the probability of occurrence strongly depends on the selected variables and how they are combined, and is affected by large uncertainty, thus preventing definite conclusions about the actual degree of rarity of this event.","author":[{"dropping-particle":"","family":"Serinaldi","given":"Francesco","non-dropping-particle":"","parse-names":false,"suffix":""}],"container-title":"Stochastic Environmental Research and Risk Assessment","id":"ITEM-1","issue":"6","issued":{"date-parts":[["2015"]]},"page":"1691-1704","publisher":"Springer Berlin Heidelberg","title":"Can we tell more than we can know? The limits of bivariate drought analyses in the United States","type":"article-journal","volume":"30"},"uris":["http://www.mendeley.com/documents/?uuid=a5bc46d4-4f51-46bd-8637-126600453aa8"]}],"mendeley":{"formattedCitation":"[7]","plainTextFormattedCitation":"[7]","previouslyFormattedCitation":"[7]"},"properties":{"noteIndex":0},"schema":"https://github.com/citation-style-language/schema/raw/master/csl-citation.json"}</w:instrText>
      </w:r>
      <w:r w:rsidRPr="00A93CD2">
        <w:rPr>
          <w:rFonts w:ascii="Palatino Linotype" w:hAnsi="Palatino Linotype"/>
          <w:sz w:val="20"/>
          <w:szCs w:val="20"/>
          <w:lang w:val="en-CA"/>
        </w:rPr>
        <w:fldChar w:fldCharType="separate"/>
      </w:r>
      <w:r w:rsidR="00ED1013" w:rsidRPr="00ED1013">
        <w:rPr>
          <w:rFonts w:ascii="Palatino Linotype" w:hAnsi="Palatino Linotype"/>
          <w:noProof/>
          <w:sz w:val="20"/>
          <w:szCs w:val="20"/>
          <w:lang w:val="en-CA"/>
        </w:rPr>
        <w:t>[7]</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 xml:space="preserve">. </w:t>
      </w:r>
    </w:p>
    <w:p w14:paraId="60EB15EA" w14:textId="57F014DD" w:rsidR="00DF1584" w:rsidRPr="00A93CD2" w:rsidRDefault="00F21185" w:rsidP="0027427A">
      <w:pPr>
        <w:jc w:val="both"/>
        <w:rPr>
          <w:rFonts w:ascii="Palatino Linotype" w:hAnsi="Palatino Linotype"/>
          <w:sz w:val="20"/>
          <w:szCs w:val="20"/>
          <w:lang w:val="en-CA"/>
        </w:rPr>
      </w:pPr>
      <w:r w:rsidRPr="00A93CD2">
        <w:rPr>
          <w:rFonts w:ascii="Palatino Linotype" w:hAnsi="Palatino Linotype"/>
          <w:sz w:val="20"/>
          <w:szCs w:val="20"/>
          <w:lang w:val="en-CA"/>
        </w:rPr>
        <w:t>The autocorrelation function is a diagnosis t</w:t>
      </w:r>
      <w:r w:rsidR="00965C73" w:rsidRPr="00A93CD2">
        <w:rPr>
          <w:rFonts w:ascii="Palatino Linotype" w:hAnsi="Palatino Linotype"/>
          <w:sz w:val="20"/>
          <w:szCs w:val="20"/>
          <w:lang w:val="en-CA"/>
        </w:rPr>
        <w:t>est often applied</w:t>
      </w:r>
      <w:r w:rsidRPr="00A93CD2">
        <w:rPr>
          <w:rFonts w:ascii="Palatino Linotype" w:hAnsi="Palatino Linotype"/>
          <w:sz w:val="20"/>
          <w:szCs w:val="20"/>
          <w:lang w:val="en-CA"/>
        </w:rPr>
        <w:t xml:space="preserve"> to detect serial correlation within time series</w:t>
      </w:r>
      <w:r w:rsidR="00965C73" w:rsidRPr="00A93CD2">
        <w:rPr>
          <w:rFonts w:ascii="Palatino Linotype" w:hAnsi="Palatino Linotype"/>
          <w:sz w:val="20"/>
          <w:szCs w:val="20"/>
          <w:lang w:val="en-CA"/>
        </w:rPr>
        <w:t xml:space="preserve"> </w:t>
      </w:r>
      <w:r w:rsidR="00965C73" w:rsidRPr="00A93CD2">
        <w:rPr>
          <w:rFonts w:ascii="Palatino Linotype" w:hAnsi="Palatino Linotype"/>
          <w:sz w:val="20"/>
          <w:szCs w:val="20"/>
          <w:lang w:val="en-CA"/>
        </w:rPr>
        <w:fldChar w:fldCharType="begin" w:fldLock="1"/>
      </w:r>
      <w:r w:rsidR="006816B8">
        <w:rPr>
          <w:rFonts w:ascii="Palatino Linotype" w:hAnsi="Palatino Linotype"/>
          <w:sz w:val="20"/>
          <w:szCs w:val="20"/>
          <w:lang w:val="en-CA"/>
        </w:rPr>
        <w:instrText>ADDIN CSL_CITATION {"citationItems":[{"id":"ITEM-1","itemData":{"DOI":"10.1007/s00477-015-1124-3","ISSN":"14363259","abstract":"The joint occurrence of extreme hydroclimatic events, such as simultaneous precipitation deficit and high temperature, results in the so-called compound events, and has a serious impact on risk assessment and mitigation strategies. Multivariate frequency analysis (MFA) allows a probabilistic quantitative assessment of this risk under uncertainty. Analyzing precipitation and temperature records in the contiguous United States (CONUS), and focusing on the assessment of the degree of rarity of the 2014 California drought, we highlight some critical aspects of MFA that are often overlooked and should be carefully taken into account for a correct interpretation of the results. In particular, we show that an informative exploratory data analysis (EDA) devised to check the basic hypotheses of MFA, a suitable assessment of the sampling uncertainty, and a better understanding of probabilistic concepts can help to avoid misinterpretation of univariate and multivariate return periods, and incoherent conclusions concerning the risk of compound extreme hydroclimatic events. Empirical results show that the dependence between precipitation deficit and temperature across the CONUS can be positive, negative or not significant and does not exhibit significant changes in the last three decades. Focusing on the 2014 California drought as a compound event and based on the data used, the probability of occurrence strongly depends on the selected variables and how they are combined, and is affected by large uncertainty, thus preventing definite conclusions about the actual degree of rarity of this event.","author":[{"dropping-particle":"","family":"Serinaldi","given":"Francesco","non-dropping-particle":"","parse-names":false,"suffix":""}],"container-title":"Stochastic Environmental Research and Risk Assessment","id":"ITEM-1","issue":"6","issued":{"date-parts":[["2015"]]},"page":"1691-1704","publisher":"Springer Berlin Heidelberg","title":"Can we tell more than we can know? The limits of bivariate drought analyses in the United States","type":"article-journal","volume":"30"},"uris":["http://www.mendeley.com/documents/?uuid=a5bc46d4-4f51-46bd-8637-126600453aa8"]},{"id":"ITEM-2","itemData":{"DOI":"10.1029/2002WR001868","ISBN":"0043-1397","ISSN":"00431397","abstract":"Common procedures for flood frequency modeling are based on analysis of series of annual maxima (AMS) of the instantaneous discharge. A practical alternative to AMS series is usually considered when the record length is short. In this case, analysis of partial duration series (PDS) on continuous streamflow records allows one to increase the available information by using more than one flood peak per year. In this paper, the analysis of continuous streamflow data is reconsidered from the beginning: a filtered peaks over threshold (FPOT) procedure is proposed as an alternative to the PDS approach, and objective criteria are devised for choosing a reasonable threshold and for determining the average annual number of events l. The revised procedure demonstrates that there is no need for specific limitations on the magnitude of l to preserve the basic hypotheses of the marked point process build in the PDS procedure. The proposed FPOT method is applied to 33 time series of daily runoff from rivers of northwestern Italy. Significant advantages over the classical PDS method are demonstrated, both in terms of physical interpretability of the parameters and efficiency of the estimates","author":[{"dropping-particle":"","family":"Claps","given":"P.","non-dropping-particle":"","parse-names":false,"suffix":""},{"dropping-particle":"","family":"Laio","given":"F.","non-dropping-particle":"","parse-names":false,"suffix":""}],"container-title":"Water Resources Research","id":"ITEM-2","issue":"8","issued":{"date-parts":[["2003"]]},"page":"1-11","title":"Can continuous streamflow data support flood frequency analysis? An alternative to the partial duration series approach","type":"article-journal","volume":"39"},"uris":["http://www.mendeley.com/documents/?uuid=a7ab31c9-3a89-42d1-bf3f-b42f2e7d465f"]}],"mendeley":{"formattedCitation":"[7,8]","plainTextFormattedCitation":"[7,8]","previouslyFormattedCitation":"[7,8]"},"properties":{"noteIndex":0},"schema":"https://github.com/citation-style-language/schema/raw/master/csl-citation.json"}</w:instrText>
      </w:r>
      <w:r w:rsidR="00965C73" w:rsidRPr="00A93CD2">
        <w:rPr>
          <w:rFonts w:ascii="Palatino Linotype" w:hAnsi="Palatino Linotype"/>
          <w:sz w:val="20"/>
          <w:szCs w:val="20"/>
          <w:lang w:val="en-CA"/>
        </w:rPr>
        <w:fldChar w:fldCharType="separate"/>
      </w:r>
      <w:r w:rsidR="004F3826" w:rsidRPr="004F3826">
        <w:rPr>
          <w:rFonts w:ascii="Palatino Linotype" w:hAnsi="Palatino Linotype"/>
          <w:noProof/>
          <w:sz w:val="20"/>
          <w:szCs w:val="20"/>
          <w:lang w:val="en-CA"/>
        </w:rPr>
        <w:t>[7,8]</w:t>
      </w:r>
      <w:r w:rsidR="00965C73" w:rsidRPr="00A93CD2">
        <w:rPr>
          <w:rFonts w:ascii="Palatino Linotype" w:hAnsi="Palatino Linotype"/>
          <w:sz w:val="20"/>
          <w:szCs w:val="20"/>
          <w:lang w:val="en-CA"/>
        </w:rPr>
        <w:fldChar w:fldCharType="end"/>
      </w:r>
      <w:r w:rsidR="00965C73" w:rsidRPr="00A93CD2">
        <w:rPr>
          <w:rFonts w:ascii="Palatino Linotype" w:hAnsi="Palatino Linotype"/>
          <w:sz w:val="20"/>
          <w:szCs w:val="20"/>
          <w:lang w:val="en-CA"/>
        </w:rPr>
        <w:t xml:space="preserve"> </w:t>
      </w:r>
      <w:r w:rsidR="0027427A" w:rsidRPr="00A93CD2">
        <w:rPr>
          <w:rFonts w:ascii="Palatino Linotype" w:hAnsi="Palatino Linotype"/>
          <w:sz w:val="20"/>
          <w:szCs w:val="20"/>
          <w:lang w:val="en-CA"/>
        </w:rPr>
        <w:t>and is presented in Figure A2.</w:t>
      </w:r>
      <w:r w:rsidR="004B7746">
        <w:rPr>
          <w:rFonts w:ascii="Palatino Linotype" w:hAnsi="Palatino Linotype"/>
          <w:sz w:val="20"/>
          <w:szCs w:val="20"/>
          <w:lang w:val="en-CA"/>
        </w:rPr>
        <w:t xml:space="preserve"> </w:t>
      </w:r>
      <w:r w:rsidR="000D7AE0" w:rsidRPr="00A93CD2">
        <w:rPr>
          <w:rFonts w:ascii="Palatino Linotype" w:hAnsi="Palatino Linotype"/>
          <w:sz w:val="20"/>
          <w:szCs w:val="20"/>
          <w:lang w:val="en-CA"/>
        </w:rPr>
        <w:t>In all cases, the autocorrelation drops very rapidly</w:t>
      </w:r>
      <w:r w:rsidR="00DF1584" w:rsidRPr="00A93CD2">
        <w:rPr>
          <w:rFonts w:ascii="Palatino Linotype" w:hAnsi="Palatino Linotype"/>
          <w:sz w:val="20"/>
          <w:szCs w:val="20"/>
          <w:lang w:val="en-CA"/>
        </w:rPr>
        <w:t>, indicating a short-term dependence only</w:t>
      </w:r>
      <w:r w:rsidR="000D7AE0" w:rsidRPr="00A93CD2">
        <w:rPr>
          <w:rFonts w:ascii="Palatino Linotype" w:hAnsi="Palatino Linotype"/>
          <w:sz w:val="20"/>
          <w:szCs w:val="20"/>
          <w:lang w:val="en-CA"/>
        </w:rPr>
        <w:t xml:space="preserve">. However, for station 08074000 and the storm surge variable GP21, the autocorrelation remains higher than the 95% upper confidence bound, </w:t>
      </w:r>
      <w:r w:rsidR="00965C73" w:rsidRPr="00A93CD2">
        <w:rPr>
          <w:rFonts w:ascii="Palatino Linotype" w:hAnsi="Palatino Linotype"/>
          <w:sz w:val="20"/>
          <w:szCs w:val="20"/>
          <w:lang w:val="en-CA"/>
        </w:rPr>
        <w:t xml:space="preserve">suggesting </w:t>
      </w:r>
      <w:r w:rsidR="000D7AE0" w:rsidRPr="00A93CD2">
        <w:rPr>
          <w:rFonts w:ascii="Palatino Linotype" w:hAnsi="Palatino Linotype"/>
          <w:sz w:val="20"/>
          <w:szCs w:val="20"/>
          <w:lang w:val="en-CA"/>
        </w:rPr>
        <w:t>the presence of weak serial correlation. For the storm su</w:t>
      </w:r>
      <w:r w:rsidR="00A95D6D" w:rsidRPr="00A93CD2">
        <w:rPr>
          <w:rFonts w:ascii="Palatino Linotype" w:hAnsi="Palatino Linotype"/>
          <w:sz w:val="20"/>
          <w:szCs w:val="20"/>
          <w:lang w:val="en-CA"/>
        </w:rPr>
        <w:t xml:space="preserve">rge GP21, this presence of this correlation is probably an artefact of our method to extract the daily storm surge which relies on astronomical tide level predictions, known to have some cyclical bias. For station 08074000, </w:t>
      </w:r>
      <w:r w:rsidR="003232FE" w:rsidRPr="00A93CD2">
        <w:rPr>
          <w:rFonts w:ascii="Palatino Linotype" w:hAnsi="Palatino Linotype"/>
          <w:sz w:val="20"/>
          <w:szCs w:val="20"/>
          <w:lang w:val="en-CA"/>
        </w:rPr>
        <w:t xml:space="preserve">we note that the </w:t>
      </w:r>
      <w:r w:rsidR="00A5548D" w:rsidRPr="00A93CD2">
        <w:rPr>
          <w:rFonts w:ascii="Palatino Linotype" w:hAnsi="Palatino Linotype"/>
          <w:sz w:val="20"/>
          <w:szCs w:val="20"/>
          <w:lang w:val="en-CA"/>
        </w:rPr>
        <w:t xml:space="preserve">flows are influenced by the presence of a dam upstream in the river reach, which </w:t>
      </w:r>
      <w:r w:rsidR="00871792">
        <w:rPr>
          <w:rFonts w:ascii="Palatino Linotype" w:hAnsi="Palatino Linotype"/>
          <w:sz w:val="20"/>
          <w:szCs w:val="20"/>
          <w:lang w:val="en-CA"/>
        </w:rPr>
        <w:t xml:space="preserve">results in </w:t>
      </w:r>
      <w:r w:rsidR="00A5548D" w:rsidRPr="00A93CD2">
        <w:rPr>
          <w:rFonts w:ascii="Palatino Linotype" w:hAnsi="Palatino Linotype"/>
          <w:sz w:val="20"/>
          <w:szCs w:val="20"/>
          <w:lang w:val="en-CA"/>
        </w:rPr>
        <w:t>much longer and steady discharge hydrographs</w:t>
      </w:r>
      <w:r w:rsidR="00871792">
        <w:rPr>
          <w:rFonts w:ascii="Palatino Linotype" w:hAnsi="Palatino Linotype"/>
          <w:sz w:val="20"/>
          <w:szCs w:val="20"/>
          <w:lang w:val="en-CA"/>
        </w:rPr>
        <w:t xml:space="preserve"> after a storm has passed</w:t>
      </w:r>
      <w:r w:rsidR="00A5548D" w:rsidRPr="00A93CD2">
        <w:rPr>
          <w:rFonts w:ascii="Palatino Linotype" w:hAnsi="Palatino Linotype"/>
          <w:sz w:val="20"/>
          <w:szCs w:val="20"/>
          <w:lang w:val="en-CA"/>
        </w:rPr>
        <w:t>.</w:t>
      </w:r>
      <w:r w:rsidR="00DF1584" w:rsidRPr="00A93CD2">
        <w:rPr>
          <w:rFonts w:ascii="Palatino Linotype" w:hAnsi="Palatino Linotype"/>
          <w:sz w:val="20"/>
          <w:szCs w:val="20"/>
          <w:lang w:val="en-CA"/>
        </w:rPr>
        <w:t xml:space="preserve"> </w:t>
      </w:r>
    </w:p>
    <w:p w14:paraId="60EB15EB" w14:textId="381640BC" w:rsidR="005B45C2" w:rsidRPr="00A93CD2" w:rsidRDefault="00DF1584" w:rsidP="0027427A">
      <w:pPr>
        <w:jc w:val="both"/>
        <w:rPr>
          <w:rFonts w:ascii="Palatino Linotype" w:hAnsi="Palatino Linotype"/>
          <w:sz w:val="20"/>
          <w:szCs w:val="20"/>
          <w:lang w:val="en-CA"/>
        </w:rPr>
      </w:pPr>
      <w:r w:rsidRPr="00A93CD2">
        <w:rPr>
          <w:rFonts w:ascii="Palatino Linotype" w:hAnsi="Palatino Linotype"/>
          <w:sz w:val="20"/>
          <w:szCs w:val="20"/>
          <w:lang w:val="en-CA"/>
        </w:rPr>
        <w:t xml:space="preserve">We note that this choice will only affect the characterization of extreme events and not joint daily events, which </w:t>
      </w:r>
      <w:proofErr w:type="gramStart"/>
      <w:r w:rsidRPr="00A93CD2">
        <w:rPr>
          <w:rFonts w:ascii="Palatino Linotype" w:hAnsi="Palatino Linotype"/>
          <w:sz w:val="20"/>
          <w:szCs w:val="20"/>
          <w:lang w:val="en-CA"/>
        </w:rPr>
        <w:t xml:space="preserve">by definition </w:t>
      </w:r>
      <w:r w:rsidR="00A6796D" w:rsidRPr="00A93CD2">
        <w:rPr>
          <w:rFonts w:ascii="Palatino Linotype" w:hAnsi="Palatino Linotype"/>
          <w:sz w:val="20"/>
          <w:szCs w:val="20"/>
          <w:lang w:val="en-CA"/>
        </w:rPr>
        <w:t>rely</w:t>
      </w:r>
      <w:proofErr w:type="gramEnd"/>
      <w:r w:rsidR="00A6796D" w:rsidRPr="00A93CD2">
        <w:rPr>
          <w:rFonts w:ascii="Palatino Linotype" w:hAnsi="Palatino Linotype"/>
          <w:sz w:val="20"/>
          <w:szCs w:val="20"/>
          <w:lang w:val="en-CA"/>
        </w:rPr>
        <w:t xml:space="preserve"> on the joint </w:t>
      </w:r>
      <w:r w:rsidR="00965C73" w:rsidRPr="00A93CD2">
        <w:rPr>
          <w:rFonts w:ascii="Palatino Linotype" w:hAnsi="Palatino Linotype"/>
          <w:sz w:val="20"/>
          <w:szCs w:val="20"/>
          <w:lang w:val="en-CA"/>
        </w:rPr>
        <w:t xml:space="preserve">daily </w:t>
      </w:r>
      <w:r w:rsidR="00A6796D" w:rsidRPr="00A93CD2">
        <w:rPr>
          <w:rFonts w:ascii="Palatino Linotype" w:hAnsi="Palatino Linotype"/>
          <w:sz w:val="20"/>
          <w:szCs w:val="20"/>
          <w:lang w:val="en-CA"/>
        </w:rPr>
        <w:t xml:space="preserve">multivariate distribution. </w:t>
      </w:r>
      <w:r w:rsidRPr="00A93CD2">
        <w:rPr>
          <w:rFonts w:ascii="Palatino Linotype" w:hAnsi="Palatino Linotype"/>
          <w:sz w:val="20"/>
          <w:szCs w:val="20"/>
          <w:lang w:val="en-CA"/>
        </w:rPr>
        <w:t xml:space="preserve">Performing an extreme value analysis based on data which is not independent and identically distributed will affect the quantification of the exceedance probability and thus the flood hazard </w:t>
      </w:r>
      <w:r w:rsidRPr="00A93CD2">
        <w:rPr>
          <w:rFonts w:ascii="Palatino Linotype" w:hAnsi="Palatino Linotype"/>
          <w:sz w:val="20"/>
          <w:szCs w:val="20"/>
          <w:lang w:val="en-CA"/>
        </w:rPr>
        <w:fldChar w:fldCharType="begin" w:fldLock="1"/>
      </w:r>
      <w:r w:rsidR="006816B8">
        <w:rPr>
          <w:rFonts w:ascii="Palatino Linotype" w:hAnsi="Palatino Linotype"/>
          <w:sz w:val="20"/>
          <w:szCs w:val="20"/>
          <w:lang w:val="en-CA"/>
        </w:rPr>
        <w:instrText>ADDIN CSL_CITATION {"citationItems":[{"id":"ITEM-1","itemData":{"DOI":"10.1007/s00477-015-1124-3","ISSN":"14363259","abstract":"The joint occurrence of extreme hydroclimatic events, such as simultaneous precipitation deficit and high temperature, results in the so-called compound events, and has a serious impact on risk assessment and mitigation strategies. Multivariate frequency analysis (MFA) allows a probabilistic quantitative assessment of this risk under uncertainty. Analyzing precipitation and temperature records in the contiguous United States (CONUS), and focusing on the assessment of the degree of rarity of the 2014 California drought, we highlight some critical aspects of MFA that are often overlooked and should be carefully taken into account for a correct interpretation of the results. In particular, we show that an informative exploratory data analysis (EDA) devised to check the basic hypotheses of MFA, a suitable assessment of the sampling uncertainty, and a better understanding of probabilistic concepts can help to avoid misinterpretation of univariate and multivariate return periods, and incoherent conclusions concerning the risk of compound extreme hydroclimatic events. Empirical results show that the dependence between precipitation deficit and temperature across the CONUS can be positive, negative or not significant and does not exhibit significant changes in the last three decades. Focusing on the 2014 California drought as a compound event and based on the data used, the probability of occurrence strongly depends on the selected variables and how they are combined, and is affected by large uncertainty, thus preventing definite conclusions about the actual degree of rarity of this event.","author":[{"dropping-particle":"","family":"Serinaldi","given":"Francesco","non-dropping-particle":"","parse-names":false,"suffix":""}],"container-title":"Stochastic Environmental Research and Risk Assessment","id":"ITEM-1","issue":"6","issued":{"date-parts":[["2015"]]},"page":"1691-1704","publisher":"Springer Berlin Heidelberg","title":"Can we tell more than we can know? The limits of bivariate drought analyses in the United States","type":"article-journal","volume":"30"},"uris":["http://www.mendeley.com/documents/?uuid=a5bc46d4-4f51-46bd-8637-126600453aa8"]},{"id":"ITEM-2","itemData":{"DOI":"10.1029/2002WR001868","ISBN":"0043-1397","ISSN":"00431397","abstract":"Common procedures for flood frequency modeling are based on analysis of series of annual maxima (AMS) of the instantaneous discharge. A practical alternative to AMS series is usually considered when the record length is short. In this case, analysis of partial duration series (PDS) on continuous streamflow records allows one to increase the available information by using more than one flood peak per year. In this paper, the analysis of continuous streamflow data is reconsidered from the beginning: a filtered peaks over threshold (FPOT) procedure is proposed as an alternative to the PDS approach, and objective criteria are devised for choosing a reasonable threshold and for determining the average annual number of events l. The revised procedure demonstrates that there is no need for specific limitations on the magnitude of l to preserve the basic hypotheses of the marked point process build in the PDS procedure. The proposed FPOT method is applied to 33 time series of daily runoff from rivers of northwestern Italy. Significant advantages over the classical PDS method are demonstrated, both in terms of physical interpretability of the parameters and efficiency of the estimates","author":[{"dropping-particle":"","family":"Claps","given":"P.","non-dropping-particle":"","parse-names":false,"suffix":""},{"dropping-particle":"","family":"Laio","given":"F.","non-dropping-particle":"","parse-names":false,"suffix":""}],"container-title":"Water Resources Research","id":"ITEM-2","issue":"8","issued":{"date-parts":[["2003"]]},"page":"1-11","title":"Can continuous streamflow data support flood frequency analysis? An alternative to the partial duration series approach","type":"article-journal","volume":"39"},"uris":["http://www.mendeley.com/documents/?uuid=a7ab31c9-3a89-42d1-bf3f-b42f2e7d465f"]}],"mendeley":{"formattedCitation":"[7,8]","plainTextFormattedCitation":"[7,8]","previouslyFormattedCitation":"[7,8]"},"properties":{"noteIndex":0},"schema":"https://github.com/citation-style-language/schema/raw/master/csl-citation.json"}</w:instrText>
      </w:r>
      <w:r w:rsidRPr="00A93CD2">
        <w:rPr>
          <w:rFonts w:ascii="Palatino Linotype" w:hAnsi="Palatino Linotype"/>
          <w:sz w:val="20"/>
          <w:szCs w:val="20"/>
          <w:lang w:val="en-CA"/>
        </w:rPr>
        <w:fldChar w:fldCharType="separate"/>
      </w:r>
      <w:r w:rsidR="004F3826" w:rsidRPr="004F3826">
        <w:rPr>
          <w:rFonts w:ascii="Palatino Linotype" w:hAnsi="Palatino Linotype"/>
          <w:noProof/>
          <w:sz w:val="20"/>
          <w:szCs w:val="20"/>
          <w:lang w:val="en-CA"/>
        </w:rPr>
        <w:t>[7,8]</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 For example, incorrectly assuming daily observations from very long flood waves to be independent would result in an overestimation of the flood stage for a given return period.</w:t>
      </w:r>
      <w:r w:rsidR="00A6796D" w:rsidRPr="00A93CD2">
        <w:rPr>
          <w:rFonts w:ascii="Palatino Linotype" w:hAnsi="Palatino Linotype"/>
          <w:sz w:val="20"/>
          <w:szCs w:val="20"/>
          <w:lang w:val="en-CA"/>
        </w:rPr>
        <w:t xml:space="preserve"> However, because we observe only a weak serial dependence, we expect this effect to be of limited influence here</w:t>
      </w:r>
      <w:r w:rsidR="00965C73" w:rsidRPr="00A93CD2">
        <w:rPr>
          <w:rFonts w:ascii="Palatino Linotype" w:hAnsi="Palatino Linotype"/>
          <w:sz w:val="20"/>
          <w:szCs w:val="20"/>
          <w:lang w:val="en-CA"/>
        </w:rPr>
        <w:t xml:space="preserve"> and acknowledge that this may lead to conservative estimates of flood levels</w:t>
      </w:r>
      <w:r w:rsidR="00A6796D" w:rsidRPr="00A93CD2">
        <w:rPr>
          <w:rFonts w:ascii="Palatino Linotype" w:hAnsi="Palatino Linotype"/>
          <w:sz w:val="20"/>
          <w:szCs w:val="20"/>
          <w:lang w:val="en-CA"/>
        </w:rPr>
        <w:t>.</w:t>
      </w:r>
    </w:p>
    <w:p w14:paraId="60EB15EC" w14:textId="77777777" w:rsidR="00DF1584" w:rsidRPr="00A93CD2" w:rsidRDefault="00DF1584" w:rsidP="0027427A">
      <w:pPr>
        <w:jc w:val="both"/>
        <w:rPr>
          <w:rFonts w:ascii="Palatino Linotype" w:hAnsi="Palatino Linotype"/>
          <w:sz w:val="20"/>
          <w:szCs w:val="20"/>
          <w:lang w:val="en-CA"/>
        </w:rPr>
      </w:pPr>
    </w:p>
    <w:p w14:paraId="60EB15ED" w14:textId="77777777" w:rsidR="00A5548D" w:rsidRPr="00A93CD2" w:rsidRDefault="00A5548D" w:rsidP="0027427A">
      <w:pPr>
        <w:jc w:val="both"/>
        <w:rPr>
          <w:rFonts w:ascii="Palatino Linotype" w:hAnsi="Palatino Linotype"/>
          <w:sz w:val="20"/>
          <w:szCs w:val="20"/>
          <w:lang w:val="en-CA"/>
        </w:rPr>
      </w:pPr>
    </w:p>
    <w:p w14:paraId="60EB15EE" w14:textId="77777777" w:rsidR="00FC4EF0" w:rsidRPr="00A93CD2" w:rsidRDefault="0027427A" w:rsidP="00DD3807">
      <w:pPr>
        <w:rPr>
          <w:rFonts w:ascii="Palatino Linotype" w:hAnsi="Palatino Linotype"/>
          <w:sz w:val="20"/>
          <w:szCs w:val="20"/>
          <w:lang w:val="en-CA"/>
        </w:rPr>
      </w:pPr>
      <w:r w:rsidRPr="00A93CD2">
        <w:rPr>
          <w:rFonts w:ascii="Palatino Linotype" w:hAnsi="Palatino Linotype"/>
          <w:noProof/>
          <w:sz w:val="20"/>
          <w:szCs w:val="20"/>
          <w:lang w:eastAsia="nl-NL"/>
        </w:rPr>
        <w:lastRenderedPageBreak/>
        <w:drawing>
          <wp:inline distT="0" distB="0" distL="0" distR="0" wp14:anchorId="60EB16FE" wp14:editId="60EB16FF">
            <wp:extent cx="5667375" cy="475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png"/>
                    <pic:cNvPicPr/>
                  </pic:nvPicPr>
                  <pic:blipFill rotWithShape="1">
                    <a:blip r:embed="rId7">
                      <a:extLst>
                        <a:ext uri="{28A0092B-C50C-407E-A947-70E740481C1C}">
                          <a14:useLocalDpi xmlns:a14="http://schemas.microsoft.com/office/drawing/2010/main" val="0"/>
                        </a:ext>
                      </a:extLst>
                    </a:blip>
                    <a:srcRect t="5634" b="6514"/>
                    <a:stretch/>
                  </pic:blipFill>
                  <pic:spPr bwMode="auto">
                    <a:xfrm>
                      <a:off x="0" y="0"/>
                      <a:ext cx="5666667" cy="4752381"/>
                    </a:xfrm>
                    <a:prstGeom prst="rect">
                      <a:avLst/>
                    </a:prstGeom>
                    <a:ln>
                      <a:noFill/>
                    </a:ln>
                    <a:extLst>
                      <a:ext uri="{53640926-AAD7-44D8-BBD7-CCE9431645EC}">
                        <a14:shadowObscured xmlns:a14="http://schemas.microsoft.com/office/drawing/2010/main"/>
                      </a:ext>
                    </a:extLst>
                  </pic:spPr>
                </pic:pic>
              </a:graphicData>
            </a:graphic>
          </wp:inline>
        </w:drawing>
      </w:r>
    </w:p>
    <w:p w14:paraId="60EB15EF" w14:textId="7D06EE42" w:rsidR="005B45C2" w:rsidRPr="00A93CD2" w:rsidRDefault="005B45C2" w:rsidP="00A521E5">
      <w:pPr>
        <w:pStyle w:val="MDPI51figurecaption"/>
      </w:pPr>
      <w:r w:rsidRPr="00A93CD2">
        <w:t xml:space="preserve">Figure </w:t>
      </w:r>
      <w:r w:rsidR="00F26203">
        <w:t>S</w:t>
      </w:r>
      <w:r w:rsidRPr="00A93CD2">
        <w:t xml:space="preserve">2: </w:t>
      </w:r>
      <w:r w:rsidR="0027427A" w:rsidRPr="00A93CD2">
        <w:t>Autocorrelation function (ACF) at the stations of inte</w:t>
      </w:r>
      <w:r w:rsidR="000D7AE0" w:rsidRPr="00A93CD2">
        <w:t>rests. The name of the subplot indicated for which node the data was used in the</w:t>
      </w:r>
      <w:r w:rsidR="004B7746">
        <w:t xml:space="preserve"> </w:t>
      </w:r>
      <w:r w:rsidR="0027427A" w:rsidRPr="00A93CD2">
        <w:t xml:space="preserve">Bayesian Network model. </w:t>
      </w:r>
      <w:r w:rsidR="000D7AE0" w:rsidRPr="00A93CD2">
        <w:t>The 95% confidence bounds are indicated with dashed black lines.</w:t>
      </w:r>
    </w:p>
    <w:p w14:paraId="60EB15F0" w14:textId="7748ACDB" w:rsidR="00DD3807" w:rsidRPr="00A93CD2" w:rsidRDefault="00F26203" w:rsidP="00F26203">
      <w:pPr>
        <w:pStyle w:val="Heading2"/>
        <w:rPr>
          <w:rFonts w:ascii="Palatino Linotype" w:hAnsi="Palatino Linotype"/>
          <w:sz w:val="20"/>
          <w:szCs w:val="20"/>
          <w:lang w:val="en-CA"/>
        </w:rPr>
      </w:pPr>
      <w:r>
        <w:rPr>
          <w:rFonts w:ascii="Palatino Linotype" w:hAnsi="Palatino Linotype"/>
          <w:sz w:val="20"/>
          <w:szCs w:val="20"/>
          <w:lang w:val="en-CA"/>
        </w:rPr>
        <w:t xml:space="preserve">S4. </w:t>
      </w:r>
      <w:r w:rsidR="00EE2069" w:rsidRPr="00A93CD2">
        <w:rPr>
          <w:rFonts w:ascii="Palatino Linotype" w:hAnsi="Palatino Linotype"/>
          <w:sz w:val="20"/>
          <w:szCs w:val="20"/>
          <w:lang w:val="en-CA"/>
        </w:rPr>
        <w:t xml:space="preserve">1-D </w:t>
      </w:r>
      <w:r w:rsidR="00DD3807" w:rsidRPr="00A93CD2">
        <w:rPr>
          <w:rFonts w:ascii="Palatino Linotype" w:hAnsi="Palatino Linotype"/>
          <w:sz w:val="20"/>
          <w:szCs w:val="20"/>
          <w:lang w:val="en-CA"/>
        </w:rPr>
        <w:t>Hydraulic Model Performance</w:t>
      </w:r>
    </w:p>
    <w:p w14:paraId="60EB15F1" w14:textId="58C8DC6B" w:rsidR="00120EC7" w:rsidRPr="00A93CD2" w:rsidRDefault="00F26203" w:rsidP="00F26203">
      <w:pPr>
        <w:pStyle w:val="Heading3"/>
        <w:ind w:left="360"/>
        <w:rPr>
          <w:rFonts w:ascii="Palatino Linotype" w:hAnsi="Palatino Linotype"/>
          <w:sz w:val="20"/>
          <w:szCs w:val="20"/>
          <w:lang w:val="en-CA"/>
        </w:rPr>
      </w:pPr>
      <w:r>
        <w:rPr>
          <w:rFonts w:ascii="Palatino Linotype" w:hAnsi="Palatino Linotype"/>
          <w:sz w:val="20"/>
          <w:szCs w:val="20"/>
          <w:lang w:val="en-CA"/>
        </w:rPr>
        <w:t xml:space="preserve">S4.1. </w:t>
      </w:r>
      <w:r w:rsidR="000F2F23" w:rsidRPr="00A93CD2">
        <w:rPr>
          <w:rFonts w:ascii="Palatino Linotype" w:hAnsi="Palatino Linotype"/>
          <w:sz w:val="20"/>
          <w:szCs w:val="20"/>
          <w:lang w:val="en-CA"/>
        </w:rPr>
        <w:t>Description of the</w:t>
      </w:r>
      <w:r w:rsidR="00424A9D" w:rsidRPr="00A93CD2">
        <w:rPr>
          <w:rFonts w:ascii="Palatino Linotype" w:hAnsi="Palatino Linotype"/>
          <w:sz w:val="20"/>
          <w:szCs w:val="20"/>
          <w:lang w:val="en-CA"/>
        </w:rPr>
        <w:t xml:space="preserve"> 1-D</w:t>
      </w:r>
      <w:r w:rsidR="000F2F23" w:rsidRPr="00A93CD2">
        <w:rPr>
          <w:rFonts w:ascii="Palatino Linotype" w:hAnsi="Palatino Linotype"/>
          <w:sz w:val="20"/>
          <w:szCs w:val="20"/>
          <w:lang w:val="en-CA"/>
        </w:rPr>
        <w:t xml:space="preserve"> </w:t>
      </w:r>
      <w:r w:rsidR="00424A9D" w:rsidRPr="00A93CD2">
        <w:rPr>
          <w:rFonts w:ascii="Palatino Linotype" w:hAnsi="Palatino Linotype"/>
          <w:sz w:val="20"/>
          <w:szCs w:val="20"/>
          <w:lang w:val="en-CA"/>
        </w:rPr>
        <w:t>Steady-State</w:t>
      </w:r>
      <w:r w:rsidR="00E248EE" w:rsidRPr="00A93CD2">
        <w:rPr>
          <w:rFonts w:ascii="Palatino Linotype" w:hAnsi="Palatino Linotype"/>
          <w:sz w:val="20"/>
          <w:szCs w:val="20"/>
          <w:lang w:val="en-CA"/>
        </w:rPr>
        <w:t xml:space="preserve"> Hydraulic</w:t>
      </w:r>
      <w:r w:rsidR="000F2F23" w:rsidRPr="00A93CD2">
        <w:rPr>
          <w:rFonts w:ascii="Palatino Linotype" w:hAnsi="Palatino Linotype"/>
          <w:sz w:val="20"/>
          <w:szCs w:val="20"/>
          <w:lang w:val="en-CA"/>
        </w:rPr>
        <w:t xml:space="preserve"> Model</w:t>
      </w:r>
    </w:p>
    <w:p w14:paraId="60EB15F2" w14:textId="54EAFDA8" w:rsidR="00B44972" w:rsidRPr="00A93CD2" w:rsidRDefault="006C3449" w:rsidP="00424A9D">
      <w:pPr>
        <w:jc w:val="both"/>
        <w:rPr>
          <w:rFonts w:ascii="Palatino Linotype" w:hAnsi="Palatino Linotype"/>
          <w:sz w:val="20"/>
          <w:szCs w:val="20"/>
          <w:lang w:val="en-CA"/>
        </w:rPr>
      </w:pPr>
      <w:r w:rsidRPr="00A93CD2">
        <w:rPr>
          <w:rFonts w:ascii="Palatino Linotype" w:hAnsi="Palatino Linotype"/>
          <w:sz w:val="20"/>
          <w:szCs w:val="20"/>
          <w:lang w:val="en-CA"/>
        </w:rPr>
        <w:t xml:space="preserve">Water surface profiles are calculated based on the assumption of </w:t>
      </w:r>
      <w:r w:rsidR="00FB3DB1" w:rsidRPr="00A93CD2">
        <w:rPr>
          <w:rFonts w:ascii="Palatino Linotype" w:hAnsi="Palatino Linotype"/>
          <w:sz w:val="20"/>
          <w:szCs w:val="20"/>
          <w:lang w:val="en-CA"/>
        </w:rPr>
        <w:t xml:space="preserve">steady </w:t>
      </w:r>
      <w:r w:rsidRPr="00A93CD2">
        <w:rPr>
          <w:rFonts w:ascii="Palatino Linotype" w:hAnsi="Palatino Linotype"/>
          <w:sz w:val="20"/>
          <w:szCs w:val="20"/>
          <w:lang w:val="en-CA"/>
        </w:rPr>
        <w:t xml:space="preserve">gradually varied flow. </w:t>
      </w:r>
      <w:r w:rsidR="00E248EE" w:rsidRPr="00A93CD2">
        <w:rPr>
          <w:rFonts w:ascii="Palatino Linotype" w:hAnsi="Palatino Linotype"/>
          <w:sz w:val="20"/>
          <w:szCs w:val="20"/>
          <w:lang w:val="en-CA"/>
        </w:rPr>
        <w:t xml:space="preserve">We follow </w:t>
      </w:r>
      <w:r w:rsidR="00C4654A" w:rsidRPr="00A93CD2">
        <w:rPr>
          <w:rFonts w:ascii="Palatino Linotype" w:hAnsi="Palatino Linotype"/>
          <w:sz w:val="20"/>
          <w:szCs w:val="20"/>
          <w:lang w:val="en-CA"/>
        </w:rPr>
        <w:t>a similar</w:t>
      </w:r>
      <w:r w:rsidR="00E248EE" w:rsidRPr="00A93CD2">
        <w:rPr>
          <w:rFonts w:ascii="Palatino Linotype" w:hAnsi="Palatino Linotype"/>
          <w:sz w:val="20"/>
          <w:szCs w:val="20"/>
          <w:lang w:val="en-CA"/>
        </w:rPr>
        <w:t xml:space="preserve"> approach as</w:t>
      </w:r>
      <w:r w:rsidR="00C4654A" w:rsidRPr="00A93CD2">
        <w:rPr>
          <w:rFonts w:ascii="Palatino Linotype" w:hAnsi="Palatino Linotype"/>
          <w:sz w:val="20"/>
          <w:szCs w:val="20"/>
          <w:lang w:val="en-CA"/>
        </w:rPr>
        <w:t xml:space="preserve"> </w:t>
      </w:r>
      <w:r w:rsidR="00424A9D" w:rsidRPr="00A93CD2">
        <w:rPr>
          <w:rFonts w:ascii="Palatino Linotype" w:hAnsi="Palatino Linotype"/>
          <w:sz w:val="20"/>
          <w:szCs w:val="20"/>
          <w:lang w:val="en-CA"/>
        </w:rPr>
        <w:t>described in</w:t>
      </w:r>
      <w:r w:rsidR="00C444EA" w:rsidRPr="00A93CD2">
        <w:rPr>
          <w:rFonts w:ascii="Palatino Linotype" w:hAnsi="Palatino Linotype"/>
          <w:sz w:val="20"/>
          <w:szCs w:val="20"/>
          <w:lang w:val="en-CA"/>
        </w:rPr>
        <w:t xml:space="preserve"> the</w:t>
      </w:r>
      <w:r w:rsidR="001F66B3" w:rsidRPr="00A93CD2">
        <w:rPr>
          <w:rFonts w:ascii="Palatino Linotype" w:hAnsi="Palatino Linotype"/>
          <w:sz w:val="20"/>
          <w:szCs w:val="20"/>
          <w:lang w:val="en-CA"/>
        </w:rPr>
        <w:t xml:space="preserve"> HEC-RAS</w:t>
      </w:r>
      <w:r w:rsidR="00C444EA" w:rsidRPr="00A93CD2">
        <w:rPr>
          <w:rFonts w:ascii="Palatino Linotype" w:hAnsi="Palatino Linotype"/>
          <w:sz w:val="20"/>
          <w:szCs w:val="20"/>
          <w:lang w:val="en-CA"/>
        </w:rPr>
        <w:t xml:space="preserve"> Hydraulic Reference Manual</w:t>
      </w:r>
      <w:r w:rsidR="004B7746">
        <w:rPr>
          <w:rFonts w:ascii="Palatino Linotype" w:hAnsi="Palatino Linotype"/>
          <w:sz w:val="20"/>
          <w:szCs w:val="20"/>
          <w:lang w:val="en-CA"/>
        </w:rPr>
        <w:t xml:space="preserve"> </w:t>
      </w:r>
      <w:r w:rsidR="00C444EA" w:rsidRPr="00A93CD2">
        <w:rPr>
          <w:rFonts w:ascii="Palatino Linotype" w:hAnsi="Palatino Linotype"/>
          <w:sz w:val="20"/>
          <w:szCs w:val="20"/>
          <w:lang w:val="en-CA"/>
        </w:rPr>
        <w:fldChar w:fldCharType="begin" w:fldLock="1"/>
      </w:r>
      <w:r w:rsidR="006816B8">
        <w:rPr>
          <w:rFonts w:ascii="Palatino Linotype" w:hAnsi="Palatino Linotype"/>
          <w:sz w:val="20"/>
          <w:szCs w:val="20"/>
          <w:lang w:val="en-CA"/>
        </w:rPr>
        <w:instrText>ADDIN CSL_CITATION {"citationItems":[{"id":"ITEM-1","itemData":{"author":[{"dropping-particle":"","family":"US Army Corps of Engineers","given":"","non-dropping-particle":"","parse-names":false,"suffix":""}],"id":"ITEM-1","issued":{"date-parts":[["2016"]]},"publisher-place":"Davis, CA","title":"HEC-RAS River Analysis System. Hydraulic Reference Manual.","type":"report"},"uris":["http://www.mendeley.com/documents/?uuid=8d76aaae-1219-49d4-b171-b006e0088c66"]}],"mendeley":{"formattedCitation":"[9]","plainTextFormattedCitation":"[9]","previouslyFormattedCitation":"[9]"},"properties":{"noteIndex":0},"schema":"https://github.com/citation-style-language/schema/raw/master/csl-citation.json"}</w:instrText>
      </w:r>
      <w:r w:rsidR="00C444EA" w:rsidRPr="00A93CD2">
        <w:rPr>
          <w:rFonts w:ascii="Palatino Linotype" w:hAnsi="Palatino Linotype"/>
          <w:sz w:val="20"/>
          <w:szCs w:val="20"/>
          <w:lang w:val="en-CA"/>
        </w:rPr>
        <w:fldChar w:fldCharType="separate"/>
      </w:r>
      <w:r w:rsidR="004F3826" w:rsidRPr="004F3826">
        <w:rPr>
          <w:rFonts w:ascii="Palatino Linotype" w:hAnsi="Palatino Linotype"/>
          <w:noProof/>
          <w:sz w:val="20"/>
          <w:szCs w:val="20"/>
          <w:lang w:val="en-CA"/>
        </w:rPr>
        <w:t>[9]</w:t>
      </w:r>
      <w:r w:rsidR="00C444EA" w:rsidRPr="00A93CD2">
        <w:rPr>
          <w:rFonts w:ascii="Palatino Linotype" w:hAnsi="Palatino Linotype"/>
          <w:sz w:val="20"/>
          <w:szCs w:val="20"/>
          <w:lang w:val="en-CA"/>
        </w:rPr>
        <w:fldChar w:fldCharType="end"/>
      </w:r>
      <w:r w:rsidR="00FB3DB1" w:rsidRPr="00A93CD2">
        <w:rPr>
          <w:rFonts w:ascii="Palatino Linotype" w:hAnsi="Palatino Linotype"/>
          <w:sz w:val="20"/>
          <w:szCs w:val="20"/>
          <w:lang w:val="en-CA"/>
        </w:rPr>
        <w:t xml:space="preserve"> </w:t>
      </w:r>
      <w:r w:rsidR="00C444EA" w:rsidRPr="00A93CD2">
        <w:rPr>
          <w:rFonts w:ascii="Palatino Linotype" w:hAnsi="Palatino Linotype"/>
          <w:sz w:val="20"/>
          <w:szCs w:val="20"/>
          <w:lang w:val="en-CA"/>
        </w:rPr>
        <w:t xml:space="preserve">and </w:t>
      </w:r>
      <w:r w:rsidR="00FB3DB1" w:rsidRPr="00A93CD2">
        <w:rPr>
          <w:rFonts w:ascii="Palatino Linotype" w:hAnsi="Palatino Linotype"/>
          <w:sz w:val="20"/>
          <w:szCs w:val="20"/>
          <w:lang w:val="en-CA"/>
        </w:rPr>
        <w:t xml:space="preserve">commonly used for river hydraulics modeling of natural or constructed channels </w:t>
      </w:r>
      <w:r w:rsidR="001F758A" w:rsidRPr="00A93CD2">
        <w:rPr>
          <w:rFonts w:ascii="Palatino Linotype" w:hAnsi="Palatino Linotype"/>
          <w:sz w:val="20"/>
          <w:szCs w:val="20"/>
          <w:lang w:val="en-CA"/>
        </w:rPr>
        <w:fldChar w:fldCharType="begin" w:fldLock="1"/>
      </w:r>
      <w:r w:rsidR="00F70E29">
        <w:rPr>
          <w:rFonts w:ascii="Palatino Linotype" w:hAnsi="Palatino Linotype"/>
          <w:sz w:val="20"/>
          <w:szCs w:val="20"/>
          <w:lang w:val="en-CA"/>
        </w:rPr>
        <w:instrText>ADDIN CSL_CITATION {"citationItems":[{"id":"ITEM-1","itemData":{"DOI":"10.1061/(ASCE)HY.1943-7900.0000398.","ISBN":"0733-9429","ISSN":"07339429","abstract":"Coastal communities that experience frequent hurricanes and tropical storms are subject to flooding hazards from both heavy inland rainfall and coastal storm surge. Current modeling practices that address inland coastal floodplain mapping are based primarily on rainfall, without directly incorporating storm surge boundary conditions into hydraulic models (Bart Standley, personal commu- nication, November 22, 2010). In areas where coastal and rainfall flood risks overlap, the floodplain is created by the addition of these risks and therefore does not account for the interaction between rainfall and storm surge. These floodplain maps may not be accurate for determining the flood risk of coastal commun- ities during a hurricane and therefore may create a false sense of security and safety from flooding. The objective of this study is to analyze the combined effects of storm surge and inland rainfall on the floodplain of a coastal bayou in the Houston area using advanced dynamic hydraulic modeling. Information from this study can be used to better inform emergency managers, city officials, and citizens of the potential escalated flood risk during hurricanes.","author":[{"dropping-particle":"","family":"Ray","given":"Tyler","non-dropping-particle":"","parse-names":false,"suffix":""},{"dropping-particle":"","family":"Stepinski","given":"Emilia","non-dropping-particle":"","parse-names":false,"suffix":""},{"dropping-particle":"","family":"Sebastian","given":"Antonia","non-dropping-particle":"","parse-names":false,"suffix":""},{"dropping-particle":"","family":"Bedient","given":"Philip B.","non-dropping-particle":"","parse-names":false,"suffix":""}],"container-title":"Journal of Hydraulic Engineering","id":"ITEM-1","issue":"10","issued":{"date-parts":[["2011"]]},"page":"1103-1111","title":"Dynamic Modeling of Storm Surge and Inland Flooding in a Texas Coastal Floodplain","type":"article-journal","volume":"137"},"uris":["http://www.mendeley.com/documents/?uuid=5aa22e34-75c8-49aa-9cb2-2edc878c7e79"]},{"id":"ITEM-2","itemData":{"ISBN":"0023535105","author":[{"dropping-particle":"","family":"Henderson","given":"F.M.","non-dropping-particle":"","parse-names":false,"suffix":""}],"id":"ITEM-2","issued":{"date-parts":[["1966"]]},"publisher":"Prentice-Hall","publisher-place":"Upper Saddle River, NJ","title":"Open Channel Flow","type":"book"},"uris":["http://www.mendeley.com/documents/?uuid=c06ca30b-5633-4dab-b845-45a7fdfe7988"]}],"mendeley":{"formattedCitation":"[10,11]","plainTextFormattedCitation":"[10,11]","previouslyFormattedCitation":"[10,11]"},"properties":{"noteIndex":0},"schema":"https://github.com/citation-style-language/schema/raw/master/csl-citation.json"}</w:instrText>
      </w:r>
      <w:r w:rsidR="001F758A" w:rsidRPr="00A93CD2">
        <w:rPr>
          <w:rFonts w:ascii="Palatino Linotype" w:hAnsi="Palatino Linotype"/>
          <w:sz w:val="20"/>
          <w:szCs w:val="20"/>
          <w:lang w:val="en-CA"/>
        </w:rPr>
        <w:fldChar w:fldCharType="separate"/>
      </w:r>
      <w:r w:rsidR="006816B8" w:rsidRPr="006816B8">
        <w:rPr>
          <w:rFonts w:ascii="Palatino Linotype" w:hAnsi="Palatino Linotype"/>
          <w:noProof/>
          <w:sz w:val="20"/>
          <w:szCs w:val="20"/>
          <w:lang w:val="en-CA"/>
        </w:rPr>
        <w:t>[10,11]</w:t>
      </w:r>
      <w:r w:rsidR="001F758A" w:rsidRPr="00A93CD2">
        <w:rPr>
          <w:rFonts w:ascii="Palatino Linotype" w:hAnsi="Palatino Linotype"/>
          <w:sz w:val="20"/>
          <w:szCs w:val="20"/>
          <w:lang w:val="en-CA"/>
        </w:rPr>
        <w:fldChar w:fldCharType="end"/>
      </w:r>
      <w:r w:rsidR="00C444EA" w:rsidRPr="00A93CD2">
        <w:rPr>
          <w:rFonts w:ascii="Palatino Linotype" w:hAnsi="Palatino Linotype"/>
          <w:sz w:val="20"/>
          <w:szCs w:val="20"/>
          <w:lang w:val="en-CA"/>
        </w:rPr>
        <w:t xml:space="preserve">. </w:t>
      </w:r>
      <w:r w:rsidR="00BD4469" w:rsidRPr="00A93CD2">
        <w:rPr>
          <w:rFonts w:ascii="Palatino Linotype" w:hAnsi="Palatino Linotype"/>
          <w:sz w:val="20"/>
          <w:szCs w:val="20"/>
          <w:lang w:val="en-CA"/>
        </w:rPr>
        <w:t xml:space="preserve">The water surface elevation upstream </w:t>
      </w:r>
      <w:r w:rsidR="00B44972" w:rsidRPr="00A93CD2">
        <w:rPr>
          <w:rFonts w:ascii="Palatino Linotype" w:hAnsi="Palatino Linotype"/>
          <w:sz w:val="20"/>
          <w:szCs w:val="20"/>
          <w:lang w:val="en-CA"/>
        </w:rPr>
        <w:t xml:space="preserve">from section </w:t>
      </w:r>
      <m:oMath>
        <m:r>
          <w:rPr>
            <w:rFonts w:ascii="Cambria Math" w:hAnsi="Cambria Math"/>
            <w:sz w:val="20"/>
            <w:szCs w:val="20"/>
            <w:lang w:val="en-CA"/>
          </w:rPr>
          <m:t>i</m:t>
        </m:r>
      </m:oMath>
      <w:r w:rsidR="00BD4469" w:rsidRPr="00A93CD2">
        <w:rPr>
          <w:rFonts w:ascii="Palatino Linotype" w:hAnsi="Palatino Linotype"/>
          <w:sz w:val="20"/>
          <w:szCs w:val="20"/>
          <w:lang w:val="en-CA"/>
        </w:rPr>
        <w:t xml:space="preserve"> is calculated</w:t>
      </w:r>
      <w:r w:rsidR="00B44972" w:rsidRPr="00A93CD2">
        <w:rPr>
          <w:rFonts w:ascii="Palatino Linotype" w:hAnsi="Palatino Linotype"/>
          <w:sz w:val="20"/>
          <w:szCs w:val="20"/>
          <w:lang w:val="en-CA"/>
        </w:rPr>
        <w:t xml:space="preserve"> based on the assumption of conservation of energy: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EE2069" w:rsidRPr="00A93CD2" w14:paraId="60EB15F6" w14:textId="77777777" w:rsidTr="009050A1">
        <w:trPr>
          <w:jc w:val="center"/>
        </w:trPr>
        <w:tc>
          <w:tcPr>
            <w:tcW w:w="392" w:type="dxa"/>
            <w:vAlign w:val="center"/>
          </w:tcPr>
          <w:p w14:paraId="60EB15F3" w14:textId="77777777" w:rsidR="00EE2069" w:rsidRPr="00A93CD2" w:rsidRDefault="00EE2069" w:rsidP="009050A1">
            <w:pPr>
              <w:spacing w:before="240"/>
              <w:jc w:val="center"/>
              <w:rPr>
                <w:rFonts w:ascii="Palatino Linotype" w:hAnsi="Palatino Linotype"/>
                <w:sz w:val="20"/>
                <w:szCs w:val="20"/>
                <w:lang w:val="en-CA"/>
              </w:rPr>
            </w:pPr>
          </w:p>
        </w:tc>
        <w:tc>
          <w:tcPr>
            <w:tcW w:w="7938" w:type="dxa"/>
            <w:vAlign w:val="center"/>
          </w:tcPr>
          <w:p w14:paraId="60EB15F4" w14:textId="77777777" w:rsidR="00EE2069" w:rsidRPr="00A93CD2" w:rsidRDefault="00F26203" w:rsidP="009050A1">
            <w:pPr>
              <w:spacing w:before="240"/>
              <w:ind w:firstLine="708"/>
              <w:rPr>
                <w:rFonts w:ascii="Palatino Linotype" w:hAnsi="Palatino Linotype"/>
                <w:sz w:val="20"/>
                <w:szCs w:val="20"/>
              </w:rPr>
            </w:pPr>
            <m:oMathPara>
              <m:oMath>
                <m:sSub>
                  <m:sSubPr>
                    <m:ctrlPr>
                      <w:rPr>
                        <w:rFonts w:ascii="Cambria Math" w:hAnsi="Cambria Math"/>
                        <w:i/>
                        <w:sz w:val="20"/>
                        <w:szCs w:val="20"/>
                        <w:lang w:val="en-CA"/>
                      </w:rPr>
                    </m:ctrlPr>
                  </m:sSubPr>
                  <m:e>
                    <m:r>
                      <w:rPr>
                        <w:rFonts w:ascii="Cambria Math" w:hAnsi="Cambria Math"/>
                        <w:sz w:val="20"/>
                        <w:szCs w:val="20"/>
                        <w:lang w:val="en-CA"/>
                      </w:rPr>
                      <m:t>Z</m:t>
                    </m:r>
                  </m:e>
                  <m:sub>
                    <m:r>
                      <w:rPr>
                        <w:rFonts w:ascii="Cambria Math" w:hAnsi="Cambria Math"/>
                        <w:sz w:val="20"/>
                        <w:szCs w:val="20"/>
                        <w:lang w:val="en-CA"/>
                      </w:rPr>
                      <m:t>i+1</m:t>
                    </m:r>
                  </m:sub>
                </m:sSub>
                <m:r>
                  <w:rPr>
                    <w:rFonts w:ascii="Cambria Math" w:hAnsi="Cambria Math"/>
                    <w:sz w:val="20"/>
                    <w:szCs w:val="20"/>
                    <w:lang w:val="en-CA"/>
                  </w:rPr>
                  <m:t xml:space="preserve">+ </m:t>
                </m:r>
                <m:sSub>
                  <m:sSubPr>
                    <m:ctrlPr>
                      <w:rPr>
                        <w:rFonts w:ascii="Cambria Math" w:hAnsi="Cambria Math"/>
                        <w:i/>
                        <w:sz w:val="20"/>
                        <w:szCs w:val="20"/>
                        <w:lang w:val="en-CA"/>
                      </w:rPr>
                    </m:ctrlPr>
                  </m:sSubPr>
                  <m:e>
                    <m:r>
                      <w:rPr>
                        <w:rFonts w:ascii="Cambria Math" w:hAnsi="Cambria Math"/>
                        <w:sz w:val="20"/>
                        <w:szCs w:val="20"/>
                        <w:lang w:val="en-CA"/>
                      </w:rPr>
                      <m:t>Y</m:t>
                    </m:r>
                  </m:e>
                  <m:sub>
                    <m:r>
                      <w:rPr>
                        <w:rFonts w:ascii="Cambria Math" w:hAnsi="Cambria Math"/>
                        <w:sz w:val="20"/>
                        <w:szCs w:val="20"/>
                        <w:lang w:val="en-CA"/>
                      </w:rPr>
                      <m:t>i+1</m:t>
                    </m:r>
                  </m:sub>
                </m:sSub>
                <m:r>
                  <w:rPr>
                    <w:rFonts w:ascii="Cambria Math" w:hAnsi="Cambria Math"/>
                    <w:sz w:val="20"/>
                    <w:szCs w:val="20"/>
                    <w:lang w:val="en-CA"/>
                  </w:rPr>
                  <m:t xml:space="preserve">+ </m:t>
                </m:r>
                <m:f>
                  <m:fPr>
                    <m:ctrlPr>
                      <w:rPr>
                        <w:rFonts w:ascii="Cambria Math" w:hAnsi="Cambria Math"/>
                        <w:i/>
                        <w:sz w:val="20"/>
                        <w:szCs w:val="20"/>
                        <w:lang w:val="en-CA"/>
                      </w:rPr>
                    </m:ctrlPr>
                  </m:fPr>
                  <m:num>
                    <m:sSub>
                      <m:sSubPr>
                        <m:ctrlPr>
                          <w:rPr>
                            <w:rFonts w:ascii="Cambria Math" w:hAnsi="Cambria Math"/>
                            <w:i/>
                            <w:sz w:val="20"/>
                            <w:szCs w:val="20"/>
                            <w:lang w:val="en-CA"/>
                          </w:rPr>
                        </m:ctrlPr>
                      </m:sSubPr>
                      <m:e>
                        <m:r>
                          <w:rPr>
                            <w:rFonts w:ascii="Cambria Math" w:hAnsi="Cambria Math"/>
                            <w:sz w:val="20"/>
                            <w:szCs w:val="20"/>
                            <w:lang w:val="en-CA"/>
                          </w:rPr>
                          <m:t>α</m:t>
                        </m:r>
                      </m:e>
                      <m:sub>
                        <m:r>
                          <w:rPr>
                            <w:rFonts w:ascii="Cambria Math" w:hAnsi="Cambria Math"/>
                            <w:sz w:val="20"/>
                            <w:szCs w:val="20"/>
                            <w:lang w:val="en-CA"/>
                          </w:rPr>
                          <m:t>i+1</m:t>
                        </m:r>
                      </m:sub>
                    </m:sSub>
                    <m:sSubSup>
                      <m:sSubSupPr>
                        <m:ctrlPr>
                          <w:rPr>
                            <w:rFonts w:ascii="Cambria Math" w:hAnsi="Cambria Math"/>
                            <w:i/>
                            <w:sz w:val="20"/>
                            <w:szCs w:val="20"/>
                            <w:lang w:val="en-CA"/>
                          </w:rPr>
                        </m:ctrlPr>
                      </m:sSubSupPr>
                      <m:e>
                        <m:r>
                          <w:rPr>
                            <w:rFonts w:ascii="Cambria Math" w:hAnsi="Cambria Math"/>
                            <w:sz w:val="20"/>
                            <w:szCs w:val="20"/>
                            <w:lang w:val="en-CA"/>
                          </w:rPr>
                          <m:t>V</m:t>
                        </m:r>
                      </m:e>
                      <m:sub>
                        <m:r>
                          <w:rPr>
                            <w:rFonts w:ascii="Cambria Math" w:hAnsi="Cambria Math"/>
                            <w:sz w:val="20"/>
                            <w:szCs w:val="20"/>
                            <w:lang w:val="en-CA"/>
                          </w:rPr>
                          <m:t>i+1</m:t>
                        </m:r>
                      </m:sub>
                      <m:sup>
                        <m:r>
                          <w:rPr>
                            <w:rFonts w:ascii="Cambria Math" w:hAnsi="Cambria Math"/>
                            <w:sz w:val="20"/>
                            <w:szCs w:val="20"/>
                            <w:lang w:val="en-CA"/>
                          </w:rPr>
                          <m:t>2</m:t>
                        </m:r>
                      </m:sup>
                    </m:sSubSup>
                  </m:num>
                  <m:den>
                    <m:r>
                      <w:rPr>
                        <w:rFonts w:ascii="Cambria Math" w:hAnsi="Cambria Math"/>
                        <w:sz w:val="20"/>
                        <w:szCs w:val="20"/>
                        <w:lang w:val="en-CA"/>
                      </w:rPr>
                      <m:t>2g</m:t>
                    </m:r>
                  </m:den>
                </m:f>
                <m:r>
                  <w:rPr>
                    <w:rFonts w:ascii="Cambria Math" w:hAnsi="Cambria Math"/>
                    <w:sz w:val="20"/>
                    <w:szCs w:val="20"/>
                    <w:lang w:val="en-CA"/>
                  </w:rPr>
                  <m:t xml:space="preserve">= </m:t>
                </m:r>
                <m:sSub>
                  <m:sSubPr>
                    <m:ctrlPr>
                      <w:rPr>
                        <w:rFonts w:ascii="Cambria Math" w:hAnsi="Cambria Math"/>
                        <w:i/>
                        <w:sz w:val="20"/>
                        <w:szCs w:val="20"/>
                        <w:lang w:val="en-CA"/>
                      </w:rPr>
                    </m:ctrlPr>
                  </m:sSubPr>
                  <m:e>
                    <m:r>
                      <w:rPr>
                        <w:rFonts w:ascii="Cambria Math" w:hAnsi="Cambria Math"/>
                        <w:sz w:val="20"/>
                        <w:szCs w:val="20"/>
                        <w:lang w:val="en-CA"/>
                      </w:rPr>
                      <m:t>Z</m:t>
                    </m:r>
                  </m:e>
                  <m:sub>
                    <m:r>
                      <w:rPr>
                        <w:rFonts w:ascii="Cambria Math" w:hAnsi="Cambria Math"/>
                        <w:sz w:val="20"/>
                        <w:szCs w:val="20"/>
                        <w:lang w:val="en-CA"/>
                      </w:rPr>
                      <m:t>i</m:t>
                    </m:r>
                  </m:sub>
                </m:sSub>
                <m:r>
                  <w:rPr>
                    <w:rFonts w:ascii="Cambria Math" w:hAnsi="Cambria Math"/>
                    <w:sz w:val="20"/>
                    <w:szCs w:val="20"/>
                    <w:lang w:val="en-CA"/>
                  </w:rPr>
                  <m:t xml:space="preserve">+ </m:t>
                </m:r>
                <m:sSub>
                  <m:sSubPr>
                    <m:ctrlPr>
                      <w:rPr>
                        <w:rFonts w:ascii="Cambria Math" w:hAnsi="Cambria Math"/>
                        <w:i/>
                        <w:sz w:val="20"/>
                        <w:szCs w:val="20"/>
                        <w:lang w:val="en-CA"/>
                      </w:rPr>
                    </m:ctrlPr>
                  </m:sSubPr>
                  <m:e>
                    <m:r>
                      <w:rPr>
                        <w:rFonts w:ascii="Cambria Math" w:hAnsi="Cambria Math"/>
                        <w:sz w:val="20"/>
                        <w:szCs w:val="20"/>
                        <w:lang w:val="en-CA"/>
                      </w:rPr>
                      <m:t>Y</m:t>
                    </m:r>
                  </m:e>
                  <m:sub>
                    <m:r>
                      <w:rPr>
                        <w:rFonts w:ascii="Cambria Math" w:hAnsi="Cambria Math"/>
                        <w:sz w:val="20"/>
                        <w:szCs w:val="20"/>
                        <w:lang w:val="en-CA"/>
                      </w:rPr>
                      <m:t>i</m:t>
                    </m:r>
                  </m:sub>
                </m:sSub>
                <m:r>
                  <w:rPr>
                    <w:rFonts w:ascii="Cambria Math" w:hAnsi="Cambria Math"/>
                    <w:sz w:val="20"/>
                    <w:szCs w:val="20"/>
                    <w:lang w:val="en-CA"/>
                  </w:rPr>
                  <m:t xml:space="preserve">+ </m:t>
                </m:r>
                <m:f>
                  <m:fPr>
                    <m:ctrlPr>
                      <w:rPr>
                        <w:rFonts w:ascii="Cambria Math" w:hAnsi="Cambria Math"/>
                        <w:i/>
                        <w:sz w:val="20"/>
                        <w:szCs w:val="20"/>
                        <w:lang w:val="en-CA"/>
                      </w:rPr>
                    </m:ctrlPr>
                  </m:fPr>
                  <m:num>
                    <m:sSub>
                      <m:sSubPr>
                        <m:ctrlPr>
                          <w:rPr>
                            <w:rFonts w:ascii="Cambria Math" w:hAnsi="Cambria Math"/>
                            <w:i/>
                            <w:sz w:val="20"/>
                            <w:szCs w:val="20"/>
                            <w:lang w:val="en-CA"/>
                          </w:rPr>
                        </m:ctrlPr>
                      </m:sSubPr>
                      <m:e>
                        <m:r>
                          <w:rPr>
                            <w:rFonts w:ascii="Cambria Math" w:hAnsi="Cambria Math"/>
                            <w:sz w:val="20"/>
                            <w:szCs w:val="20"/>
                            <w:lang w:val="en-CA"/>
                          </w:rPr>
                          <m:t>α</m:t>
                        </m:r>
                      </m:e>
                      <m:sub>
                        <m:r>
                          <w:rPr>
                            <w:rFonts w:ascii="Cambria Math" w:hAnsi="Cambria Math"/>
                            <w:sz w:val="20"/>
                            <w:szCs w:val="20"/>
                            <w:lang w:val="en-CA"/>
                          </w:rPr>
                          <m:t>i</m:t>
                        </m:r>
                      </m:sub>
                    </m:sSub>
                    <m:sSubSup>
                      <m:sSubSupPr>
                        <m:ctrlPr>
                          <w:rPr>
                            <w:rFonts w:ascii="Cambria Math" w:hAnsi="Cambria Math"/>
                            <w:i/>
                            <w:sz w:val="20"/>
                            <w:szCs w:val="20"/>
                            <w:lang w:val="en-CA"/>
                          </w:rPr>
                        </m:ctrlPr>
                      </m:sSubSupPr>
                      <m:e>
                        <m:r>
                          <w:rPr>
                            <w:rFonts w:ascii="Cambria Math" w:hAnsi="Cambria Math"/>
                            <w:sz w:val="20"/>
                            <w:szCs w:val="20"/>
                            <w:lang w:val="en-CA"/>
                          </w:rPr>
                          <m:t>V</m:t>
                        </m:r>
                      </m:e>
                      <m:sub>
                        <m:r>
                          <w:rPr>
                            <w:rFonts w:ascii="Cambria Math" w:hAnsi="Cambria Math"/>
                            <w:sz w:val="20"/>
                            <w:szCs w:val="20"/>
                            <w:lang w:val="en-CA"/>
                          </w:rPr>
                          <m:t>i</m:t>
                        </m:r>
                      </m:sub>
                      <m:sup>
                        <m:r>
                          <w:rPr>
                            <w:rFonts w:ascii="Cambria Math" w:hAnsi="Cambria Math"/>
                            <w:sz w:val="20"/>
                            <w:szCs w:val="20"/>
                            <w:lang w:val="en-CA"/>
                          </w:rPr>
                          <m:t>2</m:t>
                        </m:r>
                      </m:sup>
                    </m:sSubSup>
                  </m:num>
                  <m:den>
                    <m:r>
                      <w:rPr>
                        <w:rFonts w:ascii="Cambria Math" w:hAnsi="Cambria Math"/>
                        <w:sz w:val="20"/>
                        <w:szCs w:val="20"/>
                        <w:lang w:val="en-CA"/>
                      </w:rPr>
                      <m:t>2g</m:t>
                    </m:r>
                  </m:den>
                </m:f>
                <m:r>
                  <w:rPr>
                    <w:rFonts w:ascii="Cambria Math" w:hAnsi="Cambria Math"/>
                    <w:sz w:val="20"/>
                    <w:szCs w:val="20"/>
                    <w:lang w:val="en-CA"/>
                  </w:rPr>
                  <m:t xml:space="preserve">+ </m:t>
                </m:r>
                <m:sSub>
                  <m:sSubPr>
                    <m:ctrlPr>
                      <w:rPr>
                        <w:rFonts w:ascii="Cambria Math" w:hAnsi="Cambria Math"/>
                        <w:i/>
                        <w:sz w:val="20"/>
                        <w:szCs w:val="20"/>
                        <w:lang w:val="en-CA"/>
                      </w:rPr>
                    </m:ctrlPr>
                  </m:sSubPr>
                  <m:e>
                    <m:r>
                      <w:rPr>
                        <w:rFonts w:ascii="Cambria Math" w:hAnsi="Cambria Math"/>
                        <w:sz w:val="20"/>
                        <w:szCs w:val="20"/>
                        <w:lang w:val="en-CA"/>
                      </w:rPr>
                      <m:t>h</m:t>
                    </m:r>
                  </m:e>
                  <m:sub>
                    <m:r>
                      <w:rPr>
                        <w:rFonts w:ascii="Cambria Math" w:hAnsi="Cambria Math"/>
                        <w:sz w:val="20"/>
                        <w:szCs w:val="20"/>
                        <w:lang w:val="en-CA"/>
                      </w:rPr>
                      <m:t>(i)-(i+1)</m:t>
                    </m:r>
                  </m:sub>
                </m:sSub>
              </m:oMath>
            </m:oMathPara>
          </w:p>
        </w:tc>
        <w:tc>
          <w:tcPr>
            <w:tcW w:w="882" w:type="dxa"/>
            <w:vAlign w:val="center"/>
          </w:tcPr>
          <w:p w14:paraId="60EB15F5" w14:textId="309D57E0" w:rsidR="00EE2069" w:rsidRPr="00A93CD2" w:rsidRDefault="00EE2069" w:rsidP="009050A1">
            <w:pPr>
              <w:spacing w:before="240"/>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00FA7680"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2</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5F7" w14:textId="77777777" w:rsidR="00EE2069" w:rsidRPr="00A93CD2" w:rsidRDefault="00EE2069" w:rsidP="00424A9D">
      <w:pPr>
        <w:jc w:val="both"/>
        <w:rPr>
          <w:rFonts w:ascii="Palatino Linotype" w:hAnsi="Palatino Linotype"/>
          <w:sz w:val="20"/>
          <w:szCs w:val="20"/>
          <w:lang w:val="en-CA"/>
        </w:rPr>
      </w:pPr>
    </w:p>
    <w:p w14:paraId="60EB15F8" w14:textId="711D8A22" w:rsidR="00E53F73" w:rsidRPr="00A93CD2" w:rsidRDefault="00B44972" w:rsidP="00424A9D">
      <w:pPr>
        <w:jc w:val="both"/>
        <w:rPr>
          <w:rFonts w:ascii="Palatino Linotype" w:hAnsi="Palatino Linotype"/>
          <w:sz w:val="20"/>
          <w:szCs w:val="20"/>
          <w:lang w:val="en-CA"/>
        </w:rPr>
      </w:pPr>
      <w:r w:rsidRPr="00A93CD2">
        <w:rPr>
          <w:rFonts w:ascii="Palatino Linotype" w:hAnsi="Palatino Linotype"/>
          <w:sz w:val="20"/>
          <w:szCs w:val="20"/>
          <w:lang w:val="en-CA"/>
        </w:rPr>
        <w:t xml:space="preserve">where </w:t>
      </w:r>
      <m:oMath>
        <m:r>
          <w:rPr>
            <w:rFonts w:ascii="Cambria Math" w:hAnsi="Cambria Math"/>
            <w:sz w:val="20"/>
            <w:szCs w:val="20"/>
            <w:lang w:val="en-CA"/>
          </w:rPr>
          <m:t>Z</m:t>
        </m:r>
      </m:oMath>
      <w:r w:rsidRPr="00A93CD2">
        <w:rPr>
          <w:rFonts w:ascii="Palatino Linotype" w:hAnsi="Palatino Linotype"/>
          <w:sz w:val="20"/>
          <w:szCs w:val="20"/>
          <w:lang w:val="en-CA"/>
        </w:rPr>
        <w:t xml:space="preserve"> is the elevation of the channel invert (</w:t>
      </w:r>
      <w:proofErr w:type="spellStart"/>
      <w:r w:rsidRPr="00A93CD2">
        <w:rPr>
          <w:rFonts w:ascii="Palatino Linotype" w:hAnsi="Palatino Linotype"/>
          <w:sz w:val="20"/>
          <w:szCs w:val="20"/>
          <w:lang w:val="en-CA"/>
        </w:rPr>
        <w:t>thalweg</w:t>
      </w:r>
      <w:proofErr w:type="spellEnd"/>
      <w:r w:rsidRPr="00A93CD2">
        <w:rPr>
          <w:rFonts w:ascii="Palatino Linotype" w:hAnsi="Palatino Linotype"/>
          <w:sz w:val="20"/>
          <w:szCs w:val="20"/>
          <w:lang w:val="en-CA"/>
        </w:rPr>
        <w:t xml:space="preserve">), </w:t>
      </w:r>
      <m:oMath>
        <m:r>
          <w:rPr>
            <w:rFonts w:ascii="Cambria Math" w:hAnsi="Cambria Math"/>
            <w:sz w:val="20"/>
            <w:szCs w:val="20"/>
            <w:lang w:val="en-CA"/>
          </w:rPr>
          <m:t>Y</m:t>
        </m:r>
      </m:oMath>
      <w:r w:rsidRPr="00A93CD2">
        <w:rPr>
          <w:rFonts w:ascii="Palatino Linotype" w:hAnsi="Palatino Linotype"/>
          <w:sz w:val="20"/>
          <w:szCs w:val="20"/>
          <w:lang w:val="en-CA"/>
        </w:rPr>
        <w:t xml:space="preserve"> is the water depth, </w:t>
      </w:r>
      <m:oMath>
        <m:r>
          <w:rPr>
            <w:rFonts w:ascii="Cambria Math" w:hAnsi="Cambria Math"/>
            <w:sz w:val="20"/>
            <w:szCs w:val="20"/>
            <w:lang w:val="en-CA"/>
          </w:rPr>
          <m:t>V</m:t>
        </m:r>
      </m:oMath>
      <w:r w:rsidRPr="00A93CD2">
        <w:rPr>
          <w:rFonts w:ascii="Palatino Linotype" w:hAnsi="Palatino Linotype"/>
          <w:sz w:val="20"/>
          <w:szCs w:val="20"/>
          <w:lang w:val="en-CA"/>
        </w:rPr>
        <w:t xml:space="preserve"> is the average velocity (total discharge/total flow area), </w:t>
      </w:r>
      <m:oMath>
        <m:r>
          <w:rPr>
            <w:rFonts w:ascii="Cambria Math" w:hAnsi="Cambria Math"/>
            <w:sz w:val="20"/>
            <w:szCs w:val="20"/>
            <w:lang w:val="en-CA"/>
          </w:rPr>
          <m:t>α</m:t>
        </m:r>
      </m:oMath>
      <w:r w:rsidRPr="00A93CD2">
        <w:rPr>
          <w:rFonts w:ascii="Palatino Linotype" w:hAnsi="Palatino Linotype"/>
          <w:sz w:val="20"/>
          <w:szCs w:val="20"/>
          <w:lang w:val="en-CA"/>
        </w:rPr>
        <w:t xml:space="preserve"> is the velocity weighting coefficient (energy coefficient), </w:t>
      </w:r>
      <m:oMath>
        <m:r>
          <w:rPr>
            <w:rFonts w:ascii="Cambria Math" w:hAnsi="Cambria Math"/>
            <w:sz w:val="20"/>
            <w:szCs w:val="20"/>
            <w:lang w:val="en-CA"/>
          </w:rPr>
          <m:t>g</m:t>
        </m:r>
      </m:oMath>
      <w:r w:rsidR="00FD3946">
        <w:rPr>
          <w:rFonts w:ascii="Palatino Linotype" w:hAnsi="Palatino Linotype"/>
          <w:sz w:val="20"/>
          <w:szCs w:val="20"/>
          <w:lang w:val="en-CA"/>
        </w:rPr>
        <w:t xml:space="preserve"> </w:t>
      </w:r>
      <w:r w:rsidRPr="00A93CD2">
        <w:rPr>
          <w:rFonts w:ascii="Palatino Linotype" w:hAnsi="Palatino Linotype"/>
          <w:sz w:val="20"/>
          <w:szCs w:val="20"/>
          <w:lang w:val="en-CA"/>
        </w:rPr>
        <w:t xml:space="preserve">is the gravitational acceleration, </w:t>
      </w:r>
      <m:oMath>
        <m:r>
          <w:rPr>
            <w:rFonts w:ascii="Cambria Math" w:hAnsi="Cambria Math"/>
            <w:sz w:val="20"/>
            <w:szCs w:val="20"/>
            <w:lang w:val="en-CA"/>
          </w:rPr>
          <m:t>h</m:t>
        </m:r>
      </m:oMath>
      <w:r w:rsidRPr="00A93CD2">
        <w:rPr>
          <w:rFonts w:ascii="Palatino Linotype" w:hAnsi="Palatino Linotype"/>
          <w:sz w:val="20"/>
          <w:szCs w:val="20"/>
          <w:lang w:val="en-CA"/>
        </w:rPr>
        <w:t xml:space="preserve"> are the energy losses from section </w:t>
      </w:r>
      <m:oMath>
        <m:r>
          <w:rPr>
            <w:rFonts w:ascii="Cambria Math" w:hAnsi="Cambria Math"/>
            <w:sz w:val="20"/>
            <w:szCs w:val="20"/>
            <w:lang w:val="en-CA"/>
          </w:rPr>
          <m:t>i</m:t>
        </m:r>
      </m:oMath>
      <w:r w:rsidRPr="00A93CD2">
        <w:rPr>
          <w:rFonts w:ascii="Palatino Linotype" w:hAnsi="Palatino Linotype"/>
          <w:sz w:val="20"/>
          <w:szCs w:val="20"/>
          <w:lang w:val="en-CA"/>
        </w:rPr>
        <w:t xml:space="preserve"> to </w:t>
      </w:r>
      <m:oMath>
        <m:r>
          <w:rPr>
            <w:rFonts w:ascii="Cambria Math" w:hAnsi="Cambria Math"/>
            <w:sz w:val="20"/>
            <w:szCs w:val="20"/>
            <w:lang w:val="en-CA"/>
          </w:rPr>
          <m:t>i+1</m:t>
        </m:r>
      </m:oMath>
      <w:r w:rsidRPr="00A93CD2">
        <w:rPr>
          <w:rFonts w:ascii="Palatino Linotype" w:hAnsi="Palatino Linotype"/>
          <w:sz w:val="20"/>
          <w:szCs w:val="20"/>
          <w:lang w:val="en-CA"/>
        </w:rPr>
        <w:t>.</w:t>
      </w:r>
      <w:r w:rsidR="00FB3DB1" w:rsidRPr="00A93CD2">
        <w:rPr>
          <w:rFonts w:ascii="Palatino Linotype" w:hAnsi="Palatino Linotype"/>
          <w:sz w:val="20"/>
          <w:szCs w:val="20"/>
          <w:lang w:val="en-CA"/>
        </w:rPr>
        <w:t xml:space="preserve"> </w:t>
      </w:r>
      <w:r w:rsidR="0065177F" w:rsidRPr="00A93CD2">
        <w:rPr>
          <w:rFonts w:ascii="Palatino Linotype" w:hAnsi="Palatino Linotype"/>
          <w:sz w:val="20"/>
          <w:szCs w:val="20"/>
          <w:lang w:val="en-CA"/>
        </w:rPr>
        <w:t>W</w:t>
      </w:r>
      <w:r w:rsidR="00FB3DB1" w:rsidRPr="00A93CD2">
        <w:rPr>
          <w:rFonts w:ascii="Palatino Linotype" w:hAnsi="Palatino Linotype"/>
          <w:sz w:val="20"/>
          <w:szCs w:val="20"/>
          <w:lang w:val="en-CA"/>
        </w:rPr>
        <w:t>e simplify the energy losses by neglecting head losses from structures, contractions and expansions, and considering only the head loss due to the boundary resistance (friction slope). The velocity weighting coefficient is calculated as a weighted average of the conveyance between the left overbank, main channel, and right overbank.</w:t>
      </w:r>
    </w:p>
    <w:p w14:paraId="60EB15F9" w14:textId="032DF807" w:rsidR="00B21A5B" w:rsidRPr="00A93CD2" w:rsidRDefault="00D168A8" w:rsidP="00E53F73">
      <w:pPr>
        <w:jc w:val="both"/>
        <w:rPr>
          <w:rFonts w:ascii="Palatino Linotype" w:hAnsi="Palatino Linotype"/>
          <w:sz w:val="20"/>
          <w:szCs w:val="20"/>
          <w:lang w:val="en-CA"/>
        </w:rPr>
      </w:pPr>
      <w:r w:rsidRPr="00A93CD2">
        <w:rPr>
          <w:rFonts w:ascii="Palatino Linotype" w:hAnsi="Palatino Linotype"/>
          <w:sz w:val="20"/>
          <w:szCs w:val="20"/>
          <w:lang w:val="en-CA"/>
        </w:rPr>
        <w:lastRenderedPageBreak/>
        <w:t>Transverse c</w:t>
      </w:r>
      <w:r w:rsidR="00E53F73" w:rsidRPr="00A93CD2">
        <w:rPr>
          <w:rFonts w:ascii="Palatino Linotype" w:hAnsi="Palatino Linotype"/>
          <w:sz w:val="20"/>
          <w:szCs w:val="20"/>
          <w:lang w:val="en-CA"/>
        </w:rPr>
        <w:t>ross-</w:t>
      </w:r>
      <w:r w:rsidR="00424A9D" w:rsidRPr="00A93CD2">
        <w:rPr>
          <w:rFonts w:ascii="Palatino Linotype" w:hAnsi="Palatino Linotype"/>
          <w:sz w:val="20"/>
          <w:szCs w:val="20"/>
          <w:lang w:val="en-CA"/>
        </w:rPr>
        <w:t xml:space="preserve">sections were extracted from the </w:t>
      </w:r>
      <w:r w:rsidR="00E53F73" w:rsidRPr="00A93CD2">
        <w:rPr>
          <w:rFonts w:ascii="Palatino Linotype" w:hAnsi="Palatino Linotype"/>
          <w:sz w:val="20"/>
          <w:szCs w:val="20"/>
          <w:lang w:val="en-CA"/>
        </w:rPr>
        <w:t>current riverine models, freely</w:t>
      </w:r>
      <w:r w:rsidR="00CE7178" w:rsidRPr="00A93CD2">
        <w:rPr>
          <w:rFonts w:ascii="Palatino Linotype" w:hAnsi="Palatino Linotype"/>
          <w:sz w:val="20"/>
          <w:szCs w:val="20"/>
          <w:lang w:val="en-CA"/>
        </w:rPr>
        <w:t xml:space="preserve"> downloadable a</w:t>
      </w:r>
      <w:r w:rsidR="00E53F73" w:rsidRPr="00A93CD2">
        <w:rPr>
          <w:rFonts w:ascii="Palatino Linotype" w:hAnsi="Palatino Linotype"/>
          <w:sz w:val="20"/>
          <w:szCs w:val="20"/>
          <w:lang w:val="en-CA"/>
        </w:rPr>
        <w:t xml:space="preserve">t </w:t>
      </w:r>
      <w:hyperlink r:id="rId8" w:history="1">
        <w:r w:rsidR="00E53F73" w:rsidRPr="00A93CD2">
          <w:rPr>
            <w:rStyle w:val="Hyperlink"/>
            <w:rFonts w:ascii="Palatino Linotype" w:hAnsi="Palatino Linotype"/>
            <w:i/>
            <w:color w:val="auto"/>
            <w:sz w:val="20"/>
            <w:szCs w:val="20"/>
            <w:u w:val="none"/>
            <w:lang w:val="en-CA"/>
          </w:rPr>
          <w:t>http://www.m3models.org/</w:t>
        </w:r>
      </w:hyperlink>
      <w:r w:rsidR="00E53F73" w:rsidRPr="00A93CD2">
        <w:rPr>
          <w:rStyle w:val="Hyperlink"/>
          <w:rFonts w:ascii="Palatino Linotype" w:hAnsi="Palatino Linotype"/>
          <w:i/>
          <w:color w:val="auto"/>
          <w:sz w:val="20"/>
          <w:szCs w:val="20"/>
          <w:u w:val="none"/>
          <w:lang w:val="en-CA"/>
        </w:rPr>
        <w:t>,</w:t>
      </w:r>
      <w:r w:rsidR="004B7746">
        <w:rPr>
          <w:rStyle w:val="Hyperlink"/>
          <w:rFonts w:ascii="Palatino Linotype" w:hAnsi="Palatino Linotype"/>
          <w:i/>
          <w:color w:val="404040" w:themeColor="text1" w:themeTint="BF"/>
          <w:sz w:val="20"/>
          <w:szCs w:val="20"/>
          <w:u w:val="none"/>
          <w:lang w:val="en-CA"/>
        </w:rPr>
        <w:t xml:space="preserve"> </w:t>
      </w:r>
      <w:r w:rsidR="00E53F73" w:rsidRPr="00A93CD2">
        <w:rPr>
          <w:rFonts w:ascii="Palatino Linotype" w:hAnsi="Palatino Linotype"/>
          <w:sz w:val="20"/>
          <w:szCs w:val="20"/>
          <w:lang w:val="en-CA"/>
        </w:rPr>
        <w:t xml:space="preserve">with an average of </w:t>
      </w:r>
      <w:r w:rsidR="00EF345B">
        <w:rPr>
          <w:rFonts w:ascii="Palatino Linotype" w:hAnsi="Palatino Linotype"/>
          <w:sz w:val="20"/>
          <w:szCs w:val="20"/>
          <w:lang w:val="en-CA"/>
        </w:rPr>
        <w:t xml:space="preserve">approximately one </w:t>
      </w:r>
      <w:r w:rsidR="00E53F73" w:rsidRPr="00A93CD2">
        <w:rPr>
          <w:rFonts w:ascii="Palatino Linotype" w:hAnsi="Palatino Linotype"/>
          <w:sz w:val="20"/>
          <w:szCs w:val="20"/>
          <w:lang w:val="en-CA"/>
        </w:rPr>
        <w:t>cross-section per kilometer. More cross-sections were extracted upstream</w:t>
      </w:r>
      <w:r w:rsidR="00BE6D63">
        <w:rPr>
          <w:rFonts w:ascii="Palatino Linotype" w:hAnsi="Palatino Linotype"/>
          <w:sz w:val="20"/>
          <w:szCs w:val="20"/>
          <w:lang w:val="en-CA"/>
        </w:rPr>
        <w:t xml:space="preserve"> – in </w:t>
      </w:r>
      <w:r w:rsidR="00E53F73" w:rsidRPr="00A93CD2">
        <w:rPr>
          <w:rFonts w:ascii="Palatino Linotype" w:hAnsi="Palatino Linotype"/>
          <w:sz w:val="20"/>
          <w:szCs w:val="20"/>
          <w:lang w:val="en-CA"/>
        </w:rPr>
        <w:t>areas where the bathymetry is rapidly changing</w:t>
      </w:r>
      <w:r w:rsidR="00BE6D63">
        <w:rPr>
          <w:rFonts w:ascii="Palatino Linotype" w:hAnsi="Palatino Linotype"/>
          <w:sz w:val="20"/>
          <w:szCs w:val="20"/>
          <w:lang w:val="en-CA"/>
        </w:rPr>
        <w:t xml:space="preserve"> – </w:t>
      </w:r>
      <w:r w:rsidR="00E53F73" w:rsidRPr="00A93CD2">
        <w:rPr>
          <w:rFonts w:ascii="Palatino Linotype" w:hAnsi="Palatino Linotype"/>
          <w:sz w:val="20"/>
          <w:szCs w:val="20"/>
          <w:lang w:val="en-CA"/>
        </w:rPr>
        <w:t xml:space="preserve">than downstream </w:t>
      </w:r>
      <w:r w:rsidR="001A17BA" w:rsidRPr="00A93CD2">
        <w:rPr>
          <w:rFonts w:ascii="Palatino Linotype" w:hAnsi="Palatino Linotype"/>
          <w:sz w:val="20"/>
          <w:szCs w:val="20"/>
          <w:lang w:val="en-CA"/>
        </w:rPr>
        <w:t xml:space="preserve">along the Houston Ship Channel. </w:t>
      </w:r>
      <w:r w:rsidR="00E53F73" w:rsidRPr="00A93CD2">
        <w:rPr>
          <w:rFonts w:ascii="Palatino Linotype" w:hAnsi="Palatino Linotype"/>
          <w:sz w:val="20"/>
          <w:szCs w:val="20"/>
          <w:lang w:val="en-CA"/>
        </w:rPr>
        <w:t xml:space="preserve">The HEC-RAS models have been </w:t>
      </w:r>
      <w:r w:rsidR="00424A9D" w:rsidRPr="00A93CD2">
        <w:rPr>
          <w:rFonts w:ascii="Palatino Linotype" w:hAnsi="Palatino Linotype"/>
          <w:sz w:val="20"/>
          <w:szCs w:val="20"/>
          <w:lang w:val="en-CA"/>
        </w:rPr>
        <w:t xml:space="preserve">developed by </w:t>
      </w:r>
      <w:r w:rsidR="00E53F73" w:rsidRPr="00A93CD2">
        <w:rPr>
          <w:rFonts w:ascii="Palatino Linotype" w:hAnsi="Palatino Linotype"/>
          <w:sz w:val="20"/>
          <w:szCs w:val="20"/>
          <w:lang w:val="en-CA"/>
        </w:rPr>
        <w:t>FEMA and the Harris County Flood Control District (HCFCD), in charge of developing the flood insurance rate map</w:t>
      </w:r>
      <w:r w:rsidR="00F16CF8" w:rsidRPr="00A93CD2">
        <w:rPr>
          <w:rFonts w:ascii="Palatino Linotype" w:hAnsi="Palatino Linotype"/>
          <w:sz w:val="20"/>
          <w:szCs w:val="20"/>
          <w:lang w:val="en-CA"/>
        </w:rPr>
        <w:t xml:space="preserve"> for the area</w:t>
      </w:r>
      <w:r w:rsidR="00E53F73" w:rsidRPr="00A93CD2">
        <w:rPr>
          <w:rFonts w:ascii="Palatino Linotype" w:hAnsi="Palatino Linotype"/>
          <w:sz w:val="20"/>
          <w:szCs w:val="20"/>
          <w:lang w:val="en-CA"/>
        </w:rPr>
        <w:t xml:space="preserve">, or flood hazard maps representing the 1% </w:t>
      </w:r>
      <w:r w:rsidR="00F16CF8" w:rsidRPr="00A93CD2">
        <w:rPr>
          <w:rFonts w:ascii="Palatino Linotype" w:hAnsi="Palatino Linotype"/>
          <w:sz w:val="20"/>
          <w:szCs w:val="20"/>
          <w:lang w:val="en-CA"/>
        </w:rPr>
        <w:t>and 0.2% percent annual chance of inundation from</w:t>
      </w:r>
      <w:r w:rsidR="00E53F73" w:rsidRPr="00A93CD2">
        <w:rPr>
          <w:rFonts w:ascii="Palatino Linotype" w:hAnsi="Palatino Linotype"/>
          <w:sz w:val="20"/>
          <w:szCs w:val="20"/>
          <w:lang w:val="en-CA"/>
        </w:rPr>
        <w:t xml:space="preserve"> riverine </w:t>
      </w:r>
      <w:r w:rsidR="00F16CF8" w:rsidRPr="00A93CD2">
        <w:rPr>
          <w:rFonts w:ascii="Palatino Linotype" w:hAnsi="Palatino Linotype"/>
          <w:sz w:val="20"/>
          <w:szCs w:val="20"/>
          <w:lang w:val="en-CA"/>
        </w:rPr>
        <w:t xml:space="preserve">flooding </w:t>
      </w:r>
      <w:r w:rsidR="00FD3946">
        <w:rPr>
          <w:rFonts w:ascii="Palatino Linotype" w:hAnsi="Palatino Linotype"/>
          <w:sz w:val="20"/>
          <w:szCs w:val="20"/>
          <w:lang w:val="en-CA"/>
        </w:rPr>
        <w:fldChar w:fldCharType="begin" w:fldLock="1"/>
      </w:r>
      <w:r w:rsidR="00F70E29">
        <w:rPr>
          <w:rFonts w:ascii="Palatino Linotype" w:hAnsi="Palatino Linotype"/>
          <w:sz w:val="20"/>
          <w:szCs w:val="20"/>
          <w:lang w:val="en-CA"/>
        </w:rPr>
        <w:instrText>ADDIN CSL_CITATION {"citationItems":[{"id":"ITEM-1","itemData":{"URL":"http://www.m3models.org/","accessed":{"date-parts":[["2016","7","1"]]},"author":[{"dropping-particle":"","family":"Harris County Flood Control District","given":"","non-dropping-particle":"","parse-names":false,"suffix":""}],"id":"ITEM-1","issued":{"date-parts":[["2016"]]},"title":"Model and Map Management System.","type":"webpage"},"uris":["http://www.mendeley.com/documents/?uuid=d81c4cd8-89d0-479d-b2b0-c5d000f768df"]}],"mendeley":{"formattedCitation":"[12]","plainTextFormattedCitation":"[12]","previouslyFormattedCitation":"[12]"},"properties":{"noteIndex":0},"schema":"https://github.com/citation-style-language/schema/raw/master/csl-citation.json"}</w:instrText>
      </w:r>
      <w:r w:rsidR="00FD3946">
        <w:rPr>
          <w:rFonts w:ascii="Palatino Linotype" w:hAnsi="Palatino Linotype"/>
          <w:sz w:val="20"/>
          <w:szCs w:val="20"/>
          <w:lang w:val="en-CA"/>
        </w:rPr>
        <w:fldChar w:fldCharType="separate"/>
      </w:r>
      <w:r w:rsidR="006816B8" w:rsidRPr="006816B8">
        <w:rPr>
          <w:rFonts w:ascii="Palatino Linotype" w:hAnsi="Palatino Linotype"/>
          <w:noProof/>
          <w:sz w:val="20"/>
          <w:szCs w:val="20"/>
          <w:lang w:val="en-CA"/>
        </w:rPr>
        <w:t>[12]</w:t>
      </w:r>
      <w:r w:rsidR="00FD3946">
        <w:rPr>
          <w:rFonts w:ascii="Palatino Linotype" w:hAnsi="Palatino Linotype"/>
          <w:sz w:val="20"/>
          <w:szCs w:val="20"/>
          <w:lang w:val="en-CA"/>
        </w:rPr>
        <w:fldChar w:fldCharType="end"/>
      </w:r>
      <w:r w:rsidR="00E53F73" w:rsidRPr="00A93CD2">
        <w:rPr>
          <w:rFonts w:ascii="Palatino Linotype" w:hAnsi="Palatino Linotype"/>
          <w:sz w:val="20"/>
          <w:szCs w:val="20"/>
          <w:lang w:val="en-CA"/>
        </w:rPr>
        <w:t xml:space="preserve">. </w:t>
      </w:r>
    </w:p>
    <w:p w14:paraId="60EB15FA" w14:textId="5415B329" w:rsidR="000F2F23" w:rsidRPr="00A93CD2" w:rsidRDefault="00F26203" w:rsidP="00F26203">
      <w:pPr>
        <w:pStyle w:val="Heading3"/>
        <w:ind w:left="360"/>
        <w:rPr>
          <w:rFonts w:ascii="Palatino Linotype" w:hAnsi="Palatino Linotype"/>
          <w:sz w:val="20"/>
          <w:szCs w:val="20"/>
          <w:lang w:val="en-CA"/>
        </w:rPr>
      </w:pPr>
      <w:r>
        <w:rPr>
          <w:rFonts w:ascii="Palatino Linotype" w:hAnsi="Palatino Linotype"/>
          <w:sz w:val="20"/>
          <w:szCs w:val="20"/>
          <w:lang w:val="en-CA"/>
        </w:rPr>
        <w:t xml:space="preserve">S4.2. </w:t>
      </w:r>
      <w:r w:rsidR="000F2F23" w:rsidRPr="00A93CD2">
        <w:rPr>
          <w:rFonts w:ascii="Palatino Linotype" w:hAnsi="Palatino Linotype"/>
          <w:sz w:val="20"/>
          <w:szCs w:val="20"/>
          <w:lang w:val="en-CA"/>
        </w:rPr>
        <w:t>Comparison with HEC-RAS Profiles</w:t>
      </w:r>
    </w:p>
    <w:p w14:paraId="60EB15FB" w14:textId="337CCA18" w:rsidR="00896BDF" w:rsidRPr="00A93CD2" w:rsidRDefault="00665362" w:rsidP="006B7B45">
      <w:pPr>
        <w:jc w:val="both"/>
        <w:rPr>
          <w:rFonts w:ascii="Palatino Linotype" w:hAnsi="Palatino Linotype"/>
          <w:sz w:val="20"/>
          <w:szCs w:val="20"/>
          <w:lang w:val="en-CA"/>
        </w:rPr>
      </w:pPr>
      <w:proofErr w:type="gramStart"/>
      <w:r w:rsidRPr="00A93CD2">
        <w:rPr>
          <w:rFonts w:ascii="Palatino Linotype" w:hAnsi="Palatino Linotype"/>
          <w:sz w:val="20"/>
          <w:szCs w:val="20"/>
          <w:lang w:val="en-CA"/>
        </w:rPr>
        <w:t>In order to</w:t>
      </w:r>
      <w:proofErr w:type="gramEnd"/>
      <w:r w:rsidRPr="00A93CD2">
        <w:rPr>
          <w:rFonts w:ascii="Palatino Linotype" w:hAnsi="Palatino Linotype"/>
          <w:sz w:val="20"/>
          <w:szCs w:val="20"/>
          <w:lang w:val="en-CA"/>
        </w:rPr>
        <w:t xml:space="preserve"> assess the impact of the assumptions in the development of the hydraulic model, we compare the water levels obtained between the developed hydraulic model here and the results from the HEC-RAS model. We force both models with similar boundary conditions (both discharges and downstream water level) as calculated by FEMA</w:t>
      </w:r>
      <w:r w:rsidR="00E53F73" w:rsidRPr="00A93CD2">
        <w:rPr>
          <w:rFonts w:ascii="Palatino Linotype" w:hAnsi="Palatino Linotype"/>
          <w:sz w:val="20"/>
          <w:szCs w:val="20"/>
          <w:lang w:val="en-CA"/>
        </w:rPr>
        <w:t xml:space="preserve"> and HCFCD.</w:t>
      </w:r>
      <w:r w:rsidR="00C444EA" w:rsidRPr="00A93CD2">
        <w:rPr>
          <w:rFonts w:ascii="Palatino Linotype" w:hAnsi="Palatino Linotype"/>
          <w:sz w:val="20"/>
          <w:szCs w:val="20"/>
          <w:lang w:val="en-CA"/>
        </w:rPr>
        <w:t xml:space="preserve"> </w:t>
      </w:r>
    </w:p>
    <w:p w14:paraId="60EB15FC" w14:textId="45A9F4CF" w:rsidR="00B21A5B" w:rsidRPr="00A93CD2" w:rsidRDefault="00665362" w:rsidP="00B21A5B">
      <w:pPr>
        <w:jc w:val="both"/>
        <w:rPr>
          <w:rFonts w:ascii="Palatino Linotype" w:hAnsi="Palatino Linotype"/>
          <w:sz w:val="20"/>
          <w:szCs w:val="20"/>
          <w:lang w:val="en-CA"/>
        </w:rPr>
      </w:pPr>
      <w:r w:rsidRPr="00A93CD2">
        <w:rPr>
          <w:rFonts w:ascii="Palatino Linotype" w:hAnsi="Palatino Linotype"/>
          <w:sz w:val="20"/>
          <w:szCs w:val="20"/>
          <w:lang w:val="en-CA"/>
        </w:rPr>
        <w:t xml:space="preserve">Figure </w:t>
      </w:r>
      <w:r w:rsidR="009D4546" w:rsidRPr="00A93CD2">
        <w:rPr>
          <w:rFonts w:ascii="Palatino Linotype" w:hAnsi="Palatino Linotype"/>
          <w:sz w:val="20"/>
          <w:szCs w:val="20"/>
          <w:lang w:val="en-CA"/>
        </w:rPr>
        <w:t>A</w:t>
      </w:r>
      <w:r w:rsidR="00FC1373" w:rsidRPr="00A93CD2">
        <w:rPr>
          <w:rFonts w:ascii="Palatino Linotype" w:hAnsi="Palatino Linotype"/>
          <w:sz w:val="20"/>
          <w:szCs w:val="20"/>
          <w:lang w:val="en-CA"/>
        </w:rPr>
        <w:t>3</w:t>
      </w:r>
      <w:r w:rsidRPr="00A93CD2">
        <w:rPr>
          <w:rFonts w:ascii="Palatino Linotype" w:hAnsi="Palatino Linotype"/>
          <w:sz w:val="20"/>
          <w:szCs w:val="20"/>
          <w:lang w:val="en-CA"/>
        </w:rPr>
        <w:t xml:space="preserve"> shows the</w:t>
      </w:r>
      <w:r w:rsidR="006B7B45" w:rsidRPr="00A93CD2">
        <w:rPr>
          <w:rFonts w:ascii="Palatino Linotype" w:hAnsi="Palatino Linotype"/>
          <w:sz w:val="20"/>
          <w:szCs w:val="20"/>
          <w:lang w:val="en-CA"/>
        </w:rPr>
        <w:t xml:space="preserve"> overall fit between</w:t>
      </w:r>
      <w:r w:rsidRPr="00A93CD2">
        <w:rPr>
          <w:rFonts w:ascii="Palatino Linotype" w:hAnsi="Palatino Linotype"/>
          <w:sz w:val="20"/>
          <w:szCs w:val="20"/>
          <w:lang w:val="en-CA"/>
        </w:rPr>
        <w:t xml:space="preserve"> both models</w:t>
      </w:r>
      <w:r w:rsidR="006B7B45" w:rsidRPr="00A93CD2">
        <w:rPr>
          <w:rFonts w:ascii="Palatino Linotype" w:hAnsi="Palatino Linotype"/>
          <w:sz w:val="20"/>
          <w:szCs w:val="20"/>
          <w:lang w:val="en-CA"/>
        </w:rPr>
        <w:t xml:space="preserve"> for the different return period tested</w:t>
      </w:r>
      <w:r w:rsidRPr="00A93CD2">
        <w:rPr>
          <w:rFonts w:ascii="Palatino Linotype" w:hAnsi="Palatino Linotype"/>
          <w:sz w:val="20"/>
          <w:szCs w:val="20"/>
          <w:lang w:val="en-CA"/>
        </w:rPr>
        <w:t xml:space="preserve">. </w:t>
      </w:r>
      <w:r w:rsidR="006B7B45" w:rsidRPr="00A93CD2">
        <w:rPr>
          <w:rFonts w:ascii="Palatino Linotype" w:hAnsi="Palatino Linotype"/>
          <w:sz w:val="20"/>
          <w:szCs w:val="20"/>
          <w:lang w:val="en-CA"/>
        </w:rPr>
        <w:t>The d</w:t>
      </w:r>
      <w:r w:rsidRPr="00A93CD2">
        <w:rPr>
          <w:rFonts w:ascii="Palatino Linotype" w:hAnsi="Palatino Linotype"/>
          <w:sz w:val="20"/>
          <w:szCs w:val="20"/>
          <w:lang w:val="en-CA"/>
        </w:rPr>
        <w:t xml:space="preserve">etailed longitudinal water profiles are shown in Figure </w:t>
      </w:r>
      <w:r w:rsidR="009D4546" w:rsidRPr="00A93CD2">
        <w:rPr>
          <w:rFonts w:ascii="Palatino Linotype" w:hAnsi="Palatino Linotype"/>
          <w:sz w:val="20"/>
          <w:szCs w:val="20"/>
          <w:lang w:val="en-CA"/>
        </w:rPr>
        <w:t>A</w:t>
      </w:r>
      <w:r w:rsidR="00FC1373" w:rsidRPr="00A93CD2">
        <w:rPr>
          <w:rFonts w:ascii="Palatino Linotype" w:hAnsi="Palatino Linotype"/>
          <w:sz w:val="20"/>
          <w:szCs w:val="20"/>
          <w:lang w:val="en-CA"/>
        </w:rPr>
        <w:t>4</w:t>
      </w:r>
      <w:r w:rsidRPr="00A93CD2">
        <w:rPr>
          <w:rFonts w:ascii="Palatino Linotype" w:hAnsi="Palatino Linotype"/>
          <w:sz w:val="20"/>
          <w:szCs w:val="20"/>
          <w:lang w:val="en-CA"/>
        </w:rPr>
        <w:t>. Overall, the hydraulic model performs well (R</w:t>
      </w:r>
      <w:r w:rsidRPr="00A93CD2">
        <w:rPr>
          <w:rFonts w:ascii="Palatino Linotype" w:hAnsi="Palatino Linotype"/>
          <w:sz w:val="20"/>
          <w:szCs w:val="20"/>
          <w:vertAlign w:val="superscript"/>
          <w:lang w:val="en-CA"/>
        </w:rPr>
        <w:t>2</w:t>
      </w:r>
      <w:r w:rsidRPr="00A93CD2">
        <w:rPr>
          <w:rFonts w:ascii="Palatino Linotype" w:hAnsi="Palatino Linotype"/>
          <w:sz w:val="20"/>
          <w:szCs w:val="20"/>
          <w:lang w:val="en-CA"/>
        </w:rPr>
        <w:t xml:space="preserve"> &gt; 0.98)</w:t>
      </w:r>
      <w:r w:rsidR="006B7B45" w:rsidRPr="00A93CD2">
        <w:rPr>
          <w:rFonts w:ascii="Palatino Linotype" w:hAnsi="Palatino Linotype"/>
          <w:sz w:val="20"/>
          <w:szCs w:val="20"/>
          <w:lang w:val="en-CA"/>
        </w:rPr>
        <w:t>. Most differences are observed between -30 and -35</w:t>
      </w:r>
      <w:r w:rsidR="00576454">
        <w:rPr>
          <w:rFonts w:ascii="Palatino Linotype" w:hAnsi="Palatino Linotype"/>
          <w:sz w:val="20"/>
          <w:szCs w:val="20"/>
          <w:lang w:val="en-CA"/>
        </w:rPr>
        <w:t xml:space="preserve"> </w:t>
      </w:r>
      <w:r w:rsidR="006B7B45" w:rsidRPr="00A93CD2">
        <w:rPr>
          <w:rFonts w:ascii="Palatino Linotype" w:hAnsi="Palatino Linotype"/>
          <w:sz w:val="20"/>
          <w:szCs w:val="20"/>
          <w:lang w:val="en-CA"/>
        </w:rPr>
        <w:t xml:space="preserve">km, an area with a rapid bathymetry change and frequent obstructions </w:t>
      </w:r>
      <w:r w:rsidR="006C3449" w:rsidRPr="00A93CD2">
        <w:rPr>
          <w:rFonts w:ascii="Palatino Linotype" w:hAnsi="Palatino Linotype"/>
          <w:sz w:val="20"/>
          <w:szCs w:val="20"/>
          <w:lang w:val="en-CA"/>
        </w:rPr>
        <w:t>from</w:t>
      </w:r>
      <w:r w:rsidR="006B7B45" w:rsidRPr="00A93CD2">
        <w:rPr>
          <w:rFonts w:ascii="Palatino Linotype" w:hAnsi="Palatino Linotype"/>
          <w:sz w:val="20"/>
          <w:szCs w:val="20"/>
          <w:lang w:val="en-CA"/>
        </w:rPr>
        <w:t xml:space="preserve"> </w:t>
      </w:r>
      <w:r w:rsidR="006C3449" w:rsidRPr="00A93CD2">
        <w:rPr>
          <w:rFonts w:ascii="Palatino Linotype" w:hAnsi="Palatino Linotype"/>
          <w:sz w:val="20"/>
          <w:szCs w:val="20"/>
          <w:lang w:val="en-CA"/>
        </w:rPr>
        <w:t>bridge piers</w:t>
      </w:r>
      <w:r w:rsidR="00C444EA" w:rsidRPr="00A93CD2">
        <w:rPr>
          <w:rFonts w:ascii="Palatino Linotype" w:hAnsi="Palatino Linotype"/>
          <w:sz w:val="20"/>
          <w:szCs w:val="20"/>
          <w:lang w:val="en-CA"/>
        </w:rPr>
        <w:t xml:space="preserve"> as shown in Figure </w:t>
      </w:r>
      <w:r w:rsidR="009D4546" w:rsidRPr="00A93CD2">
        <w:rPr>
          <w:rFonts w:ascii="Palatino Linotype" w:hAnsi="Palatino Linotype"/>
          <w:sz w:val="20"/>
          <w:szCs w:val="20"/>
          <w:lang w:val="en-CA"/>
        </w:rPr>
        <w:t>A</w:t>
      </w:r>
      <w:r w:rsidR="00FC1373" w:rsidRPr="00A93CD2">
        <w:rPr>
          <w:rFonts w:ascii="Palatino Linotype" w:hAnsi="Palatino Linotype"/>
          <w:sz w:val="20"/>
          <w:szCs w:val="20"/>
          <w:lang w:val="en-CA"/>
        </w:rPr>
        <w:t>4</w:t>
      </w:r>
      <w:r w:rsidR="006C3449" w:rsidRPr="00A93CD2">
        <w:rPr>
          <w:rFonts w:ascii="Palatino Linotype" w:hAnsi="Palatino Linotype"/>
          <w:sz w:val="20"/>
          <w:szCs w:val="20"/>
          <w:lang w:val="en-CA"/>
        </w:rPr>
        <w:t>.</w:t>
      </w:r>
    </w:p>
    <w:p w14:paraId="60EB15FD" w14:textId="77777777" w:rsidR="00F54C28" w:rsidRPr="00A93CD2" w:rsidRDefault="00950729" w:rsidP="00B21A5B">
      <w:pPr>
        <w:jc w:val="center"/>
        <w:rPr>
          <w:rFonts w:ascii="Palatino Linotype" w:hAnsi="Palatino Linotype"/>
          <w:sz w:val="20"/>
          <w:szCs w:val="20"/>
          <w:lang w:val="en-CA"/>
        </w:rPr>
      </w:pPr>
      <w:r w:rsidRPr="00A93CD2">
        <w:rPr>
          <w:rFonts w:ascii="Palatino Linotype" w:hAnsi="Palatino Linotype"/>
          <w:noProof/>
          <w:sz w:val="20"/>
          <w:szCs w:val="20"/>
          <w:lang w:eastAsia="nl-NL"/>
        </w:rPr>
        <w:drawing>
          <wp:inline distT="0" distB="0" distL="0" distR="0" wp14:anchorId="60EB1700" wp14:editId="60EB1701">
            <wp:extent cx="2880000" cy="28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Fi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60EB15FE" w14:textId="2758CDB4" w:rsidR="00896BDF" w:rsidRPr="00A93CD2" w:rsidRDefault="00F54C28" w:rsidP="00A521E5">
      <w:pPr>
        <w:pStyle w:val="MDPI51figurecaption"/>
      </w:pPr>
      <w:r w:rsidRPr="00A93CD2">
        <w:t xml:space="preserve">Figure </w:t>
      </w:r>
      <w:r w:rsidR="00F26203">
        <w:t>S</w:t>
      </w:r>
      <w:r w:rsidR="00BD0655" w:rsidRPr="00A93CD2">
        <w:t>3</w:t>
      </w:r>
      <w:r w:rsidRPr="00A93CD2">
        <w:t>: Scatter plot of the water levels obtained from the simplified hydraulic model applied in this study versus the results from HEC-RAS for the 10-year (blue), 50-year (red), 100-year (green), 500-year (black) return period as derived by FEMA</w:t>
      </w:r>
      <w:r w:rsidR="00A13CA4" w:rsidRPr="00A93CD2">
        <w:t xml:space="preserve"> and HCFCD</w:t>
      </w:r>
      <w:r w:rsidRPr="00A93CD2">
        <w:t>.</w:t>
      </w:r>
      <w:r w:rsidR="00896BDF" w:rsidRPr="00A93CD2">
        <w:br w:type="page"/>
      </w:r>
    </w:p>
    <w:p w14:paraId="60EB15FF" w14:textId="77777777" w:rsidR="00481ED0" w:rsidRPr="00A93CD2" w:rsidRDefault="00481ED0" w:rsidP="00896BDF">
      <w:pPr>
        <w:jc w:val="center"/>
        <w:rPr>
          <w:rFonts w:ascii="Palatino Linotype" w:hAnsi="Palatino Linotype"/>
          <w:i/>
          <w:sz w:val="20"/>
          <w:szCs w:val="20"/>
          <w:lang w:val="en-CA"/>
        </w:rPr>
      </w:pPr>
      <w:r w:rsidRPr="00A93CD2">
        <w:rPr>
          <w:rFonts w:ascii="Palatino Linotype" w:hAnsi="Palatino Linotype"/>
          <w:noProof/>
          <w:sz w:val="20"/>
          <w:szCs w:val="20"/>
          <w:highlight w:val="yellow"/>
          <w:lang w:eastAsia="nl-NL"/>
        </w:rPr>
        <w:lastRenderedPageBreak/>
        <mc:AlternateContent>
          <mc:Choice Requires="wps">
            <w:drawing>
              <wp:anchor distT="0" distB="0" distL="114300" distR="114300" simplePos="0" relativeHeight="251651072" behindDoc="0" locked="0" layoutInCell="1" allowOverlap="1" wp14:anchorId="60EB1702" wp14:editId="60EB1703">
                <wp:simplePos x="0" y="0"/>
                <wp:positionH relativeFrom="column">
                  <wp:posOffset>1359373</wp:posOffset>
                </wp:positionH>
                <wp:positionV relativeFrom="paragraph">
                  <wp:posOffset>1471930</wp:posOffset>
                </wp:positionV>
                <wp:extent cx="32385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noFill/>
                          <a:miter lim="800000"/>
                          <a:headEnd/>
                          <a:tailEnd/>
                        </a:ln>
                      </wps:spPr>
                      <wps:txbx>
                        <w:txbxContent>
                          <w:p w14:paraId="60EB1718" w14:textId="77777777" w:rsidR="00ED1013" w:rsidRPr="00070D25" w:rsidRDefault="00ED1013">
                            <w:pPr>
                              <w:rPr>
                                <w:b/>
                                <w:lang w:val="en-US"/>
                              </w:rPr>
                            </w:pPr>
                            <w:r w:rsidRPr="00070D25">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B1702" id="_x0000_t202" coordsize="21600,21600" o:spt="202" path="m,l,21600r21600,l21600,xe">
                <v:stroke joinstyle="miter"/>
                <v:path gradientshapeok="t" o:connecttype="rect"/>
              </v:shapetype>
              <v:shape id="Text Box 2" o:spid="_x0000_s1026" type="#_x0000_t202" style="position:absolute;left:0;text-align:left;margin-left:107.05pt;margin-top:115.9pt;width:25.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" stroked="f">
                <v:textbox>
                  <w:txbxContent>
                    <w:p w14:paraId="60EB1718" w14:textId="77777777" w:rsidR="00ED1013" w:rsidRPr="00070D25" w:rsidRDefault="00ED1013">
                      <w:pPr>
                        <w:rPr>
                          <w:b/>
                          <w:lang w:val="en-US"/>
                        </w:rPr>
                      </w:pPr>
                      <w:r w:rsidRPr="00070D25">
                        <w:rPr>
                          <w:b/>
                        </w:rPr>
                        <w:t>a.</w:t>
                      </w:r>
                    </w:p>
                  </w:txbxContent>
                </v:textbox>
              </v:shape>
            </w:pict>
          </mc:Fallback>
        </mc:AlternateContent>
      </w:r>
      <w:r w:rsidRPr="00A93CD2">
        <w:rPr>
          <w:rFonts w:ascii="Palatino Linotype" w:hAnsi="Palatino Linotype"/>
          <w:noProof/>
          <w:sz w:val="20"/>
          <w:szCs w:val="20"/>
          <w:highlight w:val="yellow"/>
          <w:lang w:eastAsia="nl-NL"/>
        </w:rPr>
        <mc:AlternateContent>
          <mc:Choice Requires="wps">
            <w:drawing>
              <wp:anchor distT="0" distB="0" distL="114300" distR="114300" simplePos="0" relativeHeight="251656192" behindDoc="0" locked="0" layoutInCell="1" allowOverlap="1" wp14:anchorId="60EB1704" wp14:editId="60EB1705">
                <wp:simplePos x="0" y="0"/>
                <wp:positionH relativeFrom="column">
                  <wp:posOffset>1369533</wp:posOffset>
                </wp:positionH>
                <wp:positionV relativeFrom="paragraph">
                  <wp:posOffset>3592195</wp:posOffset>
                </wp:positionV>
                <wp:extent cx="32385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noFill/>
                          <a:miter lim="800000"/>
                          <a:headEnd/>
                          <a:tailEnd/>
                        </a:ln>
                      </wps:spPr>
                      <wps:txbx>
                        <w:txbxContent>
                          <w:p w14:paraId="60EB1719" w14:textId="77777777" w:rsidR="00ED1013" w:rsidRPr="00070D25" w:rsidRDefault="00ED1013" w:rsidP="00070D25">
                            <w:pPr>
                              <w:rPr>
                                <w:b/>
                                <w:lang w:val="en-US"/>
                              </w:rPr>
                            </w:pPr>
                            <w:r>
                              <w:rPr>
                                <w:b/>
                              </w:rPr>
                              <w:t>b</w:t>
                            </w:r>
                            <w:r w:rsidRPr="00070D25">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B1704" id="_x0000_s1027" type="#_x0000_t202" style="position:absolute;left:0;text-align:left;margin-left:107.85pt;margin-top:282.85pt;width:25.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" stroked="f">
                <v:textbox>
                  <w:txbxContent>
                    <w:p w14:paraId="60EB1719" w14:textId="77777777" w:rsidR="00ED1013" w:rsidRPr="00070D25" w:rsidRDefault="00ED1013" w:rsidP="00070D25">
                      <w:pPr>
                        <w:rPr>
                          <w:b/>
                          <w:lang w:val="en-US"/>
                        </w:rPr>
                      </w:pPr>
                      <w:r>
                        <w:rPr>
                          <w:b/>
                        </w:rPr>
                        <w:t>b</w:t>
                      </w:r>
                      <w:r w:rsidRPr="00070D25">
                        <w:rPr>
                          <w:b/>
                        </w:rPr>
                        <w:t>.</w:t>
                      </w:r>
                    </w:p>
                  </w:txbxContent>
                </v:textbox>
              </v:shape>
            </w:pict>
          </mc:Fallback>
        </mc:AlternateContent>
      </w:r>
      <w:r w:rsidRPr="00A93CD2">
        <w:rPr>
          <w:rFonts w:ascii="Palatino Linotype" w:hAnsi="Palatino Linotype"/>
          <w:noProof/>
          <w:sz w:val="20"/>
          <w:szCs w:val="20"/>
          <w:highlight w:val="yellow"/>
          <w:lang w:eastAsia="nl-NL"/>
        </w:rPr>
        <mc:AlternateContent>
          <mc:Choice Requires="wps">
            <w:drawing>
              <wp:anchor distT="0" distB="0" distL="114300" distR="114300" simplePos="0" relativeHeight="251662336" behindDoc="0" locked="0" layoutInCell="1" allowOverlap="1" wp14:anchorId="60EB1706" wp14:editId="60EB1707">
                <wp:simplePos x="0" y="0"/>
                <wp:positionH relativeFrom="column">
                  <wp:posOffset>1358900</wp:posOffset>
                </wp:positionH>
                <wp:positionV relativeFrom="paragraph">
                  <wp:posOffset>5689127</wp:posOffset>
                </wp:positionV>
                <wp:extent cx="323850" cy="276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noFill/>
                          <a:miter lim="800000"/>
                          <a:headEnd/>
                          <a:tailEnd/>
                        </a:ln>
                      </wps:spPr>
                      <wps:txbx>
                        <w:txbxContent>
                          <w:p w14:paraId="60EB171A" w14:textId="77777777" w:rsidR="00ED1013" w:rsidRPr="00070D25" w:rsidRDefault="00ED1013" w:rsidP="00070D25">
                            <w:pPr>
                              <w:rPr>
                                <w:b/>
                                <w:lang w:val="en-US"/>
                              </w:rPr>
                            </w:pPr>
                            <w:r>
                              <w:rPr>
                                <w:b/>
                              </w:rPr>
                              <w:t>c</w:t>
                            </w:r>
                            <w:r w:rsidRPr="00070D25">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B1706" id="_x0000_s1028" type="#_x0000_t202" style="position:absolute;left:0;text-align:left;margin-left:107pt;margin-top:447.95pt;width:2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" stroked="f">
                <v:textbox>
                  <w:txbxContent>
                    <w:p w14:paraId="60EB171A" w14:textId="77777777" w:rsidR="00ED1013" w:rsidRPr="00070D25" w:rsidRDefault="00ED1013" w:rsidP="00070D25">
                      <w:pPr>
                        <w:rPr>
                          <w:b/>
                          <w:lang w:val="en-US"/>
                        </w:rPr>
                      </w:pPr>
                      <w:r>
                        <w:rPr>
                          <w:b/>
                        </w:rPr>
                        <w:t>c</w:t>
                      </w:r>
                      <w:r w:rsidRPr="00070D25">
                        <w:rPr>
                          <w:b/>
                        </w:rPr>
                        <w:t>.</w:t>
                      </w:r>
                    </w:p>
                  </w:txbxContent>
                </v:textbox>
              </v:shape>
            </w:pict>
          </mc:Fallback>
        </mc:AlternateContent>
      </w:r>
      <w:r w:rsidR="00070D25" w:rsidRPr="00A93CD2">
        <w:rPr>
          <w:rFonts w:ascii="Palatino Linotype" w:hAnsi="Palatino Linotype"/>
          <w:noProof/>
          <w:sz w:val="20"/>
          <w:szCs w:val="20"/>
          <w:highlight w:val="yellow"/>
          <w:lang w:eastAsia="nl-NL"/>
        </w:rPr>
        <mc:AlternateContent>
          <mc:Choice Requires="wps">
            <w:drawing>
              <wp:anchor distT="0" distB="0" distL="114300" distR="114300" simplePos="0" relativeHeight="251667456" behindDoc="0" locked="0" layoutInCell="1" allowOverlap="1" wp14:anchorId="60EB1708" wp14:editId="60EB1709">
                <wp:simplePos x="0" y="0"/>
                <wp:positionH relativeFrom="column">
                  <wp:posOffset>1338580</wp:posOffset>
                </wp:positionH>
                <wp:positionV relativeFrom="paragraph">
                  <wp:posOffset>7802407</wp:posOffset>
                </wp:positionV>
                <wp:extent cx="323850" cy="2762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noFill/>
                          <a:miter lim="800000"/>
                          <a:headEnd/>
                          <a:tailEnd/>
                        </a:ln>
                      </wps:spPr>
                      <wps:txbx>
                        <w:txbxContent>
                          <w:p w14:paraId="60EB171B" w14:textId="77777777" w:rsidR="00ED1013" w:rsidRPr="00070D25" w:rsidRDefault="00ED1013" w:rsidP="00070D25">
                            <w:pPr>
                              <w:rPr>
                                <w:b/>
                                <w:lang w:val="en-US"/>
                              </w:rPr>
                            </w:pPr>
                            <w:r>
                              <w:rPr>
                                <w:b/>
                              </w:rPr>
                              <w:t>d</w:t>
                            </w:r>
                            <w:r w:rsidRPr="00070D25">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B1708" id="_x0000_s1029" type="#_x0000_t202" style="position:absolute;left:0;text-align:left;margin-left:105.4pt;margin-top:614.35pt;width:25.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" stroked="f">
                <v:textbox>
                  <w:txbxContent>
                    <w:p w14:paraId="60EB171B" w14:textId="77777777" w:rsidR="00ED1013" w:rsidRPr="00070D25" w:rsidRDefault="00ED1013" w:rsidP="00070D25">
                      <w:pPr>
                        <w:rPr>
                          <w:b/>
                          <w:lang w:val="en-US"/>
                        </w:rPr>
                      </w:pPr>
                      <w:r>
                        <w:rPr>
                          <w:b/>
                        </w:rPr>
                        <w:t>d</w:t>
                      </w:r>
                      <w:r w:rsidRPr="00070D25">
                        <w:rPr>
                          <w:b/>
                        </w:rPr>
                        <w:t>.</w:t>
                      </w:r>
                    </w:p>
                  </w:txbxContent>
                </v:textbox>
              </v:shape>
            </w:pict>
          </mc:Fallback>
        </mc:AlternateContent>
      </w:r>
      <w:r w:rsidRPr="00A93CD2">
        <w:rPr>
          <w:rFonts w:ascii="Palatino Linotype" w:hAnsi="Palatino Linotype"/>
          <w:i/>
          <w:noProof/>
          <w:sz w:val="20"/>
          <w:szCs w:val="20"/>
          <w:lang w:eastAsia="nl-NL"/>
        </w:rPr>
        <w:drawing>
          <wp:inline distT="0" distB="0" distL="0" distR="0" wp14:anchorId="60EB170A" wp14:editId="60EB170B">
            <wp:extent cx="4190399" cy="209520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CRAS_Paper_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0399" cy="2095200"/>
                    </a:xfrm>
                    <a:prstGeom prst="rect">
                      <a:avLst/>
                    </a:prstGeom>
                  </pic:spPr>
                </pic:pic>
              </a:graphicData>
            </a:graphic>
          </wp:inline>
        </w:drawing>
      </w:r>
      <w:r w:rsidRPr="00A93CD2">
        <w:rPr>
          <w:rFonts w:ascii="Palatino Linotype" w:hAnsi="Palatino Linotype"/>
          <w:i/>
          <w:noProof/>
          <w:sz w:val="20"/>
          <w:szCs w:val="20"/>
          <w:lang w:eastAsia="nl-NL"/>
        </w:rPr>
        <w:drawing>
          <wp:inline distT="0" distB="0" distL="0" distR="0" wp14:anchorId="60EB170C" wp14:editId="60EB170D">
            <wp:extent cx="4190399" cy="2095200"/>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CRAS_Paper_5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0399" cy="2095200"/>
                    </a:xfrm>
                    <a:prstGeom prst="rect">
                      <a:avLst/>
                    </a:prstGeom>
                  </pic:spPr>
                </pic:pic>
              </a:graphicData>
            </a:graphic>
          </wp:inline>
        </w:drawing>
      </w:r>
      <w:r w:rsidRPr="00A93CD2">
        <w:rPr>
          <w:rFonts w:ascii="Palatino Linotype" w:hAnsi="Palatino Linotype"/>
          <w:i/>
          <w:noProof/>
          <w:sz w:val="20"/>
          <w:szCs w:val="20"/>
          <w:lang w:eastAsia="nl-NL"/>
        </w:rPr>
        <w:drawing>
          <wp:inline distT="0" distB="0" distL="0" distR="0" wp14:anchorId="60EB170E" wp14:editId="60EB170F">
            <wp:extent cx="4190399" cy="2095200"/>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CRAS_Paper_10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0399" cy="2095200"/>
                    </a:xfrm>
                    <a:prstGeom prst="rect">
                      <a:avLst/>
                    </a:prstGeom>
                  </pic:spPr>
                </pic:pic>
              </a:graphicData>
            </a:graphic>
          </wp:inline>
        </w:drawing>
      </w:r>
      <w:r w:rsidRPr="00A93CD2">
        <w:rPr>
          <w:rFonts w:ascii="Palatino Linotype" w:hAnsi="Palatino Linotype"/>
          <w:i/>
          <w:noProof/>
          <w:sz w:val="20"/>
          <w:szCs w:val="20"/>
          <w:lang w:eastAsia="nl-NL"/>
        </w:rPr>
        <w:drawing>
          <wp:inline distT="0" distB="0" distL="0" distR="0" wp14:anchorId="60EB1710" wp14:editId="60EB1711">
            <wp:extent cx="4190399" cy="2095200"/>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CRAS_Paper_5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0399" cy="2095200"/>
                    </a:xfrm>
                    <a:prstGeom prst="rect">
                      <a:avLst/>
                    </a:prstGeom>
                  </pic:spPr>
                </pic:pic>
              </a:graphicData>
            </a:graphic>
          </wp:inline>
        </w:drawing>
      </w:r>
    </w:p>
    <w:p w14:paraId="60EB1600" w14:textId="457BECF0" w:rsidR="000A19D9" w:rsidRPr="00A93CD2" w:rsidRDefault="00896BDF" w:rsidP="00A521E5">
      <w:pPr>
        <w:pStyle w:val="MDPI51figurecaption"/>
        <w:rPr>
          <w:highlight w:val="yellow"/>
        </w:rPr>
      </w:pPr>
      <w:r w:rsidRPr="00A93CD2">
        <w:t xml:space="preserve">Figure </w:t>
      </w:r>
      <w:r w:rsidR="00F26203">
        <w:t>S</w:t>
      </w:r>
      <w:r w:rsidR="00BD0655" w:rsidRPr="00A93CD2">
        <w:t>4</w:t>
      </w:r>
      <w:r w:rsidR="00BB3965" w:rsidRPr="00A93CD2">
        <w:t xml:space="preserve">: </w:t>
      </w:r>
      <w:r w:rsidR="0051520B" w:rsidRPr="00A93CD2">
        <w:t xml:space="preserve">Comparison of the hydraulic model used in this study with the </w:t>
      </w:r>
      <w:r w:rsidR="00175143" w:rsidRPr="00A93CD2">
        <w:t>results from HEC-RAS for riverine boundary conditions for the 10-year (a), 50-year (b), 100-year (c), 500-year (d)</w:t>
      </w:r>
      <w:r w:rsidR="00070D25" w:rsidRPr="00A93CD2">
        <w:t xml:space="preserve"> return period as derived by FEMA</w:t>
      </w:r>
      <w:r w:rsidR="00A13CA4" w:rsidRPr="00A93CD2">
        <w:t xml:space="preserve"> and HCFCD</w:t>
      </w:r>
      <w:r w:rsidR="00070D25" w:rsidRPr="00A93CD2">
        <w:t>.</w:t>
      </w:r>
    </w:p>
    <w:p w14:paraId="60EB1601" w14:textId="633EA32F" w:rsidR="00ED54CD" w:rsidRPr="00A93CD2" w:rsidRDefault="00F26203" w:rsidP="00F26203">
      <w:pPr>
        <w:pStyle w:val="Heading3"/>
        <w:ind w:left="360"/>
        <w:rPr>
          <w:rFonts w:ascii="Palatino Linotype" w:hAnsi="Palatino Linotype"/>
          <w:sz w:val="20"/>
          <w:szCs w:val="20"/>
          <w:lang w:val="en-CA"/>
        </w:rPr>
      </w:pPr>
      <w:r>
        <w:rPr>
          <w:rFonts w:ascii="Palatino Linotype" w:hAnsi="Palatino Linotype"/>
          <w:sz w:val="20"/>
          <w:szCs w:val="20"/>
          <w:lang w:val="en-CA"/>
        </w:rPr>
        <w:lastRenderedPageBreak/>
        <w:t xml:space="preserve">S4.3. </w:t>
      </w:r>
      <w:r w:rsidR="00120EC7" w:rsidRPr="00A93CD2">
        <w:rPr>
          <w:rFonts w:ascii="Palatino Linotype" w:hAnsi="Palatino Linotype"/>
          <w:sz w:val="20"/>
          <w:szCs w:val="20"/>
          <w:lang w:val="en-CA"/>
        </w:rPr>
        <w:t>Comparison with Tropical Cyclones Records</w:t>
      </w:r>
    </w:p>
    <w:p w14:paraId="60EB1602" w14:textId="55D6C03D" w:rsidR="00ED54CD" w:rsidRPr="00A93CD2" w:rsidRDefault="00ED54CD" w:rsidP="00ED54CD">
      <w:pPr>
        <w:jc w:val="both"/>
        <w:rPr>
          <w:rFonts w:ascii="Palatino Linotype" w:hAnsi="Palatino Linotype"/>
          <w:sz w:val="20"/>
          <w:szCs w:val="20"/>
          <w:lang w:val="en-CA"/>
        </w:rPr>
      </w:pPr>
      <w:r w:rsidRPr="00A93CD2">
        <w:rPr>
          <w:rFonts w:ascii="Palatino Linotype" w:hAnsi="Palatino Linotype"/>
          <w:sz w:val="20"/>
          <w:szCs w:val="20"/>
          <w:lang w:val="en-CA"/>
        </w:rPr>
        <w:t>Validation from historical events is more challenging due to the lack of data, difference</w:t>
      </w:r>
      <w:r w:rsidR="00FD3946">
        <w:rPr>
          <w:rFonts w:ascii="Palatino Linotype" w:hAnsi="Palatino Linotype"/>
          <w:sz w:val="20"/>
          <w:szCs w:val="20"/>
          <w:lang w:val="en-CA"/>
        </w:rPr>
        <w:t>s</w:t>
      </w:r>
      <w:r w:rsidRPr="00A93CD2">
        <w:rPr>
          <w:rFonts w:ascii="Palatino Linotype" w:hAnsi="Palatino Linotype"/>
          <w:sz w:val="20"/>
          <w:szCs w:val="20"/>
          <w:lang w:val="en-CA"/>
        </w:rPr>
        <w:t xml:space="preserve"> in datum and difference</w:t>
      </w:r>
      <w:r w:rsidR="00001C85">
        <w:rPr>
          <w:rFonts w:ascii="Palatino Linotype" w:hAnsi="Palatino Linotype"/>
          <w:sz w:val="20"/>
          <w:szCs w:val="20"/>
          <w:lang w:val="en-CA"/>
        </w:rPr>
        <w:t>s</w:t>
      </w:r>
      <w:r w:rsidRPr="00A93CD2">
        <w:rPr>
          <w:rFonts w:ascii="Palatino Linotype" w:hAnsi="Palatino Linotype"/>
          <w:sz w:val="20"/>
          <w:szCs w:val="20"/>
          <w:lang w:val="en-CA"/>
        </w:rPr>
        <w:t xml:space="preserve"> in temporal resolution between stations. For the same location, different water surface elevations were recorded with a difference of 2 meters (not reported here). This is mainly due to the different time step considered: instantaneous water level v</w:t>
      </w:r>
      <w:r w:rsidR="008A6E4F" w:rsidRPr="00A93CD2">
        <w:rPr>
          <w:rFonts w:ascii="Palatino Linotype" w:hAnsi="Palatino Linotype"/>
          <w:sz w:val="20"/>
          <w:szCs w:val="20"/>
          <w:lang w:val="en-CA"/>
        </w:rPr>
        <w:t>ersu</w:t>
      </w:r>
      <w:r w:rsidRPr="00A93CD2">
        <w:rPr>
          <w:rFonts w:ascii="Palatino Linotype" w:hAnsi="Palatino Linotype"/>
          <w:sz w:val="20"/>
          <w:szCs w:val="20"/>
          <w:lang w:val="en-CA"/>
        </w:rPr>
        <w:t xml:space="preserve">s daily mean water level. All the markers shown in Figure </w:t>
      </w:r>
      <w:r w:rsidR="009D4546" w:rsidRPr="00A93CD2">
        <w:rPr>
          <w:rFonts w:ascii="Palatino Linotype" w:hAnsi="Palatino Linotype"/>
          <w:sz w:val="20"/>
          <w:szCs w:val="20"/>
          <w:lang w:val="en-CA"/>
        </w:rPr>
        <w:t>A</w:t>
      </w:r>
      <w:r w:rsidR="00FC1373" w:rsidRPr="00A93CD2">
        <w:rPr>
          <w:rFonts w:ascii="Palatino Linotype" w:hAnsi="Palatino Linotype"/>
          <w:sz w:val="20"/>
          <w:szCs w:val="20"/>
          <w:lang w:val="en-CA"/>
        </w:rPr>
        <w:t>5</w:t>
      </w:r>
      <w:r w:rsidRPr="00A93CD2">
        <w:rPr>
          <w:rFonts w:ascii="Palatino Linotype" w:hAnsi="Palatino Linotype"/>
          <w:sz w:val="20"/>
          <w:szCs w:val="20"/>
          <w:lang w:val="en-CA"/>
        </w:rPr>
        <w:t xml:space="preserve"> are therefore based on daily mean data except for l</w:t>
      </w:r>
      <w:r w:rsidR="001B3469" w:rsidRPr="00A93CD2">
        <w:rPr>
          <w:rFonts w:ascii="Palatino Linotype" w:hAnsi="Palatino Linotype"/>
          <w:sz w:val="20"/>
          <w:szCs w:val="20"/>
          <w:lang w:val="en-CA"/>
        </w:rPr>
        <w:t>ocation -34.6</w:t>
      </w:r>
      <w:r w:rsidR="00576454">
        <w:rPr>
          <w:rFonts w:ascii="Palatino Linotype" w:hAnsi="Palatino Linotype"/>
          <w:sz w:val="20"/>
          <w:szCs w:val="20"/>
          <w:lang w:val="en-CA"/>
        </w:rPr>
        <w:t xml:space="preserve"> km</w:t>
      </w:r>
      <w:r w:rsidR="001B3469" w:rsidRPr="00A93CD2">
        <w:rPr>
          <w:rFonts w:ascii="Palatino Linotype" w:hAnsi="Palatino Linotype"/>
          <w:sz w:val="20"/>
          <w:szCs w:val="20"/>
          <w:lang w:val="en-CA"/>
        </w:rPr>
        <w:t xml:space="preserve"> which report</w:t>
      </w:r>
      <w:r w:rsidR="00576454">
        <w:rPr>
          <w:rFonts w:ascii="Palatino Linotype" w:hAnsi="Palatino Linotype"/>
          <w:sz w:val="20"/>
          <w:szCs w:val="20"/>
          <w:lang w:val="en-CA"/>
        </w:rPr>
        <w:t>ed</w:t>
      </w:r>
      <w:r w:rsidR="001B3469" w:rsidRPr="00A93CD2">
        <w:rPr>
          <w:rFonts w:ascii="Palatino Linotype" w:hAnsi="Palatino Linotype"/>
          <w:sz w:val="20"/>
          <w:szCs w:val="20"/>
          <w:lang w:val="en-CA"/>
        </w:rPr>
        <w:t xml:space="preserve"> quasi-</w:t>
      </w:r>
      <w:r w:rsidRPr="00A93CD2">
        <w:rPr>
          <w:rFonts w:ascii="Palatino Linotype" w:hAnsi="Palatino Linotype"/>
          <w:sz w:val="20"/>
          <w:szCs w:val="20"/>
          <w:lang w:val="en-CA"/>
        </w:rPr>
        <w:t xml:space="preserve">instantaneous values. An extra shift could also be due to the different datum used but this error is expected to be minimal (i.e. less than 10 cm). </w:t>
      </w:r>
      <w:r w:rsidR="008A6E4F" w:rsidRPr="00A93CD2">
        <w:rPr>
          <w:rFonts w:ascii="Palatino Linotype" w:hAnsi="Palatino Linotype"/>
          <w:sz w:val="20"/>
          <w:szCs w:val="20"/>
          <w:lang w:val="en-CA"/>
        </w:rPr>
        <w:t xml:space="preserve">Given all the </w:t>
      </w:r>
      <w:proofErr w:type="gramStart"/>
      <w:r w:rsidR="008A6E4F" w:rsidRPr="00A93CD2">
        <w:rPr>
          <w:rFonts w:ascii="Palatino Linotype" w:hAnsi="Palatino Linotype"/>
          <w:sz w:val="20"/>
          <w:szCs w:val="20"/>
          <w:lang w:val="en-CA"/>
        </w:rPr>
        <w:t>aforementioned uncertainties</w:t>
      </w:r>
      <w:proofErr w:type="gramEnd"/>
      <w:r w:rsidR="008A6E4F" w:rsidRPr="00A93CD2">
        <w:rPr>
          <w:rFonts w:ascii="Palatino Linotype" w:hAnsi="Palatino Linotype"/>
          <w:sz w:val="20"/>
          <w:szCs w:val="20"/>
          <w:lang w:val="en-CA"/>
        </w:rPr>
        <w:t>,</w:t>
      </w:r>
      <w:r w:rsidR="00242C36" w:rsidRPr="00A93CD2">
        <w:rPr>
          <w:rFonts w:ascii="Palatino Linotype" w:hAnsi="Palatino Linotype"/>
          <w:sz w:val="20"/>
          <w:szCs w:val="20"/>
          <w:lang w:val="en-CA"/>
        </w:rPr>
        <w:t xml:space="preserve"> we conclude that the hydraulic model shows acceptable results</w:t>
      </w:r>
      <w:r w:rsidR="008A6E4F" w:rsidRPr="00A93CD2">
        <w:rPr>
          <w:rFonts w:ascii="Palatino Linotype" w:hAnsi="Palatino Linotype"/>
          <w:sz w:val="20"/>
          <w:szCs w:val="20"/>
          <w:lang w:val="en-CA"/>
        </w:rPr>
        <w:t xml:space="preserve">. </w:t>
      </w:r>
    </w:p>
    <w:p w14:paraId="60EB1603" w14:textId="77777777" w:rsidR="00950729" w:rsidRPr="00A93CD2" w:rsidRDefault="002367F8" w:rsidP="00F54C28">
      <w:pPr>
        <w:jc w:val="center"/>
        <w:rPr>
          <w:rFonts w:ascii="Palatino Linotype" w:hAnsi="Palatino Linotype"/>
          <w:sz w:val="20"/>
          <w:szCs w:val="20"/>
          <w:lang w:val="en-CA"/>
        </w:rPr>
      </w:pPr>
      <w:r w:rsidRPr="00A93CD2">
        <w:rPr>
          <w:rFonts w:ascii="Palatino Linotype" w:hAnsi="Palatino Linotype"/>
          <w:noProof/>
          <w:sz w:val="20"/>
          <w:szCs w:val="20"/>
          <w:lang w:eastAsia="nl-NL"/>
        </w:rPr>
        <w:drawing>
          <wp:inline distT="0" distB="0" distL="0" distR="0" wp14:anchorId="60EB1712" wp14:editId="60EB1713">
            <wp:extent cx="5486411" cy="274320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11" cy="2743206"/>
                    </a:xfrm>
                    <a:prstGeom prst="rect">
                      <a:avLst/>
                    </a:prstGeom>
                  </pic:spPr>
                </pic:pic>
              </a:graphicData>
            </a:graphic>
          </wp:inline>
        </w:drawing>
      </w:r>
    </w:p>
    <w:p w14:paraId="60EB1604" w14:textId="3A55930F" w:rsidR="00F54C28" w:rsidRPr="00A93CD2" w:rsidRDefault="00F54C28" w:rsidP="00A521E5">
      <w:pPr>
        <w:pStyle w:val="MDPI51figurecaption"/>
        <w:rPr>
          <w:highlight w:val="yellow"/>
        </w:rPr>
      </w:pPr>
      <w:r w:rsidRPr="00A93CD2">
        <w:t xml:space="preserve">Figure </w:t>
      </w:r>
      <w:r w:rsidR="00F26203">
        <w:t>S</w:t>
      </w:r>
      <w:r w:rsidR="00BD0655" w:rsidRPr="00A93CD2">
        <w:t>5</w:t>
      </w:r>
      <w:r w:rsidRPr="00A93CD2">
        <w:t xml:space="preserve">: Comparison of the </w:t>
      </w:r>
      <w:r w:rsidR="00377A3C" w:rsidRPr="00A93CD2">
        <w:t>maximum water levels observe</w:t>
      </w:r>
      <w:r w:rsidRPr="00A93CD2">
        <w:t xml:space="preserve">d for Tropical Storm Allison and Frances with the </w:t>
      </w:r>
      <w:r w:rsidR="00ED54CD" w:rsidRPr="00A93CD2">
        <w:t xml:space="preserve">results from the </w:t>
      </w:r>
      <w:r w:rsidR="004E4E26" w:rsidRPr="00A93CD2">
        <w:t xml:space="preserve">1-D </w:t>
      </w:r>
      <w:r w:rsidR="00ED54CD" w:rsidRPr="00A93CD2">
        <w:t>hydraulic model</w:t>
      </w:r>
      <w:r w:rsidR="00A13CA4" w:rsidRPr="00A93CD2">
        <w:t>.</w:t>
      </w:r>
    </w:p>
    <w:p w14:paraId="60EB1605" w14:textId="5BDB102D" w:rsidR="00D30899" w:rsidRPr="00A93CD2" w:rsidRDefault="00F26203" w:rsidP="00F26203">
      <w:pPr>
        <w:pStyle w:val="Heading2"/>
        <w:rPr>
          <w:rFonts w:ascii="Palatino Linotype" w:hAnsi="Palatino Linotype"/>
          <w:sz w:val="20"/>
          <w:szCs w:val="20"/>
          <w:lang w:val="en-CA"/>
        </w:rPr>
      </w:pPr>
      <w:r>
        <w:rPr>
          <w:rFonts w:ascii="Palatino Linotype" w:hAnsi="Palatino Linotype"/>
          <w:sz w:val="20"/>
          <w:szCs w:val="20"/>
          <w:lang w:val="en-CA"/>
        </w:rPr>
        <w:t xml:space="preserve">S5. </w:t>
      </w:r>
      <w:r w:rsidR="00D30899" w:rsidRPr="00A93CD2">
        <w:rPr>
          <w:rFonts w:ascii="Palatino Linotype" w:hAnsi="Palatino Linotype"/>
          <w:sz w:val="20"/>
          <w:szCs w:val="20"/>
          <w:lang w:val="en-CA"/>
        </w:rPr>
        <w:t>B</w:t>
      </w:r>
      <w:r w:rsidR="001F758A" w:rsidRPr="00A93CD2">
        <w:rPr>
          <w:rFonts w:ascii="Palatino Linotype" w:hAnsi="Palatino Linotype"/>
          <w:sz w:val="20"/>
          <w:szCs w:val="20"/>
          <w:lang w:val="en-CA"/>
        </w:rPr>
        <w:t xml:space="preserve">ayesian </w:t>
      </w:r>
      <w:r w:rsidR="00D30899" w:rsidRPr="00A93CD2">
        <w:rPr>
          <w:rFonts w:ascii="Palatino Linotype" w:hAnsi="Palatino Linotype"/>
          <w:sz w:val="20"/>
          <w:szCs w:val="20"/>
          <w:lang w:val="en-CA"/>
        </w:rPr>
        <w:t>N</w:t>
      </w:r>
      <w:r w:rsidR="001F758A" w:rsidRPr="00A93CD2">
        <w:rPr>
          <w:rFonts w:ascii="Palatino Linotype" w:hAnsi="Palatino Linotype"/>
          <w:sz w:val="20"/>
          <w:szCs w:val="20"/>
          <w:lang w:val="en-CA"/>
        </w:rPr>
        <w:t>etwork</w:t>
      </w:r>
      <w:r w:rsidR="004B7746">
        <w:rPr>
          <w:rFonts w:ascii="Palatino Linotype" w:hAnsi="Palatino Linotype"/>
          <w:sz w:val="20"/>
          <w:szCs w:val="20"/>
          <w:lang w:val="en-CA"/>
        </w:rPr>
        <w:t xml:space="preserve"> </w:t>
      </w:r>
      <w:r w:rsidR="001F15C8" w:rsidRPr="00A93CD2">
        <w:rPr>
          <w:rFonts w:ascii="Palatino Linotype" w:hAnsi="Palatino Linotype"/>
          <w:sz w:val="20"/>
          <w:szCs w:val="20"/>
          <w:lang w:val="en-CA"/>
        </w:rPr>
        <w:t>Construction and Validation</w:t>
      </w:r>
    </w:p>
    <w:p w14:paraId="60EB1606" w14:textId="77777777" w:rsidR="000921A2" w:rsidRPr="00A93CD2" w:rsidRDefault="000921A2" w:rsidP="000921A2">
      <w:pPr>
        <w:jc w:val="both"/>
        <w:rPr>
          <w:rFonts w:ascii="Palatino Linotype" w:hAnsi="Palatino Linotype"/>
          <w:sz w:val="20"/>
          <w:szCs w:val="20"/>
          <w:lang w:val="en-CA"/>
        </w:rPr>
      </w:pPr>
      <w:r w:rsidRPr="00A93CD2">
        <w:rPr>
          <w:rFonts w:ascii="Palatino Linotype" w:hAnsi="Palatino Linotype"/>
          <w:sz w:val="20"/>
          <w:szCs w:val="20"/>
          <w:lang w:val="en-CA"/>
        </w:rPr>
        <w:t>In this section, we provide additional information about the construction of the Bayesian Network (BN)</w:t>
      </w:r>
      <w:r w:rsidR="00C66DFF" w:rsidRPr="00A93CD2">
        <w:rPr>
          <w:rFonts w:ascii="Palatino Linotype" w:hAnsi="Palatino Linotype"/>
          <w:sz w:val="20"/>
          <w:szCs w:val="20"/>
          <w:lang w:val="en-CA"/>
        </w:rPr>
        <w:t xml:space="preserve">. We then </w:t>
      </w:r>
      <w:r w:rsidR="00936D87" w:rsidRPr="00A93CD2">
        <w:rPr>
          <w:rFonts w:ascii="Palatino Linotype" w:hAnsi="Palatino Linotype"/>
          <w:sz w:val="20"/>
          <w:szCs w:val="20"/>
          <w:lang w:val="en-CA"/>
        </w:rPr>
        <w:t>introduce</w:t>
      </w:r>
      <w:r w:rsidR="00C66DFF" w:rsidRPr="00A93CD2">
        <w:rPr>
          <w:rFonts w:ascii="Palatino Linotype" w:hAnsi="Palatino Linotype"/>
          <w:sz w:val="20"/>
          <w:szCs w:val="20"/>
          <w:lang w:val="en-CA"/>
        </w:rPr>
        <w:t xml:space="preserve"> t</w:t>
      </w:r>
      <w:r w:rsidR="004E22E9" w:rsidRPr="00A93CD2">
        <w:rPr>
          <w:rFonts w:ascii="Palatino Linotype" w:hAnsi="Palatino Linotype"/>
          <w:sz w:val="20"/>
          <w:szCs w:val="20"/>
          <w:lang w:val="en-CA"/>
        </w:rPr>
        <w:t>wo</w:t>
      </w:r>
      <w:r w:rsidR="00C66DFF" w:rsidRPr="00A93CD2">
        <w:rPr>
          <w:rFonts w:ascii="Palatino Linotype" w:hAnsi="Palatino Linotype"/>
          <w:sz w:val="20"/>
          <w:szCs w:val="20"/>
          <w:lang w:val="en-CA"/>
        </w:rPr>
        <w:t xml:space="preserve"> statistical tests </w:t>
      </w:r>
      <w:r w:rsidR="00936D87" w:rsidRPr="00A93CD2">
        <w:rPr>
          <w:rFonts w:ascii="Palatino Linotype" w:hAnsi="Palatino Linotype"/>
          <w:sz w:val="20"/>
          <w:szCs w:val="20"/>
          <w:lang w:val="en-CA"/>
        </w:rPr>
        <w:t xml:space="preserve">mentioned </w:t>
      </w:r>
      <w:r w:rsidR="00C66DFF" w:rsidRPr="00A93CD2">
        <w:rPr>
          <w:rFonts w:ascii="Palatino Linotype" w:hAnsi="Palatino Linotype"/>
          <w:sz w:val="20"/>
          <w:szCs w:val="20"/>
          <w:lang w:val="en-CA"/>
        </w:rPr>
        <w:t xml:space="preserve">in section </w:t>
      </w:r>
      <w:r w:rsidR="004A22E2" w:rsidRPr="00A93CD2">
        <w:rPr>
          <w:rFonts w:ascii="Palatino Linotype" w:hAnsi="Palatino Linotype"/>
          <w:sz w:val="20"/>
          <w:szCs w:val="20"/>
          <w:lang w:val="en-CA"/>
        </w:rPr>
        <w:t>2.1</w:t>
      </w:r>
      <w:r w:rsidR="00C66DFF" w:rsidRPr="00A93CD2">
        <w:rPr>
          <w:rFonts w:ascii="Palatino Linotype" w:hAnsi="Palatino Linotype"/>
          <w:sz w:val="20"/>
          <w:szCs w:val="20"/>
          <w:lang w:val="en-CA"/>
        </w:rPr>
        <w:t xml:space="preserve"> of this paper along with their results for selected variables of the BN. Finally, we</w:t>
      </w:r>
      <w:r w:rsidR="00936D87" w:rsidRPr="00A93CD2">
        <w:rPr>
          <w:rFonts w:ascii="Palatino Linotype" w:hAnsi="Palatino Linotype"/>
          <w:sz w:val="20"/>
          <w:szCs w:val="20"/>
          <w:lang w:val="en-CA"/>
        </w:rPr>
        <w:t xml:space="preserve"> present the validation of the selected graphical structure</w:t>
      </w:r>
      <w:r w:rsidRPr="00A93CD2">
        <w:rPr>
          <w:rFonts w:ascii="Palatino Linotype" w:hAnsi="Palatino Linotype"/>
          <w:sz w:val="20"/>
          <w:szCs w:val="20"/>
          <w:lang w:val="en-CA"/>
        </w:rPr>
        <w:t xml:space="preserve">. </w:t>
      </w:r>
    </w:p>
    <w:p w14:paraId="60EB1607" w14:textId="6100C628" w:rsidR="005A75AB" w:rsidRPr="00A93CD2" w:rsidRDefault="00F26203" w:rsidP="00F26203">
      <w:pPr>
        <w:pStyle w:val="Heading3"/>
        <w:ind w:left="360"/>
        <w:rPr>
          <w:rFonts w:ascii="Palatino Linotype" w:hAnsi="Palatino Linotype"/>
          <w:sz w:val="20"/>
          <w:szCs w:val="20"/>
          <w:lang w:val="en-CA"/>
        </w:rPr>
      </w:pPr>
      <w:r>
        <w:rPr>
          <w:rFonts w:ascii="Palatino Linotype" w:hAnsi="Palatino Linotype"/>
          <w:sz w:val="20"/>
          <w:szCs w:val="20"/>
          <w:lang w:val="en-CA"/>
        </w:rPr>
        <w:t xml:space="preserve">S5.1. </w:t>
      </w:r>
      <w:r w:rsidR="00D30899" w:rsidRPr="00A93CD2">
        <w:rPr>
          <w:rFonts w:ascii="Palatino Linotype" w:hAnsi="Palatino Linotype"/>
          <w:sz w:val="20"/>
          <w:szCs w:val="20"/>
          <w:lang w:val="en-CA"/>
        </w:rPr>
        <w:t>BN Construction</w:t>
      </w:r>
    </w:p>
    <w:p w14:paraId="60EB1608" w14:textId="4B83F50A" w:rsidR="00D30899" w:rsidRPr="00A93CD2" w:rsidRDefault="002367F8" w:rsidP="00D30899">
      <w:pPr>
        <w:jc w:val="both"/>
        <w:rPr>
          <w:rFonts w:ascii="Palatino Linotype" w:hAnsi="Palatino Linotype"/>
          <w:sz w:val="20"/>
          <w:szCs w:val="20"/>
          <w:lang w:val="en-CA"/>
        </w:rPr>
      </w:pPr>
      <w:proofErr w:type="gramStart"/>
      <w:r w:rsidRPr="00A93CD2">
        <w:rPr>
          <w:rFonts w:ascii="Palatino Linotype" w:hAnsi="Palatino Linotype"/>
          <w:sz w:val="20"/>
          <w:szCs w:val="20"/>
          <w:lang w:val="en-CA"/>
        </w:rPr>
        <w:t>In order to</w:t>
      </w:r>
      <w:proofErr w:type="gramEnd"/>
      <w:r w:rsidRPr="00A93CD2">
        <w:rPr>
          <w:rFonts w:ascii="Palatino Linotype" w:hAnsi="Palatino Linotype"/>
          <w:sz w:val="20"/>
          <w:szCs w:val="20"/>
          <w:lang w:val="en-CA"/>
        </w:rPr>
        <w:t xml:space="preserve"> maximize the joint temporal overlap between all discharges, s</w:t>
      </w:r>
      <w:r w:rsidR="00D30899" w:rsidRPr="00A93CD2">
        <w:rPr>
          <w:rFonts w:ascii="Palatino Linotype" w:hAnsi="Palatino Linotype"/>
          <w:sz w:val="20"/>
          <w:szCs w:val="20"/>
          <w:lang w:val="en-CA"/>
        </w:rPr>
        <w:t>tations 08076700 and 080740</w:t>
      </w:r>
      <w:r w:rsidR="00E46190" w:rsidRPr="00A93CD2">
        <w:rPr>
          <w:rFonts w:ascii="Palatino Linotype" w:hAnsi="Palatino Linotype"/>
          <w:sz w:val="20"/>
          <w:szCs w:val="20"/>
          <w:lang w:val="en-CA"/>
        </w:rPr>
        <w:t>0</w:t>
      </w:r>
      <w:r w:rsidR="00D30899" w:rsidRPr="00A93CD2">
        <w:rPr>
          <w:rFonts w:ascii="Palatino Linotype" w:hAnsi="Palatino Linotype"/>
          <w:sz w:val="20"/>
          <w:szCs w:val="20"/>
          <w:lang w:val="en-CA"/>
        </w:rPr>
        <w:t xml:space="preserve">0 </w:t>
      </w:r>
      <w:r w:rsidRPr="00A93CD2">
        <w:rPr>
          <w:rFonts w:ascii="Palatino Linotype" w:hAnsi="Palatino Linotype"/>
          <w:sz w:val="20"/>
          <w:szCs w:val="20"/>
          <w:lang w:val="en-CA"/>
        </w:rPr>
        <w:t>were inserted as continuous user-defined random variable</w:t>
      </w:r>
      <w:r w:rsidR="00576454">
        <w:rPr>
          <w:rFonts w:ascii="Palatino Linotype" w:hAnsi="Palatino Linotype"/>
          <w:sz w:val="20"/>
          <w:szCs w:val="20"/>
          <w:lang w:val="en-CA"/>
        </w:rPr>
        <w:t>s</w:t>
      </w:r>
      <w:r w:rsidRPr="00A93CD2">
        <w:rPr>
          <w:rFonts w:ascii="Palatino Linotype" w:hAnsi="Palatino Linotype"/>
          <w:sz w:val="20"/>
          <w:szCs w:val="20"/>
          <w:lang w:val="en-CA"/>
        </w:rPr>
        <w:t xml:space="preserve"> with a GEV distribution with the parameters described in Table A</w:t>
      </w:r>
      <w:r w:rsidR="00BD0655" w:rsidRPr="00A93CD2">
        <w:rPr>
          <w:rFonts w:ascii="Palatino Linotype" w:hAnsi="Palatino Linotype"/>
          <w:sz w:val="20"/>
          <w:szCs w:val="20"/>
          <w:lang w:val="en-CA"/>
        </w:rPr>
        <w:t>1 and Table A2</w:t>
      </w:r>
      <w:r w:rsidRPr="00A93CD2">
        <w:rPr>
          <w:rFonts w:ascii="Palatino Linotype" w:hAnsi="Palatino Linotype"/>
          <w:sz w:val="20"/>
          <w:szCs w:val="20"/>
          <w:lang w:val="en-CA"/>
        </w:rPr>
        <w:t xml:space="preserve">. They </w:t>
      </w:r>
      <w:r w:rsidR="00D30899" w:rsidRPr="00A93CD2">
        <w:rPr>
          <w:rFonts w:ascii="Palatino Linotype" w:hAnsi="Palatino Linotype"/>
          <w:sz w:val="20"/>
          <w:szCs w:val="20"/>
          <w:lang w:val="en-CA"/>
        </w:rPr>
        <w:t>contain limited discharge data during the selected period (January 1, 1980 to September 15, 2016)</w:t>
      </w:r>
      <w:r w:rsidRPr="00A93CD2">
        <w:rPr>
          <w:rFonts w:ascii="Palatino Linotype" w:hAnsi="Palatino Linotype"/>
          <w:sz w:val="20"/>
          <w:szCs w:val="20"/>
          <w:lang w:val="en-CA"/>
        </w:rPr>
        <w:t xml:space="preserve">, with a temporal coverage of </w:t>
      </w:r>
      <w:r w:rsidR="004A22E2" w:rsidRPr="00A93CD2">
        <w:rPr>
          <w:rFonts w:ascii="Palatino Linotype" w:hAnsi="Palatino Linotype"/>
          <w:sz w:val="20"/>
          <w:szCs w:val="20"/>
          <w:lang w:val="en-CA"/>
        </w:rPr>
        <w:t>9.7</w:t>
      </w:r>
      <w:r w:rsidRPr="00A93CD2">
        <w:rPr>
          <w:rFonts w:ascii="Palatino Linotype" w:hAnsi="Palatino Linotype"/>
          <w:sz w:val="20"/>
          <w:szCs w:val="20"/>
          <w:lang w:val="en-CA"/>
        </w:rPr>
        <w:t xml:space="preserve">% and </w:t>
      </w:r>
      <w:r w:rsidR="004A22E2" w:rsidRPr="00A93CD2">
        <w:rPr>
          <w:rFonts w:ascii="Palatino Linotype" w:hAnsi="Palatino Linotype"/>
          <w:sz w:val="20"/>
          <w:szCs w:val="20"/>
          <w:lang w:val="en-CA"/>
        </w:rPr>
        <w:t>21</w:t>
      </w:r>
      <w:r w:rsidRPr="00A93CD2">
        <w:rPr>
          <w:rFonts w:ascii="Palatino Linotype" w:hAnsi="Palatino Linotype"/>
          <w:sz w:val="20"/>
          <w:szCs w:val="20"/>
          <w:lang w:val="en-CA"/>
        </w:rPr>
        <w:t>%, respectively</w:t>
      </w:r>
      <w:r w:rsidR="00D30899" w:rsidRPr="00A93CD2">
        <w:rPr>
          <w:rFonts w:ascii="Palatino Linotype" w:hAnsi="Palatino Linotype"/>
          <w:sz w:val="20"/>
          <w:szCs w:val="20"/>
          <w:lang w:val="en-CA"/>
        </w:rPr>
        <w:t>. The conditional rank correlat</w:t>
      </w:r>
      <w:r w:rsidRPr="00A93CD2">
        <w:rPr>
          <w:rFonts w:ascii="Palatino Linotype" w:hAnsi="Palatino Linotype"/>
          <w:sz w:val="20"/>
          <w:szCs w:val="20"/>
          <w:lang w:val="en-CA"/>
        </w:rPr>
        <w:t>ions with the other stations were</w:t>
      </w:r>
      <w:r w:rsidR="00D30899" w:rsidRPr="00A93CD2">
        <w:rPr>
          <w:rFonts w:ascii="Palatino Linotype" w:hAnsi="Palatino Linotype"/>
          <w:sz w:val="20"/>
          <w:szCs w:val="20"/>
          <w:lang w:val="en-CA"/>
        </w:rPr>
        <w:t xml:space="preserve"> quantified based on the temporal overlap with the</w:t>
      </w:r>
      <w:r w:rsidRPr="00A93CD2">
        <w:rPr>
          <w:rFonts w:ascii="Palatino Linotype" w:hAnsi="Palatino Linotype"/>
          <w:sz w:val="20"/>
          <w:szCs w:val="20"/>
          <w:lang w:val="en-CA"/>
        </w:rPr>
        <w:t xml:space="preserve"> other stations. </w:t>
      </w:r>
    </w:p>
    <w:p w14:paraId="60EB1609" w14:textId="6AC9ADBE" w:rsidR="00AE0B12" w:rsidRPr="00A93CD2" w:rsidRDefault="00F26203" w:rsidP="00F26203">
      <w:pPr>
        <w:pStyle w:val="Heading3"/>
        <w:ind w:left="360"/>
        <w:rPr>
          <w:rFonts w:ascii="Palatino Linotype" w:hAnsi="Palatino Linotype"/>
          <w:sz w:val="20"/>
          <w:szCs w:val="20"/>
          <w:lang w:val="en-CA"/>
        </w:rPr>
      </w:pPr>
      <w:r>
        <w:rPr>
          <w:rFonts w:ascii="Palatino Linotype" w:hAnsi="Palatino Linotype"/>
          <w:sz w:val="20"/>
          <w:szCs w:val="20"/>
          <w:lang w:val="en-CA"/>
        </w:rPr>
        <w:t xml:space="preserve">S5.2. </w:t>
      </w:r>
      <w:r w:rsidR="00AE0B12" w:rsidRPr="00A93CD2">
        <w:rPr>
          <w:rFonts w:ascii="Palatino Linotype" w:hAnsi="Palatino Linotype"/>
          <w:sz w:val="20"/>
          <w:szCs w:val="20"/>
          <w:lang w:val="en-CA"/>
        </w:rPr>
        <w:t>Goodness-Of-Fits for Copulas</w:t>
      </w:r>
    </w:p>
    <w:p w14:paraId="60EB160A" w14:textId="59A7584F" w:rsidR="00AC790D" w:rsidRPr="00A93CD2" w:rsidRDefault="0091167A" w:rsidP="00FA7680">
      <w:pPr>
        <w:spacing w:after="0"/>
        <w:jc w:val="both"/>
        <w:rPr>
          <w:rFonts w:ascii="Palatino Linotype" w:hAnsi="Palatino Linotype"/>
          <w:sz w:val="20"/>
          <w:szCs w:val="20"/>
          <w:lang w:val="en-CA"/>
        </w:rPr>
      </w:pPr>
      <w:r w:rsidRPr="00A93CD2">
        <w:rPr>
          <w:rFonts w:ascii="Palatino Linotype" w:hAnsi="Palatino Linotype"/>
          <w:sz w:val="20"/>
          <w:szCs w:val="20"/>
          <w:lang w:val="en-CA"/>
        </w:rPr>
        <w:t>T</w:t>
      </w:r>
      <w:r w:rsidR="001D3661" w:rsidRPr="00A93CD2">
        <w:rPr>
          <w:rFonts w:ascii="Palatino Linotype" w:hAnsi="Palatino Linotype"/>
          <w:sz w:val="20"/>
          <w:szCs w:val="20"/>
          <w:lang w:val="en-CA"/>
        </w:rPr>
        <w:t xml:space="preserve">he Gaussian copula </w:t>
      </w:r>
      <w:r w:rsidR="00A613A1" w:rsidRPr="00A93CD2">
        <w:rPr>
          <w:rFonts w:ascii="Palatino Linotype" w:hAnsi="Palatino Linotype"/>
          <w:sz w:val="20"/>
          <w:szCs w:val="20"/>
          <w:lang w:val="en-CA"/>
        </w:rPr>
        <w:t>represents the underlying dependence structure for the</w:t>
      </w:r>
      <w:r w:rsidR="001D3661" w:rsidRPr="00A93CD2">
        <w:rPr>
          <w:rFonts w:ascii="Palatino Linotype" w:hAnsi="Palatino Linotype"/>
          <w:sz w:val="20"/>
          <w:szCs w:val="20"/>
          <w:lang w:val="en-CA"/>
        </w:rPr>
        <w:t xml:space="preserve"> bivariate joint distribution between </w:t>
      </w:r>
      <w:r w:rsidRPr="00A93CD2">
        <w:rPr>
          <w:rFonts w:ascii="Palatino Linotype" w:hAnsi="Palatino Linotype"/>
          <w:sz w:val="20"/>
          <w:szCs w:val="20"/>
          <w:lang w:val="en-CA"/>
        </w:rPr>
        <w:t xml:space="preserve">the </w:t>
      </w:r>
      <w:r w:rsidR="001D3661" w:rsidRPr="00A93CD2">
        <w:rPr>
          <w:rFonts w:ascii="Palatino Linotype" w:hAnsi="Palatino Linotype"/>
          <w:sz w:val="20"/>
          <w:szCs w:val="20"/>
          <w:lang w:val="en-CA"/>
        </w:rPr>
        <w:t>nodes</w:t>
      </w:r>
      <w:r w:rsidRPr="00A93CD2">
        <w:rPr>
          <w:rFonts w:ascii="Palatino Linotype" w:hAnsi="Palatino Linotype"/>
          <w:sz w:val="20"/>
          <w:szCs w:val="20"/>
          <w:lang w:val="en-CA"/>
        </w:rPr>
        <w:t xml:space="preserve"> of the BN</w:t>
      </w:r>
      <w:r w:rsidR="001D3661" w:rsidRPr="00A93CD2">
        <w:rPr>
          <w:rFonts w:ascii="Palatino Linotype" w:hAnsi="Palatino Linotype"/>
          <w:sz w:val="20"/>
          <w:szCs w:val="20"/>
          <w:lang w:val="en-CA"/>
        </w:rPr>
        <w:t xml:space="preserve">. </w:t>
      </w:r>
      <w:r w:rsidRPr="00A93CD2">
        <w:rPr>
          <w:rFonts w:ascii="Palatino Linotype" w:hAnsi="Palatino Linotype"/>
          <w:sz w:val="20"/>
          <w:szCs w:val="20"/>
          <w:lang w:val="en-CA"/>
        </w:rPr>
        <w:t xml:space="preserve">While this selection provides advantages for the inference of complex network with a large number of variables </w:t>
      </w:r>
      <w:r w:rsidR="003D32A1" w:rsidRPr="00A93CD2">
        <w:rPr>
          <w:rFonts w:ascii="Palatino Linotype" w:hAnsi="Palatino Linotype"/>
          <w:sz w:val="20"/>
          <w:szCs w:val="20"/>
          <w:lang w:val="en-CA"/>
        </w:rPr>
        <w:fldChar w:fldCharType="begin" w:fldLock="1"/>
      </w:r>
      <w:r w:rsidR="00F70E29">
        <w:rPr>
          <w:rFonts w:ascii="Palatino Linotype" w:hAnsi="Palatino Linotype"/>
          <w:sz w:val="20"/>
          <w:szCs w:val="20"/>
          <w:lang w:val="en-CA"/>
        </w:rPr>
        <w:instrText>ADDIN CSL_CITATION {"citationItems":[{"id":"ITEM-1","itemData":{"DOI":"10.1016/j.ress.2015.07.027","ISBN":"0951-8320","ISSN":"09518320","abstract":"Applications in various domains often lead to high dimensional dependence modelling. A Bayesian network (BN) is a probabilistic graphical model that provides an elegant way of expressing the joint distribution of a large number of interrelated variables. BNs have been successfully used to represent uncertain knowledge in a variety of fields. The majority of applications use discrete BNs, i.e. BNs whose nodes represent discrete variables. Integrating continuous variables in BNs is an area fraught with difficulty. Several methods that handle discrete-continuous BNs have been proposed in the literature. This paper concentrates only on one method called non-parametric BNs (NPBNs). NPBNs were introduced in 2004 and they have been or are currently being used in at least twelve professional applications. This paper provides a short introduction to NPBNs, a couple of theoretical advances, and an overview of applications. The aim of the paper is twofold: one is to present the latest improvements of the theory underlying NPBNs, and the other is to complement the existing overviews of BNs applications with the NPNBs applications. The latter opens the opportunity to discuss some difficulties that applications pose to the theoretical framework and in this way offers some NPBN modelling guidance to practitioners.","author":[{"dropping-particle":"","family":"Hanea","given":"Anca","non-dropping-particle":"","parse-names":false,"suffix":""},{"dropping-particle":"","family":"Morales Napoles","given":"Oswaldo","non-dropping-particle":"","parse-names":false,"suffix":""},{"dropping-particle":"","family":"Ababei","given":"Dan","non-dropping-particle":"","parse-names":false,"suffix":""}],"container-title":"Reliability Engineering and System Safety","id":"ITEM-1","issued":{"date-parts":[["2015"]]},"page":"265-284","publisher":"Elsevier","title":"Non-parametric Bayesian networks: Improving theory and reviewing applications","type":"article-journal","volume":"144"},"uris":["http://www.mendeley.com/documents/?uuid=db64d328-24c9-422e-a320-c1e5ee02890f"]}],"mendeley":{"formattedCitation":"[13]","plainTextFormattedCitation":"[13]","previouslyFormattedCitation":"[13]"},"properties":{"noteIndex":0},"schema":"https://github.com/citation-style-language/schema/raw/master/csl-citation.json"}</w:instrText>
      </w:r>
      <w:r w:rsidR="003D32A1" w:rsidRPr="00A93CD2">
        <w:rPr>
          <w:rFonts w:ascii="Palatino Linotype" w:hAnsi="Palatino Linotype"/>
          <w:sz w:val="20"/>
          <w:szCs w:val="20"/>
          <w:lang w:val="en-CA"/>
        </w:rPr>
        <w:fldChar w:fldCharType="separate"/>
      </w:r>
      <w:r w:rsidR="006816B8" w:rsidRPr="006816B8">
        <w:rPr>
          <w:rFonts w:ascii="Palatino Linotype" w:hAnsi="Palatino Linotype"/>
          <w:noProof/>
          <w:sz w:val="20"/>
          <w:szCs w:val="20"/>
          <w:lang w:val="en-CA"/>
        </w:rPr>
        <w:t>[13]</w:t>
      </w:r>
      <w:r w:rsidR="003D32A1" w:rsidRPr="00A93CD2">
        <w:rPr>
          <w:rFonts w:ascii="Palatino Linotype" w:hAnsi="Palatino Linotype"/>
          <w:sz w:val="20"/>
          <w:szCs w:val="20"/>
          <w:lang w:val="en-CA"/>
        </w:rPr>
        <w:fldChar w:fldCharType="end"/>
      </w:r>
      <w:r w:rsidRPr="00A93CD2">
        <w:rPr>
          <w:rFonts w:ascii="Palatino Linotype" w:hAnsi="Palatino Linotype"/>
          <w:sz w:val="20"/>
          <w:szCs w:val="20"/>
          <w:lang w:val="en-CA"/>
        </w:rPr>
        <w:t xml:space="preserve">, it may not properly characterize the </w:t>
      </w:r>
      <w:r w:rsidR="005C6BEB" w:rsidRPr="00A93CD2">
        <w:rPr>
          <w:rFonts w:ascii="Palatino Linotype" w:hAnsi="Palatino Linotype"/>
          <w:sz w:val="20"/>
          <w:szCs w:val="20"/>
          <w:lang w:val="en-CA"/>
        </w:rPr>
        <w:t>dependence</w:t>
      </w:r>
      <w:r w:rsidRPr="00A93CD2">
        <w:rPr>
          <w:rFonts w:ascii="Palatino Linotype" w:hAnsi="Palatino Linotype"/>
          <w:sz w:val="20"/>
          <w:szCs w:val="20"/>
          <w:lang w:val="en-CA"/>
        </w:rPr>
        <w:t xml:space="preserve"> observed in the data. More particularly, the Gaussian copula does not exhibit tail </w:t>
      </w:r>
      <w:r w:rsidRPr="00A93CD2">
        <w:rPr>
          <w:rFonts w:ascii="Palatino Linotype" w:hAnsi="Palatino Linotype"/>
          <w:sz w:val="20"/>
          <w:szCs w:val="20"/>
          <w:lang w:val="en-CA"/>
        </w:rPr>
        <w:lastRenderedPageBreak/>
        <w:t xml:space="preserve">dependence, a statistical property often </w:t>
      </w:r>
      <w:r w:rsidR="005C6BEB" w:rsidRPr="00A93CD2">
        <w:rPr>
          <w:rFonts w:ascii="Palatino Linotype" w:hAnsi="Palatino Linotype"/>
          <w:sz w:val="20"/>
          <w:szCs w:val="20"/>
          <w:lang w:val="en-CA"/>
        </w:rPr>
        <w:t>reported in flood hazard studies</w:t>
      </w:r>
      <w:r w:rsidR="009B1BC0" w:rsidRPr="00A93CD2">
        <w:rPr>
          <w:rFonts w:ascii="Palatino Linotype" w:hAnsi="Palatino Linotype"/>
          <w:sz w:val="20"/>
          <w:szCs w:val="20"/>
          <w:lang w:val="en-CA"/>
        </w:rPr>
        <w:t xml:space="preserve"> </w:t>
      </w:r>
      <w:r w:rsidR="009B1BC0" w:rsidRPr="00A93CD2">
        <w:rPr>
          <w:rFonts w:ascii="Palatino Linotype" w:hAnsi="Palatino Linotype"/>
          <w:sz w:val="20"/>
          <w:szCs w:val="20"/>
          <w:lang w:val="en-CA"/>
        </w:rPr>
        <w:fldChar w:fldCharType="begin" w:fldLock="1"/>
      </w:r>
      <w:r w:rsidR="00EF0866">
        <w:rPr>
          <w:rFonts w:ascii="Palatino Linotype" w:hAnsi="Palatino Linotype"/>
          <w:sz w:val="20"/>
          <w:szCs w:val="20"/>
          <w:lang w:val="en-CA"/>
        </w:rPr>
        <w:instrText>ADDIN CSL_CITATION {"citationItems":[{"id":"ITEM-1","itemData":{"DOI":"10.1088/1748-9326/10/3/035005","ISSN":"1748-9326","abstract":"The Netherlands is a low-lying coastal area and therefore threatened by both extreme river\\r discharges from the Meuse and Rhine rivers and storm surges along the North Sea coastline. To date,\\r in most flood risk analyses these two hazardous phenomena are considered independent. However, if\\r there were a dependence between high sea water levels and extreme discharges this might result in\\r higher design water levels, which might consequently have implications for flood protection policy\\r in the Netherlands. In this study we explore the relation between high sea water levels at Hoek van\\r Holland and high river discharges at Lobith. Different from previous studies, we use physical models\\r forced by the same atmospheric forcing leading to concomitant and consistent time series of storm\\r surge conditions and river discharge. These time series were generated for present day conditions as\\r well as future climate projections and analysed for dependence within the upper tails of their\\r distribution. In this study, dependence between the discharge at Lobith and storm surge at Hoek van\\r Holland was found, and the dependence was highest for a lag of six days between the two processes.\\r As no significant dependence of the threats was found for cases without time lag, there is no need\\r for considering dependence in flood protection and policy making. Although future climate change is\\r expected to lead to more extreme conditions in river discharges, we cannot conclude from this study\\r that it will change the magnitude of the dependence for extreme conditions.","author":[{"dropping-particle":"","family":"Klerk","given":"W J","non-dropping-particle":"","parse-names":false,"suffix":""},{"dropping-particle":"","family":"Winsemius","given":"H C","non-dropping-particle":"","parse-names":false,"suffix":""},{"dropping-particle":"","family":"Verseveld","given":"W J","non-dropping-particle":"van","parse-names":false,"suffix":""},{"dropping-particle":"","family":"Bakker","given":"A M R","non-dropping-particle":"","parse-names":false,"suffix":""},{"dropping-particle":"","family":"Diermanse","given":"F L M","non-dropping-particle":"","parse-names":false,"suffix":""}],"container-title":"Environmental Research Letters","id":"ITEM-1","issue":"3","issued":{"date-parts":[["2015"]]},"page":"035005","publisher":"IOP Publishing","title":"The co-incidence of storm surges and extreme discharges within the Rhine–Meuse Delta","type":"article-journal","volume":"10"},"uris":["http://www.mendeley.com/documents/?uuid=dcc6d806-39f0-46f3-af71-2fe36c4cbd5a"]},{"id":"ITEM-2","itemData":{"DOI":"10.5194/hess-21-2701-2017","ISSN":"1607-7938","abstract":"Compound events (CEs) are multivariate extreme events in which the individual contributing variables may not be extreme themselves, but their joint – dependent – occurrence causes an extreme impact. Conventional univariate statistical analysis cannot give accurate information regarding the multivariate nature of these events. We develop a conceptual model, implemented via pair-copula constructions, which allows for the quantification of the risk associated with compound events in present-day and future climate, as well as the uncertainty estimates around such risk. The model includes predictors, which could represent for instance meteorological processes that provide insight into both the involved physical mechanisms and the temporal variability of compound events. Moreover, this model enables multivariate statistical downscaling of compound events. Downscaling is required to extend the compound events' risk assessment to the past or future climate, where climate models either do not simulate realistic values of the local variables driving the events or do not simulate them at all. Based on the developed model, we study compound floods, i.e. joint storm surge and high river runoff, in Ravenna (Italy). To explicitly quantify the risk, we define the impact of compound floods as a function of sea and river levels. We use meteorological predictors to extend the analysis to the past, and get a more robust risk analysis. We quantify the uncertainties of the risk analysis, observing that they are very large due to the shortness of the available data, though this may also be the case in other studies where they have not been estimated. Ignoring the dependence between sea and river levels would result in an underestimation of risk; in particular, the expected return period of the highest compound flood observed increases from about 20 to 32 years when switching from the dependent to the independent case.","author":[{"dropping-particle":"","family":"Bevacqua","given":"Emanuele","non-dropping-particle":"","parse-names":false,"suffix":""},{"dropping-particle":"","family":"Maraun","given":"Douglas","non-dropping-particle":"","parse-names":false,"suffix":""},{"dropping-particle":"","family":"Hobæk Haff","given":"Ingrid","non-dropping-particle":"","parse-names":false,"suffix":""},{"dropping-particle":"","family":"Widmann","given":"Martin","non-dropping-particle":"","parse-names":false,"suffix":""},{"dropping-particle":"","family":"Vrac","given":"Mathieu","non-dropping-particle":"","parse-names":false,"suffix":""}],"container-title":"Hydrology and Earth System Sciences","id":"ITEM-2","issue":"6","issued":{"date-parts":[["2017","6","8"]]},"page":"2701-2723","title":"Multivariate statistical modelling of compound events via pair-copula constructions: analysis of floods in Ravenna (Italy)","type":"article-journal","volume":"21"},"uris":["http://www.mendeley.com/documents/?uuid=d77f390a-794a-48a5-8206-03b6e2b86711"]}],"mendeley":{"formattedCitation":"[14,15]","plainTextFormattedCitation":"[14,15]","previouslyFormattedCitation":"[14,15]"},"properties":{"noteIndex":0},"schema":"https://github.com/citation-style-language/schema/raw/master/csl-citation.json"}</w:instrText>
      </w:r>
      <w:r w:rsidR="009B1BC0" w:rsidRPr="00A93CD2">
        <w:rPr>
          <w:rFonts w:ascii="Palatino Linotype" w:hAnsi="Palatino Linotype"/>
          <w:sz w:val="20"/>
          <w:szCs w:val="20"/>
          <w:lang w:val="en-CA"/>
        </w:rPr>
        <w:fldChar w:fldCharType="separate"/>
      </w:r>
      <w:r w:rsidR="00F70E29" w:rsidRPr="00F70E29">
        <w:rPr>
          <w:rFonts w:ascii="Palatino Linotype" w:hAnsi="Palatino Linotype"/>
          <w:noProof/>
          <w:sz w:val="20"/>
          <w:szCs w:val="20"/>
          <w:lang w:val="en-CA"/>
        </w:rPr>
        <w:t>[14,15]</w:t>
      </w:r>
      <w:r w:rsidR="009B1BC0"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r w:rsidR="005C6BEB" w:rsidRPr="00A93CD2">
        <w:rPr>
          <w:rFonts w:ascii="Palatino Linotype" w:hAnsi="Palatino Linotype"/>
          <w:sz w:val="20"/>
          <w:szCs w:val="20"/>
          <w:lang w:val="en-CA"/>
        </w:rPr>
        <w:t xml:space="preserve"> The upper tail dependence coefficient </w:t>
      </w:r>
      <m:oMath>
        <m:sSub>
          <m:sSubPr>
            <m:ctrlPr>
              <w:rPr>
                <w:rFonts w:ascii="Cambria Math" w:hAnsi="Cambria Math"/>
                <w:i/>
                <w:sz w:val="20"/>
                <w:szCs w:val="20"/>
                <w:lang w:val="en-CA"/>
              </w:rPr>
            </m:ctrlPr>
          </m:sSubPr>
          <m:e>
            <m:r>
              <w:rPr>
                <w:rFonts w:ascii="Cambria Math" w:hAnsi="Cambria Math"/>
                <w:sz w:val="20"/>
                <w:szCs w:val="20"/>
                <w:lang w:val="en-CA"/>
              </w:rPr>
              <m:t>λ</m:t>
            </m:r>
          </m:e>
          <m:sub>
            <m:r>
              <w:rPr>
                <w:rFonts w:ascii="Cambria Math" w:hAnsi="Cambria Math"/>
                <w:sz w:val="20"/>
                <w:szCs w:val="20"/>
                <w:lang w:val="en-CA"/>
              </w:rPr>
              <m:t>U</m:t>
            </m:r>
          </m:sub>
        </m:sSub>
        <m:r>
          <w:rPr>
            <w:rFonts w:ascii="Cambria Math" w:hAnsi="Cambria Math"/>
            <w:sz w:val="20"/>
            <w:szCs w:val="20"/>
            <w:lang w:val="en-CA"/>
          </w:rPr>
          <m:t xml:space="preserve"> </m:t>
        </m:r>
      </m:oMath>
      <w:r w:rsidR="004510E4" w:rsidRPr="00A93CD2">
        <w:rPr>
          <w:rFonts w:ascii="Palatino Linotype" w:hAnsi="Palatino Linotype"/>
          <w:sz w:val="20"/>
          <w:szCs w:val="20"/>
          <w:lang w:val="en-CA"/>
        </w:rPr>
        <w:t xml:space="preserve">for random variables </w:t>
      </w:r>
      <m:oMath>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i</m:t>
            </m:r>
          </m:sub>
        </m:sSub>
      </m:oMath>
      <w:r w:rsidR="004510E4" w:rsidRPr="00A93CD2">
        <w:rPr>
          <w:rFonts w:ascii="Palatino Linotype" w:hAnsi="Palatino Linotype"/>
          <w:sz w:val="20"/>
          <w:szCs w:val="20"/>
          <w:lang w:val="en-CA"/>
        </w:rPr>
        <w:t xml:space="preserve"> and </w:t>
      </w:r>
      <m:oMath>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j</m:t>
            </m:r>
          </m:sub>
        </m:sSub>
      </m:oMath>
      <w:r w:rsidR="004510E4" w:rsidRPr="00A93CD2">
        <w:rPr>
          <w:rFonts w:ascii="Palatino Linotype" w:hAnsi="Palatino Linotype"/>
          <w:sz w:val="20"/>
          <w:szCs w:val="20"/>
          <w:lang w:val="en-CA"/>
        </w:rPr>
        <w:t xml:space="preserve"> </w:t>
      </w:r>
      <w:r w:rsidR="005C6BEB" w:rsidRPr="00A93CD2">
        <w:rPr>
          <w:rFonts w:ascii="Palatino Linotype" w:hAnsi="Palatino Linotype"/>
          <w:sz w:val="20"/>
          <w:szCs w:val="20"/>
          <w:lang w:val="en-CA"/>
        </w:rPr>
        <w:t>is defined as</w:t>
      </w:r>
      <w:r w:rsidR="003D32A1" w:rsidRPr="00A93CD2">
        <w:rPr>
          <w:rFonts w:ascii="Palatino Linotype" w:hAnsi="Palatino Linotype"/>
          <w:sz w:val="20"/>
          <w:szCs w:val="20"/>
          <w:lang w:val="en-CA"/>
        </w:rPr>
        <w:t xml:space="preserve"> </w:t>
      </w:r>
      <w:r w:rsidR="003D32A1" w:rsidRPr="00A93CD2">
        <w:rPr>
          <w:rFonts w:ascii="Palatino Linotype" w:hAnsi="Palatino Linotype"/>
          <w:sz w:val="20"/>
          <w:szCs w:val="20"/>
          <w:lang w:val="en-CA"/>
        </w:rPr>
        <w:fldChar w:fldCharType="begin" w:fldLock="1"/>
      </w:r>
      <w:r w:rsidR="00EF0866">
        <w:rPr>
          <w:rFonts w:ascii="Palatino Linotype" w:hAnsi="Palatino Linotype"/>
          <w:sz w:val="20"/>
          <w:szCs w:val="20"/>
          <w:lang w:val="en-CA"/>
        </w:rPr>
        <w:instrText>ADDIN CSL_CITATION {"citationItems":[{"id":"ITEM-1","itemData":{"ISBN":"9781466583221","ISSN":"01439782","author":[{"dropping-particle":"","family":"Joe","given":"H.","non-dropping-particle":"","parse-names":false,"suffix":""}],"id":"ITEM-1","issued":{"date-parts":[["2015","7"]]},"publisher":"Chapman &amp; Hall/CRC","publisher-place":"London, UK","title":"Dependence Modeling with Copulas","type":"book"},"uris":["http://www.mendeley.com/documents/?uuid=29e9ada0-6ca1-4539-96e0-590e9f280b68"]}],"mendeley":{"formattedCitation":"[16]","plainTextFormattedCitation":"[16]","previouslyFormattedCitation":"[16]"},"properties":{"noteIndex":0},"schema":"https://github.com/citation-style-language/schema/raw/master/csl-citation.json"}</w:instrText>
      </w:r>
      <w:r w:rsidR="003D32A1" w:rsidRPr="00A93CD2">
        <w:rPr>
          <w:rFonts w:ascii="Palatino Linotype" w:hAnsi="Palatino Linotype"/>
          <w:sz w:val="20"/>
          <w:szCs w:val="20"/>
          <w:lang w:val="en-CA"/>
        </w:rPr>
        <w:fldChar w:fldCharType="separate"/>
      </w:r>
      <w:r w:rsidR="00F70E29" w:rsidRPr="00F70E29">
        <w:rPr>
          <w:rFonts w:ascii="Palatino Linotype" w:hAnsi="Palatino Linotype"/>
          <w:noProof/>
          <w:sz w:val="20"/>
          <w:szCs w:val="20"/>
          <w:lang w:val="en-CA"/>
        </w:rPr>
        <w:t>[16]</w:t>
      </w:r>
      <w:r w:rsidR="003D32A1" w:rsidRPr="00A93CD2">
        <w:rPr>
          <w:rFonts w:ascii="Palatino Linotype" w:hAnsi="Palatino Linotype"/>
          <w:sz w:val="20"/>
          <w:szCs w:val="20"/>
          <w:lang w:val="en-CA"/>
        </w:rPr>
        <w:fldChar w:fldCharType="end"/>
      </w:r>
      <w:r w:rsidR="005C6BEB" w:rsidRPr="00A93CD2">
        <w:rPr>
          <w:rFonts w:ascii="Palatino Linotype" w:hAnsi="Palatino Linotype"/>
          <w:sz w:val="20"/>
          <w:szCs w:val="20"/>
          <w:lang w:val="en-CA"/>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FA7680" w:rsidRPr="00A93CD2" w14:paraId="60EB160E" w14:textId="77777777" w:rsidTr="009B1BC0">
        <w:trPr>
          <w:jc w:val="center"/>
        </w:trPr>
        <w:tc>
          <w:tcPr>
            <w:tcW w:w="392" w:type="dxa"/>
            <w:vAlign w:val="center"/>
          </w:tcPr>
          <w:p w14:paraId="60EB160B" w14:textId="77777777" w:rsidR="00FA7680" w:rsidRPr="00A93CD2" w:rsidRDefault="00FA7680" w:rsidP="00FA7680">
            <w:pPr>
              <w:spacing w:before="240"/>
              <w:jc w:val="center"/>
              <w:rPr>
                <w:rFonts w:ascii="Palatino Linotype" w:hAnsi="Palatino Linotype"/>
                <w:sz w:val="20"/>
                <w:szCs w:val="20"/>
                <w:lang w:val="en-CA"/>
              </w:rPr>
            </w:pPr>
          </w:p>
        </w:tc>
        <w:tc>
          <w:tcPr>
            <w:tcW w:w="7938" w:type="dxa"/>
          </w:tcPr>
          <w:p w14:paraId="60EB160C" w14:textId="77777777" w:rsidR="00FA7680" w:rsidRPr="00A93CD2" w:rsidRDefault="00F26203" w:rsidP="00620A6D">
            <w:pPr>
              <w:spacing w:before="240"/>
              <w:ind w:firstLine="708"/>
              <w:jc w:val="center"/>
              <w:rPr>
                <w:rFonts w:ascii="Palatino Linotype" w:hAnsi="Palatino Linotype"/>
                <w:sz w:val="20"/>
                <w:szCs w:val="20"/>
              </w:rPr>
            </w:pPr>
            <m:oMathPara>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U</m:t>
                    </m:r>
                  </m:sub>
                </m:sSub>
                <m:r>
                  <w:rPr>
                    <w:rFonts w:ascii="Cambria Math" w:hAnsi="Cambria Math"/>
                    <w:sz w:val="20"/>
                    <w:szCs w:val="20"/>
                  </w:rPr>
                  <m:t xml:space="preserve">= </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r>
                          <m:rPr>
                            <m:nor/>
                          </m:rPr>
                          <w:rPr>
                            <w:rFonts w:ascii="Palatino Linotype" w:hAnsi="Palatino Linotype"/>
                            <w:sz w:val="20"/>
                            <w:szCs w:val="20"/>
                          </w:rPr>
                          <m:t>u</m:t>
                        </m:r>
                        <m:r>
                          <w:rPr>
                            <w:rFonts w:ascii="Cambria Math" w:hAnsi="Cambria Math"/>
                            <w:sz w:val="20"/>
                            <w:szCs w:val="20"/>
                          </w:rPr>
                          <m:t xml:space="preserve"> →1</m:t>
                        </m:r>
                      </m:lim>
                    </m:limLow>
                  </m:fName>
                  <m:e>
                    <m:r>
                      <w:rPr>
                        <w:rFonts w:ascii="Cambria Math" w:hAnsi="Cambria Math"/>
                        <w:sz w:val="20"/>
                        <w:szCs w:val="20"/>
                      </w:rPr>
                      <m:t>P</m:t>
                    </m:r>
                    <m:d>
                      <m:dPr>
                        <m:ctrlPr>
                          <w:rPr>
                            <w:rFonts w:ascii="Cambria Math" w:hAnsi="Cambria Math"/>
                            <w:i/>
                            <w:sz w:val="20"/>
                            <w:szCs w:val="20"/>
                          </w:rPr>
                        </m:ctrlPr>
                      </m:dPr>
                      <m:e>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i</m:t>
                            </m:r>
                          </m:sub>
                        </m:sSub>
                        <m:r>
                          <w:rPr>
                            <w:rFonts w:ascii="Cambria Math" w:hAnsi="Cambria Math"/>
                            <w:sz w:val="20"/>
                            <w:szCs w:val="20"/>
                          </w:rPr>
                          <m:t>&gt;</m:t>
                        </m:r>
                        <m:sSubSup>
                          <m:sSubSupPr>
                            <m:ctrlPr>
                              <w:rPr>
                                <w:rFonts w:ascii="Cambria Math" w:hAnsi="Cambria Math"/>
                                <w:i/>
                                <w:sz w:val="20"/>
                                <w:szCs w:val="20"/>
                              </w:rPr>
                            </m:ctrlPr>
                          </m:sSubSupPr>
                          <m:e>
                            <m:r>
                              <w:rPr>
                                <w:rFonts w:ascii="Cambria Math" w:hAnsi="Cambria Math"/>
                                <w:sz w:val="20"/>
                                <w:szCs w:val="20"/>
                              </w:rPr>
                              <m:t>F</m:t>
                            </m:r>
                          </m:e>
                          <m:sub>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i</m:t>
                                </m:r>
                              </m:sub>
                            </m:sSub>
                          </m:sub>
                          <m:sup>
                            <m:r>
                              <w:rPr>
                                <w:rFonts w:ascii="Cambria Math" w:hAnsi="Cambria Math"/>
                                <w:sz w:val="20"/>
                                <w:szCs w:val="20"/>
                              </w:rPr>
                              <m:t>-1</m:t>
                            </m:r>
                          </m:sup>
                        </m:sSubSup>
                        <m:d>
                          <m:dPr>
                            <m:ctrlPr>
                              <w:rPr>
                                <w:rFonts w:ascii="Cambria Math" w:hAnsi="Cambria Math"/>
                                <w:i/>
                                <w:sz w:val="20"/>
                                <w:szCs w:val="20"/>
                              </w:rPr>
                            </m:ctrlPr>
                          </m:dPr>
                          <m:e>
                            <m:r>
                              <m:rPr>
                                <m:nor/>
                              </m:rPr>
                              <w:rPr>
                                <w:rFonts w:ascii="Palatino Linotype" w:hAnsi="Palatino Linotype"/>
                                <w:sz w:val="20"/>
                                <w:szCs w:val="20"/>
                              </w:rPr>
                              <m:t>u</m:t>
                            </m:r>
                          </m:e>
                        </m:d>
                        <m:r>
                          <w:rPr>
                            <w:rFonts w:ascii="Cambria Math" w:hAnsi="Cambria Math"/>
                            <w:sz w:val="20"/>
                            <w:szCs w:val="20"/>
                          </w:rPr>
                          <m:t>|</m:t>
                        </m:r>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j</m:t>
                            </m:r>
                          </m:sub>
                        </m:sSub>
                        <m:r>
                          <w:rPr>
                            <w:rFonts w:ascii="Cambria Math" w:hAnsi="Cambria Math"/>
                            <w:sz w:val="20"/>
                            <w:szCs w:val="20"/>
                          </w:rPr>
                          <m:t>&gt;</m:t>
                        </m:r>
                        <m:sSubSup>
                          <m:sSubSupPr>
                            <m:ctrlPr>
                              <w:rPr>
                                <w:rFonts w:ascii="Cambria Math" w:hAnsi="Cambria Math"/>
                                <w:i/>
                                <w:sz w:val="20"/>
                                <w:szCs w:val="20"/>
                              </w:rPr>
                            </m:ctrlPr>
                          </m:sSubSupPr>
                          <m:e>
                            <m:r>
                              <w:rPr>
                                <w:rFonts w:ascii="Cambria Math" w:hAnsi="Cambria Math"/>
                                <w:sz w:val="20"/>
                                <w:szCs w:val="20"/>
                              </w:rPr>
                              <m:t>F</m:t>
                            </m:r>
                          </m:e>
                          <m:sub>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j</m:t>
                                </m:r>
                              </m:sub>
                            </m:sSub>
                          </m:sub>
                          <m:sup>
                            <m:r>
                              <w:rPr>
                                <w:rFonts w:ascii="Cambria Math" w:hAnsi="Cambria Math"/>
                                <w:sz w:val="20"/>
                                <w:szCs w:val="20"/>
                              </w:rPr>
                              <m:t>-1</m:t>
                            </m:r>
                          </m:sup>
                        </m:sSubSup>
                        <m:d>
                          <m:dPr>
                            <m:ctrlPr>
                              <w:rPr>
                                <w:rFonts w:ascii="Cambria Math" w:hAnsi="Cambria Math"/>
                                <w:i/>
                                <w:sz w:val="20"/>
                                <w:szCs w:val="20"/>
                              </w:rPr>
                            </m:ctrlPr>
                          </m:dPr>
                          <m:e>
                            <m:r>
                              <m:rPr>
                                <m:nor/>
                              </m:rPr>
                              <w:rPr>
                                <w:rFonts w:ascii="Palatino Linotype" w:hAnsi="Palatino Linotype"/>
                                <w:sz w:val="20"/>
                                <w:szCs w:val="20"/>
                              </w:rPr>
                              <m:t>u</m:t>
                            </m:r>
                          </m:e>
                        </m:d>
                      </m:e>
                    </m:d>
                    <m:r>
                      <w:rPr>
                        <w:rFonts w:ascii="Cambria Math" w:hAnsi="Cambria Math"/>
                        <w:sz w:val="20"/>
                        <w:szCs w:val="20"/>
                      </w:rPr>
                      <m:t xml:space="preserve">= </m:t>
                    </m:r>
                    <m:limLow>
                      <m:limLowPr>
                        <m:ctrlPr>
                          <w:rPr>
                            <w:rFonts w:ascii="Cambria Math" w:hAnsi="Cambria Math"/>
                            <w:i/>
                            <w:sz w:val="20"/>
                            <w:szCs w:val="20"/>
                          </w:rPr>
                        </m:ctrlPr>
                      </m:limLowPr>
                      <m:e>
                        <m:r>
                          <m:rPr>
                            <m:sty m:val="p"/>
                          </m:rPr>
                          <w:rPr>
                            <w:rFonts w:ascii="Cambria Math" w:hAnsi="Cambria Math"/>
                            <w:sz w:val="20"/>
                            <w:szCs w:val="20"/>
                          </w:rPr>
                          <m:t>lim</m:t>
                        </m:r>
                      </m:e>
                      <m:lim>
                        <m:r>
                          <m:rPr>
                            <m:nor/>
                          </m:rPr>
                          <w:rPr>
                            <w:rFonts w:ascii="Palatino Linotype" w:hAnsi="Palatino Linotype"/>
                            <w:sz w:val="20"/>
                            <w:szCs w:val="20"/>
                          </w:rPr>
                          <m:t>u</m:t>
                        </m:r>
                        <m:r>
                          <w:rPr>
                            <w:rFonts w:ascii="Cambria Math" w:hAnsi="Cambria Math"/>
                            <w:sz w:val="20"/>
                            <w:szCs w:val="20"/>
                          </w:rPr>
                          <m:t xml:space="preserve"> →1</m:t>
                        </m:r>
                      </m:lim>
                    </m:limLow>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U&gt;</m:t>
                        </m:r>
                        <m:r>
                          <m:rPr>
                            <m:nor/>
                          </m:rPr>
                          <w:rPr>
                            <w:rFonts w:ascii="Palatino Linotype" w:hAnsi="Palatino Linotype"/>
                            <w:sz w:val="20"/>
                            <w:szCs w:val="20"/>
                          </w:rPr>
                          <m:t>u</m:t>
                        </m:r>
                        <m:r>
                          <w:rPr>
                            <w:rFonts w:ascii="Cambria Math" w:hAnsi="Cambria Math"/>
                            <w:sz w:val="20"/>
                            <w:szCs w:val="20"/>
                          </w:rPr>
                          <m:t>|V&gt;</m:t>
                        </m:r>
                        <m:r>
                          <m:rPr>
                            <m:nor/>
                          </m:rPr>
                          <w:rPr>
                            <w:rFonts w:ascii="Palatino Linotype" w:hAnsi="Palatino Linotype"/>
                            <w:sz w:val="20"/>
                            <w:szCs w:val="20"/>
                          </w:rPr>
                          <m:t>v</m:t>
                        </m:r>
                      </m:e>
                    </m:d>
                  </m:e>
                </m:func>
              </m:oMath>
            </m:oMathPara>
          </w:p>
        </w:tc>
        <w:tc>
          <w:tcPr>
            <w:tcW w:w="882" w:type="dxa"/>
            <w:vAlign w:val="center"/>
          </w:tcPr>
          <w:p w14:paraId="60EB160D" w14:textId="1D3C1648" w:rsidR="00FA7680" w:rsidRPr="00A93CD2" w:rsidRDefault="00FA7680" w:rsidP="00FA7680">
            <w:pPr>
              <w:spacing w:before="240"/>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3</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60F" w14:textId="77777777" w:rsidR="00FA7680" w:rsidRPr="00A93CD2" w:rsidRDefault="00FA7680" w:rsidP="00FA7680">
      <w:pPr>
        <w:spacing w:after="0"/>
        <w:jc w:val="both"/>
        <w:rPr>
          <w:rFonts w:ascii="Palatino Linotype" w:hAnsi="Palatino Linotype"/>
          <w:sz w:val="20"/>
          <w:szCs w:val="20"/>
          <w:lang w:val="en-CA"/>
        </w:rPr>
      </w:pPr>
    </w:p>
    <w:p w14:paraId="60EB1610" w14:textId="030862F4" w:rsidR="0046593B" w:rsidRPr="00A93CD2" w:rsidRDefault="005C6BEB" w:rsidP="00936D87">
      <w:pPr>
        <w:spacing w:after="0"/>
        <w:jc w:val="both"/>
        <w:rPr>
          <w:rFonts w:ascii="Palatino Linotype" w:hAnsi="Palatino Linotype"/>
          <w:sz w:val="20"/>
          <w:szCs w:val="20"/>
          <w:lang w:val="en-CA"/>
        </w:rPr>
      </w:pPr>
      <w:r w:rsidRPr="00A93CD2">
        <w:rPr>
          <w:rFonts w:ascii="Palatino Linotype" w:hAnsi="Palatino Linotype"/>
          <w:sz w:val="20"/>
          <w:szCs w:val="20"/>
          <w:lang w:val="en-CA"/>
        </w:rPr>
        <w:t>As expressed in equation A.</w:t>
      </w:r>
      <w:r w:rsidR="009B1BC0" w:rsidRPr="00A93CD2">
        <w:rPr>
          <w:rFonts w:ascii="Palatino Linotype" w:hAnsi="Palatino Linotype"/>
          <w:sz w:val="20"/>
          <w:szCs w:val="20"/>
          <w:lang w:val="en-CA"/>
        </w:rPr>
        <w:t>3</w:t>
      </w:r>
      <w:r w:rsidRPr="00A93CD2">
        <w:rPr>
          <w:rFonts w:ascii="Palatino Linotype" w:hAnsi="Palatino Linotype"/>
          <w:sz w:val="20"/>
          <w:szCs w:val="20"/>
          <w:lang w:val="en-CA"/>
        </w:rPr>
        <w:t>, the presence of upper tail dependence</w:t>
      </w:r>
      <w:r w:rsidR="009B1BC0" w:rsidRPr="00A93CD2">
        <w:rPr>
          <w:rFonts w:ascii="Palatino Linotype" w:hAnsi="Palatino Linotype"/>
          <w:sz w:val="20"/>
          <w:szCs w:val="20"/>
          <w:lang w:val="en-CA"/>
        </w:rPr>
        <w:t xml:space="preserve"> (</w:t>
      </w:r>
      <w:r w:rsidR="003D32A1" w:rsidRPr="00A93CD2">
        <w:rPr>
          <w:rFonts w:ascii="Palatino Linotype" w:hAnsi="Palatino Linotype"/>
          <w:sz w:val="20"/>
          <w:szCs w:val="20"/>
          <w:lang w:val="en-CA"/>
        </w:rPr>
        <w:t>i.e.,</w:t>
      </w:r>
      <w:r w:rsidR="004B7746">
        <w:rPr>
          <w:rFonts w:ascii="Palatino Linotype" w:hAnsi="Palatino Linotype"/>
          <w:sz w:val="20"/>
          <w:szCs w:val="20"/>
          <w:lang w:val="en-CA"/>
        </w:rPr>
        <w:t xml:space="preserve"> </w:t>
      </w:r>
      <m:oMath>
        <m:sSub>
          <m:sSubPr>
            <m:ctrlPr>
              <w:rPr>
                <w:rFonts w:ascii="Cambria Math" w:hAnsi="Cambria Math"/>
                <w:i/>
                <w:sz w:val="20"/>
                <w:szCs w:val="20"/>
                <w:lang w:val="en-CA"/>
              </w:rPr>
            </m:ctrlPr>
          </m:sSubPr>
          <m:e>
            <m:r>
              <w:rPr>
                <w:rFonts w:ascii="Cambria Math" w:hAnsi="Cambria Math"/>
                <w:sz w:val="20"/>
                <w:szCs w:val="20"/>
                <w:lang w:val="en-CA"/>
              </w:rPr>
              <m:t>λ</m:t>
            </m:r>
          </m:e>
          <m:sub>
            <m:r>
              <w:rPr>
                <w:rFonts w:ascii="Cambria Math" w:hAnsi="Cambria Math"/>
                <w:sz w:val="20"/>
                <w:szCs w:val="20"/>
                <w:lang w:val="en-CA"/>
              </w:rPr>
              <m:t>U</m:t>
            </m:r>
          </m:sub>
        </m:sSub>
      </m:oMath>
      <w:r w:rsidR="009B1BC0" w:rsidRPr="00A93CD2">
        <w:rPr>
          <w:rFonts w:ascii="Palatino Linotype" w:hAnsi="Palatino Linotype"/>
          <w:sz w:val="20"/>
          <w:szCs w:val="20"/>
          <w:lang w:val="en-CA"/>
        </w:rPr>
        <w:t xml:space="preserve"> exists and is positive) </w:t>
      </w:r>
      <w:r w:rsidRPr="00A93CD2">
        <w:rPr>
          <w:rFonts w:ascii="Palatino Linotype" w:hAnsi="Palatino Linotype"/>
          <w:sz w:val="20"/>
          <w:szCs w:val="20"/>
          <w:lang w:val="en-CA"/>
        </w:rPr>
        <w:t>indicates a higher chance than normal to</w:t>
      </w:r>
      <w:r w:rsidR="00FA7680" w:rsidRPr="00A93CD2">
        <w:rPr>
          <w:rFonts w:ascii="Palatino Linotype" w:hAnsi="Palatino Linotype"/>
          <w:sz w:val="20"/>
          <w:szCs w:val="20"/>
          <w:lang w:val="en-CA"/>
        </w:rPr>
        <w:t xml:space="preserve"> observe both extreme realizations of variable</w:t>
      </w:r>
      <w:r w:rsidR="009B1BC0" w:rsidRPr="00A93CD2">
        <w:rPr>
          <w:rFonts w:ascii="Palatino Linotype" w:hAnsi="Palatino Linotype"/>
          <w:sz w:val="20"/>
          <w:szCs w:val="20"/>
          <w:lang w:val="en-CA"/>
        </w:rPr>
        <w:t xml:space="preserve"> </w:t>
      </w:r>
      <m:oMath>
        <m:r>
          <w:rPr>
            <w:rFonts w:ascii="Cambria Math" w:hAnsi="Cambria Math"/>
            <w:sz w:val="20"/>
            <w:szCs w:val="20"/>
            <w:lang w:val="en-CA"/>
          </w:rPr>
          <m:t>U</m:t>
        </m:r>
      </m:oMath>
      <w:r w:rsidR="00FA7680" w:rsidRPr="00A93CD2">
        <w:rPr>
          <w:rFonts w:ascii="Palatino Linotype" w:hAnsi="Palatino Linotype"/>
          <w:sz w:val="20"/>
          <w:szCs w:val="20"/>
          <w:lang w:val="en-CA"/>
        </w:rPr>
        <w:t xml:space="preserve"> and</w:t>
      </w:r>
      <w:r w:rsidR="009B1BC0" w:rsidRPr="00A93CD2">
        <w:rPr>
          <w:rFonts w:ascii="Palatino Linotype" w:hAnsi="Palatino Linotype"/>
          <w:sz w:val="20"/>
          <w:szCs w:val="20"/>
          <w:lang w:val="en-CA"/>
        </w:rPr>
        <w:t xml:space="preserve"> </w:t>
      </w:r>
      <m:oMath>
        <m:r>
          <w:rPr>
            <w:rFonts w:ascii="Cambria Math" w:hAnsi="Cambria Math"/>
            <w:sz w:val="20"/>
            <w:szCs w:val="20"/>
            <w:lang w:val="en-CA"/>
          </w:rPr>
          <m:t>V</m:t>
        </m:r>
      </m:oMath>
      <w:r w:rsidR="00FA7680" w:rsidRPr="00A93CD2">
        <w:rPr>
          <w:rFonts w:ascii="Palatino Linotype" w:hAnsi="Palatino Linotype"/>
          <w:sz w:val="20"/>
          <w:szCs w:val="20"/>
          <w:lang w:val="en-CA"/>
        </w:rPr>
        <w:t xml:space="preserve"> for u arbitrarily close to 1.</w:t>
      </w:r>
      <w:r w:rsidR="009B1BC0" w:rsidRPr="00A93CD2">
        <w:rPr>
          <w:rFonts w:ascii="Palatino Linotype" w:hAnsi="Palatino Linotype"/>
          <w:sz w:val="20"/>
          <w:szCs w:val="20"/>
          <w:lang w:val="en-CA"/>
        </w:rPr>
        <w:t xml:space="preserve"> </w:t>
      </w:r>
      <w:r w:rsidR="00133C31" w:rsidRPr="00A93CD2">
        <w:rPr>
          <w:rFonts w:ascii="Palatino Linotype" w:hAnsi="Palatino Linotype"/>
          <w:sz w:val="20"/>
          <w:szCs w:val="20"/>
          <w:lang w:val="en-CA"/>
        </w:rPr>
        <w:t xml:space="preserve">Similarly, a lower tail dependence coefficient is defined as following equation A.3 but for the lower quadrant of the joint distribution. </w:t>
      </w:r>
      <w:r w:rsidR="0097495D">
        <w:rPr>
          <w:rFonts w:ascii="Palatino Linotype" w:hAnsi="Palatino Linotype"/>
          <w:sz w:val="20"/>
          <w:szCs w:val="20"/>
          <w:lang w:val="en-CA"/>
        </w:rPr>
        <w:t>T</w:t>
      </w:r>
      <w:r w:rsidR="003D32A1" w:rsidRPr="00A93CD2">
        <w:rPr>
          <w:rFonts w:ascii="Palatino Linotype" w:hAnsi="Palatino Linotype"/>
          <w:sz w:val="20"/>
          <w:szCs w:val="20"/>
          <w:lang w:val="en-CA"/>
        </w:rPr>
        <w:t xml:space="preserve">o cover a wide range of dependencies, we compare the Gaussian copula, </w:t>
      </w:r>
      <w:r w:rsidR="0097495D">
        <w:rPr>
          <w:rFonts w:ascii="Palatino Linotype" w:hAnsi="Palatino Linotype"/>
          <w:sz w:val="20"/>
          <w:szCs w:val="20"/>
          <w:lang w:val="en-CA"/>
        </w:rPr>
        <w:t xml:space="preserve">which exhibits no tail dependence, </w:t>
      </w:r>
      <w:r w:rsidR="003D32A1" w:rsidRPr="00A93CD2">
        <w:rPr>
          <w:rFonts w:ascii="Palatino Linotype" w:hAnsi="Palatino Linotype"/>
          <w:sz w:val="20"/>
          <w:szCs w:val="20"/>
          <w:lang w:val="en-CA"/>
        </w:rPr>
        <w:t>with the Gumbel copula and the Clayton copula, which exhibit</w:t>
      </w:r>
      <w:r w:rsidR="0097495D">
        <w:rPr>
          <w:rFonts w:ascii="Palatino Linotype" w:hAnsi="Palatino Linotype"/>
          <w:sz w:val="20"/>
          <w:szCs w:val="20"/>
          <w:lang w:val="en-CA"/>
        </w:rPr>
        <w:t xml:space="preserve"> </w:t>
      </w:r>
      <w:r w:rsidR="003D32A1" w:rsidRPr="00A93CD2">
        <w:rPr>
          <w:rFonts w:ascii="Palatino Linotype" w:hAnsi="Palatino Linotype"/>
          <w:sz w:val="20"/>
          <w:szCs w:val="20"/>
          <w:lang w:val="en-CA"/>
        </w:rPr>
        <w:t>upper tail</w:t>
      </w:r>
      <w:r w:rsidR="00133C31" w:rsidRPr="00A93CD2">
        <w:rPr>
          <w:rFonts w:ascii="Palatino Linotype" w:hAnsi="Palatino Linotype"/>
          <w:sz w:val="20"/>
          <w:szCs w:val="20"/>
          <w:lang w:val="en-CA"/>
        </w:rPr>
        <w:t xml:space="preserve"> </w:t>
      </w:r>
      <w:r w:rsidR="003D32A1" w:rsidRPr="00A93CD2">
        <w:rPr>
          <w:rFonts w:ascii="Palatino Linotype" w:hAnsi="Palatino Linotype"/>
          <w:sz w:val="20"/>
          <w:szCs w:val="20"/>
          <w:lang w:val="en-CA"/>
        </w:rPr>
        <w:t>and lower tail</w:t>
      </w:r>
      <w:r w:rsidR="00133C31" w:rsidRPr="00A93CD2">
        <w:rPr>
          <w:rFonts w:ascii="Palatino Linotype" w:hAnsi="Palatino Linotype"/>
          <w:sz w:val="20"/>
          <w:szCs w:val="20"/>
          <w:lang w:val="en-CA"/>
        </w:rPr>
        <w:t xml:space="preserve"> </w:t>
      </w:r>
      <w:r w:rsidR="003D32A1" w:rsidRPr="00A93CD2">
        <w:rPr>
          <w:rFonts w:ascii="Palatino Linotype" w:hAnsi="Palatino Linotype"/>
          <w:sz w:val="20"/>
          <w:szCs w:val="20"/>
          <w:lang w:val="en-CA"/>
        </w:rPr>
        <w:t>dependence</w:t>
      </w:r>
      <w:r w:rsidR="0097495D">
        <w:rPr>
          <w:rFonts w:ascii="Palatino Linotype" w:hAnsi="Palatino Linotype"/>
          <w:sz w:val="20"/>
          <w:szCs w:val="20"/>
          <w:lang w:val="en-CA"/>
        </w:rPr>
        <w:t xml:space="preserve">, </w:t>
      </w:r>
      <w:r w:rsidR="003D32A1" w:rsidRPr="00A93CD2">
        <w:rPr>
          <w:rFonts w:ascii="Palatino Linotype" w:hAnsi="Palatino Linotype"/>
          <w:sz w:val="20"/>
          <w:szCs w:val="20"/>
          <w:lang w:val="en-CA"/>
        </w:rPr>
        <w:t xml:space="preserve">respectively. </w:t>
      </w:r>
      <w:r w:rsidR="0046593B" w:rsidRPr="00A93CD2">
        <w:rPr>
          <w:rFonts w:ascii="Palatino Linotype" w:hAnsi="Palatino Linotype"/>
          <w:sz w:val="20"/>
          <w:szCs w:val="20"/>
          <w:lang w:val="en-CA"/>
        </w:rPr>
        <w:t>As a reminder, the Gaussian copula, presented in sectio</w:t>
      </w:r>
      <w:r w:rsidR="0046593B" w:rsidRPr="00EA6352">
        <w:rPr>
          <w:rFonts w:ascii="Palatino Linotype" w:hAnsi="Palatino Linotype"/>
          <w:sz w:val="20"/>
          <w:szCs w:val="20"/>
          <w:lang w:val="en-CA"/>
        </w:rPr>
        <w:t xml:space="preserve">n </w:t>
      </w:r>
      <w:r w:rsidR="00EA6352" w:rsidRPr="00EA6352">
        <w:rPr>
          <w:rFonts w:ascii="Palatino Linotype" w:hAnsi="Palatino Linotype"/>
          <w:sz w:val="20"/>
          <w:szCs w:val="20"/>
          <w:lang w:val="en-CA"/>
        </w:rPr>
        <w:t>2.1</w:t>
      </w:r>
      <w:r w:rsidR="004E22E9" w:rsidRPr="00EA6352">
        <w:rPr>
          <w:rFonts w:ascii="Palatino Linotype" w:hAnsi="Palatino Linotype"/>
          <w:sz w:val="20"/>
          <w:szCs w:val="20"/>
          <w:lang w:val="en-CA"/>
        </w:rPr>
        <w:t>,</w:t>
      </w:r>
      <w:r w:rsidR="0046593B" w:rsidRPr="00EA6352">
        <w:rPr>
          <w:rFonts w:ascii="Palatino Linotype" w:hAnsi="Palatino Linotype"/>
          <w:sz w:val="20"/>
          <w:szCs w:val="20"/>
          <w:lang w:val="en-CA"/>
        </w:rPr>
        <w:t xml:space="preserve"> i</w:t>
      </w:r>
      <w:r w:rsidR="0046593B" w:rsidRPr="00A93CD2">
        <w:rPr>
          <w:rFonts w:ascii="Palatino Linotype" w:hAnsi="Palatino Linotype"/>
          <w:sz w:val="20"/>
          <w:szCs w:val="20"/>
          <w:lang w:val="en-CA"/>
        </w:rPr>
        <w:t>s as follows:</w:t>
      </w:r>
    </w:p>
    <w:p w14:paraId="60EB1611" w14:textId="77777777" w:rsidR="00CA6192" w:rsidRPr="00A93CD2" w:rsidRDefault="00CA6192" w:rsidP="00936D87">
      <w:pPr>
        <w:spacing w:after="0"/>
        <w:jc w:val="both"/>
        <w:rPr>
          <w:rFonts w:ascii="Palatino Linotype" w:hAnsi="Palatino Linotype"/>
          <w:sz w:val="20"/>
          <w:szCs w:val="20"/>
          <w:lang w:val="en-C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CA6192" w:rsidRPr="00A93CD2" w14:paraId="60EB1615" w14:textId="77777777" w:rsidTr="00CA6192">
        <w:trPr>
          <w:jc w:val="center"/>
        </w:trPr>
        <w:tc>
          <w:tcPr>
            <w:tcW w:w="392" w:type="dxa"/>
            <w:vAlign w:val="center"/>
          </w:tcPr>
          <w:p w14:paraId="60EB1612" w14:textId="77777777" w:rsidR="00CA6192" w:rsidRPr="00A93CD2" w:rsidRDefault="00CA6192" w:rsidP="00CA6192">
            <w:pPr>
              <w:spacing w:line="276" w:lineRule="auto"/>
              <w:jc w:val="both"/>
              <w:rPr>
                <w:rFonts w:ascii="Palatino Linotype" w:hAnsi="Palatino Linotype"/>
                <w:sz w:val="20"/>
                <w:szCs w:val="20"/>
                <w:lang w:val="en-CA"/>
              </w:rPr>
            </w:pPr>
          </w:p>
        </w:tc>
        <w:tc>
          <w:tcPr>
            <w:tcW w:w="7938" w:type="dxa"/>
            <w:vAlign w:val="center"/>
          </w:tcPr>
          <w:p w14:paraId="60EB1613" w14:textId="5BF50BF6" w:rsidR="00CA6192" w:rsidRPr="00A93CD2" w:rsidRDefault="00F26203" w:rsidP="00CA6192">
            <w:pPr>
              <w:spacing w:line="276" w:lineRule="auto"/>
              <w:jc w:val="center"/>
              <w:rPr>
                <w:rFonts w:ascii="Palatino Linotype" w:hAnsi="Palatino Linotype"/>
                <w:sz w:val="20"/>
                <w:szCs w:val="20"/>
              </w:rPr>
            </w:pPr>
            <m:oMathPara>
              <m:oMath>
                <m:sSub>
                  <m:sSubPr>
                    <m:ctrlPr>
                      <w:rPr>
                        <w:rFonts w:ascii="Cambria Math" w:hAnsi="Cambria Math"/>
                        <w:sz w:val="20"/>
                        <w:szCs w:val="20"/>
                        <w:lang w:val="en-CA"/>
                      </w:rPr>
                    </m:ctrlPr>
                  </m:sSubPr>
                  <m:e>
                    <m:r>
                      <m:rPr>
                        <m:nor/>
                      </m:rPr>
                      <w:rPr>
                        <w:rFonts w:ascii="Palatino Linotype" w:hAnsi="Palatino Linotype"/>
                        <w:sz w:val="20"/>
                        <w:szCs w:val="20"/>
                      </w:rPr>
                      <m:t>C</m:t>
                    </m:r>
                  </m:e>
                  <m:sub>
                    <m:r>
                      <m:rPr>
                        <m:sty m:val="p"/>
                      </m:rPr>
                      <w:rPr>
                        <w:rFonts w:ascii="Cambria Math" w:hAnsi="Cambria Math"/>
                        <w:sz w:val="20"/>
                        <w:szCs w:val="20"/>
                        <w:lang w:val="en-CA"/>
                      </w:rPr>
                      <m:t>ρ</m:t>
                    </m:r>
                  </m:sub>
                </m:sSub>
                <m:d>
                  <m:dPr>
                    <m:ctrlPr>
                      <w:rPr>
                        <w:rFonts w:ascii="Cambria Math" w:hAnsi="Cambria Math"/>
                        <w:sz w:val="20"/>
                        <w:szCs w:val="20"/>
                        <w:lang w:val="en-CA"/>
                      </w:rPr>
                    </m:ctrlPr>
                  </m:dPr>
                  <m:e>
                    <m:r>
                      <m:rPr>
                        <m:sty m:val="p"/>
                      </m:rPr>
                      <w:rPr>
                        <w:rFonts w:ascii="Cambria Math" w:hAnsi="Cambria Math"/>
                        <w:sz w:val="20"/>
                        <w:szCs w:val="20"/>
                      </w:rPr>
                      <m:t>u,v</m:t>
                    </m:r>
                  </m:e>
                </m:d>
                <m:r>
                  <m:rPr>
                    <m:sty m:val="p"/>
                  </m:rPr>
                  <w:rPr>
                    <w:rFonts w:ascii="Cambria Math" w:hAnsi="Cambria Math"/>
                    <w:sz w:val="20"/>
                    <w:szCs w:val="20"/>
                  </w:rPr>
                  <m:t xml:space="preserve">= </m:t>
                </m:r>
                <m:sSub>
                  <m:sSubPr>
                    <m:ctrlPr>
                      <w:rPr>
                        <w:rFonts w:ascii="Cambria Math" w:hAnsi="Cambria Math"/>
                        <w:sz w:val="20"/>
                        <w:szCs w:val="20"/>
                        <w:lang w:val="en-CA"/>
                      </w:rPr>
                    </m:ctrlPr>
                  </m:sSubPr>
                  <m:e>
                    <m:r>
                      <m:rPr>
                        <m:sty m:val="p"/>
                      </m:rPr>
                      <w:rPr>
                        <w:rFonts w:ascii="Cambria Math" w:hAnsi="Cambria Math"/>
                        <w:sz w:val="20"/>
                        <w:szCs w:val="20"/>
                        <w:lang w:val="en-CA"/>
                      </w:rPr>
                      <m:t>Φ</m:t>
                    </m:r>
                  </m:e>
                  <m:sub>
                    <m:r>
                      <m:rPr>
                        <m:sty m:val="p"/>
                      </m:rPr>
                      <w:rPr>
                        <w:rFonts w:ascii="Cambria Math" w:hAnsi="Cambria Math"/>
                        <w:sz w:val="20"/>
                        <w:szCs w:val="20"/>
                        <w:lang w:val="en-CA"/>
                      </w:rPr>
                      <m:t>ρ</m:t>
                    </m:r>
                  </m:sub>
                </m:sSub>
                <m:d>
                  <m:dPr>
                    <m:ctrlPr>
                      <w:rPr>
                        <w:rFonts w:ascii="Cambria Math" w:hAnsi="Cambria Math"/>
                        <w:sz w:val="20"/>
                        <w:szCs w:val="20"/>
                        <w:lang w:val="en-CA"/>
                      </w:rPr>
                    </m:ctrlPr>
                  </m:dPr>
                  <m:e>
                    <m:sSup>
                      <m:sSupPr>
                        <m:ctrlPr>
                          <w:rPr>
                            <w:rFonts w:ascii="Cambria Math" w:hAnsi="Cambria Math"/>
                            <w:sz w:val="20"/>
                            <w:szCs w:val="20"/>
                            <w:lang w:val="en-CA"/>
                          </w:rPr>
                        </m:ctrlPr>
                      </m:sSupPr>
                      <m:e>
                        <m:r>
                          <m:rPr>
                            <m:sty m:val="p"/>
                          </m:rPr>
                          <w:rPr>
                            <w:rFonts w:ascii="Cambria Math" w:hAnsi="Cambria Math"/>
                            <w:sz w:val="20"/>
                            <w:szCs w:val="20"/>
                            <w:lang w:val="en-CA"/>
                          </w:rPr>
                          <m:t>Φ</m:t>
                        </m:r>
                      </m:e>
                      <m:sup>
                        <m:r>
                          <m:rPr>
                            <m:sty m:val="p"/>
                          </m:rPr>
                          <w:rPr>
                            <w:rFonts w:ascii="Cambria Math" w:hAnsi="Cambria Math"/>
                            <w:sz w:val="20"/>
                            <w:szCs w:val="20"/>
                          </w:rPr>
                          <m:t>-1</m:t>
                        </m:r>
                      </m:sup>
                    </m:sSup>
                    <m:d>
                      <m:dPr>
                        <m:ctrlPr>
                          <w:rPr>
                            <w:rFonts w:ascii="Cambria Math" w:hAnsi="Cambria Math"/>
                            <w:sz w:val="20"/>
                            <w:szCs w:val="20"/>
                            <w:lang w:val="en-CA"/>
                          </w:rPr>
                        </m:ctrlPr>
                      </m:dPr>
                      <m:e>
                        <m:r>
                          <m:rPr>
                            <m:nor/>
                          </m:rPr>
                          <w:rPr>
                            <w:rFonts w:ascii="Palatino Linotype" w:hAnsi="Palatino Linotype"/>
                            <w:sz w:val="20"/>
                            <w:szCs w:val="20"/>
                          </w:rPr>
                          <m:t>u</m:t>
                        </m:r>
                      </m:e>
                    </m:d>
                    <m:r>
                      <m:rPr>
                        <m:sty m:val="p"/>
                      </m:rPr>
                      <w:rPr>
                        <w:rFonts w:ascii="Cambria Math" w:hAnsi="Cambria Math"/>
                        <w:sz w:val="20"/>
                        <w:szCs w:val="20"/>
                      </w:rPr>
                      <m:t xml:space="preserve">, </m:t>
                    </m:r>
                    <m:sSup>
                      <m:sSupPr>
                        <m:ctrlPr>
                          <w:rPr>
                            <w:rFonts w:ascii="Cambria Math" w:hAnsi="Cambria Math"/>
                            <w:sz w:val="20"/>
                            <w:szCs w:val="20"/>
                            <w:lang w:val="en-CA"/>
                          </w:rPr>
                        </m:ctrlPr>
                      </m:sSupPr>
                      <m:e>
                        <m:r>
                          <m:rPr>
                            <m:sty m:val="p"/>
                          </m:rPr>
                          <w:rPr>
                            <w:rFonts w:ascii="Cambria Math" w:hAnsi="Cambria Math"/>
                            <w:sz w:val="20"/>
                            <w:szCs w:val="20"/>
                            <w:lang w:val="en-CA"/>
                          </w:rPr>
                          <m:t>Φ</m:t>
                        </m:r>
                      </m:e>
                      <m:sup>
                        <m:r>
                          <m:rPr>
                            <m:sty m:val="p"/>
                          </m:rPr>
                          <w:rPr>
                            <w:rFonts w:ascii="Cambria Math" w:hAnsi="Cambria Math"/>
                            <w:sz w:val="20"/>
                            <w:szCs w:val="20"/>
                          </w:rPr>
                          <m:t>-1</m:t>
                        </m:r>
                      </m:sup>
                    </m:sSup>
                    <m:d>
                      <m:dPr>
                        <m:ctrlPr>
                          <w:rPr>
                            <w:rFonts w:ascii="Cambria Math" w:hAnsi="Cambria Math"/>
                            <w:sz w:val="20"/>
                            <w:szCs w:val="20"/>
                            <w:lang w:val="en-CA"/>
                          </w:rPr>
                        </m:ctrlPr>
                      </m:dPr>
                      <m:e>
                        <m:r>
                          <m:rPr>
                            <m:nor/>
                          </m:rPr>
                          <w:rPr>
                            <w:rFonts w:ascii="Palatino Linotype" w:hAnsi="Palatino Linotype"/>
                            <w:sz w:val="20"/>
                            <w:szCs w:val="20"/>
                          </w:rPr>
                          <m:t>v</m:t>
                        </m:r>
                      </m:e>
                    </m:d>
                  </m:e>
                </m:d>
                <m:r>
                  <m:rPr>
                    <m:sty m:val="p"/>
                  </m:rPr>
                  <w:rPr>
                    <w:rFonts w:ascii="Cambria Math" w:hAnsi="Cambria Math"/>
                    <w:sz w:val="20"/>
                    <w:szCs w:val="20"/>
                  </w:rPr>
                  <m:t>,      (</m:t>
                </m:r>
                <m:r>
                  <m:rPr>
                    <m:nor/>
                  </m:rPr>
                  <w:rPr>
                    <w:rFonts w:ascii="Palatino Linotype" w:hAnsi="Palatino Linotype"/>
                    <w:sz w:val="20"/>
                    <w:szCs w:val="20"/>
                  </w:rPr>
                  <m:t>u,v</m:t>
                </m:r>
                <m:r>
                  <m:rPr>
                    <m:sty m:val="p"/>
                  </m:rPr>
                  <w:rPr>
                    <w:rFonts w:ascii="Cambria Math" w:hAnsi="Cambria Math"/>
                    <w:sz w:val="20"/>
                    <w:szCs w:val="20"/>
                  </w:rPr>
                  <m:t xml:space="preserve">)∈ </m:t>
                </m:r>
                <m:sSup>
                  <m:sSupPr>
                    <m:ctrlPr>
                      <w:rPr>
                        <w:rFonts w:ascii="Cambria Math" w:hAnsi="Cambria Math"/>
                        <w:sz w:val="20"/>
                        <w:szCs w:val="20"/>
                        <w:lang w:val="en-CA"/>
                      </w:rPr>
                    </m:ctrlPr>
                  </m:sSupPr>
                  <m:e>
                    <m:d>
                      <m:dPr>
                        <m:begChr m:val="["/>
                        <m:endChr m:val="]"/>
                        <m:ctrlPr>
                          <w:rPr>
                            <w:rFonts w:ascii="Cambria Math" w:hAnsi="Cambria Math"/>
                            <w:sz w:val="20"/>
                            <w:szCs w:val="20"/>
                            <w:lang w:val="en-CA"/>
                          </w:rPr>
                        </m:ctrlPr>
                      </m:dPr>
                      <m:e>
                        <m:r>
                          <m:rPr>
                            <m:sty m:val="p"/>
                          </m:rPr>
                          <w:rPr>
                            <w:rFonts w:ascii="Cambria Math" w:hAnsi="Cambria Math"/>
                            <w:sz w:val="20"/>
                            <w:szCs w:val="20"/>
                          </w:rPr>
                          <m:t>0,1</m:t>
                        </m:r>
                      </m:e>
                    </m:d>
                  </m:e>
                  <m:sup>
                    <m:r>
                      <m:rPr>
                        <m:sty m:val="p"/>
                      </m:rPr>
                      <w:rPr>
                        <w:rFonts w:ascii="Cambria Math" w:hAnsi="Cambria Math"/>
                        <w:sz w:val="20"/>
                        <w:szCs w:val="20"/>
                      </w:rPr>
                      <m:t>2</m:t>
                    </m:r>
                  </m:sup>
                </m:sSup>
              </m:oMath>
            </m:oMathPara>
          </w:p>
        </w:tc>
        <w:tc>
          <w:tcPr>
            <w:tcW w:w="882" w:type="dxa"/>
            <w:vAlign w:val="center"/>
          </w:tcPr>
          <w:p w14:paraId="60EB1614" w14:textId="2EA02E3C" w:rsidR="00CA6192" w:rsidRPr="00A93CD2" w:rsidRDefault="00CA6192" w:rsidP="00CA6192">
            <w:pPr>
              <w:spacing w:line="276" w:lineRule="auto"/>
              <w:jc w:val="both"/>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009D4546"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4</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616" w14:textId="77777777" w:rsidR="00CA6192" w:rsidRPr="00A93CD2" w:rsidRDefault="00CA6192" w:rsidP="00936D87">
      <w:pPr>
        <w:spacing w:after="0"/>
        <w:jc w:val="both"/>
        <w:rPr>
          <w:rFonts w:ascii="Palatino Linotype" w:hAnsi="Palatino Linotype"/>
          <w:sz w:val="20"/>
          <w:szCs w:val="20"/>
          <w:lang w:val="en-CA"/>
        </w:rPr>
      </w:pPr>
    </w:p>
    <w:p w14:paraId="60EB1617" w14:textId="77777777" w:rsidR="00936D87" w:rsidRPr="00A93CD2" w:rsidRDefault="00CA6192" w:rsidP="00936D87">
      <w:pPr>
        <w:spacing w:after="0"/>
        <w:jc w:val="both"/>
        <w:rPr>
          <w:rFonts w:ascii="Palatino Linotype" w:hAnsi="Palatino Linotype"/>
          <w:sz w:val="20"/>
          <w:szCs w:val="20"/>
          <w:lang w:val="en-CA"/>
        </w:rPr>
      </w:pPr>
      <w:r w:rsidRPr="00A93CD2">
        <w:rPr>
          <w:rFonts w:ascii="Palatino Linotype" w:hAnsi="Palatino Linotype"/>
          <w:sz w:val="20"/>
          <w:szCs w:val="20"/>
          <w:lang w:val="en-CA"/>
        </w:rPr>
        <w:t xml:space="preserve">where </w:t>
      </w:r>
      <m:oMath>
        <m:sSup>
          <m:sSupPr>
            <m:ctrlPr>
              <w:rPr>
                <w:rFonts w:ascii="Cambria Math" w:hAnsi="Cambria Math"/>
                <w:sz w:val="20"/>
                <w:szCs w:val="20"/>
                <w:lang w:val="en-CA"/>
              </w:rPr>
            </m:ctrlPr>
          </m:sSupPr>
          <m:e>
            <m:r>
              <m:rPr>
                <m:sty m:val="p"/>
              </m:rPr>
              <w:rPr>
                <w:rFonts w:ascii="Cambria Math" w:hAnsi="Cambria Math"/>
                <w:sz w:val="20"/>
                <w:szCs w:val="20"/>
                <w:lang w:val="en-CA"/>
              </w:rPr>
              <m:t>Φ</m:t>
            </m:r>
          </m:e>
          <m:sup>
            <m:r>
              <m:rPr>
                <m:sty m:val="p"/>
              </m:rPr>
              <w:rPr>
                <w:rFonts w:ascii="Cambria Math" w:hAnsi="Cambria Math"/>
                <w:sz w:val="20"/>
                <w:szCs w:val="20"/>
                <w:lang w:val="en-CA"/>
              </w:rPr>
              <m:t>-1</m:t>
            </m:r>
          </m:sup>
        </m:sSup>
      </m:oMath>
      <w:r w:rsidRPr="00A93CD2">
        <w:rPr>
          <w:rFonts w:ascii="Palatino Linotype" w:hAnsi="Palatino Linotype"/>
          <w:sz w:val="20"/>
          <w:szCs w:val="20"/>
          <w:lang w:val="en-CA"/>
        </w:rPr>
        <w:t xml:space="preserve"> is the inverse of the univariate standard normal distribution, and </w:t>
      </w:r>
      <m:oMath>
        <m:sSub>
          <m:sSubPr>
            <m:ctrlPr>
              <w:rPr>
                <w:rFonts w:ascii="Cambria Math" w:hAnsi="Cambria Math"/>
                <w:sz w:val="20"/>
                <w:szCs w:val="20"/>
                <w:lang w:val="en-CA"/>
              </w:rPr>
            </m:ctrlPr>
          </m:sSubPr>
          <m:e>
            <m:r>
              <m:rPr>
                <m:sty m:val="p"/>
              </m:rPr>
              <w:rPr>
                <w:rFonts w:ascii="Cambria Math" w:hAnsi="Cambria Math"/>
                <w:sz w:val="20"/>
                <w:szCs w:val="20"/>
                <w:lang w:val="en-CA"/>
              </w:rPr>
              <m:t>Φ</m:t>
            </m:r>
          </m:e>
          <m:sub>
            <m:r>
              <m:rPr>
                <m:sty m:val="p"/>
              </m:rPr>
              <w:rPr>
                <w:rFonts w:ascii="Cambria Math" w:hAnsi="Cambria Math"/>
                <w:sz w:val="20"/>
                <w:szCs w:val="20"/>
                <w:lang w:val="en-CA"/>
              </w:rPr>
              <m:t>ρ</m:t>
            </m:r>
          </m:sub>
        </m:sSub>
      </m:oMath>
      <w:r w:rsidRPr="00A93CD2">
        <w:rPr>
          <w:rFonts w:ascii="Palatino Linotype" w:hAnsi="Palatino Linotype"/>
          <w:sz w:val="20"/>
          <w:szCs w:val="20"/>
          <w:lang w:val="en-CA"/>
        </w:rPr>
        <w:t xml:space="preserve"> is the bivariate Gaussian cumulative distribution function with the Pearson’s product moment correlation </w:t>
      </w:r>
      <m:oMath>
        <m:r>
          <w:rPr>
            <w:rFonts w:ascii="Cambria Math" w:hAnsi="Cambria Math"/>
            <w:sz w:val="20"/>
            <w:szCs w:val="20"/>
            <w:lang w:val="en-CA"/>
          </w:rPr>
          <m:t>ρ</m:t>
        </m:r>
      </m:oMath>
      <w:r w:rsidRPr="00A93CD2">
        <w:rPr>
          <w:rFonts w:ascii="Palatino Linotype" w:hAnsi="Palatino Linotype"/>
          <w:sz w:val="20"/>
          <w:szCs w:val="20"/>
          <w:lang w:val="en-CA"/>
        </w:rPr>
        <w:t xml:space="preserve">. </w:t>
      </w:r>
      <w:r w:rsidR="00936D87" w:rsidRPr="00A93CD2">
        <w:rPr>
          <w:rFonts w:ascii="Palatino Linotype" w:hAnsi="Palatino Linotype"/>
          <w:sz w:val="20"/>
          <w:szCs w:val="20"/>
          <w:lang w:val="en-CA"/>
        </w:rPr>
        <w:t>The Gu</w:t>
      </w:r>
      <w:r w:rsidR="00133C31" w:rsidRPr="00A93CD2">
        <w:rPr>
          <w:rFonts w:ascii="Palatino Linotype" w:hAnsi="Palatino Linotype"/>
          <w:sz w:val="20"/>
          <w:szCs w:val="20"/>
          <w:lang w:val="en-CA"/>
        </w:rPr>
        <w:t>mbel copula is</w:t>
      </w:r>
      <w:r w:rsidR="00936D87" w:rsidRPr="00A93CD2">
        <w:rPr>
          <w:rFonts w:ascii="Palatino Linotype" w:hAnsi="Palatino Linotype"/>
          <w:sz w:val="20"/>
          <w:szCs w:val="20"/>
          <w:lang w:val="en-CA"/>
        </w:rPr>
        <w:t xml:space="preserve"> parametrized by </w:t>
      </w:r>
      <m:oMath>
        <m:r>
          <w:rPr>
            <w:rFonts w:ascii="Cambria Math" w:hAnsi="Cambria Math"/>
            <w:sz w:val="20"/>
            <w:szCs w:val="20"/>
            <w:lang w:val="en-CA"/>
          </w:rPr>
          <m:t>α</m:t>
        </m:r>
      </m:oMath>
      <w:r w:rsidR="00936D87" w:rsidRPr="00A93CD2">
        <w:rPr>
          <w:rFonts w:ascii="Palatino Linotype" w:hAnsi="Palatino Linotype"/>
          <w:sz w:val="20"/>
          <w:szCs w:val="20"/>
          <w:lang w:val="en-CA"/>
        </w:rPr>
        <w:t>, is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936D87" w:rsidRPr="00A93CD2" w14:paraId="60EB161B" w14:textId="77777777" w:rsidTr="00CA6192">
        <w:trPr>
          <w:jc w:val="center"/>
        </w:trPr>
        <w:tc>
          <w:tcPr>
            <w:tcW w:w="392" w:type="dxa"/>
            <w:vAlign w:val="center"/>
          </w:tcPr>
          <w:p w14:paraId="60EB1618" w14:textId="77777777" w:rsidR="00936D87" w:rsidRPr="00A93CD2" w:rsidRDefault="00936D87" w:rsidP="00CA6192">
            <w:pPr>
              <w:spacing w:before="240"/>
              <w:jc w:val="center"/>
              <w:rPr>
                <w:rFonts w:ascii="Palatino Linotype" w:hAnsi="Palatino Linotype"/>
                <w:sz w:val="20"/>
                <w:szCs w:val="20"/>
                <w:lang w:val="en-CA"/>
              </w:rPr>
            </w:pPr>
          </w:p>
        </w:tc>
        <w:tc>
          <w:tcPr>
            <w:tcW w:w="7938" w:type="dxa"/>
            <w:vAlign w:val="center"/>
          </w:tcPr>
          <w:p w14:paraId="60EB1619" w14:textId="62D8C7F6" w:rsidR="00936D87" w:rsidRPr="00A93CD2" w:rsidRDefault="00F26203" w:rsidP="00CA6192">
            <w:pPr>
              <w:spacing w:before="240"/>
              <w:ind w:firstLine="708"/>
              <w:rPr>
                <w:rFonts w:ascii="Palatino Linotype" w:hAnsi="Palatino Linotype"/>
                <w:sz w:val="20"/>
                <w:szCs w:val="20"/>
              </w:rPr>
            </w:pPr>
            <m:oMathPara>
              <m:oMath>
                <m:sSub>
                  <m:sSubPr>
                    <m:ctrlPr>
                      <w:rPr>
                        <w:rFonts w:ascii="Cambria Math" w:hAnsi="Cambria Math"/>
                        <w:i/>
                        <w:sz w:val="20"/>
                        <w:szCs w:val="20"/>
                        <w:lang w:val="en-CA"/>
                      </w:rPr>
                    </m:ctrlPr>
                  </m:sSubPr>
                  <m:e>
                    <m:r>
                      <m:rPr>
                        <m:nor/>
                      </m:rPr>
                      <w:rPr>
                        <w:rFonts w:ascii="Palatino Linotype" w:hAnsi="Palatino Linotype"/>
                        <w:sz w:val="20"/>
                        <w:szCs w:val="20"/>
                      </w:rPr>
                      <m:t>C</m:t>
                    </m:r>
                  </m:e>
                  <m:sub>
                    <m:r>
                      <m:rPr>
                        <m:nor/>
                      </m:rPr>
                      <w:rPr>
                        <w:rFonts w:ascii="Palatino Linotype" w:hAnsi="Palatino Linotype"/>
                        <w:sz w:val="20"/>
                        <w:szCs w:val="20"/>
                        <w:lang w:val="en-CA"/>
                      </w:rPr>
                      <m:t>α</m:t>
                    </m:r>
                  </m:sub>
                </m:sSub>
                <m:r>
                  <m:rPr>
                    <m:nor/>
                  </m:rPr>
                  <w:rPr>
                    <w:rFonts w:ascii="Palatino Linotype" w:hAnsi="Palatino Linotype"/>
                    <w:sz w:val="20"/>
                    <w:szCs w:val="20"/>
                  </w:rPr>
                  <m:t>=exp</m:t>
                </m:r>
                <m:d>
                  <m:dPr>
                    <m:begChr m:val="{"/>
                    <m:endChr m:val="}"/>
                    <m:ctrlPr>
                      <w:rPr>
                        <w:rFonts w:ascii="Cambria Math" w:hAnsi="Cambria Math"/>
                        <w:i/>
                        <w:sz w:val="20"/>
                        <w:szCs w:val="20"/>
                        <w:lang w:val="en-CA"/>
                      </w:rPr>
                    </m:ctrlPr>
                  </m:dPr>
                  <m:e>
                    <m:r>
                      <m:rPr>
                        <m:nor/>
                      </m:rPr>
                      <w:rPr>
                        <w:rFonts w:ascii="Palatino Linotype" w:hAnsi="Palatino Linotype"/>
                        <w:sz w:val="20"/>
                        <w:szCs w:val="20"/>
                      </w:rPr>
                      <m:t>-</m:t>
                    </m:r>
                    <m:sSup>
                      <m:sSupPr>
                        <m:ctrlPr>
                          <w:rPr>
                            <w:rFonts w:ascii="Cambria Math" w:hAnsi="Cambria Math"/>
                            <w:i/>
                            <w:sz w:val="20"/>
                            <w:szCs w:val="20"/>
                            <w:lang w:val="en-CA"/>
                          </w:rPr>
                        </m:ctrlPr>
                      </m:sSupPr>
                      <m:e>
                        <m:d>
                          <m:dPr>
                            <m:begChr m:val="["/>
                            <m:endChr m:val="]"/>
                            <m:ctrlPr>
                              <w:rPr>
                                <w:rFonts w:ascii="Cambria Math" w:hAnsi="Cambria Math"/>
                                <w:i/>
                                <w:sz w:val="20"/>
                                <w:szCs w:val="20"/>
                                <w:lang w:val="en-CA"/>
                              </w:rPr>
                            </m:ctrlPr>
                          </m:dPr>
                          <m:e>
                            <m:sSup>
                              <m:sSupPr>
                                <m:ctrlPr>
                                  <w:rPr>
                                    <w:rFonts w:ascii="Cambria Math" w:hAnsi="Cambria Math"/>
                                    <w:i/>
                                    <w:sz w:val="20"/>
                                    <w:szCs w:val="20"/>
                                    <w:lang w:val="en-CA"/>
                                  </w:rPr>
                                </m:ctrlPr>
                              </m:sSupPr>
                              <m:e>
                                <m:d>
                                  <m:dPr>
                                    <m:ctrlPr>
                                      <w:rPr>
                                        <w:rFonts w:ascii="Cambria Math" w:hAnsi="Cambria Math"/>
                                        <w:i/>
                                        <w:sz w:val="20"/>
                                        <w:szCs w:val="20"/>
                                        <w:lang w:val="en-CA"/>
                                      </w:rPr>
                                    </m:ctrlPr>
                                  </m:dPr>
                                  <m:e>
                                    <m:r>
                                      <m:rPr>
                                        <m:nor/>
                                      </m:rPr>
                                      <w:rPr>
                                        <w:rFonts w:ascii="Palatino Linotype" w:hAnsi="Palatino Linotype"/>
                                        <w:sz w:val="20"/>
                                        <w:szCs w:val="20"/>
                                      </w:rPr>
                                      <m:t>-</m:t>
                                    </m:r>
                                    <m:func>
                                      <m:funcPr>
                                        <m:ctrlPr>
                                          <w:rPr>
                                            <w:rFonts w:ascii="Cambria Math" w:hAnsi="Cambria Math"/>
                                            <w:i/>
                                            <w:sz w:val="20"/>
                                            <w:szCs w:val="20"/>
                                            <w:lang w:val="en-CA"/>
                                          </w:rPr>
                                        </m:ctrlPr>
                                      </m:funcPr>
                                      <m:fName>
                                        <m:r>
                                          <m:rPr>
                                            <m:nor/>
                                          </m:rPr>
                                          <w:rPr>
                                            <w:rFonts w:ascii="Palatino Linotype" w:hAnsi="Palatino Linotype"/>
                                            <w:sz w:val="20"/>
                                            <w:szCs w:val="20"/>
                                          </w:rPr>
                                          <m:t>ln</m:t>
                                        </m:r>
                                      </m:fName>
                                      <m:e>
                                        <m:r>
                                          <m:rPr>
                                            <m:nor/>
                                          </m:rPr>
                                          <w:rPr>
                                            <w:rFonts w:ascii="Palatino Linotype" w:hAnsi="Palatino Linotype"/>
                                            <w:sz w:val="20"/>
                                            <w:szCs w:val="20"/>
                                          </w:rPr>
                                          <m:t>u</m:t>
                                        </m:r>
                                      </m:e>
                                    </m:func>
                                  </m:e>
                                </m:d>
                              </m:e>
                              <m:sup>
                                <m:r>
                                  <m:rPr>
                                    <m:nor/>
                                  </m:rPr>
                                  <w:rPr>
                                    <w:rFonts w:ascii="Palatino Linotype" w:hAnsi="Palatino Linotype"/>
                                    <w:sz w:val="20"/>
                                    <w:szCs w:val="20"/>
                                    <w:lang w:val="en-CA"/>
                                  </w:rPr>
                                  <m:t>α</m:t>
                                </m:r>
                              </m:sup>
                            </m:sSup>
                            <m:r>
                              <m:rPr>
                                <m:nor/>
                              </m:rPr>
                              <w:rPr>
                                <w:rFonts w:ascii="Palatino Linotype" w:hAnsi="Palatino Linotype"/>
                                <w:sz w:val="20"/>
                                <w:szCs w:val="20"/>
                              </w:rPr>
                              <m:t>+</m:t>
                            </m:r>
                            <m:sSup>
                              <m:sSupPr>
                                <m:ctrlPr>
                                  <w:rPr>
                                    <w:rFonts w:ascii="Cambria Math" w:hAnsi="Cambria Math"/>
                                    <w:i/>
                                    <w:sz w:val="20"/>
                                    <w:szCs w:val="20"/>
                                    <w:lang w:val="en-CA"/>
                                  </w:rPr>
                                </m:ctrlPr>
                              </m:sSupPr>
                              <m:e>
                                <m:d>
                                  <m:dPr>
                                    <m:ctrlPr>
                                      <w:rPr>
                                        <w:rFonts w:ascii="Cambria Math" w:hAnsi="Cambria Math"/>
                                        <w:i/>
                                        <w:sz w:val="20"/>
                                        <w:szCs w:val="20"/>
                                        <w:lang w:val="en-CA"/>
                                      </w:rPr>
                                    </m:ctrlPr>
                                  </m:dPr>
                                  <m:e>
                                    <m:r>
                                      <m:rPr>
                                        <m:nor/>
                                      </m:rPr>
                                      <w:rPr>
                                        <w:rFonts w:ascii="Palatino Linotype" w:hAnsi="Palatino Linotype"/>
                                        <w:sz w:val="20"/>
                                        <w:szCs w:val="20"/>
                                      </w:rPr>
                                      <m:t>-</m:t>
                                    </m:r>
                                    <m:func>
                                      <m:funcPr>
                                        <m:ctrlPr>
                                          <w:rPr>
                                            <w:rFonts w:ascii="Cambria Math" w:hAnsi="Cambria Math"/>
                                            <w:i/>
                                            <w:sz w:val="20"/>
                                            <w:szCs w:val="20"/>
                                            <w:lang w:val="en-CA"/>
                                          </w:rPr>
                                        </m:ctrlPr>
                                      </m:funcPr>
                                      <m:fName>
                                        <m:r>
                                          <m:rPr>
                                            <m:nor/>
                                          </m:rPr>
                                          <w:rPr>
                                            <w:rFonts w:ascii="Palatino Linotype" w:hAnsi="Palatino Linotype"/>
                                            <w:sz w:val="20"/>
                                            <w:szCs w:val="20"/>
                                          </w:rPr>
                                          <m:t>ln</m:t>
                                        </m:r>
                                      </m:fName>
                                      <m:e>
                                        <m:r>
                                          <m:rPr>
                                            <m:nor/>
                                          </m:rPr>
                                          <w:rPr>
                                            <w:rFonts w:ascii="Palatino Linotype" w:hAnsi="Palatino Linotype"/>
                                            <w:sz w:val="20"/>
                                            <w:szCs w:val="20"/>
                                          </w:rPr>
                                          <m:t>v</m:t>
                                        </m:r>
                                      </m:e>
                                    </m:func>
                                  </m:e>
                                </m:d>
                              </m:e>
                              <m:sup>
                                <m:r>
                                  <m:rPr>
                                    <m:nor/>
                                  </m:rPr>
                                  <w:rPr>
                                    <w:rFonts w:ascii="Palatino Linotype" w:hAnsi="Palatino Linotype"/>
                                    <w:sz w:val="20"/>
                                    <w:szCs w:val="20"/>
                                    <w:lang w:val="en-CA"/>
                                  </w:rPr>
                                  <m:t>α</m:t>
                                </m:r>
                              </m:sup>
                            </m:sSup>
                          </m:e>
                        </m:d>
                      </m:e>
                      <m:sup>
                        <m:f>
                          <m:fPr>
                            <m:type m:val="skw"/>
                            <m:ctrlPr>
                              <w:rPr>
                                <w:rFonts w:ascii="Cambria Math" w:hAnsi="Cambria Math"/>
                                <w:i/>
                                <w:sz w:val="20"/>
                                <w:szCs w:val="20"/>
                                <w:lang w:val="en-CA"/>
                              </w:rPr>
                            </m:ctrlPr>
                          </m:fPr>
                          <m:num>
                            <m:r>
                              <m:rPr>
                                <m:nor/>
                              </m:rPr>
                              <w:rPr>
                                <w:rFonts w:ascii="Palatino Linotype" w:hAnsi="Palatino Linotype"/>
                                <w:sz w:val="20"/>
                                <w:szCs w:val="20"/>
                              </w:rPr>
                              <m:t>1</m:t>
                            </m:r>
                          </m:num>
                          <m:den>
                            <m:r>
                              <m:rPr>
                                <m:nor/>
                              </m:rPr>
                              <w:rPr>
                                <w:rFonts w:ascii="Palatino Linotype" w:hAnsi="Palatino Linotype"/>
                                <w:sz w:val="20"/>
                                <w:szCs w:val="20"/>
                                <w:lang w:val="en-CA"/>
                              </w:rPr>
                              <m:t>α</m:t>
                            </m:r>
                          </m:den>
                        </m:f>
                      </m:sup>
                    </m:sSup>
                  </m:e>
                </m:d>
                <m:r>
                  <w:rPr>
                    <w:rFonts w:ascii="Cambria Math" w:hAnsi="Cambria Math"/>
                    <w:sz w:val="20"/>
                    <w:szCs w:val="20"/>
                  </w:rPr>
                  <m:t xml:space="preserve">, </m:t>
                </m:r>
                <m:r>
                  <w:rPr>
                    <w:rFonts w:ascii="Cambria Math" w:hAnsi="Cambria Math"/>
                    <w:sz w:val="20"/>
                    <w:szCs w:val="20"/>
                    <w:lang w:val="en-CA"/>
                  </w:rPr>
                  <m:t>α</m:t>
                </m:r>
                <m:r>
                  <w:rPr>
                    <w:rFonts w:ascii="Cambria Math" w:hAnsi="Cambria Math"/>
                    <w:sz w:val="20"/>
                    <w:szCs w:val="20"/>
                  </w:rPr>
                  <m:t>≥1</m:t>
                </m:r>
              </m:oMath>
            </m:oMathPara>
          </w:p>
        </w:tc>
        <w:tc>
          <w:tcPr>
            <w:tcW w:w="882" w:type="dxa"/>
            <w:vAlign w:val="center"/>
          </w:tcPr>
          <w:p w14:paraId="60EB161A" w14:textId="5C45FF97" w:rsidR="00936D87" w:rsidRPr="00A93CD2" w:rsidRDefault="00936D87" w:rsidP="00CA6192">
            <w:pPr>
              <w:spacing w:before="240"/>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5</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61C" w14:textId="77777777" w:rsidR="00CA6192" w:rsidRPr="00A93CD2" w:rsidRDefault="00CA6192" w:rsidP="00936D87">
      <w:pPr>
        <w:spacing w:after="0"/>
        <w:jc w:val="both"/>
        <w:rPr>
          <w:rFonts w:ascii="Palatino Linotype" w:hAnsi="Palatino Linotype"/>
          <w:sz w:val="20"/>
          <w:szCs w:val="20"/>
          <w:lang w:val="en-CA"/>
        </w:rPr>
      </w:pPr>
    </w:p>
    <w:p w14:paraId="60EB161D" w14:textId="77777777" w:rsidR="00936D87" w:rsidRPr="00A93CD2" w:rsidRDefault="00936D87" w:rsidP="00936D87">
      <w:pPr>
        <w:spacing w:after="0"/>
        <w:jc w:val="both"/>
        <w:rPr>
          <w:rFonts w:ascii="Palatino Linotype" w:hAnsi="Palatino Linotype"/>
          <w:sz w:val="20"/>
          <w:szCs w:val="20"/>
          <w:lang w:val="en-CA"/>
        </w:rPr>
      </w:pPr>
      <w:r w:rsidRPr="00A93CD2">
        <w:rPr>
          <w:rFonts w:ascii="Palatino Linotype" w:hAnsi="Palatino Linotype"/>
          <w:sz w:val="20"/>
          <w:szCs w:val="20"/>
          <w:lang w:val="en-CA"/>
        </w:rPr>
        <w:t xml:space="preserve">The Clayton copula, parametrized by </w:t>
      </w:r>
      <m:oMath>
        <m:r>
          <w:rPr>
            <w:rFonts w:ascii="Cambria Math" w:hAnsi="Cambria Math"/>
            <w:sz w:val="20"/>
            <w:szCs w:val="20"/>
            <w:lang w:val="en-CA"/>
          </w:rPr>
          <m:t>δ</m:t>
        </m:r>
      </m:oMath>
      <w:r w:rsidRPr="00A93CD2">
        <w:rPr>
          <w:rFonts w:ascii="Palatino Linotype" w:hAnsi="Palatino Linotype"/>
          <w:sz w:val="20"/>
          <w:szCs w:val="20"/>
          <w:lang w:val="en-CA"/>
        </w:rPr>
        <w:t>,</w:t>
      </w:r>
      <w:r w:rsidR="00133C31" w:rsidRPr="00A93CD2">
        <w:rPr>
          <w:rFonts w:ascii="Palatino Linotype" w:hAnsi="Palatino Linotype"/>
          <w:sz w:val="20"/>
          <w:szCs w:val="20"/>
          <w:lang w:val="en-CA"/>
        </w:rPr>
        <w:t xml:space="preserve"> </w:t>
      </w:r>
      <w:r w:rsidRPr="00A93CD2">
        <w:rPr>
          <w:rFonts w:ascii="Palatino Linotype" w:hAnsi="Palatino Linotype"/>
          <w:sz w:val="20"/>
          <w:szCs w:val="20"/>
          <w:lang w:val="en-CA"/>
        </w:rPr>
        <w:t>is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936D87" w:rsidRPr="00A93CD2" w14:paraId="60EB1621" w14:textId="77777777" w:rsidTr="00CA6192">
        <w:trPr>
          <w:jc w:val="center"/>
        </w:trPr>
        <w:tc>
          <w:tcPr>
            <w:tcW w:w="392" w:type="dxa"/>
            <w:vAlign w:val="center"/>
          </w:tcPr>
          <w:p w14:paraId="60EB161E" w14:textId="77777777" w:rsidR="00936D87" w:rsidRPr="00A93CD2" w:rsidRDefault="00936D87" w:rsidP="00133C31">
            <w:pPr>
              <w:jc w:val="center"/>
              <w:rPr>
                <w:rFonts w:ascii="Palatino Linotype" w:hAnsi="Palatino Linotype"/>
                <w:sz w:val="20"/>
                <w:szCs w:val="20"/>
                <w:lang w:val="en-CA"/>
              </w:rPr>
            </w:pPr>
          </w:p>
        </w:tc>
        <w:tc>
          <w:tcPr>
            <w:tcW w:w="7938" w:type="dxa"/>
            <w:vAlign w:val="center"/>
          </w:tcPr>
          <w:p w14:paraId="60EB161F" w14:textId="39BBCC4E" w:rsidR="00936D87" w:rsidRPr="00A93CD2" w:rsidRDefault="00F26203" w:rsidP="00133C31">
            <w:pPr>
              <w:ind w:firstLine="708"/>
              <w:rPr>
                <w:rFonts w:ascii="Palatino Linotype" w:hAnsi="Palatino Linotype"/>
                <w:sz w:val="20"/>
                <w:szCs w:val="20"/>
              </w:rPr>
            </w:pPr>
            <m:oMathPara>
              <m:oMath>
                <m:sSub>
                  <m:sSubPr>
                    <m:ctrlPr>
                      <w:rPr>
                        <w:rFonts w:ascii="Cambria Math" w:hAnsi="Cambria Math"/>
                        <w:i/>
                        <w:sz w:val="20"/>
                        <w:szCs w:val="20"/>
                        <w:lang w:val="en-CA"/>
                      </w:rPr>
                    </m:ctrlPr>
                  </m:sSubPr>
                  <m:e>
                    <m:r>
                      <m:rPr>
                        <m:nor/>
                      </m:rPr>
                      <w:rPr>
                        <w:rFonts w:ascii="Palatino Linotype" w:hAnsi="Palatino Linotype"/>
                        <w:sz w:val="20"/>
                        <w:szCs w:val="20"/>
                      </w:rPr>
                      <m:t>C</m:t>
                    </m:r>
                  </m:e>
                  <m:sub>
                    <m:r>
                      <m:rPr>
                        <m:nor/>
                      </m:rPr>
                      <w:rPr>
                        <w:rFonts w:ascii="Palatino Linotype" w:hAnsi="Palatino Linotype"/>
                        <w:sz w:val="20"/>
                        <w:szCs w:val="20"/>
                        <w:lang w:val="en-CA"/>
                      </w:rPr>
                      <m:t>δ</m:t>
                    </m:r>
                  </m:sub>
                </m:sSub>
                <m:r>
                  <m:rPr>
                    <m:nor/>
                  </m:rPr>
                  <w:rPr>
                    <w:rFonts w:ascii="Palatino Linotype" w:hAnsi="Palatino Linotype"/>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m:rPr>
                                <m:nor/>
                              </m:rPr>
                              <w:rPr>
                                <w:rFonts w:ascii="Palatino Linotype" w:hAnsi="Palatino Linotype"/>
                                <w:sz w:val="20"/>
                                <w:szCs w:val="20"/>
                              </w:rPr>
                              <m:t>u</m:t>
                            </m:r>
                          </m:e>
                          <m:sup>
                            <m:r>
                              <w:rPr>
                                <w:rFonts w:ascii="Cambria Math" w:hAnsi="Cambria Math"/>
                                <w:sz w:val="20"/>
                                <w:szCs w:val="20"/>
                              </w:rPr>
                              <m:t>-δ</m:t>
                            </m:r>
                          </m:sup>
                        </m:sSup>
                        <m:r>
                          <w:rPr>
                            <w:rFonts w:ascii="Cambria Math" w:hAnsi="Cambria Math"/>
                            <w:sz w:val="20"/>
                            <w:szCs w:val="20"/>
                          </w:rPr>
                          <m:t xml:space="preserve">+ </m:t>
                        </m:r>
                        <m:sSup>
                          <m:sSupPr>
                            <m:ctrlPr>
                              <w:rPr>
                                <w:rFonts w:ascii="Cambria Math" w:hAnsi="Cambria Math"/>
                                <w:i/>
                                <w:sz w:val="20"/>
                                <w:szCs w:val="20"/>
                              </w:rPr>
                            </m:ctrlPr>
                          </m:sSupPr>
                          <m:e>
                            <m:r>
                              <m:rPr>
                                <m:nor/>
                              </m:rPr>
                              <w:rPr>
                                <w:rFonts w:ascii="Palatino Linotype" w:hAnsi="Palatino Linotype"/>
                                <w:sz w:val="20"/>
                                <w:szCs w:val="20"/>
                              </w:rPr>
                              <m:t>v</m:t>
                            </m:r>
                          </m:e>
                          <m:sup>
                            <m:r>
                              <w:rPr>
                                <w:rFonts w:ascii="Cambria Math" w:hAnsi="Cambria Math"/>
                                <w:sz w:val="20"/>
                                <w:szCs w:val="20"/>
                              </w:rPr>
                              <m:t>-δ</m:t>
                            </m:r>
                          </m:sup>
                        </m:sSup>
                        <m:r>
                          <w:rPr>
                            <w:rFonts w:ascii="Cambria Math" w:hAnsi="Cambria Math"/>
                            <w:sz w:val="20"/>
                            <w:szCs w:val="20"/>
                          </w:rPr>
                          <m:t>-1</m:t>
                        </m:r>
                      </m:e>
                    </m:d>
                  </m:e>
                  <m:sup>
                    <m:r>
                      <w:rPr>
                        <w:rFonts w:ascii="Cambria Math" w:hAnsi="Cambria Math"/>
                        <w:sz w:val="20"/>
                        <w:szCs w:val="20"/>
                      </w:rPr>
                      <m:t>-δ</m:t>
                    </m:r>
                  </m:sup>
                </m:sSup>
                <m:r>
                  <w:rPr>
                    <w:rFonts w:ascii="Cambria Math" w:hAnsi="Cambria Math"/>
                    <w:sz w:val="20"/>
                    <w:szCs w:val="20"/>
                  </w:rPr>
                  <m:t xml:space="preserve">,        δ∈ </m:t>
                </m:r>
                <m:d>
                  <m:dPr>
                    <m:begChr m:val="["/>
                    <m:endChr m:val="]"/>
                    <m:ctrlPr>
                      <w:rPr>
                        <w:rFonts w:ascii="Cambria Math" w:hAnsi="Cambria Math"/>
                        <w:i/>
                        <w:sz w:val="20"/>
                        <w:szCs w:val="20"/>
                      </w:rPr>
                    </m:ctrlPr>
                  </m:dPr>
                  <m:e>
                    <m:r>
                      <w:rPr>
                        <w:rFonts w:ascii="Cambria Math" w:hAnsi="Cambria Math"/>
                        <w:sz w:val="20"/>
                        <w:szCs w:val="20"/>
                      </w:rPr>
                      <m:t>-1, ∞</m:t>
                    </m:r>
                  </m:e>
                </m:d>
              </m:oMath>
            </m:oMathPara>
          </w:p>
        </w:tc>
        <w:tc>
          <w:tcPr>
            <w:tcW w:w="882" w:type="dxa"/>
            <w:vAlign w:val="center"/>
          </w:tcPr>
          <w:p w14:paraId="60EB1620" w14:textId="351C8CA1" w:rsidR="00936D87" w:rsidRPr="00A93CD2" w:rsidRDefault="00936D87" w:rsidP="00133C31">
            <w:pPr>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6</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622" w14:textId="77777777" w:rsidR="00CA6192" w:rsidRPr="00A93CD2" w:rsidRDefault="00CA6192" w:rsidP="00F3226C">
      <w:pPr>
        <w:jc w:val="both"/>
        <w:rPr>
          <w:rFonts w:ascii="Palatino Linotype" w:hAnsi="Palatino Linotype"/>
          <w:sz w:val="20"/>
          <w:szCs w:val="20"/>
          <w:lang w:val="en-CA"/>
        </w:rPr>
      </w:pPr>
    </w:p>
    <w:p w14:paraId="60EB1623" w14:textId="707B9FD2" w:rsidR="00F3226C" w:rsidRPr="00A93CD2" w:rsidRDefault="00643CEE" w:rsidP="00F3226C">
      <w:pPr>
        <w:jc w:val="both"/>
        <w:rPr>
          <w:rFonts w:ascii="Palatino Linotype" w:hAnsi="Palatino Linotype"/>
          <w:sz w:val="20"/>
          <w:szCs w:val="20"/>
          <w:lang w:val="en-CA"/>
        </w:rPr>
      </w:pPr>
      <w:r w:rsidRPr="00A93CD2">
        <w:rPr>
          <w:rFonts w:ascii="Palatino Linotype" w:hAnsi="Palatino Linotype"/>
          <w:sz w:val="20"/>
          <w:szCs w:val="20"/>
          <w:lang w:val="en-CA"/>
        </w:rPr>
        <w:t xml:space="preserve">The first diagnostic tool </w:t>
      </w:r>
      <w:r w:rsidR="004E22E9" w:rsidRPr="00A93CD2">
        <w:rPr>
          <w:rFonts w:ascii="Palatino Linotype" w:hAnsi="Palatino Linotype"/>
          <w:sz w:val="20"/>
          <w:szCs w:val="20"/>
          <w:lang w:val="en-CA"/>
        </w:rPr>
        <w:t>applied is</w:t>
      </w:r>
      <w:r w:rsidR="00D142A9" w:rsidRPr="00A93CD2">
        <w:rPr>
          <w:rFonts w:ascii="Palatino Linotype" w:hAnsi="Palatino Linotype"/>
          <w:sz w:val="20"/>
          <w:szCs w:val="20"/>
          <w:lang w:val="en-CA"/>
        </w:rPr>
        <w:t xml:space="preserve"> to compute the </w:t>
      </w:r>
      <w:proofErr w:type="spellStart"/>
      <w:r w:rsidR="00D142A9" w:rsidRPr="00A93CD2">
        <w:rPr>
          <w:rFonts w:ascii="Palatino Linotype" w:hAnsi="Palatino Linotype"/>
          <w:sz w:val="20"/>
          <w:szCs w:val="20"/>
          <w:lang w:val="en-CA"/>
        </w:rPr>
        <w:t>Cramé</w:t>
      </w:r>
      <w:r w:rsidRPr="00A93CD2">
        <w:rPr>
          <w:rFonts w:ascii="Palatino Linotype" w:hAnsi="Palatino Linotype"/>
          <w:sz w:val="20"/>
          <w:szCs w:val="20"/>
          <w:lang w:val="en-CA"/>
        </w:rPr>
        <w:t>r</w:t>
      </w:r>
      <w:proofErr w:type="spellEnd"/>
      <w:r w:rsidRPr="00A93CD2">
        <w:rPr>
          <w:rFonts w:ascii="Palatino Linotype" w:hAnsi="Palatino Linotype"/>
          <w:sz w:val="20"/>
          <w:szCs w:val="20"/>
          <w:lang w:val="en-CA"/>
        </w:rPr>
        <w:t>-von-Mises</w:t>
      </w:r>
      <w:r w:rsidR="00E46190" w:rsidRPr="00A93CD2">
        <w:rPr>
          <w:rFonts w:ascii="Palatino Linotype" w:hAnsi="Palatino Linotype"/>
          <w:sz w:val="20"/>
          <w:szCs w:val="20"/>
          <w:lang w:val="en-CA"/>
        </w:rPr>
        <w:t xml:space="preserve"> (</w:t>
      </w: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00E46190" w:rsidRPr="00A93CD2">
        <w:rPr>
          <w:rFonts w:ascii="Palatino Linotype" w:eastAsia="Times New Roman" w:hAnsi="Palatino Linotype" w:cstheme="minorHAnsi"/>
          <w:sz w:val="20"/>
          <w:szCs w:val="20"/>
          <w:lang w:val="en-CA" w:eastAsia="nl-NL"/>
        </w:rPr>
        <w:t xml:space="preserve"> )</w:t>
      </w:r>
      <w:r w:rsidR="00E46190" w:rsidRPr="00A93CD2">
        <w:rPr>
          <w:rFonts w:ascii="Palatino Linotype" w:hAnsi="Palatino Linotype"/>
          <w:i/>
          <w:sz w:val="20"/>
          <w:szCs w:val="20"/>
          <w:lang w:val="en-CA"/>
        </w:rPr>
        <w:t xml:space="preserve"> </w:t>
      </w:r>
      <w:r w:rsidR="00E46190" w:rsidRPr="00A93CD2">
        <w:rPr>
          <w:rFonts w:ascii="Palatino Linotype" w:hAnsi="Palatino Linotype"/>
          <w:sz w:val="20"/>
          <w:szCs w:val="20"/>
          <w:lang w:val="en-CA"/>
        </w:rPr>
        <w:t>statistics</w:t>
      </w:r>
      <w:r w:rsidRPr="00A93CD2">
        <w:rPr>
          <w:rFonts w:ascii="Palatino Linotype" w:hAnsi="Palatino Linotype"/>
          <w:sz w:val="20"/>
          <w:szCs w:val="20"/>
          <w:lang w:val="en-CA"/>
        </w:rPr>
        <w:t>, the sum of the squared differences between the empirical copula and the selected parametric copula (here, Gaussian, Gumbel and Cl</w:t>
      </w:r>
      <w:r w:rsidR="008F5150" w:rsidRPr="00A93CD2">
        <w:rPr>
          <w:rFonts w:ascii="Palatino Linotype" w:hAnsi="Palatino Linotype"/>
          <w:sz w:val="20"/>
          <w:szCs w:val="20"/>
          <w:lang w:val="en-CA"/>
        </w:rPr>
        <w:t xml:space="preserve">ayton) for a sample of length </w:t>
      </w:r>
      <m:oMath>
        <m:r>
          <w:rPr>
            <w:rFonts w:ascii="Cambria Math" w:hAnsi="Cambria Math"/>
            <w:sz w:val="20"/>
            <w:szCs w:val="20"/>
          </w:rPr>
          <m:t>n</m:t>
        </m:r>
      </m:oMath>
      <w:r w:rsidR="004B7746">
        <w:rPr>
          <w:rFonts w:ascii="Palatino Linotype" w:hAnsi="Palatino Linotype"/>
          <w:sz w:val="20"/>
          <w:szCs w:val="20"/>
          <w:lang w:val="en-CA"/>
        </w:rPr>
        <w:t xml:space="preserve"> </w:t>
      </w:r>
      <w:r w:rsidRPr="00A93CD2">
        <w:rPr>
          <w:rFonts w:ascii="Palatino Linotype" w:hAnsi="Palatino Linotype"/>
          <w:sz w:val="20"/>
          <w:szCs w:val="20"/>
          <w:lang w:val="en-CA"/>
        </w:rPr>
        <w:fldChar w:fldCharType="begin" w:fldLock="1"/>
      </w:r>
      <w:r w:rsidR="00EF0866">
        <w:rPr>
          <w:rFonts w:ascii="Palatino Linotype" w:hAnsi="Palatino Linotype"/>
          <w:sz w:val="20"/>
          <w:szCs w:val="20"/>
          <w:lang w:val="en-CA"/>
        </w:rPr>
        <w:instrText>ADDIN CSL_CITATION {"citationItems":[{"id":"ITEM-1","itemData":{"DOI":"10.1016/j.insmatheco.2007.10.005","ISBN":"0167-6687","ISSN":"01676687","abstract":"Many proposals have been made recently for goodness-of-fit testing of copula models. After reviewing them briefly, the authors concentrate on \"blanket tests\", i.e., those whose implementation requires neither an arbitrary categorization of the data nor any strategic choice of smoothing parameter, weight function, kernel, window, etc. The authors present a critical review of these procedures and suggest new ones. They describe and interpret the results of a large Monte Carlo experiment designed to assess the effect of the sample size and the strength of dependence on the level and power of the blanket tests for various combinations of copula models under the null hypothesis and the alternative. To circumvent problems in the determination of the limiting distribution of the test statistics under composite null hypotheses, they recommend the use of a double parametric bootstrap procedure, whose implementation is detailed. They conclude with a number of practical recommendations. © 2007 Elsevier B.V. All rights reserved.","author":[{"dropping-particle":"","family":"Genest","given":"Christian","non-dropping-particle":"","parse-names":false,"suffix":""},{"dropping-particle":"","family":"Rémillard","given":"Bruno","non-dropping-particle":"","parse-names":false,"suffix":""},{"dropping-particle":"","family":"Beaudoin","given":"David","non-dropping-particle":"","parse-names":false,"suffix":""}],"container-title":"Insurance: Mathematics and Economics","id":"ITEM-1","issue":"2","issued":{"date-parts":[["2009"]]},"page":"199-213","title":"Goodness-of-fit tests for copulas: A review and a power study","type":"article-journal","volume":"44"},"uris":["http://www.mendeley.com/documents/?uuid=a93323f4-f513-46f2-8b7c-94502cf0f8a4"]}],"mendeley":{"formattedCitation":"[17]","plainTextFormattedCitation":"[17]","previouslyFormattedCitation":"[17]"},"properties":{"noteIndex":0},"schema":"https://github.com/citation-style-language/schema/raw/master/csl-citation.json"}</w:instrText>
      </w:r>
      <w:r w:rsidRPr="00A93CD2">
        <w:rPr>
          <w:rFonts w:ascii="Palatino Linotype" w:hAnsi="Palatino Linotype"/>
          <w:sz w:val="20"/>
          <w:szCs w:val="20"/>
          <w:lang w:val="en-CA"/>
        </w:rPr>
        <w:fldChar w:fldCharType="separate"/>
      </w:r>
      <w:r w:rsidR="00F70E29" w:rsidRPr="00F70E29">
        <w:rPr>
          <w:rFonts w:ascii="Palatino Linotype" w:hAnsi="Palatino Linotype"/>
          <w:noProof/>
          <w:sz w:val="20"/>
          <w:szCs w:val="20"/>
          <w:lang w:val="en-CA"/>
        </w:rPr>
        <w:t>[17]</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r w:rsidR="004B7746">
        <w:rPr>
          <w:rFonts w:ascii="Palatino Linotype" w:hAnsi="Palatino Linotype"/>
          <w:sz w:val="20"/>
          <w:szCs w:val="20"/>
          <w:lang w:val="en-CA"/>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F3226C" w:rsidRPr="00A93CD2" w14:paraId="60EB1627" w14:textId="77777777" w:rsidTr="008F5150">
        <w:trPr>
          <w:jc w:val="center"/>
        </w:trPr>
        <w:tc>
          <w:tcPr>
            <w:tcW w:w="392" w:type="dxa"/>
            <w:vAlign w:val="center"/>
          </w:tcPr>
          <w:p w14:paraId="60EB1624" w14:textId="77777777" w:rsidR="00F3226C" w:rsidRPr="00A93CD2" w:rsidRDefault="00F3226C" w:rsidP="00CA6192">
            <w:pPr>
              <w:jc w:val="center"/>
              <w:rPr>
                <w:rFonts w:ascii="Palatino Linotype" w:hAnsi="Palatino Linotype"/>
                <w:sz w:val="20"/>
                <w:szCs w:val="20"/>
                <w:lang w:val="en-CA"/>
              </w:rPr>
            </w:pPr>
          </w:p>
        </w:tc>
        <w:tc>
          <w:tcPr>
            <w:tcW w:w="7938" w:type="dxa"/>
            <w:vAlign w:val="center"/>
          </w:tcPr>
          <w:p w14:paraId="60EB1625" w14:textId="2F0FA7CF" w:rsidR="00F3226C" w:rsidRPr="00A93CD2" w:rsidRDefault="00F26203" w:rsidP="008F5150">
            <w:pPr>
              <w:ind w:firstLine="708"/>
              <w:rPr>
                <w:rFonts w:ascii="Palatino Linotype" w:hAnsi="Palatino Linotype"/>
                <w:sz w:val="20"/>
                <w:szCs w:val="20"/>
              </w:rPr>
            </w:pPr>
            <m:oMathPara>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d>
                  <m:dPr>
                    <m:ctrlPr>
                      <w:rPr>
                        <w:rFonts w:ascii="Cambria Math" w:hAnsi="Cambria Math"/>
                        <w:i/>
                        <w:sz w:val="20"/>
                        <w:szCs w:val="20"/>
                      </w:rPr>
                    </m:ctrlPr>
                  </m:dPr>
                  <m:e>
                    <m:r>
                      <m:rPr>
                        <m:sty m:val="bi"/>
                      </m:rPr>
                      <w:rPr>
                        <w:rFonts w:ascii="Cambria Math" w:hAnsi="Cambria Math"/>
                        <w:sz w:val="20"/>
                        <w:szCs w:val="20"/>
                      </w:rPr>
                      <m:t>u</m:t>
                    </m:r>
                  </m:e>
                </m:d>
                <m:r>
                  <w:rPr>
                    <w:rFonts w:ascii="Cambria Math" w:hAnsi="Cambria Math"/>
                    <w:sz w:val="20"/>
                    <w:szCs w:val="20"/>
                  </w:rPr>
                  <m:t xml:space="preserve">= </m:t>
                </m:r>
                <m:nary>
                  <m:naryPr>
                    <m:chr m:val="∑"/>
                    <m:limLoc m:val="subSup"/>
                    <m:supHide m:val="1"/>
                    <m:ctrlPr>
                      <w:rPr>
                        <w:rFonts w:ascii="Cambria Math" w:hAnsi="Cambria Math"/>
                        <w:i/>
                        <w:sz w:val="20"/>
                        <w:szCs w:val="20"/>
                      </w:rPr>
                    </m:ctrlPr>
                  </m:naryPr>
                  <m:sub>
                    <m:d>
                      <m:dPr>
                        <m:begChr m:val="|"/>
                        <m:endChr m:val="|"/>
                        <m:ctrlPr>
                          <w:rPr>
                            <w:rFonts w:ascii="Cambria Math" w:hAnsi="Cambria Math"/>
                            <w:i/>
                            <w:sz w:val="20"/>
                            <w:szCs w:val="20"/>
                          </w:rPr>
                        </m:ctrlPr>
                      </m:dPr>
                      <m:e>
                        <m:r>
                          <w:rPr>
                            <w:rFonts w:ascii="Cambria Math" w:hAnsi="Cambria Math"/>
                            <w:sz w:val="20"/>
                            <w:szCs w:val="20"/>
                          </w:rPr>
                          <m:t>u</m:t>
                        </m:r>
                      </m:e>
                    </m:d>
                  </m:sub>
                  <m:sup/>
                  <m:e>
                    <m:sSup>
                      <m:sSupPr>
                        <m:ctrlPr>
                          <w:rPr>
                            <w:rFonts w:ascii="Cambria Math" w:hAnsi="Cambria Math"/>
                            <w:i/>
                            <w:sz w:val="20"/>
                            <w:szCs w:val="20"/>
                          </w:rPr>
                        </m:ctrlPr>
                      </m:s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n</m:t>
                                    </m:r>
                                  </m:sub>
                                </m:sSub>
                              </m:sub>
                            </m:sSub>
                            <m:d>
                              <m:dPr>
                                <m:ctrlPr>
                                  <w:rPr>
                                    <w:rFonts w:ascii="Cambria Math" w:hAnsi="Cambria Math"/>
                                    <w:i/>
                                    <w:sz w:val="20"/>
                                    <w:szCs w:val="20"/>
                                  </w:rPr>
                                </m:ctrlPr>
                              </m:dPr>
                              <m:e>
                                <m:r>
                                  <m:rPr>
                                    <m:sty m:val="bi"/>
                                  </m:rPr>
                                  <w:rPr>
                                    <w:rFonts w:ascii="Cambria Math" w:hAnsi="Cambria Math"/>
                                    <w:sz w:val="20"/>
                                    <w:szCs w:val="20"/>
                                  </w:rPr>
                                  <m:t>u</m:t>
                                </m:r>
                              </m:e>
                            </m:d>
                            <m:r>
                              <w:rPr>
                                <w:rFonts w:ascii="Cambria Math" w:hAnsi="Cambria Math"/>
                                <w:sz w:val="20"/>
                                <w:szCs w:val="20"/>
                              </w:rPr>
                              <m:t>-B</m:t>
                            </m:r>
                            <m:d>
                              <m:dPr>
                                <m:ctrlPr>
                                  <w:rPr>
                                    <w:rFonts w:ascii="Cambria Math" w:hAnsi="Cambria Math"/>
                                    <w:i/>
                                    <w:sz w:val="20"/>
                                    <w:szCs w:val="20"/>
                                  </w:rPr>
                                </m:ctrlPr>
                              </m:dPr>
                              <m:e>
                                <m:r>
                                  <m:rPr>
                                    <m:sty m:val="bi"/>
                                  </m:rPr>
                                  <w:rPr>
                                    <w:rFonts w:ascii="Cambria Math" w:hAnsi="Cambria Math"/>
                                    <w:sz w:val="20"/>
                                    <w:szCs w:val="20"/>
                                  </w:rPr>
                                  <m:t>u</m:t>
                                </m:r>
                              </m:e>
                            </m:d>
                          </m:e>
                        </m:d>
                      </m:e>
                      <m:sup>
                        <m:r>
                          <w:rPr>
                            <w:rFonts w:ascii="Cambria Math" w:hAnsi="Cambria Math"/>
                            <w:sz w:val="20"/>
                            <w:szCs w:val="20"/>
                          </w:rPr>
                          <m:t>2</m:t>
                        </m:r>
                      </m:sup>
                    </m:sSup>
                  </m:e>
                </m:nary>
                <m:r>
                  <w:rPr>
                    <w:rFonts w:ascii="Cambria Math" w:hAnsi="Cambria Math"/>
                    <w:sz w:val="20"/>
                    <w:szCs w:val="20"/>
                  </w:rPr>
                  <m:t xml:space="preserve">,  </m:t>
                </m:r>
                <m:r>
                  <m:rPr>
                    <m:sty m:val="bi"/>
                  </m:rPr>
                  <w:rPr>
                    <w:rFonts w:ascii="Cambria Math" w:hAnsi="Cambria Math"/>
                    <w:sz w:val="20"/>
                    <w:szCs w:val="20"/>
                  </w:rPr>
                  <m:t>u</m:t>
                </m:r>
                <m:r>
                  <w:rPr>
                    <w:rFonts w:ascii="Cambria Math" w:hAnsi="Cambria Math"/>
                    <w:sz w:val="20"/>
                    <w:szCs w:val="20"/>
                    <w:lang w:val="en-CA"/>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lang w:val="en-CA"/>
                          </w:rPr>
                          <m:t>0,1</m:t>
                        </m:r>
                      </m:e>
                    </m:d>
                  </m:e>
                  <m:sup>
                    <m:r>
                      <w:rPr>
                        <w:rFonts w:ascii="Cambria Math" w:hAnsi="Cambria Math"/>
                        <w:sz w:val="20"/>
                        <w:szCs w:val="20"/>
                      </w:rPr>
                      <m:t>2</m:t>
                    </m:r>
                  </m:sup>
                </m:sSup>
              </m:oMath>
            </m:oMathPara>
          </w:p>
        </w:tc>
        <w:tc>
          <w:tcPr>
            <w:tcW w:w="882" w:type="dxa"/>
            <w:vAlign w:val="center"/>
          </w:tcPr>
          <w:p w14:paraId="60EB1626" w14:textId="1C2E2989" w:rsidR="00F3226C" w:rsidRPr="00A93CD2" w:rsidRDefault="00F3226C" w:rsidP="00CA6192">
            <w:pPr>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7</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628" w14:textId="06A57643" w:rsidR="00720BA7" w:rsidRPr="00A93CD2" w:rsidRDefault="008F5150" w:rsidP="00F3226C">
      <w:pPr>
        <w:jc w:val="both"/>
        <w:rPr>
          <w:rFonts w:ascii="Palatino Linotype" w:hAnsi="Palatino Linotype"/>
          <w:sz w:val="20"/>
          <w:szCs w:val="20"/>
          <w:lang w:val="en-CA"/>
        </w:rPr>
      </w:pPr>
      <w:r w:rsidRPr="00A93CD2">
        <w:rPr>
          <w:rFonts w:ascii="Palatino Linotype" w:hAnsi="Palatino Linotype"/>
          <w:sz w:val="20"/>
          <w:szCs w:val="20"/>
          <w:lang w:val="en-CA"/>
        </w:rPr>
        <w:t xml:space="preserve">where </w:t>
      </w:r>
      <m:oMath>
        <m:r>
          <w:rPr>
            <w:rFonts w:ascii="Cambria Math" w:hAnsi="Cambria Math"/>
            <w:sz w:val="20"/>
            <w:szCs w:val="20"/>
          </w:rPr>
          <m:t>B</m:t>
        </m:r>
        <m:d>
          <m:dPr>
            <m:ctrlPr>
              <w:rPr>
                <w:rFonts w:ascii="Cambria Math" w:hAnsi="Cambria Math"/>
                <w:i/>
                <w:sz w:val="20"/>
                <w:szCs w:val="20"/>
              </w:rPr>
            </m:ctrlPr>
          </m:dPr>
          <m:e>
            <m:r>
              <m:rPr>
                <m:sty m:val="bi"/>
              </m:rPr>
              <w:rPr>
                <w:rFonts w:ascii="Cambria Math" w:hAnsi="Cambria Math"/>
                <w:sz w:val="20"/>
                <w:szCs w:val="20"/>
              </w:rPr>
              <m:t>u</m:t>
            </m:r>
          </m:e>
        </m:d>
        <m:r>
          <w:rPr>
            <w:rFonts w:ascii="Cambria Math" w:hAnsi="Cambria Math"/>
            <w:sz w:val="20"/>
            <w:szCs w:val="20"/>
            <w:lang w:val="en-CA"/>
          </w:rPr>
          <m:t xml:space="preserve">= </m:t>
        </m:r>
        <m:nary>
          <m:naryPr>
            <m:chr m:val="∑"/>
            <m:limLoc m:val="undOvr"/>
            <m:subHide m:val="1"/>
            <m:supHide m:val="1"/>
            <m:ctrlPr>
              <w:rPr>
                <w:rFonts w:ascii="Cambria Math" w:hAnsi="Cambria Math"/>
                <w:i/>
                <w:sz w:val="20"/>
                <w:szCs w:val="20"/>
                <w:lang w:val="en-CA"/>
              </w:rPr>
            </m:ctrlPr>
          </m:naryPr>
          <m:sub/>
          <m:sup/>
          <m:e>
            <m:r>
              <w:rPr>
                <w:rFonts w:ascii="Cambria Math" w:hAnsi="Cambria Math"/>
                <w:sz w:val="20"/>
                <w:szCs w:val="20"/>
                <w:lang w:val="en-CA"/>
              </w:rPr>
              <m:t>1</m:t>
            </m:r>
            <m:d>
              <m:dPr>
                <m:ctrlPr>
                  <w:rPr>
                    <w:rFonts w:ascii="Cambria Math" w:hAnsi="Cambria Math"/>
                    <w:i/>
                    <w:sz w:val="20"/>
                    <w:szCs w:val="20"/>
                    <w:lang w:val="en-CA"/>
                  </w:rPr>
                </m:ctrlPr>
              </m:dPr>
              <m:e>
                <m:sSub>
                  <m:sSubPr>
                    <m:ctrlPr>
                      <w:rPr>
                        <w:rFonts w:ascii="Cambria Math" w:hAnsi="Cambria Math"/>
                        <w:i/>
                        <w:sz w:val="20"/>
                        <w:szCs w:val="20"/>
                        <w:lang w:val="en-CA"/>
                      </w:rPr>
                    </m:ctrlPr>
                  </m:sSubPr>
                  <m:e>
                    <m:r>
                      <w:rPr>
                        <w:rFonts w:ascii="Cambria Math" w:hAnsi="Cambria Math"/>
                        <w:sz w:val="20"/>
                        <w:szCs w:val="20"/>
                        <w:lang w:val="en-CA"/>
                      </w:rPr>
                      <m:t>U</m:t>
                    </m:r>
                  </m:e>
                  <m:sub>
                    <m:r>
                      <w:rPr>
                        <w:rFonts w:ascii="Cambria Math" w:hAnsi="Cambria Math"/>
                        <w:sz w:val="20"/>
                        <w:szCs w:val="20"/>
                        <w:lang w:val="en-CA"/>
                      </w:rPr>
                      <m:t>i</m:t>
                    </m:r>
                  </m:sub>
                </m:sSub>
                <m:r>
                  <w:rPr>
                    <w:rFonts w:ascii="Cambria Math" w:hAnsi="Cambria Math"/>
                    <w:sz w:val="20"/>
                    <w:szCs w:val="20"/>
                    <w:lang w:val="en-CA"/>
                  </w:rPr>
                  <m:t>≤</m:t>
                </m:r>
                <m:r>
                  <m:rPr>
                    <m:sty m:val="bi"/>
                  </m:rPr>
                  <w:rPr>
                    <w:rFonts w:ascii="Cambria Math" w:hAnsi="Cambria Math"/>
                    <w:sz w:val="20"/>
                    <w:szCs w:val="20"/>
                    <w:lang w:val="en-CA"/>
                  </w:rPr>
                  <m:t>u</m:t>
                </m:r>
              </m:e>
            </m:d>
          </m:e>
        </m:nary>
      </m:oMath>
      <w:r w:rsidRPr="00A93CD2">
        <w:rPr>
          <w:rFonts w:ascii="Palatino Linotype" w:hAnsi="Palatino Linotype"/>
          <w:sz w:val="20"/>
          <w:szCs w:val="20"/>
          <w:lang w:val="en-CA"/>
        </w:rPr>
        <w:t xml:space="preserve"> is the empirical copula and </w:t>
      </w:r>
      <m:oMath>
        <m:sSub>
          <m:sSubPr>
            <m:ctrlPr>
              <w:rPr>
                <w:rFonts w:ascii="Cambria Math" w:hAnsi="Cambria Math"/>
                <w:i/>
                <w:sz w:val="20"/>
                <w:szCs w:val="20"/>
              </w:rPr>
            </m:ctrlPr>
          </m:sSubPr>
          <m:e>
            <m:r>
              <w:rPr>
                <w:rFonts w:ascii="Cambria Math" w:hAnsi="Cambria Math"/>
                <w:sz w:val="20"/>
                <w:szCs w:val="20"/>
              </w:rPr>
              <m:t>C</m:t>
            </m:r>
          </m:e>
          <m:sub>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n</m:t>
                </m:r>
              </m:sub>
            </m:sSub>
          </m:sub>
        </m:sSub>
        <m:d>
          <m:dPr>
            <m:ctrlPr>
              <w:rPr>
                <w:rFonts w:ascii="Cambria Math" w:hAnsi="Cambria Math"/>
                <w:i/>
                <w:sz w:val="20"/>
                <w:szCs w:val="20"/>
              </w:rPr>
            </m:ctrlPr>
          </m:dPr>
          <m:e>
            <m:r>
              <m:rPr>
                <m:sty m:val="bi"/>
              </m:rPr>
              <w:rPr>
                <w:rFonts w:ascii="Cambria Math" w:hAnsi="Cambria Math"/>
                <w:sz w:val="20"/>
                <w:szCs w:val="20"/>
              </w:rPr>
              <m:t>u</m:t>
            </m:r>
          </m:e>
        </m:d>
      </m:oMath>
      <w:r w:rsidRPr="00A93CD2">
        <w:rPr>
          <w:rFonts w:ascii="Palatino Linotype" w:hAnsi="Palatino Linotype"/>
          <w:sz w:val="20"/>
          <w:szCs w:val="20"/>
          <w:lang w:val="en-CA"/>
        </w:rPr>
        <w:t xml:space="preserve"> is a parametric copula with parameter</w:t>
      </w:r>
      <w:r w:rsidR="004B7746">
        <w:rPr>
          <w:rFonts w:ascii="Palatino Linotype" w:hAnsi="Palatino Linotype"/>
          <w:sz w:val="20"/>
          <w:szCs w:val="20"/>
          <w:lang w:val="en-CA"/>
        </w:rPr>
        <w:t xml:space="preserve"> </w:t>
      </w:r>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n</m:t>
            </m:r>
          </m:sub>
        </m:sSub>
      </m:oMath>
      <w:r w:rsidRPr="00A93CD2">
        <w:rPr>
          <w:rFonts w:ascii="Palatino Linotype" w:hAnsi="Palatino Linotype"/>
          <w:sz w:val="20"/>
          <w:szCs w:val="20"/>
          <w:lang w:val="en-CA"/>
        </w:rPr>
        <w:t xml:space="preserve"> estimated from the </w:t>
      </w:r>
      <w:proofErr w:type="gramStart"/>
      <w:r w:rsidRPr="00A93CD2">
        <w:rPr>
          <w:rFonts w:ascii="Palatino Linotype" w:hAnsi="Palatino Linotype"/>
          <w:sz w:val="20"/>
          <w:szCs w:val="20"/>
          <w:lang w:val="en-CA"/>
        </w:rPr>
        <w:t>samples.</w:t>
      </w:r>
      <w:proofErr w:type="gramEnd"/>
      <w:r w:rsidRPr="00A93CD2">
        <w:rPr>
          <w:rFonts w:ascii="Palatino Linotype" w:hAnsi="Palatino Linotype"/>
          <w:sz w:val="20"/>
          <w:szCs w:val="20"/>
          <w:lang w:val="en-CA"/>
        </w:rPr>
        <w:t xml:space="preserve"> From equation A.7</w:t>
      </w:r>
      <w:r w:rsidR="00F3226C" w:rsidRPr="00A93CD2">
        <w:rPr>
          <w:rFonts w:ascii="Palatino Linotype" w:hAnsi="Palatino Linotype"/>
          <w:sz w:val="20"/>
          <w:szCs w:val="20"/>
          <w:lang w:val="en-CA"/>
        </w:rPr>
        <w:t>,</w:t>
      </w:r>
      <w:r w:rsidRPr="00A93CD2">
        <w:rPr>
          <w:rFonts w:ascii="Palatino Linotype" w:hAnsi="Palatino Linotype"/>
          <w:sz w:val="20"/>
          <w:szCs w:val="20"/>
          <w:lang w:val="en-CA"/>
        </w:rPr>
        <w:t xml:space="preserve"> it follows that </w:t>
      </w:r>
      <w:r w:rsidR="00F3226C" w:rsidRPr="00A93CD2">
        <w:rPr>
          <w:rFonts w:ascii="Palatino Linotype" w:hAnsi="Palatino Linotype"/>
          <w:sz w:val="20"/>
          <w:szCs w:val="20"/>
          <w:lang w:val="en-CA"/>
        </w:rPr>
        <w:t xml:space="preserve">the </w:t>
      </w:r>
      <w:r w:rsidRPr="00A93CD2">
        <w:rPr>
          <w:rFonts w:ascii="Palatino Linotype" w:hAnsi="Palatino Linotype"/>
          <w:sz w:val="20"/>
          <w:szCs w:val="20"/>
          <w:lang w:val="en-CA"/>
        </w:rPr>
        <w:t xml:space="preserve">lower the </w:t>
      </w: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Pr="00A93CD2">
        <w:rPr>
          <w:rFonts w:ascii="Palatino Linotype" w:hAnsi="Palatino Linotype"/>
          <w:sz w:val="20"/>
          <w:szCs w:val="20"/>
          <w:lang w:val="en-CA"/>
        </w:rPr>
        <w:t xml:space="preserve"> </w:t>
      </w:r>
      <w:r w:rsidR="00E46190" w:rsidRPr="00A93CD2">
        <w:rPr>
          <w:rFonts w:ascii="Palatino Linotype" w:hAnsi="Palatino Linotype"/>
          <w:sz w:val="20"/>
          <w:szCs w:val="20"/>
          <w:lang w:val="en-CA"/>
        </w:rPr>
        <w:t>statistic value</w:t>
      </w:r>
      <w:r w:rsidRPr="00A93CD2">
        <w:rPr>
          <w:rFonts w:ascii="Palatino Linotype" w:hAnsi="Palatino Linotype"/>
          <w:sz w:val="20"/>
          <w:szCs w:val="20"/>
          <w:lang w:val="en-CA"/>
        </w:rPr>
        <w:t xml:space="preserve">, the closer the parametric copula is to the empirical copula, </w:t>
      </w:r>
      <w:r w:rsidR="000A4C7C" w:rsidRPr="00A93CD2">
        <w:rPr>
          <w:rFonts w:ascii="Palatino Linotype" w:hAnsi="Palatino Linotype"/>
          <w:sz w:val="20"/>
          <w:szCs w:val="20"/>
          <w:lang w:val="en-CA"/>
        </w:rPr>
        <w:t>a</w:t>
      </w:r>
      <w:r w:rsidRPr="00A93CD2">
        <w:rPr>
          <w:rFonts w:ascii="Palatino Linotype" w:hAnsi="Palatino Linotype"/>
          <w:sz w:val="20"/>
          <w:szCs w:val="20"/>
          <w:lang w:val="en-CA"/>
        </w:rPr>
        <w:t>nd a perfect fit</w:t>
      </w:r>
      <w:r w:rsidR="000A4C7C" w:rsidRPr="00A93CD2">
        <w:rPr>
          <w:rFonts w:ascii="Palatino Linotype" w:hAnsi="Palatino Linotype"/>
          <w:sz w:val="20"/>
          <w:szCs w:val="20"/>
          <w:lang w:val="en-CA"/>
        </w:rPr>
        <w:t xml:space="preserve"> </w:t>
      </w:r>
      <w:r w:rsidRPr="00A93CD2">
        <w:rPr>
          <w:rFonts w:ascii="Palatino Linotype" w:hAnsi="Palatino Linotype"/>
          <w:sz w:val="20"/>
          <w:szCs w:val="20"/>
          <w:lang w:val="en-CA"/>
        </w:rPr>
        <w:t>result</w:t>
      </w:r>
      <w:r w:rsidR="000A4C7C" w:rsidRPr="00A93CD2">
        <w:rPr>
          <w:rFonts w:ascii="Palatino Linotype" w:hAnsi="Palatino Linotype"/>
          <w:sz w:val="20"/>
          <w:szCs w:val="20"/>
          <w:lang w:val="en-CA"/>
        </w:rPr>
        <w:t>ing</w:t>
      </w:r>
      <w:r w:rsidRPr="00A93CD2">
        <w:rPr>
          <w:rFonts w:ascii="Palatino Linotype" w:hAnsi="Palatino Linotype"/>
          <w:sz w:val="20"/>
          <w:szCs w:val="20"/>
          <w:lang w:val="en-CA"/>
        </w:rPr>
        <w:t xml:space="preserve"> in a value of 0.</w:t>
      </w:r>
    </w:p>
    <w:p w14:paraId="60EB1629" w14:textId="432C044A" w:rsidR="000A4C7C" w:rsidRPr="00A93CD2" w:rsidRDefault="004E22E9" w:rsidP="00F3226C">
      <w:pPr>
        <w:jc w:val="both"/>
        <w:rPr>
          <w:rFonts w:ascii="Palatino Linotype" w:hAnsi="Palatino Linotype"/>
          <w:sz w:val="20"/>
          <w:szCs w:val="20"/>
          <w:lang w:val="en-CA"/>
        </w:rPr>
      </w:pPr>
      <w:r w:rsidRPr="00A93CD2">
        <w:rPr>
          <w:rFonts w:ascii="Palatino Linotype" w:hAnsi="Palatino Linotype"/>
          <w:sz w:val="20"/>
          <w:szCs w:val="20"/>
          <w:lang w:val="en-CA"/>
        </w:rPr>
        <w:t xml:space="preserve">The second tool is based on semi-correlations, an approach suggested by Joe </w:t>
      </w:r>
      <w:r w:rsidRPr="00A93CD2">
        <w:rPr>
          <w:rFonts w:ascii="Palatino Linotype" w:hAnsi="Palatino Linotype"/>
          <w:sz w:val="20"/>
          <w:szCs w:val="20"/>
          <w:lang w:val="en-CA"/>
        </w:rPr>
        <w:fldChar w:fldCharType="begin" w:fldLock="1"/>
      </w:r>
      <w:r w:rsidR="00EF0866">
        <w:rPr>
          <w:rFonts w:ascii="Palatino Linotype" w:hAnsi="Palatino Linotype"/>
          <w:sz w:val="20"/>
          <w:szCs w:val="20"/>
          <w:lang w:val="en-CA"/>
        </w:rPr>
        <w:instrText>ADDIN CSL_CITATION {"citationItems":[{"id":"ITEM-1","itemData":{"ISBN":"9781466583221","ISSN":"01439782","author":[{"dropping-particle":"","family":"Joe","given":"H.","non-dropping-particle":"","parse-names":false,"suffix":""}],"id":"ITEM-1","issued":{"date-parts":[["2015","7"]]},"publisher":"Chapman &amp; Hall/CRC","publisher-place":"London, UK","title":"Dependence Modeling with Copulas","type":"book"},"suppress-author":1,"uris":["http://www.mendeley.com/documents/?uuid=29e9ada0-6ca1-4539-96e0-590e9f280b68"]}],"mendeley":{"formattedCitation":"[16]","plainTextFormattedCitation":"[16]","previouslyFormattedCitation":"[16]"},"properties":{"noteIndex":0},"schema":"https://github.com/citation-style-language/schema/raw/master/csl-citation.json"}</w:instrText>
      </w:r>
      <w:r w:rsidRPr="00A93CD2">
        <w:rPr>
          <w:rFonts w:ascii="Palatino Linotype" w:hAnsi="Palatino Linotype"/>
          <w:sz w:val="20"/>
          <w:szCs w:val="20"/>
          <w:lang w:val="en-CA"/>
        </w:rPr>
        <w:fldChar w:fldCharType="separate"/>
      </w:r>
      <w:r w:rsidR="00F70E29" w:rsidRPr="00F70E29">
        <w:rPr>
          <w:rFonts w:ascii="Palatino Linotype" w:hAnsi="Palatino Linotype"/>
          <w:noProof/>
          <w:sz w:val="20"/>
          <w:szCs w:val="20"/>
          <w:lang w:val="en-CA"/>
        </w:rPr>
        <w:t>[16]</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 xml:space="preserve">. </w:t>
      </w:r>
      <w:r w:rsidR="00741C62" w:rsidRPr="00A93CD2">
        <w:rPr>
          <w:rFonts w:ascii="Palatino Linotype" w:hAnsi="Palatino Linotype"/>
          <w:sz w:val="20"/>
          <w:szCs w:val="20"/>
          <w:lang w:val="en-CA"/>
        </w:rPr>
        <w:t xml:space="preserve">In this test, the original </w:t>
      </w:r>
      <w:r w:rsidR="00255360" w:rsidRPr="00A93CD2">
        <w:rPr>
          <w:rFonts w:ascii="Palatino Linotype" w:hAnsi="Palatino Linotype"/>
          <w:sz w:val="20"/>
          <w:szCs w:val="20"/>
          <w:lang w:val="en-CA"/>
        </w:rPr>
        <w:t xml:space="preserve">pairs of variables </w:t>
      </w:r>
      <m:oMath>
        <m:r>
          <w:rPr>
            <w:rFonts w:ascii="Cambria Math" w:hAnsi="Cambria Math"/>
            <w:sz w:val="20"/>
            <w:szCs w:val="20"/>
            <w:lang w:val="en-CA"/>
          </w:rPr>
          <m:t>(X,Y)</m:t>
        </m:r>
      </m:oMath>
      <w:r w:rsidR="00741C62" w:rsidRPr="00A93CD2">
        <w:rPr>
          <w:rFonts w:ascii="Palatino Linotype" w:hAnsi="Palatino Linotype"/>
          <w:sz w:val="20"/>
          <w:szCs w:val="20"/>
          <w:lang w:val="en-CA"/>
        </w:rPr>
        <w:t xml:space="preserve"> are transformed to standard </w:t>
      </w:r>
      <w:r w:rsidR="00255360" w:rsidRPr="00A93CD2">
        <w:rPr>
          <w:rFonts w:ascii="Palatino Linotype" w:hAnsi="Palatino Linotype"/>
          <w:sz w:val="20"/>
          <w:szCs w:val="20"/>
          <w:lang w:val="en-CA"/>
        </w:rPr>
        <w:t xml:space="preserve">normal variables </w:t>
      </w:r>
      <m:oMath>
        <m:d>
          <m:dPr>
            <m:ctrlPr>
              <w:rPr>
                <w:rFonts w:ascii="Cambria Math" w:hAnsi="Cambria Math"/>
                <w:i/>
                <w:sz w:val="20"/>
                <w:szCs w:val="20"/>
                <w:lang w:val="en-CA"/>
              </w:rPr>
            </m:ctrlPr>
          </m:dPr>
          <m:e>
            <m:sSub>
              <m:sSubPr>
                <m:ctrlPr>
                  <w:rPr>
                    <w:rFonts w:ascii="Cambria Math" w:hAnsi="Cambria Math"/>
                    <w:i/>
                    <w:sz w:val="20"/>
                    <w:szCs w:val="20"/>
                    <w:lang w:val="en-CA"/>
                  </w:rPr>
                </m:ctrlPr>
              </m:sSubPr>
              <m:e>
                <m:r>
                  <w:rPr>
                    <w:rFonts w:ascii="Cambria Math" w:hAnsi="Cambria Math"/>
                    <w:sz w:val="20"/>
                    <w:szCs w:val="20"/>
                    <w:lang w:val="en-CA"/>
                  </w:rPr>
                  <m:t>Z</m:t>
                </m:r>
              </m:e>
              <m:sub>
                <m:r>
                  <w:rPr>
                    <w:rFonts w:ascii="Cambria Math" w:hAnsi="Cambria Math"/>
                    <w:sz w:val="20"/>
                    <w:szCs w:val="20"/>
                    <w:lang w:val="en-CA"/>
                  </w:rPr>
                  <m:t>i</m:t>
                </m:r>
              </m:sub>
            </m:sSub>
            <m:r>
              <w:rPr>
                <w:rFonts w:ascii="Cambria Math" w:hAnsi="Cambria Math"/>
                <w:sz w:val="20"/>
                <w:szCs w:val="20"/>
                <w:lang w:val="en-CA"/>
              </w:rPr>
              <m:t>,</m:t>
            </m:r>
            <m:sSub>
              <m:sSubPr>
                <m:ctrlPr>
                  <w:rPr>
                    <w:rFonts w:ascii="Cambria Math" w:hAnsi="Cambria Math"/>
                    <w:i/>
                    <w:sz w:val="20"/>
                    <w:szCs w:val="20"/>
                    <w:lang w:val="en-CA"/>
                  </w:rPr>
                </m:ctrlPr>
              </m:sSubPr>
              <m:e>
                <m:r>
                  <w:rPr>
                    <w:rFonts w:ascii="Cambria Math" w:hAnsi="Cambria Math"/>
                    <w:sz w:val="20"/>
                    <w:szCs w:val="20"/>
                    <w:lang w:val="en-CA"/>
                  </w:rPr>
                  <m:t>Z</m:t>
                </m:r>
              </m:e>
              <m:sub>
                <m:r>
                  <w:rPr>
                    <w:rFonts w:ascii="Cambria Math" w:hAnsi="Cambria Math"/>
                    <w:sz w:val="20"/>
                    <w:szCs w:val="20"/>
                    <w:lang w:val="en-CA"/>
                  </w:rPr>
                  <m:t>j</m:t>
                </m:r>
              </m:sub>
            </m:sSub>
          </m:e>
        </m:d>
      </m:oMath>
      <w:r w:rsidR="00255360" w:rsidRPr="00A93CD2">
        <w:rPr>
          <w:rFonts w:ascii="Palatino Linotype" w:hAnsi="Palatino Linotype"/>
          <w:sz w:val="20"/>
          <w:szCs w:val="20"/>
          <w:lang w:val="en-CA"/>
        </w:rPr>
        <w:t xml:space="preserve"> </w:t>
      </w:r>
      <w:r w:rsidR="00741C62" w:rsidRPr="00A93CD2">
        <w:rPr>
          <w:rFonts w:ascii="Palatino Linotype" w:hAnsi="Palatino Linotype"/>
          <w:sz w:val="20"/>
          <w:szCs w:val="20"/>
          <w:lang w:val="en-CA"/>
        </w:rPr>
        <w:t xml:space="preserve">and </w:t>
      </w:r>
      <w:r w:rsidR="004510E4" w:rsidRPr="00A93CD2">
        <w:rPr>
          <w:rFonts w:ascii="Palatino Linotype" w:hAnsi="Palatino Linotype"/>
          <w:sz w:val="20"/>
          <w:szCs w:val="20"/>
          <w:lang w:val="en-CA"/>
        </w:rPr>
        <w:t>split</w:t>
      </w:r>
      <w:r w:rsidR="00741C62" w:rsidRPr="00A93CD2">
        <w:rPr>
          <w:rFonts w:ascii="Palatino Linotype" w:hAnsi="Palatino Linotype"/>
          <w:sz w:val="20"/>
          <w:szCs w:val="20"/>
          <w:lang w:val="en-CA"/>
        </w:rPr>
        <w:t xml:space="preserve"> into four categories corresponding to the four quadrants in standard normal space. For each of these quadrant, the Pearson’s product moment correlation coefficient is calculated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741C62" w:rsidRPr="00A93CD2" w14:paraId="60EB162D" w14:textId="77777777" w:rsidTr="00255360">
        <w:trPr>
          <w:jc w:val="center"/>
        </w:trPr>
        <w:tc>
          <w:tcPr>
            <w:tcW w:w="392" w:type="dxa"/>
            <w:vAlign w:val="center"/>
          </w:tcPr>
          <w:p w14:paraId="60EB162A" w14:textId="77777777" w:rsidR="00741C62" w:rsidRPr="00A93CD2" w:rsidRDefault="00741C62" w:rsidP="005934F5">
            <w:pPr>
              <w:jc w:val="center"/>
              <w:rPr>
                <w:rFonts w:ascii="Palatino Linotype" w:hAnsi="Palatino Linotype"/>
                <w:sz w:val="20"/>
                <w:szCs w:val="20"/>
                <w:lang w:val="en-CA"/>
              </w:rPr>
            </w:pPr>
          </w:p>
        </w:tc>
        <w:tc>
          <w:tcPr>
            <w:tcW w:w="7938" w:type="dxa"/>
            <w:vAlign w:val="center"/>
          </w:tcPr>
          <w:p w14:paraId="60EB162B" w14:textId="77777777" w:rsidR="00741C62" w:rsidRPr="00A93CD2" w:rsidRDefault="00F26203" w:rsidP="00741C62">
            <w:pPr>
              <w:ind w:firstLine="708"/>
              <w:rPr>
                <w:rFonts w:ascii="Palatino Linotype" w:hAnsi="Palatino Linotype"/>
                <w:sz w:val="20"/>
                <w:szCs w:val="20"/>
              </w:rPr>
            </w:pPr>
            <m:oMathPara>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NE</m:t>
                    </m:r>
                  </m:sub>
                </m:sSub>
                <m:r>
                  <w:rPr>
                    <w:rFonts w:ascii="Cambria Math" w:hAnsi="Cambria Math"/>
                    <w:sz w:val="20"/>
                    <w:szCs w:val="20"/>
                  </w:rPr>
                  <m:t>= ρ</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 xml:space="preserve">&gt;0, </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&gt;0</m:t>
                    </m:r>
                  </m:e>
                </m:d>
              </m:oMath>
            </m:oMathPara>
          </w:p>
        </w:tc>
        <w:tc>
          <w:tcPr>
            <w:tcW w:w="882" w:type="dxa"/>
            <w:vAlign w:val="center"/>
          </w:tcPr>
          <w:p w14:paraId="60EB162C" w14:textId="3086B963" w:rsidR="00741C62" w:rsidRPr="00A93CD2" w:rsidRDefault="00741C62" w:rsidP="005934F5">
            <w:pPr>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8</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r w:rsidR="00741C62" w:rsidRPr="00A93CD2" w14:paraId="60EB1632" w14:textId="77777777" w:rsidTr="00255360">
        <w:trPr>
          <w:jc w:val="center"/>
        </w:trPr>
        <w:tc>
          <w:tcPr>
            <w:tcW w:w="392" w:type="dxa"/>
            <w:vAlign w:val="center"/>
          </w:tcPr>
          <w:p w14:paraId="60EB162E" w14:textId="77777777" w:rsidR="00741C62" w:rsidRPr="00A93CD2" w:rsidRDefault="00741C62" w:rsidP="005934F5">
            <w:pPr>
              <w:jc w:val="center"/>
              <w:rPr>
                <w:rFonts w:ascii="Palatino Linotype" w:hAnsi="Palatino Linotype"/>
                <w:sz w:val="20"/>
                <w:szCs w:val="20"/>
                <w:lang w:val="en-CA"/>
              </w:rPr>
            </w:pPr>
          </w:p>
        </w:tc>
        <w:tc>
          <w:tcPr>
            <w:tcW w:w="7938" w:type="dxa"/>
            <w:vAlign w:val="center"/>
          </w:tcPr>
          <w:p w14:paraId="60EB162F" w14:textId="77777777" w:rsidR="00255360" w:rsidRPr="00A93CD2" w:rsidRDefault="00255360" w:rsidP="00741C62">
            <w:pPr>
              <w:ind w:firstLine="708"/>
              <w:rPr>
                <w:rFonts w:ascii="Palatino Linotype" w:hAnsi="Palatino Linotype"/>
                <w:sz w:val="20"/>
                <w:szCs w:val="20"/>
              </w:rPr>
            </w:pPr>
          </w:p>
          <w:p w14:paraId="60EB1630" w14:textId="77777777" w:rsidR="00741C62" w:rsidRPr="00A93CD2" w:rsidRDefault="00F26203" w:rsidP="00741C62">
            <w:pPr>
              <w:ind w:firstLine="708"/>
              <w:rPr>
                <w:rFonts w:ascii="Palatino Linotype" w:hAnsi="Palatino Linotype"/>
                <w:sz w:val="20"/>
                <w:szCs w:val="20"/>
              </w:rPr>
            </w:pPr>
            <m:oMathPara>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SW</m:t>
                    </m:r>
                  </m:sub>
                </m:sSub>
                <m:r>
                  <w:rPr>
                    <w:rFonts w:ascii="Cambria Math" w:hAnsi="Cambria Math"/>
                    <w:sz w:val="20"/>
                    <w:szCs w:val="20"/>
                  </w:rPr>
                  <m:t>= ρ</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 xml:space="preserve">&lt;0, </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&lt;0</m:t>
                    </m:r>
                  </m:e>
                </m:d>
              </m:oMath>
            </m:oMathPara>
          </w:p>
        </w:tc>
        <w:tc>
          <w:tcPr>
            <w:tcW w:w="882" w:type="dxa"/>
            <w:vAlign w:val="center"/>
          </w:tcPr>
          <w:p w14:paraId="60EB1631" w14:textId="23D90F51" w:rsidR="00741C62" w:rsidRPr="00A93CD2" w:rsidRDefault="00741C62" w:rsidP="005934F5">
            <w:pPr>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9</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r w:rsidR="00741C62" w:rsidRPr="00A93CD2" w14:paraId="60EB1637" w14:textId="77777777" w:rsidTr="00255360">
        <w:trPr>
          <w:jc w:val="center"/>
        </w:trPr>
        <w:tc>
          <w:tcPr>
            <w:tcW w:w="392" w:type="dxa"/>
            <w:vAlign w:val="center"/>
          </w:tcPr>
          <w:p w14:paraId="60EB1633" w14:textId="77777777" w:rsidR="00741C62" w:rsidRPr="00A93CD2" w:rsidRDefault="00741C62" w:rsidP="005934F5">
            <w:pPr>
              <w:jc w:val="center"/>
              <w:rPr>
                <w:rFonts w:ascii="Palatino Linotype" w:hAnsi="Palatino Linotype"/>
                <w:sz w:val="20"/>
                <w:szCs w:val="20"/>
                <w:lang w:val="en-CA"/>
              </w:rPr>
            </w:pPr>
          </w:p>
        </w:tc>
        <w:tc>
          <w:tcPr>
            <w:tcW w:w="7938" w:type="dxa"/>
            <w:vAlign w:val="center"/>
          </w:tcPr>
          <w:p w14:paraId="60EB1634" w14:textId="77777777" w:rsidR="00255360" w:rsidRPr="00A93CD2" w:rsidRDefault="00255360" w:rsidP="00255360">
            <w:pPr>
              <w:ind w:firstLine="708"/>
              <w:rPr>
                <w:rFonts w:ascii="Palatino Linotype" w:hAnsi="Palatino Linotype"/>
                <w:sz w:val="20"/>
                <w:szCs w:val="20"/>
              </w:rPr>
            </w:pPr>
          </w:p>
          <w:p w14:paraId="60EB1635" w14:textId="77777777" w:rsidR="00741C62" w:rsidRPr="00A93CD2" w:rsidRDefault="00F26203" w:rsidP="00255360">
            <w:pPr>
              <w:ind w:firstLine="708"/>
              <w:rPr>
                <w:rFonts w:ascii="Palatino Linotype" w:hAnsi="Palatino Linotype"/>
                <w:sz w:val="20"/>
                <w:szCs w:val="20"/>
              </w:rPr>
            </w:pPr>
            <m:oMathPara>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NW</m:t>
                    </m:r>
                  </m:sub>
                </m:sSub>
                <m:r>
                  <w:rPr>
                    <w:rFonts w:ascii="Cambria Math" w:hAnsi="Cambria Math"/>
                    <w:sz w:val="20"/>
                    <w:szCs w:val="20"/>
                  </w:rPr>
                  <m:t>= ρ</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 xml:space="preserve">&lt;0, </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&gt;0</m:t>
                    </m:r>
                  </m:e>
                </m:d>
              </m:oMath>
            </m:oMathPara>
          </w:p>
        </w:tc>
        <w:tc>
          <w:tcPr>
            <w:tcW w:w="882" w:type="dxa"/>
            <w:vAlign w:val="center"/>
          </w:tcPr>
          <w:p w14:paraId="60EB1636" w14:textId="3C9AF082" w:rsidR="00741C62" w:rsidRPr="00A93CD2" w:rsidRDefault="00741C62" w:rsidP="005934F5">
            <w:pPr>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10</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r w:rsidR="00741C62" w:rsidRPr="00A93CD2" w14:paraId="60EB163C" w14:textId="77777777" w:rsidTr="00255360">
        <w:trPr>
          <w:jc w:val="center"/>
        </w:trPr>
        <w:tc>
          <w:tcPr>
            <w:tcW w:w="392" w:type="dxa"/>
            <w:vAlign w:val="center"/>
          </w:tcPr>
          <w:p w14:paraId="60EB1638" w14:textId="77777777" w:rsidR="00741C62" w:rsidRPr="00A93CD2" w:rsidRDefault="00741C62" w:rsidP="005934F5">
            <w:pPr>
              <w:jc w:val="center"/>
              <w:rPr>
                <w:rFonts w:ascii="Palatino Linotype" w:hAnsi="Palatino Linotype"/>
                <w:sz w:val="20"/>
                <w:szCs w:val="20"/>
                <w:lang w:val="en-CA"/>
              </w:rPr>
            </w:pPr>
          </w:p>
        </w:tc>
        <w:tc>
          <w:tcPr>
            <w:tcW w:w="7938" w:type="dxa"/>
            <w:vAlign w:val="center"/>
          </w:tcPr>
          <w:p w14:paraId="60EB1639" w14:textId="77777777" w:rsidR="00F26413" w:rsidRPr="00A93CD2" w:rsidRDefault="00F26413" w:rsidP="005934F5">
            <w:pPr>
              <w:ind w:firstLine="708"/>
              <w:rPr>
                <w:rFonts w:ascii="Palatino Linotype" w:hAnsi="Palatino Linotype"/>
                <w:sz w:val="20"/>
                <w:szCs w:val="20"/>
              </w:rPr>
            </w:pPr>
          </w:p>
          <w:p w14:paraId="60EB163A" w14:textId="77777777" w:rsidR="00741C62" w:rsidRPr="00A93CD2" w:rsidRDefault="00F26203" w:rsidP="005934F5">
            <w:pPr>
              <w:ind w:firstLine="708"/>
              <w:rPr>
                <w:rFonts w:ascii="Palatino Linotype" w:hAnsi="Palatino Linotype"/>
                <w:sz w:val="20"/>
                <w:szCs w:val="20"/>
              </w:rPr>
            </w:pPr>
            <m:oMathPara>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SE</m:t>
                    </m:r>
                  </m:sub>
                </m:sSub>
                <m:r>
                  <w:rPr>
                    <w:rFonts w:ascii="Cambria Math" w:hAnsi="Cambria Math"/>
                    <w:sz w:val="20"/>
                    <w:szCs w:val="20"/>
                  </w:rPr>
                  <m:t>= ρ</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 xml:space="preserve">&gt;0, </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r>
                      <w:rPr>
                        <w:rFonts w:ascii="Cambria Math" w:hAnsi="Cambria Math"/>
                        <w:sz w:val="20"/>
                        <w:szCs w:val="20"/>
                      </w:rPr>
                      <m:t>&lt;0</m:t>
                    </m:r>
                  </m:e>
                </m:d>
              </m:oMath>
            </m:oMathPara>
          </w:p>
        </w:tc>
        <w:tc>
          <w:tcPr>
            <w:tcW w:w="882" w:type="dxa"/>
            <w:vAlign w:val="center"/>
          </w:tcPr>
          <w:p w14:paraId="60EB163B" w14:textId="4B5C8DAF" w:rsidR="00741C62" w:rsidRPr="00A93CD2" w:rsidRDefault="00741C62" w:rsidP="005934F5">
            <w:pPr>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11</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63D" w14:textId="77777777" w:rsidR="00C753E1" w:rsidRPr="00A93CD2" w:rsidRDefault="00C753E1" w:rsidP="00F3226C">
      <w:pPr>
        <w:jc w:val="both"/>
        <w:rPr>
          <w:rFonts w:ascii="Palatino Linotype" w:hAnsi="Palatino Linotype"/>
          <w:sz w:val="20"/>
          <w:szCs w:val="20"/>
          <w:lang w:val="en-CA"/>
        </w:rPr>
      </w:pPr>
    </w:p>
    <w:p w14:paraId="60EB163E" w14:textId="3B901D97" w:rsidR="00CB3A65" w:rsidRPr="00A93CD2" w:rsidRDefault="00C753E1" w:rsidP="00F3226C">
      <w:pPr>
        <w:jc w:val="both"/>
        <w:rPr>
          <w:rFonts w:ascii="Palatino Linotype" w:hAnsi="Palatino Linotype"/>
          <w:sz w:val="20"/>
          <w:szCs w:val="20"/>
          <w:lang w:val="en-CA"/>
        </w:rPr>
      </w:pPr>
      <w:r w:rsidRPr="00A93CD2">
        <w:rPr>
          <w:rFonts w:ascii="Palatino Linotype" w:hAnsi="Palatino Linotype"/>
          <w:sz w:val="20"/>
          <w:szCs w:val="20"/>
          <w:lang w:val="en-CA"/>
        </w:rPr>
        <w:lastRenderedPageBreak/>
        <w:t>In general, for positively correlat</w:t>
      </w:r>
      <w:r w:rsidR="00335D16" w:rsidRPr="00A93CD2">
        <w:rPr>
          <w:rFonts w:ascii="Palatino Linotype" w:hAnsi="Palatino Linotype"/>
          <w:sz w:val="20"/>
          <w:szCs w:val="20"/>
          <w:lang w:val="en-CA"/>
        </w:rPr>
        <w:t>ed</w:t>
      </w:r>
      <w:r w:rsidRPr="00A93CD2">
        <w:rPr>
          <w:rFonts w:ascii="Palatino Linotype" w:hAnsi="Palatino Linotype"/>
          <w:sz w:val="20"/>
          <w:szCs w:val="20"/>
          <w:lang w:val="en-CA"/>
        </w:rPr>
        <w:t xml:space="preserve"> variables, semi-correlation values in the upper right (NE) or lower left (SW) quadrants higher than the overall correlation </w:t>
      </w:r>
      <m:oMath>
        <m:r>
          <w:rPr>
            <w:rFonts w:ascii="Cambria Math" w:hAnsi="Cambria Math"/>
            <w:sz w:val="20"/>
            <w:szCs w:val="20"/>
            <w:lang w:val="en-CA"/>
          </w:rPr>
          <m:t>ρ</m:t>
        </m:r>
      </m:oMath>
      <w:r w:rsidRPr="00A93CD2">
        <w:rPr>
          <w:rFonts w:ascii="Palatino Linotype" w:hAnsi="Palatino Linotype"/>
          <w:sz w:val="20"/>
          <w:szCs w:val="20"/>
          <w:lang w:val="en-CA"/>
        </w:rPr>
        <w:t xml:space="preserve"> indicate upper or lower tail dependence, respectively</w:t>
      </w:r>
      <w:r w:rsidR="00335D16" w:rsidRPr="00A93CD2">
        <w:rPr>
          <w:rFonts w:ascii="Palatino Linotype" w:hAnsi="Palatino Linotype"/>
          <w:sz w:val="20"/>
          <w:szCs w:val="20"/>
          <w:lang w:val="en-CA"/>
        </w:rPr>
        <w:t>. The same applies for negatively correlated variables, except that the comparison is with the upper left (NW) and lower right quadrant (SE).</w:t>
      </w:r>
      <w:r w:rsidR="004B7746">
        <w:rPr>
          <w:rFonts w:ascii="Palatino Linotype" w:hAnsi="Palatino Linotype"/>
          <w:sz w:val="20"/>
          <w:szCs w:val="20"/>
          <w:lang w:val="en-CA"/>
        </w:rPr>
        <w:t xml:space="preserve"> </w:t>
      </w:r>
    </w:p>
    <w:p w14:paraId="60EB163F" w14:textId="22CC0844" w:rsidR="009E63B8" w:rsidRPr="00A93CD2" w:rsidRDefault="00335D16" w:rsidP="00F3226C">
      <w:pPr>
        <w:jc w:val="both"/>
        <w:rPr>
          <w:rFonts w:ascii="Palatino Linotype" w:hAnsi="Palatino Linotype"/>
          <w:sz w:val="20"/>
          <w:szCs w:val="20"/>
          <w:lang w:val="en-CA"/>
        </w:rPr>
      </w:pPr>
      <w:r w:rsidRPr="00A93CD2">
        <w:rPr>
          <w:rFonts w:ascii="Palatino Linotype" w:hAnsi="Palatino Linotype"/>
          <w:sz w:val="20"/>
          <w:szCs w:val="20"/>
          <w:lang w:val="en-CA"/>
        </w:rPr>
        <w:t>The results for</w:t>
      </w:r>
      <w:r w:rsidR="00F80E17" w:rsidRPr="00A93CD2">
        <w:rPr>
          <w:rFonts w:ascii="Palatino Linotype" w:hAnsi="Palatino Linotype"/>
          <w:sz w:val="20"/>
          <w:szCs w:val="20"/>
          <w:lang w:val="en-CA"/>
        </w:rPr>
        <w:t xml:space="preserve"> both tests are shown in Table A</w:t>
      </w:r>
      <w:r w:rsidR="00D142A9" w:rsidRPr="00A93CD2">
        <w:rPr>
          <w:rFonts w:ascii="Palatino Linotype" w:hAnsi="Palatino Linotype"/>
          <w:sz w:val="20"/>
          <w:szCs w:val="20"/>
          <w:lang w:val="en-CA"/>
        </w:rPr>
        <w:t>3</w:t>
      </w:r>
      <w:r w:rsidRPr="00A93CD2">
        <w:rPr>
          <w:rFonts w:ascii="Palatino Linotype" w:hAnsi="Palatino Linotype"/>
          <w:sz w:val="20"/>
          <w:szCs w:val="20"/>
          <w:lang w:val="en-CA"/>
        </w:rPr>
        <w:t>.</w:t>
      </w:r>
      <w:r w:rsidR="00F80E17" w:rsidRPr="00A93CD2">
        <w:rPr>
          <w:rFonts w:ascii="Palatino Linotype" w:hAnsi="Palatino Linotype"/>
          <w:sz w:val="20"/>
          <w:szCs w:val="20"/>
          <w:lang w:val="en-CA"/>
        </w:rPr>
        <w:t xml:space="preserve"> </w:t>
      </w:r>
      <w:r w:rsidR="007C2D2B" w:rsidRPr="00A93CD2">
        <w:rPr>
          <w:rFonts w:ascii="Palatino Linotype" w:hAnsi="Palatino Linotype"/>
          <w:sz w:val="20"/>
          <w:szCs w:val="20"/>
          <w:lang w:val="en-CA"/>
        </w:rPr>
        <w:t>The a</w:t>
      </w:r>
      <w:r w:rsidR="00E46A7F" w:rsidRPr="00A93CD2">
        <w:rPr>
          <w:rFonts w:ascii="Palatino Linotype" w:hAnsi="Palatino Linotype"/>
          <w:sz w:val="20"/>
          <w:szCs w:val="20"/>
          <w:lang w:val="en-CA"/>
        </w:rPr>
        <w:t>nalysis of the results indicates</w:t>
      </w:r>
      <w:r w:rsidR="007C2D2B" w:rsidRPr="00A93CD2">
        <w:rPr>
          <w:rFonts w:ascii="Palatino Linotype" w:hAnsi="Palatino Linotype"/>
          <w:sz w:val="20"/>
          <w:szCs w:val="20"/>
          <w:lang w:val="en-CA"/>
        </w:rPr>
        <w:t xml:space="preserve"> a clear difference in dependence between the pairs</w:t>
      </w:r>
      <w:r w:rsidR="00E327CB" w:rsidRPr="00A93CD2">
        <w:rPr>
          <w:rFonts w:ascii="Palatino Linotype" w:hAnsi="Palatino Linotype"/>
          <w:sz w:val="20"/>
          <w:szCs w:val="20"/>
          <w:lang w:val="en-CA"/>
        </w:rPr>
        <w:t xml:space="preserve"> of </w:t>
      </w:r>
      <w:r w:rsidR="00E46A7F" w:rsidRPr="00A93CD2">
        <w:rPr>
          <w:rFonts w:ascii="Palatino Linotype" w:hAnsi="Palatino Linotype"/>
          <w:sz w:val="20"/>
          <w:szCs w:val="20"/>
          <w:lang w:val="en-CA"/>
        </w:rPr>
        <w:t>(</w:t>
      </w:r>
      <w:r w:rsidR="007C2D2B" w:rsidRPr="00A93CD2">
        <w:rPr>
          <w:rFonts w:ascii="Palatino Linotype" w:hAnsi="Palatino Linotype"/>
          <w:i/>
          <w:sz w:val="20"/>
          <w:szCs w:val="20"/>
          <w:lang w:val="en-CA"/>
        </w:rPr>
        <w:t>discharge – discharge</w:t>
      </w:r>
      <w:r w:rsidR="00E46A7F" w:rsidRPr="00A93CD2">
        <w:rPr>
          <w:rFonts w:ascii="Palatino Linotype" w:hAnsi="Palatino Linotype"/>
          <w:sz w:val="20"/>
          <w:szCs w:val="20"/>
          <w:lang w:val="en-CA"/>
        </w:rPr>
        <w:t>)</w:t>
      </w:r>
      <w:r w:rsidR="007C2D2B" w:rsidRPr="00A93CD2">
        <w:rPr>
          <w:rFonts w:ascii="Palatino Linotype" w:hAnsi="Palatino Linotype"/>
          <w:sz w:val="20"/>
          <w:szCs w:val="20"/>
          <w:lang w:val="en-CA"/>
        </w:rPr>
        <w:t xml:space="preserve"> variables and </w:t>
      </w:r>
      <w:r w:rsidR="00E46A7F" w:rsidRPr="00A93CD2">
        <w:rPr>
          <w:rFonts w:ascii="Palatino Linotype" w:hAnsi="Palatino Linotype"/>
          <w:sz w:val="20"/>
          <w:szCs w:val="20"/>
          <w:lang w:val="en-CA"/>
        </w:rPr>
        <w:t>(</w:t>
      </w:r>
      <w:r w:rsidR="007C2D2B" w:rsidRPr="00A93CD2">
        <w:rPr>
          <w:rFonts w:ascii="Palatino Linotype" w:hAnsi="Palatino Linotype"/>
          <w:i/>
          <w:sz w:val="20"/>
          <w:szCs w:val="20"/>
          <w:lang w:val="en-CA"/>
        </w:rPr>
        <w:t>storm surge – discharge</w:t>
      </w:r>
      <w:r w:rsidR="00E46A7F" w:rsidRPr="00A93CD2">
        <w:rPr>
          <w:rFonts w:ascii="Palatino Linotype" w:hAnsi="Palatino Linotype"/>
          <w:sz w:val="20"/>
          <w:szCs w:val="20"/>
          <w:lang w:val="en-CA"/>
        </w:rPr>
        <w:t>)</w:t>
      </w:r>
      <w:r w:rsidR="007C2D2B" w:rsidRPr="00A93CD2">
        <w:rPr>
          <w:rFonts w:ascii="Palatino Linotype" w:hAnsi="Palatino Linotype"/>
          <w:sz w:val="20"/>
          <w:szCs w:val="20"/>
          <w:lang w:val="en-CA"/>
        </w:rPr>
        <w:t xml:space="preserve"> variables</w:t>
      </w:r>
      <w:r w:rsidR="00E46A7F" w:rsidRPr="00A93CD2">
        <w:rPr>
          <w:rFonts w:ascii="Palatino Linotype" w:hAnsi="Palatino Linotype"/>
          <w:sz w:val="20"/>
          <w:szCs w:val="20"/>
          <w:lang w:val="en-CA"/>
        </w:rPr>
        <w:t>, as can be seen in Figure A</w:t>
      </w:r>
      <w:r w:rsidR="00BD0655" w:rsidRPr="00A93CD2">
        <w:rPr>
          <w:rFonts w:ascii="Palatino Linotype" w:hAnsi="Palatino Linotype"/>
          <w:sz w:val="20"/>
          <w:szCs w:val="20"/>
          <w:lang w:val="en-CA"/>
        </w:rPr>
        <w:t>6</w:t>
      </w:r>
      <w:r w:rsidR="00E46A7F" w:rsidRPr="00A93CD2">
        <w:rPr>
          <w:rFonts w:ascii="Palatino Linotype" w:hAnsi="Palatino Linotype"/>
          <w:sz w:val="20"/>
          <w:szCs w:val="20"/>
          <w:lang w:val="en-CA"/>
        </w:rPr>
        <w:t xml:space="preserve"> where</w:t>
      </w:r>
      <w:r w:rsidR="007C2D2B" w:rsidRPr="00A93CD2">
        <w:rPr>
          <w:rFonts w:ascii="Palatino Linotype" w:hAnsi="Palatino Linotype"/>
          <w:sz w:val="20"/>
          <w:szCs w:val="20"/>
          <w:lang w:val="en-CA"/>
        </w:rPr>
        <w:t xml:space="preserve"> </w:t>
      </w:r>
      <w:r w:rsidR="00E46A7F" w:rsidRPr="00A93CD2">
        <w:rPr>
          <w:rFonts w:ascii="Palatino Linotype" w:hAnsi="Palatino Linotype"/>
          <w:sz w:val="20"/>
          <w:szCs w:val="20"/>
          <w:lang w:val="en-CA"/>
        </w:rPr>
        <w:t>t</w:t>
      </w:r>
      <w:r w:rsidR="007C2D2B" w:rsidRPr="00A93CD2">
        <w:rPr>
          <w:rFonts w:ascii="Palatino Linotype" w:hAnsi="Palatino Linotype"/>
          <w:sz w:val="20"/>
          <w:szCs w:val="20"/>
          <w:lang w:val="en-CA"/>
        </w:rPr>
        <w:t>wo representative cases are shown but a similar behavior is observed for the rest of the pairs of variables.</w:t>
      </w:r>
      <w:r w:rsidR="004B7746">
        <w:rPr>
          <w:rFonts w:ascii="Palatino Linotype" w:hAnsi="Palatino Linotype"/>
          <w:sz w:val="20"/>
          <w:szCs w:val="20"/>
          <w:lang w:val="en-CA"/>
        </w:rPr>
        <w:t xml:space="preserve"> </w:t>
      </w:r>
      <w:r w:rsidR="009E63B8" w:rsidRPr="00A93CD2">
        <w:rPr>
          <w:rFonts w:ascii="Palatino Linotype" w:hAnsi="Palatino Linotype"/>
          <w:sz w:val="20"/>
          <w:szCs w:val="20"/>
          <w:lang w:val="en-CA"/>
        </w:rPr>
        <w:t xml:space="preserve">Note that we excluded from the analysis stations 08076700 and 08074000 due to the limited amount of data but observed a similar dependence behavior as what is presented here. </w:t>
      </w:r>
    </w:p>
    <w:p w14:paraId="60EB1640" w14:textId="1A952168" w:rsidR="006722CF" w:rsidRPr="00A93CD2" w:rsidRDefault="007C2D2B" w:rsidP="00F3226C">
      <w:pPr>
        <w:jc w:val="both"/>
        <w:rPr>
          <w:rFonts w:ascii="Palatino Linotype" w:hAnsi="Palatino Linotype"/>
          <w:sz w:val="20"/>
          <w:szCs w:val="20"/>
          <w:lang w:val="en-CA"/>
        </w:rPr>
      </w:pPr>
      <w:r w:rsidRPr="00A93CD2">
        <w:rPr>
          <w:rFonts w:ascii="Palatino Linotype" w:hAnsi="Palatino Linotype"/>
          <w:sz w:val="20"/>
          <w:szCs w:val="20"/>
          <w:lang w:val="en-CA"/>
        </w:rPr>
        <w:t xml:space="preserve">For the pair variables with storm surge variable ‘Surge GP21’, </w:t>
      </w:r>
      <w:r w:rsidR="00E46A7F" w:rsidRPr="00A93CD2">
        <w:rPr>
          <w:rFonts w:ascii="Palatino Linotype" w:hAnsi="Palatino Linotype"/>
          <w:sz w:val="20"/>
          <w:szCs w:val="20"/>
          <w:lang w:val="en-CA"/>
        </w:rPr>
        <w:t>t</w:t>
      </w:r>
      <w:r w:rsidR="006722CF" w:rsidRPr="00A93CD2">
        <w:rPr>
          <w:rFonts w:ascii="Palatino Linotype" w:hAnsi="Palatino Linotype"/>
          <w:sz w:val="20"/>
          <w:szCs w:val="20"/>
          <w:lang w:val="en-CA"/>
        </w:rPr>
        <w:t>he Gaussian copula is an acceptable representation of the dependence</w:t>
      </w:r>
      <w:r w:rsidR="00E46A7F" w:rsidRPr="00A93CD2">
        <w:rPr>
          <w:rFonts w:ascii="Palatino Linotype" w:hAnsi="Palatino Linotype"/>
          <w:sz w:val="20"/>
          <w:szCs w:val="20"/>
          <w:lang w:val="en-CA"/>
        </w:rPr>
        <w:t>. Even though</w:t>
      </w:r>
      <w:r w:rsidR="006722CF" w:rsidRPr="00A93CD2">
        <w:rPr>
          <w:rFonts w:ascii="Palatino Linotype" w:hAnsi="Palatino Linotype"/>
          <w:sz w:val="20"/>
          <w:szCs w:val="20"/>
          <w:lang w:val="en-CA"/>
        </w:rPr>
        <w:t xml:space="preserve"> </w:t>
      </w:r>
      <w:r w:rsidR="00E327CB" w:rsidRPr="00A93CD2">
        <w:rPr>
          <w:rFonts w:ascii="Palatino Linotype" w:hAnsi="Palatino Linotype"/>
          <w:sz w:val="20"/>
          <w:szCs w:val="20"/>
          <w:lang w:val="en-CA"/>
        </w:rPr>
        <w:t xml:space="preserve">the </w:t>
      </w:r>
      <w:r w:rsidR="00E46A7F" w:rsidRPr="00A93CD2">
        <w:rPr>
          <w:rFonts w:ascii="Palatino Linotype" w:hAnsi="Palatino Linotype"/>
          <w:sz w:val="20"/>
          <w:szCs w:val="20"/>
          <w:lang w:val="en-CA"/>
        </w:rPr>
        <w:t>l</w:t>
      </w:r>
      <w:r w:rsidR="00E46190" w:rsidRPr="00A93CD2">
        <w:rPr>
          <w:rFonts w:ascii="Palatino Linotype" w:hAnsi="Palatino Linotype"/>
          <w:sz w:val="20"/>
          <w:szCs w:val="20"/>
          <w:lang w:val="en-CA"/>
        </w:rPr>
        <w:t xml:space="preserve">owest </w:t>
      </w: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00063C44" w:rsidRPr="00A93CD2">
        <w:rPr>
          <w:rFonts w:ascii="Palatino Linotype" w:hAnsi="Palatino Linotype"/>
          <w:sz w:val="20"/>
          <w:szCs w:val="20"/>
          <w:lang w:val="en-CA"/>
        </w:rPr>
        <w:t xml:space="preserve"> </w:t>
      </w:r>
      <w:r w:rsidR="00E327CB" w:rsidRPr="00A93CD2">
        <w:rPr>
          <w:rFonts w:ascii="Palatino Linotype" w:hAnsi="Palatino Linotype"/>
          <w:sz w:val="20"/>
          <w:szCs w:val="20"/>
          <w:lang w:val="en-CA"/>
        </w:rPr>
        <w:t xml:space="preserve">statistic </w:t>
      </w:r>
      <w:r w:rsidR="00063C44" w:rsidRPr="00A93CD2">
        <w:rPr>
          <w:rFonts w:ascii="Palatino Linotype" w:hAnsi="Palatino Linotype"/>
          <w:sz w:val="20"/>
          <w:szCs w:val="20"/>
          <w:lang w:val="en-CA"/>
        </w:rPr>
        <w:t>values are consistently obtained for the Gumbel copula</w:t>
      </w:r>
      <w:r w:rsidR="00E46A7F" w:rsidRPr="00A93CD2">
        <w:rPr>
          <w:rFonts w:ascii="Palatino Linotype" w:hAnsi="Palatino Linotype"/>
          <w:sz w:val="20"/>
          <w:szCs w:val="20"/>
          <w:lang w:val="en-CA"/>
        </w:rPr>
        <w:t xml:space="preserve">, </w:t>
      </w:r>
      <w:r w:rsidR="005934F5" w:rsidRPr="00A93CD2">
        <w:rPr>
          <w:rFonts w:ascii="Palatino Linotype" w:hAnsi="Palatino Linotype"/>
          <w:sz w:val="20"/>
          <w:szCs w:val="20"/>
          <w:lang w:val="en-CA"/>
        </w:rPr>
        <w:t xml:space="preserve">the difference with the </w:t>
      </w: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Pr="00A93CD2">
        <w:rPr>
          <w:rFonts w:ascii="Palatino Linotype" w:hAnsi="Palatino Linotype"/>
          <w:sz w:val="20"/>
          <w:szCs w:val="20"/>
          <w:lang w:val="en-CA"/>
        </w:rPr>
        <w:t xml:space="preserve"> statistic for the </w:t>
      </w:r>
      <w:r w:rsidR="005934F5" w:rsidRPr="00A93CD2">
        <w:rPr>
          <w:rFonts w:ascii="Palatino Linotype" w:hAnsi="Palatino Linotype"/>
          <w:sz w:val="20"/>
          <w:szCs w:val="20"/>
          <w:lang w:val="en-CA"/>
        </w:rPr>
        <w:t>Gaussia</w:t>
      </w:r>
      <w:r w:rsidR="006722CF" w:rsidRPr="00A93CD2">
        <w:rPr>
          <w:rFonts w:ascii="Palatino Linotype" w:hAnsi="Palatino Linotype"/>
          <w:sz w:val="20"/>
          <w:szCs w:val="20"/>
          <w:lang w:val="en-CA"/>
        </w:rPr>
        <w:t>n</w:t>
      </w:r>
      <w:r w:rsidR="005934F5" w:rsidRPr="00A93CD2">
        <w:rPr>
          <w:rFonts w:ascii="Palatino Linotype" w:hAnsi="Palatino Linotype"/>
          <w:sz w:val="20"/>
          <w:szCs w:val="20"/>
          <w:lang w:val="en-CA"/>
        </w:rPr>
        <w:t xml:space="preserve"> copula </w:t>
      </w:r>
      <w:r w:rsidR="006722CF" w:rsidRPr="00A93CD2">
        <w:rPr>
          <w:rFonts w:ascii="Palatino Linotype" w:hAnsi="Palatino Linotype"/>
          <w:sz w:val="20"/>
          <w:szCs w:val="20"/>
          <w:lang w:val="en-CA"/>
        </w:rPr>
        <w:t>remains</w:t>
      </w:r>
      <w:r w:rsidR="005934F5" w:rsidRPr="00A93CD2">
        <w:rPr>
          <w:rFonts w:ascii="Palatino Linotype" w:hAnsi="Palatino Linotype"/>
          <w:sz w:val="20"/>
          <w:szCs w:val="20"/>
          <w:lang w:val="en-CA"/>
        </w:rPr>
        <w:t xml:space="preserve"> small</w:t>
      </w:r>
      <w:r w:rsidR="00E46A7F" w:rsidRPr="00A93CD2">
        <w:rPr>
          <w:rFonts w:ascii="Palatino Linotype" w:hAnsi="Palatino Linotype"/>
          <w:sz w:val="20"/>
          <w:szCs w:val="20"/>
          <w:lang w:val="en-CA"/>
        </w:rPr>
        <w:t xml:space="preserve"> (</w:t>
      </w:r>
      <w:r w:rsidR="00E46A7F" w:rsidRPr="00A93CD2">
        <w:rPr>
          <w:rFonts w:ascii="Palatino Linotype" w:hAnsi="Palatino Linotype" w:cstheme="minorHAnsi"/>
          <w:sz w:val="20"/>
          <w:szCs w:val="20"/>
          <w:lang w:val="en-CA"/>
        </w:rPr>
        <w:t>≤</w:t>
      </w:r>
      <w:r w:rsidR="00E46A7F" w:rsidRPr="00A93CD2">
        <w:rPr>
          <w:rFonts w:ascii="Palatino Linotype" w:hAnsi="Palatino Linotype"/>
          <w:sz w:val="20"/>
          <w:szCs w:val="20"/>
          <w:lang w:val="en-CA"/>
        </w:rPr>
        <w:t xml:space="preserve"> 0.04)</w:t>
      </w:r>
      <w:r w:rsidR="005934F5" w:rsidRPr="00A93CD2">
        <w:rPr>
          <w:rFonts w:ascii="Palatino Linotype" w:hAnsi="Palatino Linotype"/>
          <w:sz w:val="20"/>
          <w:szCs w:val="20"/>
          <w:lang w:val="en-CA"/>
        </w:rPr>
        <w:t xml:space="preserve">. </w:t>
      </w:r>
      <w:r w:rsidR="00E46A7F" w:rsidRPr="00A93CD2">
        <w:rPr>
          <w:rFonts w:ascii="Palatino Linotype" w:hAnsi="Palatino Linotype"/>
          <w:sz w:val="20"/>
          <w:szCs w:val="20"/>
          <w:lang w:val="en-CA"/>
        </w:rPr>
        <w:t>Moreover,</w:t>
      </w:r>
      <w:r w:rsidR="006722CF" w:rsidRPr="00A93CD2">
        <w:rPr>
          <w:rFonts w:ascii="Palatino Linotype" w:hAnsi="Palatino Linotype"/>
          <w:sz w:val="20"/>
          <w:szCs w:val="20"/>
          <w:lang w:val="en-CA"/>
        </w:rPr>
        <w:t xml:space="preserve"> </w:t>
      </w:r>
      <w:r w:rsidR="00E46A7F" w:rsidRPr="00A93CD2">
        <w:rPr>
          <w:rFonts w:ascii="Palatino Linotype" w:hAnsi="Palatino Linotype"/>
          <w:sz w:val="20"/>
          <w:szCs w:val="20"/>
          <w:lang w:val="en-CA"/>
        </w:rPr>
        <w:t xml:space="preserve">the </w:t>
      </w:r>
      <w:r w:rsidR="001A3825">
        <w:rPr>
          <w:rFonts w:ascii="Palatino Linotype" w:hAnsi="Palatino Linotype"/>
          <w:sz w:val="20"/>
          <w:szCs w:val="20"/>
          <w:lang w:val="en-CA"/>
        </w:rPr>
        <w:t>small</w:t>
      </w:r>
      <w:r w:rsidR="001A3825" w:rsidRPr="00A93CD2">
        <w:rPr>
          <w:rFonts w:ascii="Palatino Linotype" w:hAnsi="Palatino Linotype"/>
          <w:sz w:val="20"/>
          <w:szCs w:val="20"/>
          <w:lang w:val="en-CA"/>
        </w:rPr>
        <w:t xml:space="preserve"> </w:t>
      </w:r>
      <w:r w:rsidR="006722CF" w:rsidRPr="00A93CD2">
        <w:rPr>
          <w:rFonts w:ascii="Palatino Linotype" w:hAnsi="Palatino Linotype"/>
          <w:sz w:val="20"/>
          <w:szCs w:val="20"/>
          <w:lang w:val="en-CA"/>
        </w:rPr>
        <w:t>difference</w:t>
      </w:r>
      <w:r w:rsidR="00E46A7F" w:rsidRPr="00A93CD2">
        <w:rPr>
          <w:rFonts w:ascii="Palatino Linotype" w:hAnsi="Palatino Linotype"/>
          <w:sz w:val="20"/>
          <w:szCs w:val="20"/>
          <w:lang w:val="en-CA"/>
        </w:rPr>
        <w:t>s</w:t>
      </w:r>
      <w:r w:rsidR="006722CF" w:rsidRPr="00A93CD2">
        <w:rPr>
          <w:rFonts w:ascii="Palatino Linotype" w:hAnsi="Palatino Linotype"/>
          <w:sz w:val="20"/>
          <w:szCs w:val="20"/>
          <w:lang w:val="en-CA"/>
        </w:rPr>
        <w:t xml:space="preserve"> between the semi-correlation of the NE quadrant (</w:t>
      </w: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NE</m:t>
            </m:r>
          </m:sub>
        </m:sSub>
        <m:r>
          <w:rPr>
            <w:rFonts w:ascii="Cambria Math" w:hAnsi="Cambria Math"/>
            <w:sz w:val="20"/>
            <w:szCs w:val="20"/>
            <w:lang w:val="en-CA"/>
          </w:rPr>
          <m:t>)</m:t>
        </m:r>
      </m:oMath>
      <w:r w:rsidR="006722CF" w:rsidRPr="00A93CD2">
        <w:rPr>
          <w:rFonts w:ascii="Palatino Linotype" w:hAnsi="Palatino Linotype"/>
          <w:sz w:val="20"/>
          <w:szCs w:val="20"/>
          <w:lang w:val="en-CA"/>
        </w:rPr>
        <w:t xml:space="preserve"> with the overall correlation coefficient </w:t>
      </w:r>
      <m:oMath>
        <m:r>
          <w:rPr>
            <w:rFonts w:ascii="Cambria Math" w:hAnsi="Cambria Math"/>
            <w:sz w:val="20"/>
            <w:szCs w:val="20"/>
            <w:lang w:val="en-CA"/>
          </w:rPr>
          <m:t>(ρ)</m:t>
        </m:r>
      </m:oMath>
      <w:r w:rsidR="00E46A7F" w:rsidRPr="00A93CD2">
        <w:rPr>
          <w:rFonts w:ascii="Palatino Linotype" w:hAnsi="Palatino Linotype"/>
          <w:sz w:val="20"/>
          <w:szCs w:val="20"/>
          <w:lang w:val="en-CA"/>
        </w:rPr>
        <w:t xml:space="preserve"> indicate only a slight upper tail dependence (see also Figure A</w:t>
      </w:r>
      <w:r w:rsidR="00FC1373" w:rsidRPr="00A93CD2">
        <w:rPr>
          <w:rFonts w:ascii="Palatino Linotype" w:hAnsi="Palatino Linotype"/>
          <w:sz w:val="20"/>
          <w:szCs w:val="20"/>
          <w:lang w:val="en-CA"/>
        </w:rPr>
        <w:t>6</w:t>
      </w:r>
      <w:r w:rsidR="00E46A7F" w:rsidRPr="00A93CD2">
        <w:rPr>
          <w:rFonts w:ascii="Palatino Linotype" w:hAnsi="Palatino Linotype"/>
          <w:sz w:val="20"/>
          <w:szCs w:val="20"/>
          <w:lang w:val="en-CA"/>
        </w:rPr>
        <w:t>a).</w:t>
      </w:r>
      <w:r w:rsidR="004B7746">
        <w:rPr>
          <w:rFonts w:ascii="Palatino Linotype" w:hAnsi="Palatino Linotype"/>
          <w:sz w:val="20"/>
          <w:szCs w:val="20"/>
          <w:lang w:val="en-CA"/>
        </w:rPr>
        <w:t xml:space="preserve"> </w:t>
      </w:r>
      <w:r w:rsidR="006722CF" w:rsidRPr="00A93CD2">
        <w:rPr>
          <w:rFonts w:ascii="Palatino Linotype" w:hAnsi="Palatino Linotype"/>
          <w:sz w:val="20"/>
          <w:szCs w:val="20"/>
          <w:lang w:val="en-CA"/>
        </w:rPr>
        <w:t>The</w:t>
      </w:r>
      <w:r w:rsidRPr="00A93CD2">
        <w:rPr>
          <w:rFonts w:ascii="Palatino Linotype" w:hAnsi="Palatino Linotype"/>
          <w:sz w:val="20"/>
          <w:szCs w:val="20"/>
          <w:lang w:val="en-CA"/>
        </w:rPr>
        <w:t>refore, the</w:t>
      </w:r>
      <w:r w:rsidR="006722CF" w:rsidRPr="00A93CD2">
        <w:rPr>
          <w:rFonts w:ascii="Palatino Linotype" w:hAnsi="Palatino Linotype"/>
          <w:sz w:val="20"/>
          <w:szCs w:val="20"/>
          <w:lang w:val="en-CA"/>
        </w:rPr>
        <w:t xml:space="preserve"> selection of the Gaussian copula for the </w:t>
      </w:r>
      <w:r w:rsidR="00E327CB" w:rsidRPr="00A93CD2">
        <w:rPr>
          <w:rFonts w:ascii="Palatino Linotype" w:hAnsi="Palatino Linotype"/>
          <w:sz w:val="20"/>
          <w:szCs w:val="20"/>
          <w:lang w:val="en-CA"/>
        </w:rPr>
        <w:t xml:space="preserve">pairs of </w:t>
      </w:r>
      <w:r w:rsidR="00E327CB" w:rsidRPr="00A93CD2">
        <w:rPr>
          <w:rFonts w:ascii="Palatino Linotype" w:hAnsi="Palatino Linotype"/>
          <w:i/>
          <w:sz w:val="20"/>
          <w:szCs w:val="20"/>
          <w:lang w:val="en-CA"/>
        </w:rPr>
        <w:t>storm surge – discharge</w:t>
      </w:r>
      <w:r w:rsidR="00E327CB" w:rsidRPr="00A93CD2">
        <w:rPr>
          <w:rFonts w:ascii="Palatino Linotype" w:hAnsi="Palatino Linotype"/>
          <w:sz w:val="20"/>
          <w:szCs w:val="20"/>
          <w:lang w:val="en-CA"/>
        </w:rPr>
        <w:t xml:space="preserve"> </w:t>
      </w:r>
      <w:r w:rsidR="006722CF" w:rsidRPr="00A93CD2">
        <w:rPr>
          <w:rFonts w:ascii="Palatino Linotype" w:hAnsi="Palatino Linotype"/>
          <w:sz w:val="20"/>
          <w:szCs w:val="20"/>
          <w:lang w:val="en-CA"/>
        </w:rPr>
        <w:t>variable</w:t>
      </w:r>
      <w:r w:rsidR="00E327CB" w:rsidRPr="00A93CD2">
        <w:rPr>
          <w:rFonts w:ascii="Palatino Linotype" w:hAnsi="Palatino Linotype"/>
          <w:sz w:val="20"/>
          <w:szCs w:val="20"/>
          <w:lang w:val="en-CA"/>
        </w:rPr>
        <w:t>s</w:t>
      </w:r>
      <w:r w:rsidR="006722CF" w:rsidRPr="00A93CD2">
        <w:rPr>
          <w:rFonts w:ascii="Palatino Linotype" w:hAnsi="Palatino Linotype"/>
          <w:sz w:val="20"/>
          <w:szCs w:val="20"/>
          <w:lang w:val="en-CA"/>
        </w:rPr>
        <w:t xml:space="preserve"> </w:t>
      </w:r>
      <w:r w:rsidR="00E327CB" w:rsidRPr="00A93CD2">
        <w:rPr>
          <w:rFonts w:ascii="Palatino Linotype" w:hAnsi="Palatino Linotype"/>
          <w:sz w:val="20"/>
          <w:szCs w:val="20"/>
          <w:lang w:val="en-CA"/>
        </w:rPr>
        <w:t>represent an appropriate dependence structure</w:t>
      </w:r>
      <w:r w:rsidR="00E46A7F" w:rsidRPr="00A93CD2">
        <w:rPr>
          <w:rFonts w:ascii="Palatino Linotype" w:hAnsi="Palatino Linotype"/>
          <w:sz w:val="20"/>
          <w:szCs w:val="20"/>
          <w:lang w:val="en-CA"/>
        </w:rPr>
        <w:t>.</w:t>
      </w:r>
    </w:p>
    <w:p w14:paraId="60EB1641" w14:textId="5C23F3F1" w:rsidR="0010729E" w:rsidRPr="00A93CD2" w:rsidRDefault="00E327CB" w:rsidP="00F3226C">
      <w:pPr>
        <w:jc w:val="both"/>
        <w:rPr>
          <w:rFonts w:ascii="Palatino Linotype" w:hAnsi="Palatino Linotype"/>
          <w:sz w:val="20"/>
          <w:szCs w:val="20"/>
          <w:lang w:val="en-CA"/>
        </w:rPr>
      </w:pPr>
      <w:r w:rsidRPr="00A93CD2">
        <w:rPr>
          <w:rFonts w:ascii="Palatino Linotype" w:hAnsi="Palatino Linotype"/>
          <w:sz w:val="20"/>
          <w:szCs w:val="20"/>
          <w:lang w:val="en-CA"/>
        </w:rPr>
        <w:t>For the</w:t>
      </w:r>
      <w:r w:rsidR="006722CF" w:rsidRPr="00A93CD2">
        <w:rPr>
          <w:rFonts w:ascii="Palatino Linotype" w:hAnsi="Palatino Linotype"/>
          <w:sz w:val="20"/>
          <w:szCs w:val="20"/>
          <w:lang w:val="en-CA"/>
        </w:rPr>
        <w:t xml:space="preserve"> remaining pair</w:t>
      </w:r>
      <w:r w:rsidRPr="00A93CD2">
        <w:rPr>
          <w:rFonts w:ascii="Palatino Linotype" w:hAnsi="Palatino Linotype"/>
          <w:sz w:val="20"/>
          <w:szCs w:val="20"/>
          <w:lang w:val="en-CA"/>
        </w:rPr>
        <w:t xml:space="preserve">s of </w:t>
      </w:r>
      <w:r w:rsidRPr="00A93CD2">
        <w:rPr>
          <w:rFonts w:ascii="Palatino Linotype" w:hAnsi="Palatino Linotype"/>
          <w:i/>
          <w:sz w:val="20"/>
          <w:szCs w:val="20"/>
          <w:lang w:val="en-CA"/>
        </w:rPr>
        <w:t>discharge – discharge</w:t>
      </w:r>
      <w:r w:rsidRPr="00A93CD2">
        <w:rPr>
          <w:rFonts w:ascii="Palatino Linotype" w:hAnsi="Palatino Linotype"/>
          <w:sz w:val="20"/>
          <w:szCs w:val="20"/>
          <w:lang w:val="en-CA"/>
        </w:rPr>
        <w:t xml:space="preserve"> variables,</w:t>
      </w:r>
      <w:r w:rsidR="009E63B8" w:rsidRPr="00A93CD2">
        <w:rPr>
          <w:rFonts w:ascii="Palatino Linotype" w:hAnsi="Palatino Linotype"/>
          <w:sz w:val="20"/>
          <w:szCs w:val="20"/>
          <w:lang w:val="en-CA"/>
        </w:rPr>
        <w:t xml:space="preserve"> </w:t>
      </w:r>
      <w:r w:rsidR="0010729E" w:rsidRPr="00A93CD2">
        <w:rPr>
          <w:rFonts w:ascii="Palatino Linotype" w:hAnsi="Palatino Linotype"/>
          <w:sz w:val="20"/>
          <w:szCs w:val="20"/>
          <w:lang w:val="en-CA"/>
        </w:rPr>
        <w:t>the results consistently indicate the presence of upper tail dependence</w:t>
      </w:r>
      <w:r w:rsidR="009E63B8" w:rsidRPr="00A93CD2">
        <w:rPr>
          <w:rFonts w:ascii="Palatino Linotype" w:hAnsi="Palatino Linotype"/>
          <w:sz w:val="20"/>
          <w:szCs w:val="20"/>
          <w:lang w:val="en-CA"/>
        </w:rPr>
        <w:t xml:space="preserve">. </w:t>
      </w:r>
      <w:r w:rsidR="0010729E" w:rsidRPr="00A93CD2">
        <w:rPr>
          <w:rFonts w:ascii="Palatino Linotype" w:hAnsi="Palatino Linotype"/>
          <w:sz w:val="20"/>
          <w:szCs w:val="20"/>
          <w:lang w:val="en-CA"/>
        </w:rPr>
        <w:t>D</w:t>
      </w:r>
      <w:r w:rsidRPr="00A93CD2">
        <w:rPr>
          <w:rFonts w:ascii="Palatino Linotype" w:hAnsi="Palatino Linotype"/>
          <w:sz w:val="20"/>
          <w:szCs w:val="20"/>
          <w:lang w:val="en-CA"/>
        </w:rPr>
        <w:t xml:space="preserve">ifferences in the </w:t>
      </w: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Pr="00A93CD2">
        <w:rPr>
          <w:rFonts w:ascii="Palatino Linotype" w:hAnsi="Palatino Linotype"/>
          <w:sz w:val="20"/>
          <w:szCs w:val="20"/>
          <w:lang w:val="en-CA"/>
        </w:rPr>
        <w:t xml:space="preserve"> statistic</w:t>
      </w:r>
      <w:r w:rsidR="0010729E" w:rsidRPr="00A93CD2">
        <w:rPr>
          <w:rFonts w:ascii="Palatino Linotype" w:hAnsi="Palatino Linotype"/>
          <w:sz w:val="20"/>
          <w:szCs w:val="20"/>
          <w:lang w:val="en-CA"/>
        </w:rPr>
        <w:t xml:space="preserve"> between the Gaussian and Gumbel copula are larger (0.05-0.11)</w:t>
      </w:r>
      <w:r w:rsidR="0010729E" w:rsidRPr="00A93CD2">
        <w:rPr>
          <w:rFonts w:ascii="Palatino Linotype" w:hAnsi="Palatino Linotype"/>
          <w:i/>
          <w:sz w:val="20"/>
          <w:szCs w:val="20"/>
          <w:lang w:val="en-CA"/>
        </w:rPr>
        <w:t xml:space="preserve"> </w:t>
      </w:r>
      <w:r w:rsidR="0010729E" w:rsidRPr="00A93CD2">
        <w:rPr>
          <w:rFonts w:ascii="Palatino Linotype" w:hAnsi="Palatino Linotype"/>
          <w:sz w:val="20"/>
          <w:szCs w:val="20"/>
          <w:lang w:val="en-CA"/>
        </w:rPr>
        <w:t xml:space="preserve">and the semi-correlation </w:t>
      </w: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NE</m:t>
            </m:r>
          </m:sub>
        </m:sSub>
      </m:oMath>
      <w:r w:rsidR="0010729E" w:rsidRPr="00A93CD2">
        <w:rPr>
          <w:rFonts w:ascii="Palatino Linotype" w:hAnsi="Palatino Linotype"/>
          <w:sz w:val="20"/>
          <w:szCs w:val="20"/>
          <w:lang w:val="en-CA"/>
        </w:rPr>
        <w:t xml:space="preserve"> (0.71 – 0.93) </w:t>
      </w:r>
      <w:r w:rsidR="009E63B8" w:rsidRPr="00A93CD2">
        <w:rPr>
          <w:rFonts w:ascii="Palatino Linotype" w:hAnsi="Palatino Linotype"/>
          <w:sz w:val="20"/>
          <w:szCs w:val="20"/>
          <w:lang w:val="en-CA"/>
        </w:rPr>
        <w:t xml:space="preserve">are higher than </w:t>
      </w:r>
      <w:r w:rsidR="0010729E" w:rsidRPr="00A93CD2">
        <w:rPr>
          <w:rFonts w:ascii="Palatino Linotype" w:hAnsi="Palatino Linotype"/>
          <w:sz w:val="20"/>
          <w:szCs w:val="20"/>
          <w:lang w:val="en-CA"/>
        </w:rPr>
        <w:t>the overall correlation coefficient (0.62 – 0.</w:t>
      </w:r>
      <w:r w:rsidR="009E63B8" w:rsidRPr="00A93CD2">
        <w:rPr>
          <w:rFonts w:ascii="Palatino Linotype" w:hAnsi="Palatino Linotype"/>
          <w:sz w:val="20"/>
          <w:szCs w:val="20"/>
          <w:lang w:val="en-CA"/>
        </w:rPr>
        <w:t>84)</w:t>
      </w:r>
      <w:r w:rsidR="0010729E" w:rsidRPr="00A93CD2">
        <w:rPr>
          <w:rFonts w:ascii="Palatino Linotype" w:hAnsi="Palatino Linotype"/>
          <w:sz w:val="20"/>
          <w:szCs w:val="20"/>
          <w:lang w:val="en-CA"/>
        </w:rPr>
        <w:t>.</w:t>
      </w:r>
      <w:r w:rsidR="009E63B8" w:rsidRPr="00A93CD2">
        <w:rPr>
          <w:rFonts w:ascii="Palatino Linotype" w:hAnsi="Palatino Linotype"/>
          <w:sz w:val="20"/>
          <w:szCs w:val="20"/>
          <w:lang w:val="en-CA"/>
        </w:rPr>
        <w:t xml:space="preserve"> This strong dependence behavior is also visually observed in Figure A</w:t>
      </w:r>
      <w:r w:rsidR="00BD0655" w:rsidRPr="00A93CD2">
        <w:rPr>
          <w:rFonts w:ascii="Palatino Linotype" w:hAnsi="Palatino Linotype"/>
          <w:sz w:val="20"/>
          <w:szCs w:val="20"/>
          <w:lang w:val="en-CA"/>
        </w:rPr>
        <w:t>6</w:t>
      </w:r>
      <w:r w:rsidR="009E63B8" w:rsidRPr="00A93CD2">
        <w:rPr>
          <w:rFonts w:ascii="Palatino Linotype" w:hAnsi="Palatino Linotype"/>
          <w:sz w:val="20"/>
          <w:szCs w:val="20"/>
          <w:lang w:val="en-CA"/>
        </w:rPr>
        <w:t xml:space="preserve">b. </w:t>
      </w:r>
      <w:r w:rsidR="00A13DB5" w:rsidRPr="00A93CD2">
        <w:rPr>
          <w:rFonts w:ascii="Palatino Linotype" w:hAnsi="Palatino Linotype"/>
          <w:sz w:val="20"/>
          <w:szCs w:val="20"/>
          <w:lang w:val="en-CA"/>
        </w:rPr>
        <w:t>For the</w:t>
      </w:r>
      <w:r w:rsidR="009E63B8" w:rsidRPr="00A93CD2">
        <w:rPr>
          <w:rFonts w:ascii="Palatino Linotype" w:hAnsi="Palatino Linotype"/>
          <w:sz w:val="20"/>
          <w:szCs w:val="20"/>
          <w:lang w:val="en-CA"/>
        </w:rPr>
        <w:t>s</w:t>
      </w:r>
      <w:r w:rsidR="00A13DB5" w:rsidRPr="00A93CD2">
        <w:rPr>
          <w:rFonts w:ascii="Palatino Linotype" w:hAnsi="Palatino Linotype"/>
          <w:sz w:val="20"/>
          <w:szCs w:val="20"/>
          <w:lang w:val="en-CA"/>
        </w:rPr>
        <w:t>e</w:t>
      </w:r>
      <w:r w:rsidR="009E63B8" w:rsidRPr="00A93CD2">
        <w:rPr>
          <w:rFonts w:ascii="Palatino Linotype" w:hAnsi="Palatino Linotype"/>
          <w:sz w:val="20"/>
          <w:szCs w:val="20"/>
          <w:lang w:val="en-CA"/>
        </w:rPr>
        <w:t xml:space="preserve"> case</w:t>
      </w:r>
      <w:r w:rsidR="00A13DB5" w:rsidRPr="00A93CD2">
        <w:rPr>
          <w:rFonts w:ascii="Palatino Linotype" w:hAnsi="Palatino Linotype"/>
          <w:sz w:val="20"/>
          <w:szCs w:val="20"/>
          <w:lang w:val="en-CA"/>
        </w:rPr>
        <w:t>s</w:t>
      </w:r>
      <w:r w:rsidR="009E63B8" w:rsidRPr="00A93CD2">
        <w:rPr>
          <w:rFonts w:ascii="Palatino Linotype" w:hAnsi="Palatino Linotype"/>
          <w:sz w:val="20"/>
          <w:szCs w:val="20"/>
          <w:lang w:val="en-CA"/>
        </w:rPr>
        <w:t>, t</w:t>
      </w:r>
      <w:r w:rsidR="0010729E" w:rsidRPr="00A93CD2">
        <w:rPr>
          <w:rFonts w:ascii="Palatino Linotype" w:hAnsi="Palatino Linotype"/>
          <w:sz w:val="20"/>
          <w:szCs w:val="20"/>
          <w:lang w:val="en-CA"/>
        </w:rPr>
        <w:t>he Gumbel c</w:t>
      </w:r>
      <w:r w:rsidR="009E63B8" w:rsidRPr="00A93CD2">
        <w:rPr>
          <w:rFonts w:ascii="Palatino Linotype" w:hAnsi="Palatino Linotype"/>
          <w:sz w:val="20"/>
          <w:szCs w:val="20"/>
          <w:lang w:val="en-CA"/>
        </w:rPr>
        <w:t xml:space="preserve">opula would </w:t>
      </w:r>
      <w:r w:rsidR="001A3825">
        <w:rPr>
          <w:rFonts w:ascii="Palatino Linotype" w:hAnsi="Palatino Linotype"/>
          <w:sz w:val="20"/>
          <w:szCs w:val="20"/>
          <w:lang w:val="en-CA"/>
        </w:rPr>
        <w:t>provide</w:t>
      </w:r>
      <w:r w:rsidR="001A3825" w:rsidRPr="00A93CD2">
        <w:rPr>
          <w:rFonts w:ascii="Palatino Linotype" w:hAnsi="Palatino Linotype"/>
          <w:sz w:val="20"/>
          <w:szCs w:val="20"/>
          <w:lang w:val="en-CA"/>
        </w:rPr>
        <w:t xml:space="preserve"> </w:t>
      </w:r>
      <w:r w:rsidR="009E63B8" w:rsidRPr="00A93CD2">
        <w:rPr>
          <w:rFonts w:ascii="Palatino Linotype" w:hAnsi="Palatino Linotype"/>
          <w:sz w:val="20"/>
          <w:szCs w:val="20"/>
          <w:lang w:val="en-CA"/>
        </w:rPr>
        <w:t>a better representation of the dependence structure</w:t>
      </w:r>
      <w:r w:rsidR="007F2A20" w:rsidRPr="00A93CD2">
        <w:rPr>
          <w:rFonts w:ascii="Palatino Linotype" w:hAnsi="Palatino Linotype"/>
          <w:sz w:val="20"/>
          <w:szCs w:val="20"/>
          <w:lang w:val="en-CA"/>
        </w:rPr>
        <w:t>. As a result, the selection of the Gaussian copula may lead to an underestimation of the flood hazard</w:t>
      </w:r>
      <w:r w:rsidR="001A3825">
        <w:rPr>
          <w:rFonts w:ascii="Palatino Linotype" w:hAnsi="Palatino Linotype"/>
          <w:sz w:val="20"/>
          <w:szCs w:val="20"/>
          <w:lang w:val="en-CA"/>
        </w:rPr>
        <w:t xml:space="preserve"> in the catchment</w:t>
      </w:r>
      <w:r w:rsidR="007F2A20" w:rsidRPr="00A93CD2">
        <w:rPr>
          <w:rFonts w:ascii="Palatino Linotype" w:hAnsi="Palatino Linotype"/>
          <w:sz w:val="20"/>
          <w:szCs w:val="20"/>
          <w:lang w:val="en-CA"/>
        </w:rPr>
        <w:t>. However, the comparison with the return period of water surface eleva</w:t>
      </w:r>
      <w:r w:rsidR="009C7963" w:rsidRPr="00A93CD2">
        <w:rPr>
          <w:rFonts w:ascii="Palatino Linotype" w:hAnsi="Palatino Linotype"/>
          <w:sz w:val="20"/>
          <w:szCs w:val="20"/>
          <w:lang w:val="en-CA"/>
        </w:rPr>
        <w:t>tion with observed annual maxima (Figure 5) shows a more complex behavior, indicating that other sources of uncertainty affect the flood hazard.</w:t>
      </w:r>
      <w:r w:rsidR="007F2A20" w:rsidRPr="00A93CD2">
        <w:rPr>
          <w:rFonts w:ascii="Palatino Linotype" w:hAnsi="Palatino Linotype"/>
          <w:sz w:val="20"/>
          <w:szCs w:val="20"/>
          <w:lang w:val="en-CA"/>
        </w:rPr>
        <w:t xml:space="preserve"> </w:t>
      </w:r>
      <w:r w:rsidR="001B59D8" w:rsidRPr="00A93CD2">
        <w:rPr>
          <w:rFonts w:ascii="Palatino Linotype" w:hAnsi="Palatino Linotype"/>
          <w:sz w:val="20"/>
          <w:szCs w:val="20"/>
          <w:lang w:val="en-CA"/>
        </w:rPr>
        <w:t>Therefore,</w:t>
      </w:r>
      <w:r w:rsidR="009C7963" w:rsidRPr="00A93CD2">
        <w:rPr>
          <w:rFonts w:ascii="Palatino Linotype" w:hAnsi="Palatino Linotype"/>
          <w:sz w:val="20"/>
          <w:szCs w:val="20"/>
          <w:lang w:val="en-CA"/>
        </w:rPr>
        <w:t xml:space="preserve"> w</w:t>
      </w:r>
      <w:r w:rsidR="00A13DB5" w:rsidRPr="00A93CD2">
        <w:rPr>
          <w:rFonts w:ascii="Palatino Linotype" w:hAnsi="Palatino Linotype"/>
          <w:sz w:val="20"/>
          <w:szCs w:val="20"/>
          <w:lang w:val="en-CA"/>
        </w:rPr>
        <w:t>e</w:t>
      </w:r>
      <w:r w:rsidR="009C7963" w:rsidRPr="00A93CD2">
        <w:rPr>
          <w:rFonts w:ascii="Palatino Linotype" w:hAnsi="Palatino Linotype"/>
          <w:sz w:val="20"/>
          <w:szCs w:val="20"/>
          <w:lang w:val="en-CA"/>
        </w:rPr>
        <w:t xml:space="preserve"> acknowledge this limitation and</w:t>
      </w:r>
      <w:r w:rsidR="00A13DB5" w:rsidRPr="00A93CD2">
        <w:rPr>
          <w:rFonts w:ascii="Palatino Linotype" w:hAnsi="Palatino Linotype"/>
          <w:sz w:val="20"/>
          <w:szCs w:val="20"/>
          <w:lang w:val="en-CA"/>
        </w:rPr>
        <w:t xml:space="preserve"> </w:t>
      </w:r>
      <w:r w:rsidR="001B59D8" w:rsidRPr="00A93CD2">
        <w:rPr>
          <w:rFonts w:ascii="Palatino Linotype" w:hAnsi="Palatino Linotype"/>
          <w:sz w:val="20"/>
          <w:szCs w:val="20"/>
          <w:lang w:val="en-CA"/>
        </w:rPr>
        <w:t xml:space="preserve">further </w:t>
      </w:r>
      <w:r w:rsidR="00A13DB5" w:rsidRPr="00A93CD2">
        <w:rPr>
          <w:rFonts w:ascii="Palatino Linotype" w:hAnsi="Palatino Linotype"/>
          <w:sz w:val="20"/>
          <w:szCs w:val="20"/>
          <w:lang w:val="en-CA"/>
        </w:rPr>
        <w:t xml:space="preserve">assess the impact of the Gaussian dependence structure by comparing it to the case of complete dependence (see section </w:t>
      </w:r>
      <w:r w:rsidR="00C529B3" w:rsidRPr="00A93CD2">
        <w:rPr>
          <w:rFonts w:ascii="Palatino Linotype" w:hAnsi="Palatino Linotype"/>
          <w:sz w:val="20"/>
          <w:szCs w:val="20"/>
          <w:lang w:val="en-CA"/>
        </w:rPr>
        <w:t>3</w:t>
      </w:r>
      <w:r w:rsidR="00A13DB5" w:rsidRPr="00A93CD2">
        <w:rPr>
          <w:rFonts w:ascii="Palatino Linotype" w:hAnsi="Palatino Linotype"/>
          <w:sz w:val="20"/>
          <w:szCs w:val="20"/>
          <w:lang w:val="en-CA"/>
        </w:rPr>
        <w:t xml:space="preserve">). </w:t>
      </w:r>
      <w:r w:rsidR="001B59D8" w:rsidRPr="00A93CD2">
        <w:rPr>
          <w:rFonts w:ascii="Palatino Linotype" w:hAnsi="Palatino Linotype"/>
          <w:sz w:val="20"/>
          <w:szCs w:val="20"/>
          <w:lang w:val="en-CA"/>
        </w:rPr>
        <w:t xml:space="preserve">Future work should refine this approach by considering statistical method such as Vine copula constructions </w:t>
      </w:r>
      <w:r w:rsidR="00C529B3" w:rsidRPr="00A93CD2">
        <w:rPr>
          <w:rFonts w:ascii="Palatino Linotype" w:hAnsi="Palatino Linotype"/>
          <w:sz w:val="20"/>
          <w:szCs w:val="20"/>
          <w:lang w:val="en-CA"/>
        </w:rPr>
        <w:t xml:space="preserve">as applied in Bevacqua et al. </w:t>
      </w:r>
      <w:r w:rsidR="001B59D8" w:rsidRPr="00A93CD2">
        <w:rPr>
          <w:rFonts w:ascii="Palatino Linotype" w:hAnsi="Palatino Linotype"/>
          <w:sz w:val="20"/>
          <w:szCs w:val="20"/>
          <w:lang w:val="en-CA"/>
        </w:rPr>
        <w:fldChar w:fldCharType="begin" w:fldLock="1"/>
      </w:r>
      <w:r w:rsidR="00EF0866">
        <w:rPr>
          <w:rFonts w:ascii="Palatino Linotype" w:hAnsi="Palatino Linotype"/>
          <w:sz w:val="20"/>
          <w:szCs w:val="20"/>
          <w:lang w:val="en-CA"/>
        </w:rPr>
        <w:instrText>ADDIN CSL_CITATION {"citationItems":[{"id":"ITEM-1","itemData":{"DOI":"10.5194/hess-21-2701-2017","ISSN":"1607-7938","abstract":"Compound events (CEs) are multivariate extreme events in which the individual contributing variables may not be extreme themselves, but their joint – dependent – occurrence causes an extreme impact. Conventional univariate statistical analysis cannot give accurate information regarding the multivariate nature of these events. We develop a conceptual model, implemented via pair-copula constructions, which allows for the quantification of the risk associated with compound events in present-day and future climate, as well as the uncertainty estimates around such risk. The model includes predictors, which could represent for instance meteorological processes that provide insight into both the involved physical mechanisms and the temporal variability of compound events. Moreover, this model enables multivariate statistical downscaling of compound events. Downscaling is required to extend the compound events' risk assessment to the past or future climate, where climate models either do not simulate realistic values of the local variables driving the events or do not simulate them at all. Based on the developed model, we study compound floods, i.e. joint storm surge and high river runoff, in Ravenna (Italy). To explicitly quantify the risk, we define the impact of compound floods as a function of sea and river levels. We use meteorological predictors to extend the analysis to the past, and get a more robust risk analysis. We quantify the uncertainties of the risk analysis, observing that they are very large due to the shortness of the available data, though this may also be the case in other studies where they have not been estimated. Ignoring the dependence between sea and river levels would result in an underestimation of risk; in particular, the expected return period of the highest compound flood observed increases from about 20 to 32 years when switching from the dependent to the independent case.","author":[{"dropping-particle":"","family":"Bevacqua","given":"Emanuele","non-dropping-particle":"","parse-names":false,"suffix":""},{"dropping-particle":"","family":"Maraun","given":"Douglas","non-dropping-particle":"","parse-names":false,"suffix":""},{"dropping-particle":"","family":"Hobæk Haff","given":"Ingrid","non-dropping-particle":"","parse-names":false,"suffix":""},{"dropping-particle":"","family":"Widmann","given":"Martin","non-dropping-particle":"","parse-names":false,"suffix":""},{"dropping-particle":"","family":"Vrac","given":"Mathieu","non-dropping-particle":"","parse-names":false,"suffix":""}],"container-title":"Hydrology and Earth System Sciences","id":"ITEM-1","issue":"6","issued":{"date-parts":[["2017","6","8"]]},"page":"2701-2723","title":"Multivariate statistical modelling of compound events via pair-copula constructions: analysis of floods in Ravenna (Italy)","type":"article-journal","volume":"21"},"suppress-author":1,"uris":["http://www.mendeley.com/documents/?uuid=d77f390a-794a-48a5-8206-03b6e2b86711"]}],"mendeley":{"formattedCitation":"[15]","plainTextFormattedCitation":"[15]","previouslyFormattedCitation":"[15]"},"properties":{"noteIndex":0},"schema":"https://github.com/citation-style-language/schema/raw/master/csl-citation.json"}</w:instrText>
      </w:r>
      <w:r w:rsidR="001B59D8" w:rsidRPr="00A93CD2">
        <w:rPr>
          <w:rFonts w:ascii="Palatino Linotype" w:hAnsi="Palatino Linotype"/>
          <w:sz w:val="20"/>
          <w:szCs w:val="20"/>
          <w:lang w:val="en-CA"/>
        </w:rPr>
        <w:fldChar w:fldCharType="separate"/>
      </w:r>
      <w:r w:rsidR="00F70E29" w:rsidRPr="00F70E29">
        <w:rPr>
          <w:rFonts w:ascii="Palatino Linotype" w:hAnsi="Palatino Linotype"/>
          <w:noProof/>
          <w:sz w:val="20"/>
          <w:szCs w:val="20"/>
          <w:lang w:val="en-CA"/>
        </w:rPr>
        <w:t>[15]</w:t>
      </w:r>
      <w:r w:rsidR="001B59D8" w:rsidRPr="00A93CD2">
        <w:rPr>
          <w:rFonts w:ascii="Palatino Linotype" w:hAnsi="Palatino Linotype"/>
          <w:sz w:val="20"/>
          <w:szCs w:val="20"/>
          <w:lang w:val="en-CA"/>
        </w:rPr>
        <w:fldChar w:fldCharType="end"/>
      </w:r>
      <w:r w:rsidR="001B59D8" w:rsidRPr="00A93CD2">
        <w:rPr>
          <w:rFonts w:ascii="Palatino Linotype" w:hAnsi="Palatino Linotype"/>
          <w:sz w:val="20"/>
          <w:szCs w:val="20"/>
          <w:lang w:val="en-CA"/>
        </w:rPr>
        <w:t>.</w:t>
      </w:r>
    </w:p>
    <w:p w14:paraId="60EB1642" w14:textId="77777777" w:rsidR="001B59D8" w:rsidRPr="00A93CD2" w:rsidRDefault="001B59D8">
      <w:pPr>
        <w:rPr>
          <w:rFonts w:ascii="Palatino Linotype" w:hAnsi="Palatino Linotype"/>
          <w:sz w:val="20"/>
          <w:szCs w:val="20"/>
          <w:lang w:val="en-CA"/>
        </w:rPr>
      </w:pPr>
      <w:r w:rsidRPr="00A93CD2">
        <w:rPr>
          <w:rFonts w:ascii="Palatino Linotype" w:hAnsi="Palatino Linotype"/>
          <w:sz w:val="20"/>
          <w:szCs w:val="20"/>
          <w:lang w:val="en-CA"/>
        </w:rPr>
        <w:br w:type="page"/>
      </w:r>
    </w:p>
    <w:p w14:paraId="60EB1643" w14:textId="70C6D178" w:rsidR="00E33023" w:rsidRPr="00A93CD2" w:rsidRDefault="00E33023" w:rsidP="00A521E5">
      <w:pPr>
        <w:pStyle w:val="MDPI51figurecaption"/>
      </w:pPr>
      <w:r w:rsidRPr="00A93CD2">
        <w:lastRenderedPageBreak/>
        <w:t xml:space="preserve">Table </w:t>
      </w:r>
      <w:r w:rsidR="00F26203">
        <w:t>S</w:t>
      </w:r>
      <w:r w:rsidR="009A5895" w:rsidRPr="00A93CD2">
        <w:t>3</w:t>
      </w:r>
      <w:r w:rsidRPr="00A93CD2">
        <w:t xml:space="preserve">: Goodness-of-Fit tests results: semi-correlation and </w:t>
      </w:r>
      <w:proofErr w:type="spellStart"/>
      <w:r w:rsidRPr="00A93CD2">
        <w:t>Cram</w:t>
      </w:r>
      <w:r w:rsidR="00335D16" w:rsidRPr="00A93CD2">
        <w:t>é</w:t>
      </w:r>
      <w:r w:rsidRPr="00A93CD2">
        <w:t>r</w:t>
      </w:r>
      <w:proofErr w:type="spellEnd"/>
      <w:r w:rsidRPr="00A93CD2">
        <w:t xml:space="preserve">-von-Mises </w:t>
      </w:r>
      <w:r w:rsidR="00E46190" w:rsidRPr="00A93CD2">
        <w:t>(</w:t>
      </w:r>
      <m:oMath>
        <m:sSub>
          <m:sSubPr>
            <m:ctrlPr>
              <w:rPr>
                <w:rFonts w:ascii="Cambria Math" w:hAnsi="Cambria Math"/>
              </w:rPr>
            </m:ctrlPr>
          </m:sSubPr>
          <m:e>
            <m:r>
              <w:rPr>
                <w:rFonts w:ascii="Cambria Math" w:hAnsi="Cambria Math"/>
              </w:rPr>
              <m:t>CM</m:t>
            </m:r>
          </m:e>
          <m:sub>
            <m:r>
              <w:rPr>
                <w:rFonts w:ascii="Cambria Math" w:hAnsi="Cambria Math"/>
              </w:rPr>
              <m:t>n</m:t>
            </m:r>
          </m:sub>
        </m:sSub>
      </m:oMath>
      <w:r w:rsidR="00E46190" w:rsidRPr="00A93CD2">
        <w:rPr>
          <w:rFonts w:cstheme="minorHAnsi"/>
          <w:lang w:eastAsia="nl-NL"/>
        </w:rPr>
        <w:t xml:space="preserve"> )</w:t>
      </w:r>
      <w:r w:rsidR="00E46190" w:rsidRPr="00A93CD2">
        <w:t xml:space="preserve"> </w:t>
      </w:r>
      <w:r w:rsidRPr="00A93CD2">
        <w:t>statistic</w:t>
      </w:r>
      <w:r w:rsidR="00335D16" w:rsidRPr="00A93CD2">
        <w:t xml:space="preserve"> </w:t>
      </w:r>
      <w:r w:rsidRPr="00A93CD2">
        <w:t>for</w:t>
      </w:r>
      <w:r w:rsidR="00E46190" w:rsidRPr="00A93CD2">
        <w:t xml:space="preserve"> all</w:t>
      </w:r>
      <w:r w:rsidRPr="00A93CD2">
        <w:t xml:space="preserve"> variables used in the BN</w:t>
      </w:r>
      <w:r w:rsidR="00E46190" w:rsidRPr="00A93CD2">
        <w:t xml:space="preserve"> except for station 08076700 and 08074000</w:t>
      </w:r>
      <w:r w:rsidRPr="00A93CD2">
        <w:t>.</w:t>
      </w:r>
      <w:r w:rsidR="00335D16" w:rsidRPr="00A93CD2">
        <w:t xml:space="preserve"> Lowest </w:t>
      </w:r>
      <m:oMath>
        <m:sSub>
          <m:sSubPr>
            <m:ctrlPr>
              <w:rPr>
                <w:rFonts w:ascii="Cambria Math" w:hAnsi="Cambria Math"/>
              </w:rPr>
            </m:ctrlPr>
          </m:sSubPr>
          <m:e>
            <m:r>
              <w:rPr>
                <w:rFonts w:ascii="Cambria Math" w:hAnsi="Cambria Math"/>
              </w:rPr>
              <m:t>CM</m:t>
            </m:r>
          </m:e>
          <m:sub>
            <m:r>
              <w:rPr>
                <w:rFonts w:ascii="Cambria Math" w:hAnsi="Cambria Math"/>
              </w:rPr>
              <m:t>n</m:t>
            </m:r>
          </m:sub>
        </m:sSub>
      </m:oMath>
      <w:r w:rsidR="00E46190" w:rsidRPr="00A93CD2">
        <w:t xml:space="preserve"> values relevant semi-correlations are bolded.</w:t>
      </w:r>
    </w:p>
    <w:tbl>
      <w:tblPr>
        <w:tblW w:w="9123" w:type="dxa"/>
        <w:jc w:val="center"/>
        <w:tblCellMar>
          <w:left w:w="70" w:type="dxa"/>
          <w:right w:w="70" w:type="dxa"/>
        </w:tblCellMar>
        <w:tblLook w:val="04A0" w:firstRow="1" w:lastRow="0" w:firstColumn="1" w:lastColumn="0" w:noHBand="0" w:noVBand="1"/>
      </w:tblPr>
      <w:tblGrid>
        <w:gridCol w:w="1680"/>
        <w:gridCol w:w="1676"/>
        <w:gridCol w:w="708"/>
        <w:gridCol w:w="709"/>
        <w:gridCol w:w="567"/>
        <w:gridCol w:w="709"/>
        <w:gridCol w:w="709"/>
        <w:gridCol w:w="708"/>
        <w:gridCol w:w="851"/>
        <w:gridCol w:w="806"/>
      </w:tblGrid>
      <w:tr w:rsidR="00042847" w:rsidRPr="00A93CD2" w14:paraId="60EB164F" w14:textId="77777777" w:rsidTr="00D37891">
        <w:trPr>
          <w:trHeight w:val="300"/>
          <w:jc w:val="center"/>
        </w:trPr>
        <w:tc>
          <w:tcPr>
            <w:tcW w:w="1680" w:type="dxa"/>
            <w:tcBorders>
              <w:top w:val="single" w:sz="4" w:space="0" w:color="auto"/>
              <w:left w:val="nil"/>
              <w:bottom w:val="single" w:sz="4" w:space="0" w:color="auto"/>
              <w:right w:val="nil"/>
            </w:tcBorders>
            <w:shd w:val="clear" w:color="auto" w:fill="auto"/>
            <w:noWrap/>
            <w:vAlign w:val="center"/>
            <w:hideMark/>
          </w:tcPr>
          <w:p w14:paraId="60EB1644" w14:textId="77777777" w:rsidR="00042847" w:rsidRPr="00A93CD2" w:rsidRDefault="00042847" w:rsidP="00D37891">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Variable name</w:t>
            </w:r>
          </w:p>
        </w:tc>
        <w:tc>
          <w:tcPr>
            <w:tcW w:w="1676" w:type="dxa"/>
            <w:tcBorders>
              <w:top w:val="single" w:sz="4" w:space="0" w:color="auto"/>
              <w:left w:val="nil"/>
              <w:bottom w:val="single" w:sz="4" w:space="0" w:color="auto"/>
              <w:right w:val="nil"/>
            </w:tcBorders>
            <w:shd w:val="clear" w:color="auto" w:fill="auto"/>
            <w:noWrap/>
            <w:vAlign w:val="center"/>
            <w:hideMark/>
          </w:tcPr>
          <w:p w14:paraId="60EB1646" w14:textId="4220729F" w:rsidR="00042847" w:rsidRPr="00A93CD2" w:rsidRDefault="00042847" w:rsidP="00D37891">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Variable</w:t>
            </w:r>
            <w:r w:rsidR="00D37891">
              <w:rPr>
                <w:rFonts w:ascii="Palatino Linotype" w:eastAsia="Times New Roman" w:hAnsi="Palatino Linotype" w:cstheme="minorHAnsi"/>
                <w:sz w:val="20"/>
                <w:szCs w:val="20"/>
                <w:lang w:eastAsia="nl-NL"/>
              </w:rPr>
              <w:t xml:space="preserve"> </w:t>
            </w:r>
            <w:r w:rsidRPr="00A93CD2">
              <w:rPr>
                <w:rFonts w:ascii="Palatino Linotype" w:eastAsia="Times New Roman" w:hAnsi="Palatino Linotype" w:cstheme="minorHAnsi"/>
                <w:sz w:val="20"/>
                <w:szCs w:val="20"/>
                <w:lang w:eastAsia="nl-NL"/>
              </w:rPr>
              <w:t>name</w:t>
            </w:r>
          </w:p>
        </w:tc>
        <w:tc>
          <w:tcPr>
            <w:tcW w:w="708" w:type="dxa"/>
            <w:tcBorders>
              <w:top w:val="single" w:sz="4" w:space="0" w:color="auto"/>
              <w:left w:val="nil"/>
              <w:bottom w:val="single" w:sz="4" w:space="0" w:color="auto"/>
              <w:right w:val="nil"/>
            </w:tcBorders>
            <w:shd w:val="clear" w:color="auto" w:fill="auto"/>
            <w:noWrap/>
            <w:vAlign w:val="center"/>
            <w:hideMark/>
          </w:tcPr>
          <w:p w14:paraId="60EB1647" w14:textId="77777777" w:rsidR="00042847" w:rsidRPr="00A93CD2" w:rsidRDefault="00042847" w:rsidP="00936D87">
            <w:pPr>
              <w:pStyle w:val="NoSpacing"/>
              <w:jc w:val="center"/>
              <w:rPr>
                <w:rFonts w:ascii="Palatino Linotype" w:eastAsia="Times New Roman" w:hAnsi="Palatino Linotype" w:cstheme="minorHAnsi"/>
                <w:sz w:val="20"/>
                <w:szCs w:val="20"/>
                <w:lang w:eastAsia="nl-NL"/>
              </w:rPr>
            </w:pPr>
            <m:oMathPara>
              <m:oMath>
                <m:r>
                  <w:rPr>
                    <w:rFonts w:ascii="Cambria Math" w:eastAsia="Times New Roman" w:hAnsi="Cambria Math" w:cstheme="minorHAnsi"/>
                    <w:sz w:val="20"/>
                    <w:szCs w:val="20"/>
                    <w:lang w:eastAsia="nl-NL"/>
                  </w:rPr>
                  <m:t>ρ</m:t>
                </m:r>
              </m:oMath>
            </m:oMathPara>
          </w:p>
        </w:tc>
        <w:tc>
          <w:tcPr>
            <w:tcW w:w="709" w:type="dxa"/>
            <w:tcBorders>
              <w:top w:val="single" w:sz="4" w:space="0" w:color="auto"/>
              <w:left w:val="nil"/>
              <w:bottom w:val="single" w:sz="4" w:space="0" w:color="auto"/>
              <w:right w:val="nil"/>
            </w:tcBorders>
            <w:shd w:val="clear" w:color="auto" w:fill="auto"/>
            <w:noWrap/>
            <w:vAlign w:val="center"/>
            <w:hideMark/>
          </w:tcPr>
          <w:p w14:paraId="60EB1648" w14:textId="77777777" w:rsidR="00042847" w:rsidRPr="00A93CD2" w:rsidRDefault="00F26203" w:rsidP="00936D87">
            <w:pPr>
              <w:pStyle w:val="NoSpacing"/>
              <w:jc w:val="center"/>
              <w:rPr>
                <w:rFonts w:ascii="Palatino Linotype" w:eastAsia="Times New Roman" w:hAnsi="Palatino Linotype" w:cstheme="minorHAnsi"/>
                <w:sz w:val="20"/>
                <w:szCs w:val="20"/>
                <w:lang w:eastAsia="nl-NL"/>
              </w:rPr>
            </w:pPr>
            <m:oMathPara>
              <m:oMath>
                <m:sSub>
                  <m:sSubPr>
                    <m:ctrlPr>
                      <w:rPr>
                        <w:rFonts w:ascii="Cambria Math" w:eastAsia="Times New Roman" w:hAnsi="Cambria Math" w:cstheme="minorHAnsi"/>
                        <w:i/>
                        <w:sz w:val="20"/>
                        <w:szCs w:val="20"/>
                        <w:lang w:eastAsia="nl-NL"/>
                      </w:rPr>
                    </m:ctrlPr>
                  </m:sSubPr>
                  <m:e>
                    <m:r>
                      <w:rPr>
                        <w:rFonts w:ascii="Cambria Math" w:eastAsia="Times New Roman" w:hAnsi="Cambria Math" w:cstheme="minorHAnsi"/>
                        <w:sz w:val="20"/>
                        <w:szCs w:val="20"/>
                        <w:lang w:eastAsia="nl-NL"/>
                      </w:rPr>
                      <m:t>ρ</m:t>
                    </m:r>
                  </m:e>
                  <m:sub>
                    <m:r>
                      <w:rPr>
                        <w:rFonts w:ascii="Cambria Math" w:eastAsia="Times New Roman" w:hAnsi="Cambria Math" w:cstheme="minorHAnsi"/>
                        <w:sz w:val="20"/>
                        <w:szCs w:val="20"/>
                        <w:lang w:eastAsia="nl-NL"/>
                      </w:rPr>
                      <m:t>NW</m:t>
                    </m:r>
                  </m:sub>
                </m:sSub>
              </m:oMath>
            </m:oMathPara>
          </w:p>
        </w:tc>
        <w:tc>
          <w:tcPr>
            <w:tcW w:w="567" w:type="dxa"/>
            <w:tcBorders>
              <w:top w:val="single" w:sz="4" w:space="0" w:color="auto"/>
              <w:left w:val="nil"/>
              <w:bottom w:val="single" w:sz="4" w:space="0" w:color="auto"/>
              <w:right w:val="nil"/>
            </w:tcBorders>
            <w:shd w:val="clear" w:color="auto" w:fill="auto"/>
            <w:noWrap/>
            <w:vAlign w:val="center"/>
            <w:hideMark/>
          </w:tcPr>
          <w:p w14:paraId="60EB1649" w14:textId="77777777" w:rsidR="00042847" w:rsidRPr="00A93CD2" w:rsidRDefault="00F26203" w:rsidP="00936D87">
            <w:pPr>
              <w:pStyle w:val="NoSpacing"/>
              <w:jc w:val="center"/>
              <w:rPr>
                <w:rFonts w:ascii="Palatino Linotype" w:eastAsia="Times New Roman" w:hAnsi="Palatino Linotype" w:cstheme="minorHAnsi"/>
                <w:sz w:val="20"/>
                <w:szCs w:val="20"/>
                <w:lang w:eastAsia="nl-NL"/>
              </w:rPr>
            </w:pPr>
            <m:oMathPara>
              <m:oMath>
                <m:sSub>
                  <m:sSubPr>
                    <m:ctrlPr>
                      <w:rPr>
                        <w:rFonts w:ascii="Cambria Math" w:eastAsia="Times New Roman" w:hAnsi="Cambria Math" w:cstheme="minorHAnsi"/>
                        <w:i/>
                        <w:sz w:val="20"/>
                        <w:szCs w:val="20"/>
                        <w:lang w:eastAsia="nl-NL"/>
                      </w:rPr>
                    </m:ctrlPr>
                  </m:sSubPr>
                  <m:e>
                    <m:r>
                      <w:rPr>
                        <w:rFonts w:ascii="Cambria Math" w:eastAsia="Times New Roman" w:hAnsi="Cambria Math" w:cstheme="minorHAnsi"/>
                        <w:sz w:val="20"/>
                        <w:szCs w:val="20"/>
                        <w:lang w:eastAsia="nl-NL"/>
                      </w:rPr>
                      <m:t>ρ</m:t>
                    </m:r>
                  </m:e>
                  <m:sub>
                    <m:r>
                      <w:rPr>
                        <w:rFonts w:ascii="Cambria Math" w:eastAsia="Times New Roman" w:hAnsi="Cambria Math" w:cstheme="minorHAnsi"/>
                        <w:sz w:val="20"/>
                        <w:szCs w:val="20"/>
                        <w:lang w:eastAsia="nl-NL"/>
                      </w:rPr>
                      <m:t>NE</m:t>
                    </m:r>
                  </m:sub>
                </m:sSub>
              </m:oMath>
            </m:oMathPara>
          </w:p>
        </w:tc>
        <w:tc>
          <w:tcPr>
            <w:tcW w:w="709" w:type="dxa"/>
            <w:tcBorders>
              <w:top w:val="single" w:sz="4" w:space="0" w:color="auto"/>
              <w:left w:val="nil"/>
              <w:bottom w:val="single" w:sz="4" w:space="0" w:color="auto"/>
              <w:right w:val="nil"/>
            </w:tcBorders>
            <w:shd w:val="clear" w:color="auto" w:fill="auto"/>
            <w:noWrap/>
            <w:vAlign w:val="center"/>
            <w:hideMark/>
          </w:tcPr>
          <w:p w14:paraId="60EB164A" w14:textId="77777777" w:rsidR="00042847" w:rsidRPr="00A93CD2" w:rsidRDefault="00F26203" w:rsidP="00936D87">
            <w:pPr>
              <w:pStyle w:val="NoSpacing"/>
              <w:jc w:val="center"/>
              <w:rPr>
                <w:rFonts w:ascii="Palatino Linotype" w:eastAsia="Times New Roman" w:hAnsi="Palatino Linotype" w:cstheme="minorHAnsi"/>
                <w:sz w:val="20"/>
                <w:szCs w:val="20"/>
                <w:lang w:eastAsia="nl-NL"/>
              </w:rPr>
            </w:pPr>
            <m:oMathPara>
              <m:oMath>
                <m:sSub>
                  <m:sSubPr>
                    <m:ctrlPr>
                      <w:rPr>
                        <w:rFonts w:ascii="Cambria Math" w:eastAsia="Times New Roman" w:hAnsi="Cambria Math" w:cstheme="minorHAnsi"/>
                        <w:i/>
                        <w:sz w:val="20"/>
                        <w:szCs w:val="20"/>
                        <w:lang w:eastAsia="nl-NL"/>
                      </w:rPr>
                    </m:ctrlPr>
                  </m:sSubPr>
                  <m:e>
                    <m:r>
                      <w:rPr>
                        <w:rFonts w:ascii="Cambria Math" w:eastAsia="Times New Roman" w:hAnsi="Cambria Math" w:cstheme="minorHAnsi"/>
                        <w:sz w:val="20"/>
                        <w:szCs w:val="20"/>
                        <w:lang w:eastAsia="nl-NL"/>
                      </w:rPr>
                      <m:t>ρ</m:t>
                    </m:r>
                  </m:e>
                  <m:sub>
                    <m:r>
                      <w:rPr>
                        <w:rFonts w:ascii="Cambria Math" w:eastAsia="Times New Roman" w:hAnsi="Cambria Math" w:cstheme="minorHAnsi"/>
                        <w:sz w:val="20"/>
                        <w:szCs w:val="20"/>
                        <w:lang w:eastAsia="nl-NL"/>
                      </w:rPr>
                      <m:t>SE</m:t>
                    </m:r>
                  </m:sub>
                </m:sSub>
              </m:oMath>
            </m:oMathPara>
          </w:p>
        </w:tc>
        <w:tc>
          <w:tcPr>
            <w:tcW w:w="709" w:type="dxa"/>
            <w:tcBorders>
              <w:top w:val="single" w:sz="4" w:space="0" w:color="auto"/>
              <w:left w:val="nil"/>
              <w:bottom w:val="single" w:sz="4" w:space="0" w:color="auto"/>
              <w:right w:val="nil"/>
            </w:tcBorders>
            <w:shd w:val="clear" w:color="auto" w:fill="auto"/>
            <w:noWrap/>
            <w:vAlign w:val="center"/>
            <w:hideMark/>
          </w:tcPr>
          <w:p w14:paraId="60EB164B" w14:textId="77777777" w:rsidR="00042847" w:rsidRPr="00A93CD2" w:rsidRDefault="00F26203" w:rsidP="00936D87">
            <w:pPr>
              <w:pStyle w:val="NoSpacing"/>
              <w:jc w:val="center"/>
              <w:rPr>
                <w:rFonts w:ascii="Palatino Linotype" w:eastAsia="Times New Roman" w:hAnsi="Palatino Linotype" w:cstheme="minorHAnsi"/>
                <w:sz w:val="20"/>
                <w:szCs w:val="20"/>
                <w:lang w:eastAsia="nl-NL"/>
              </w:rPr>
            </w:pPr>
            <m:oMathPara>
              <m:oMath>
                <m:sSub>
                  <m:sSubPr>
                    <m:ctrlPr>
                      <w:rPr>
                        <w:rFonts w:ascii="Cambria Math" w:eastAsia="Times New Roman" w:hAnsi="Cambria Math" w:cstheme="minorHAnsi"/>
                        <w:i/>
                        <w:sz w:val="20"/>
                        <w:szCs w:val="20"/>
                        <w:lang w:eastAsia="nl-NL"/>
                      </w:rPr>
                    </m:ctrlPr>
                  </m:sSubPr>
                  <m:e>
                    <m:r>
                      <w:rPr>
                        <w:rFonts w:ascii="Cambria Math" w:eastAsia="Times New Roman" w:hAnsi="Cambria Math" w:cstheme="minorHAnsi"/>
                        <w:sz w:val="20"/>
                        <w:szCs w:val="20"/>
                        <w:lang w:eastAsia="nl-NL"/>
                      </w:rPr>
                      <m:t>ρ</m:t>
                    </m:r>
                  </m:e>
                  <m:sub>
                    <m:r>
                      <w:rPr>
                        <w:rFonts w:ascii="Cambria Math" w:eastAsia="Times New Roman" w:hAnsi="Cambria Math" w:cstheme="minorHAnsi"/>
                        <w:sz w:val="20"/>
                        <w:szCs w:val="20"/>
                        <w:lang w:eastAsia="nl-NL"/>
                      </w:rPr>
                      <m:t>SW</m:t>
                    </m:r>
                  </m:sub>
                </m:sSub>
              </m:oMath>
            </m:oMathPara>
          </w:p>
        </w:tc>
        <w:tc>
          <w:tcPr>
            <w:tcW w:w="708" w:type="dxa"/>
            <w:tcBorders>
              <w:top w:val="single" w:sz="4" w:space="0" w:color="auto"/>
              <w:left w:val="nil"/>
              <w:bottom w:val="single" w:sz="4" w:space="0" w:color="auto"/>
              <w:right w:val="nil"/>
            </w:tcBorders>
            <w:shd w:val="clear" w:color="auto" w:fill="auto"/>
            <w:noWrap/>
            <w:vAlign w:val="center"/>
            <w:hideMark/>
          </w:tcPr>
          <w:p w14:paraId="60EB164C" w14:textId="77777777" w:rsidR="00042847" w:rsidRPr="00A93CD2" w:rsidRDefault="00F26203" w:rsidP="00936D87">
            <w:pPr>
              <w:pStyle w:val="NoSpacing"/>
              <w:jc w:val="center"/>
              <w:rPr>
                <w:rFonts w:ascii="Palatino Linotype" w:eastAsia="Times New Roman" w:hAnsi="Palatino Linotype" w:cstheme="minorHAnsi"/>
                <w:sz w:val="20"/>
                <w:szCs w:val="20"/>
                <w:lang w:eastAsia="nl-NL"/>
              </w:rPr>
            </w:pP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008F5150" w:rsidRPr="00A93CD2">
              <w:rPr>
                <w:rFonts w:ascii="Palatino Linotype" w:eastAsia="Times New Roman" w:hAnsi="Palatino Linotype" w:cstheme="minorHAnsi"/>
                <w:sz w:val="20"/>
                <w:szCs w:val="20"/>
                <w:lang w:eastAsia="nl-NL"/>
              </w:rPr>
              <w:t xml:space="preserve"> </w:t>
            </w:r>
            <w:r w:rsidR="00042847" w:rsidRPr="00A93CD2">
              <w:rPr>
                <w:rFonts w:ascii="Palatino Linotype" w:eastAsia="Times New Roman" w:hAnsi="Palatino Linotype" w:cstheme="minorHAnsi"/>
                <w:sz w:val="20"/>
                <w:szCs w:val="20"/>
                <w:lang w:eastAsia="nl-NL"/>
              </w:rPr>
              <w:t>(Cl)</w:t>
            </w:r>
          </w:p>
        </w:tc>
        <w:tc>
          <w:tcPr>
            <w:tcW w:w="851" w:type="dxa"/>
            <w:tcBorders>
              <w:top w:val="single" w:sz="4" w:space="0" w:color="auto"/>
              <w:left w:val="nil"/>
              <w:bottom w:val="single" w:sz="4" w:space="0" w:color="auto"/>
              <w:right w:val="nil"/>
            </w:tcBorders>
            <w:shd w:val="clear" w:color="auto" w:fill="auto"/>
            <w:noWrap/>
            <w:vAlign w:val="center"/>
            <w:hideMark/>
          </w:tcPr>
          <w:p w14:paraId="60EB164D" w14:textId="77777777" w:rsidR="00042847" w:rsidRPr="00A93CD2" w:rsidRDefault="00F26203" w:rsidP="00936D87">
            <w:pPr>
              <w:pStyle w:val="NoSpacing"/>
              <w:jc w:val="center"/>
              <w:rPr>
                <w:rFonts w:ascii="Palatino Linotype" w:eastAsia="Times New Roman" w:hAnsi="Palatino Linotype" w:cstheme="minorHAnsi"/>
                <w:sz w:val="20"/>
                <w:szCs w:val="20"/>
                <w:lang w:eastAsia="nl-NL"/>
              </w:rPr>
            </w:pP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008F5150" w:rsidRPr="00A93CD2">
              <w:rPr>
                <w:rFonts w:ascii="Palatino Linotype" w:eastAsia="Times New Roman" w:hAnsi="Palatino Linotype" w:cstheme="minorHAnsi"/>
                <w:sz w:val="20"/>
                <w:szCs w:val="20"/>
                <w:lang w:eastAsia="nl-NL"/>
              </w:rPr>
              <w:t xml:space="preserve"> </w:t>
            </w:r>
            <w:r w:rsidR="00042847" w:rsidRPr="00A93CD2">
              <w:rPr>
                <w:rFonts w:ascii="Palatino Linotype" w:eastAsia="Times New Roman" w:hAnsi="Palatino Linotype" w:cstheme="minorHAnsi"/>
                <w:sz w:val="20"/>
                <w:szCs w:val="20"/>
                <w:lang w:eastAsia="nl-NL"/>
              </w:rPr>
              <w:t>(Ga)</w:t>
            </w:r>
          </w:p>
        </w:tc>
        <w:tc>
          <w:tcPr>
            <w:tcW w:w="806" w:type="dxa"/>
            <w:tcBorders>
              <w:top w:val="single" w:sz="4" w:space="0" w:color="auto"/>
              <w:left w:val="nil"/>
              <w:bottom w:val="single" w:sz="4" w:space="0" w:color="auto"/>
              <w:right w:val="nil"/>
            </w:tcBorders>
            <w:shd w:val="clear" w:color="auto" w:fill="auto"/>
            <w:noWrap/>
            <w:vAlign w:val="center"/>
            <w:hideMark/>
          </w:tcPr>
          <w:p w14:paraId="60EB164E" w14:textId="77777777" w:rsidR="00042847" w:rsidRPr="00A93CD2" w:rsidRDefault="00F26203" w:rsidP="00936D87">
            <w:pPr>
              <w:pStyle w:val="NoSpacing"/>
              <w:jc w:val="center"/>
              <w:rPr>
                <w:rFonts w:ascii="Palatino Linotype" w:eastAsia="Times New Roman" w:hAnsi="Palatino Linotype" w:cstheme="minorHAnsi"/>
                <w:sz w:val="20"/>
                <w:szCs w:val="20"/>
                <w:lang w:eastAsia="nl-NL"/>
              </w:rPr>
            </w:pPr>
            <m:oMath>
              <m:sSub>
                <m:sSubPr>
                  <m:ctrlPr>
                    <w:rPr>
                      <w:rFonts w:ascii="Cambria Math" w:hAnsi="Cambria Math"/>
                      <w:i/>
                      <w:sz w:val="20"/>
                      <w:szCs w:val="20"/>
                    </w:rPr>
                  </m:ctrlPr>
                </m:sSubPr>
                <m:e>
                  <m:r>
                    <w:rPr>
                      <w:rFonts w:ascii="Cambria Math" w:hAnsi="Cambria Math"/>
                      <w:sz w:val="20"/>
                      <w:szCs w:val="20"/>
                    </w:rPr>
                    <m:t>CM</m:t>
                  </m:r>
                </m:e>
                <m:sub>
                  <m:r>
                    <w:rPr>
                      <w:rFonts w:ascii="Cambria Math" w:hAnsi="Cambria Math"/>
                      <w:sz w:val="20"/>
                      <w:szCs w:val="20"/>
                    </w:rPr>
                    <m:t>n</m:t>
                  </m:r>
                </m:sub>
              </m:sSub>
            </m:oMath>
            <w:r w:rsidR="00042847" w:rsidRPr="00A93CD2">
              <w:rPr>
                <w:rFonts w:ascii="Palatino Linotype" w:eastAsia="Times New Roman" w:hAnsi="Palatino Linotype" w:cstheme="minorHAnsi"/>
                <w:sz w:val="20"/>
                <w:szCs w:val="20"/>
                <w:lang w:eastAsia="nl-NL"/>
              </w:rPr>
              <w:t xml:space="preserve"> (Gu)</w:t>
            </w:r>
          </w:p>
        </w:tc>
      </w:tr>
      <w:tr w:rsidR="00644C98" w:rsidRPr="00A93CD2" w14:paraId="60EB165A" w14:textId="77777777" w:rsidTr="00D37891">
        <w:trPr>
          <w:trHeight w:val="300"/>
          <w:jc w:val="center"/>
        </w:trPr>
        <w:tc>
          <w:tcPr>
            <w:tcW w:w="1680" w:type="dxa"/>
            <w:tcBorders>
              <w:top w:val="single" w:sz="4" w:space="0" w:color="auto"/>
              <w:left w:val="nil"/>
              <w:bottom w:val="nil"/>
              <w:right w:val="nil"/>
            </w:tcBorders>
            <w:shd w:val="clear" w:color="auto" w:fill="auto"/>
            <w:noWrap/>
            <w:vAlign w:val="center"/>
            <w:hideMark/>
          </w:tcPr>
          <w:p w14:paraId="60EB1650"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Surge GP21</w:t>
            </w:r>
          </w:p>
        </w:tc>
        <w:tc>
          <w:tcPr>
            <w:tcW w:w="1676" w:type="dxa"/>
            <w:tcBorders>
              <w:top w:val="single" w:sz="4" w:space="0" w:color="auto"/>
              <w:left w:val="nil"/>
              <w:bottom w:val="nil"/>
              <w:right w:val="nil"/>
            </w:tcBorders>
            <w:shd w:val="clear" w:color="auto" w:fill="auto"/>
            <w:noWrap/>
            <w:vAlign w:val="center"/>
            <w:hideMark/>
          </w:tcPr>
          <w:p w14:paraId="60EB1651"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08075000</w:t>
            </w:r>
          </w:p>
        </w:tc>
        <w:tc>
          <w:tcPr>
            <w:tcW w:w="708" w:type="dxa"/>
            <w:tcBorders>
              <w:top w:val="single" w:sz="4" w:space="0" w:color="auto"/>
              <w:left w:val="nil"/>
              <w:bottom w:val="nil"/>
              <w:right w:val="nil"/>
            </w:tcBorders>
            <w:shd w:val="clear" w:color="auto" w:fill="auto"/>
            <w:noWrap/>
            <w:vAlign w:val="center"/>
            <w:hideMark/>
          </w:tcPr>
          <w:p w14:paraId="60EB1652"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0.33</w:t>
            </w:r>
          </w:p>
        </w:tc>
        <w:tc>
          <w:tcPr>
            <w:tcW w:w="709" w:type="dxa"/>
            <w:tcBorders>
              <w:top w:val="single" w:sz="4" w:space="0" w:color="auto"/>
              <w:left w:val="nil"/>
              <w:bottom w:val="nil"/>
              <w:right w:val="nil"/>
            </w:tcBorders>
            <w:shd w:val="clear" w:color="auto" w:fill="auto"/>
            <w:noWrap/>
            <w:vAlign w:val="center"/>
            <w:hideMark/>
          </w:tcPr>
          <w:p w14:paraId="60EB1653"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0.15</w:t>
            </w:r>
          </w:p>
        </w:tc>
        <w:tc>
          <w:tcPr>
            <w:tcW w:w="567" w:type="dxa"/>
            <w:tcBorders>
              <w:top w:val="single" w:sz="4" w:space="0" w:color="auto"/>
              <w:left w:val="nil"/>
              <w:bottom w:val="nil"/>
              <w:right w:val="nil"/>
            </w:tcBorders>
            <w:shd w:val="clear" w:color="auto" w:fill="auto"/>
            <w:noWrap/>
            <w:vAlign w:val="center"/>
            <w:hideMark/>
          </w:tcPr>
          <w:p w14:paraId="60EB1654"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0.32</w:t>
            </w:r>
          </w:p>
        </w:tc>
        <w:tc>
          <w:tcPr>
            <w:tcW w:w="709" w:type="dxa"/>
            <w:tcBorders>
              <w:top w:val="single" w:sz="4" w:space="0" w:color="auto"/>
              <w:left w:val="nil"/>
              <w:bottom w:val="nil"/>
              <w:right w:val="nil"/>
            </w:tcBorders>
            <w:shd w:val="clear" w:color="auto" w:fill="auto"/>
            <w:noWrap/>
            <w:vAlign w:val="center"/>
            <w:hideMark/>
          </w:tcPr>
          <w:p w14:paraId="60EB1655"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0.06</w:t>
            </w:r>
          </w:p>
        </w:tc>
        <w:tc>
          <w:tcPr>
            <w:tcW w:w="709" w:type="dxa"/>
            <w:tcBorders>
              <w:top w:val="single" w:sz="4" w:space="0" w:color="auto"/>
              <w:left w:val="nil"/>
              <w:bottom w:val="nil"/>
              <w:right w:val="nil"/>
            </w:tcBorders>
            <w:shd w:val="clear" w:color="auto" w:fill="auto"/>
            <w:noWrap/>
            <w:vAlign w:val="center"/>
            <w:hideMark/>
          </w:tcPr>
          <w:p w14:paraId="60EB1656"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0.05</w:t>
            </w:r>
          </w:p>
        </w:tc>
        <w:tc>
          <w:tcPr>
            <w:tcW w:w="708" w:type="dxa"/>
            <w:tcBorders>
              <w:top w:val="single" w:sz="4" w:space="0" w:color="auto"/>
              <w:left w:val="nil"/>
              <w:bottom w:val="nil"/>
              <w:right w:val="nil"/>
            </w:tcBorders>
            <w:shd w:val="clear" w:color="auto" w:fill="auto"/>
            <w:noWrap/>
            <w:vAlign w:val="center"/>
            <w:hideMark/>
          </w:tcPr>
          <w:p w14:paraId="60EB1657"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0.23</w:t>
            </w:r>
          </w:p>
        </w:tc>
        <w:tc>
          <w:tcPr>
            <w:tcW w:w="851" w:type="dxa"/>
            <w:tcBorders>
              <w:top w:val="single" w:sz="4" w:space="0" w:color="auto"/>
              <w:left w:val="nil"/>
              <w:bottom w:val="nil"/>
              <w:right w:val="nil"/>
            </w:tcBorders>
            <w:shd w:val="clear" w:color="auto" w:fill="auto"/>
            <w:noWrap/>
            <w:vAlign w:val="center"/>
            <w:hideMark/>
          </w:tcPr>
          <w:p w14:paraId="60EB1658"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0.03</w:t>
            </w:r>
          </w:p>
        </w:tc>
        <w:tc>
          <w:tcPr>
            <w:tcW w:w="806" w:type="dxa"/>
            <w:tcBorders>
              <w:top w:val="single" w:sz="4" w:space="0" w:color="auto"/>
              <w:left w:val="nil"/>
              <w:bottom w:val="nil"/>
              <w:right w:val="nil"/>
            </w:tcBorders>
            <w:shd w:val="clear" w:color="auto" w:fill="auto"/>
            <w:noWrap/>
            <w:vAlign w:val="center"/>
            <w:hideMark/>
          </w:tcPr>
          <w:p w14:paraId="60EB1659"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0.01</w:t>
            </w:r>
          </w:p>
        </w:tc>
      </w:tr>
      <w:tr w:rsidR="00644C98" w:rsidRPr="00A93CD2" w14:paraId="60EB1665" w14:textId="77777777" w:rsidTr="00D37891">
        <w:trPr>
          <w:trHeight w:val="300"/>
          <w:jc w:val="center"/>
        </w:trPr>
        <w:tc>
          <w:tcPr>
            <w:tcW w:w="1680" w:type="dxa"/>
            <w:tcBorders>
              <w:top w:val="nil"/>
              <w:left w:val="nil"/>
              <w:bottom w:val="nil"/>
              <w:right w:val="nil"/>
            </w:tcBorders>
            <w:shd w:val="clear" w:color="auto" w:fill="auto"/>
            <w:noWrap/>
            <w:vAlign w:val="center"/>
            <w:hideMark/>
          </w:tcPr>
          <w:p w14:paraId="60EB165B"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Surge GP21</w:t>
            </w:r>
          </w:p>
        </w:tc>
        <w:tc>
          <w:tcPr>
            <w:tcW w:w="1676" w:type="dxa"/>
            <w:tcBorders>
              <w:top w:val="nil"/>
              <w:left w:val="nil"/>
              <w:bottom w:val="nil"/>
              <w:right w:val="nil"/>
            </w:tcBorders>
            <w:shd w:val="clear" w:color="auto" w:fill="auto"/>
            <w:noWrap/>
            <w:vAlign w:val="center"/>
            <w:hideMark/>
          </w:tcPr>
          <w:p w14:paraId="60EB165C"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08075730</w:t>
            </w:r>
          </w:p>
        </w:tc>
        <w:tc>
          <w:tcPr>
            <w:tcW w:w="708" w:type="dxa"/>
            <w:tcBorders>
              <w:top w:val="nil"/>
              <w:left w:val="nil"/>
              <w:bottom w:val="nil"/>
              <w:right w:val="nil"/>
            </w:tcBorders>
            <w:shd w:val="clear" w:color="auto" w:fill="auto"/>
            <w:noWrap/>
            <w:vAlign w:val="center"/>
            <w:hideMark/>
          </w:tcPr>
          <w:p w14:paraId="60EB165D"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0.32</w:t>
            </w:r>
          </w:p>
        </w:tc>
        <w:tc>
          <w:tcPr>
            <w:tcW w:w="709" w:type="dxa"/>
            <w:tcBorders>
              <w:top w:val="nil"/>
              <w:left w:val="nil"/>
              <w:bottom w:val="nil"/>
              <w:right w:val="nil"/>
            </w:tcBorders>
            <w:shd w:val="clear" w:color="auto" w:fill="auto"/>
            <w:noWrap/>
            <w:vAlign w:val="center"/>
            <w:hideMark/>
          </w:tcPr>
          <w:p w14:paraId="60EB165E"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0.16</w:t>
            </w:r>
          </w:p>
        </w:tc>
        <w:tc>
          <w:tcPr>
            <w:tcW w:w="567" w:type="dxa"/>
            <w:tcBorders>
              <w:top w:val="nil"/>
              <w:left w:val="nil"/>
              <w:bottom w:val="nil"/>
              <w:right w:val="nil"/>
            </w:tcBorders>
            <w:shd w:val="clear" w:color="auto" w:fill="auto"/>
            <w:noWrap/>
            <w:vAlign w:val="center"/>
            <w:hideMark/>
          </w:tcPr>
          <w:p w14:paraId="60EB165F"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0.33</w:t>
            </w:r>
          </w:p>
        </w:tc>
        <w:tc>
          <w:tcPr>
            <w:tcW w:w="709" w:type="dxa"/>
            <w:tcBorders>
              <w:top w:val="nil"/>
              <w:left w:val="nil"/>
              <w:bottom w:val="nil"/>
              <w:right w:val="nil"/>
            </w:tcBorders>
            <w:shd w:val="clear" w:color="auto" w:fill="auto"/>
            <w:noWrap/>
            <w:vAlign w:val="center"/>
            <w:hideMark/>
          </w:tcPr>
          <w:p w14:paraId="60EB1660"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0.06</w:t>
            </w:r>
          </w:p>
        </w:tc>
        <w:tc>
          <w:tcPr>
            <w:tcW w:w="709" w:type="dxa"/>
            <w:tcBorders>
              <w:top w:val="nil"/>
              <w:left w:val="nil"/>
              <w:bottom w:val="nil"/>
              <w:right w:val="nil"/>
            </w:tcBorders>
            <w:shd w:val="clear" w:color="auto" w:fill="auto"/>
            <w:noWrap/>
            <w:vAlign w:val="center"/>
            <w:hideMark/>
          </w:tcPr>
          <w:p w14:paraId="60EB1661"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0.07</w:t>
            </w:r>
          </w:p>
        </w:tc>
        <w:tc>
          <w:tcPr>
            <w:tcW w:w="708" w:type="dxa"/>
            <w:tcBorders>
              <w:top w:val="nil"/>
              <w:left w:val="nil"/>
              <w:bottom w:val="nil"/>
              <w:right w:val="nil"/>
            </w:tcBorders>
            <w:shd w:val="clear" w:color="auto" w:fill="auto"/>
            <w:noWrap/>
            <w:vAlign w:val="center"/>
            <w:hideMark/>
          </w:tcPr>
          <w:p w14:paraId="60EB1662"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0.23</w:t>
            </w:r>
          </w:p>
        </w:tc>
        <w:tc>
          <w:tcPr>
            <w:tcW w:w="851" w:type="dxa"/>
            <w:tcBorders>
              <w:top w:val="nil"/>
              <w:left w:val="nil"/>
              <w:bottom w:val="nil"/>
              <w:right w:val="nil"/>
            </w:tcBorders>
            <w:shd w:val="clear" w:color="auto" w:fill="auto"/>
            <w:noWrap/>
            <w:vAlign w:val="center"/>
            <w:hideMark/>
          </w:tcPr>
          <w:p w14:paraId="60EB1663"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0.06</w:t>
            </w:r>
          </w:p>
        </w:tc>
        <w:tc>
          <w:tcPr>
            <w:tcW w:w="806" w:type="dxa"/>
            <w:tcBorders>
              <w:top w:val="nil"/>
              <w:left w:val="nil"/>
              <w:bottom w:val="nil"/>
              <w:right w:val="nil"/>
            </w:tcBorders>
            <w:shd w:val="clear" w:color="auto" w:fill="auto"/>
            <w:noWrap/>
            <w:vAlign w:val="center"/>
            <w:hideMark/>
          </w:tcPr>
          <w:p w14:paraId="60EB1664"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0.02</w:t>
            </w:r>
          </w:p>
        </w:tc>
      </w:tr>
      <w:tr w:rsidR="00644C98" w:rsidRPr="00A93CD2" w14:paraId="60EB1670" w14:textId="77777777" w:rsidTr="00D37891">
        <w:trPr>
          <w:trHeight w:val="300"/>
          <w:jc w:val="center"/>
        </w:trPr>
        <w:tc>
          <w:tcPr>
            <w:tcW w:w="1680" w:type="dxa"/>
            <w:tcBorders>
              <w:top w:val="nil"/>
              <w:left w:val="nil"/>
              <w:bottom w:val="nil"/>
              <w:right w:val="nil"/>
            </w:tcBorders>
            <w:shd w:val="clear" w:color="auto" w:fill="auto"/>
            <w:noWrap/>
            <w:vAlign w:val="center"/>
            <w:hideMark/>
          </w:tcPr>
          <w:p w14:paraId="60EB1666"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Surge GP21</w:t>
            </w:r>
          </w:p>
        </w:tc>
        <w:tc>
          <w:tcPr>
            <w:tcW w:w="1676" w:type="dxa"/>
            <w:tcBorders>
              <w:top w:val="nil"/>
              <w:left w:val="nil"/>
              <w:bottom w:val="nil"/>
              <w:right w:val="nil"/>
            </w:tcBorders>
            <w:shd w:val="clear" w:color="auto" w:fill="auto"/>
            <w:noWrap/>
            <w:vAlign w:val="center"/>
            <w:hideMark/>
          </w:tcPr>
          <w:p w14:paraId="60EB1667"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08074500</w:t>
            </w:r>
          </w:p>
        </w:tc>
        <w:tc>
          <w:tcPr>
            <w:tcW w:w="708" w:type="dxa"/>
            <w:tcBorders>
              <w:top w:val="nil"/>
              <w:left w:val="nil"/>
              <w:bottom w:val="nil"/>
              <w:right w:val="nil"/>
            </w:tcBorders>
            <w:shd w:val="clear" w:color="auto" w:fill="auto"/>
            <w:noWrap/>
            <w:vAlign w:val="center"/>
            <w:hideMark/>
          </w:tcPr>
          <w:p w14:paraId="60EB1668"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0.33</w:t>
            </w:r>
          </w:p>
        </w:tc>
        <w:tc>
          <w:tcPr>
            <w:tcW w:w="709" w:type="dxa"/>
            <w:tcBorders>
              <w:top w:val="nil"/>
              <w:left w:val="nil"/>
              <w:bottom w:val="nil"/>
              <w:right w:val="nil"/>
            </w:tcBorders>
            <w:shd w:val="clear" w:color="auto" w:fill="auto"/>
            <w:noWrap/>
            <w:vAlign w:val="center"/>
            <w:hideMark/>
          </w:tcPr>
          <w:p w14:paraId="60EB1669"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0.16</w:t>
            </w:r>
          </w:p>
        </w:tc>
        <w:tc>
          <w:tcPr>
            <w:tcW w:w="567" w:type="dxa"/>
            <w:tcBorders>
              <w:top w:val="nil"/>
              <w:left w:val="nil"/>
              <w:bottom w:val="nil"/>
              <w:right w:val="nil"/>
            </w:tcBorders>
            <w:shd w:val="clear" w:color="auto" w:fill="auto"/>
            <w:noWrap/>
            <w:vAlign w:val="center"/>
            <w:hideMark/>
          </w:tcPr>
          <w:p w14:paraId="60EB166A"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0.32</w:t>
            </w:r>
          </w:p>
        </w:tc>
        <w:tc>
          <w:tcPr>
            <w:tcW w:w="709" w:type="dxa"/>
            <w:tcBorders>
              <w:top w:val="nil"/>
              <w:left w:val="nil"/>
              <w:bottom w:val="nil"/>
              <w:right w:val="nil"/>
            </w:tcBorders>
            <w:shd w:val="clear" w:color="auto" w:fill="auto"/>
            <w:noWrap/>
            <w:vAlign w:val="center"/>
            <w:hideMark/>
          </w:tcPr>
          <w:p w14:paraId="60EB166B"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0.01</w:t>
            </w:r>
          </w:p>
        </w:tc>
        <w:tc>
          <w:tcPr>
            <w:tcW w:w="709" w:type="dxa"/>
            <w:tcBorders>
              <w:top w:val="nil"/>
              <w:left w:val="nil"/>
              <w:bottom w:val="nil"/>
              <w:right w:val="nil"/>
            </w:tcBorders>
            <w:shd w:val="clear" w:color="auto" w:fill="auto"/>
            <w:noWrap/>
            <w:vAlign w:val="center"/>
            <w:hideMark/>
          </w:tcPr>
          <w:p w14:paraId="60EB166C"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0.03</w:t>
            </w:r>
          </w:p>
        </w:tc>
        <w:tc>
          <w:tcPr>
            <w:tcW w:w="708" w:type="dxa"/>
            <w:tcBorders>
              <w:top w:val="nil"/>
              <w:left w:val="nil"/>
              <w:bottom w:val="nil"/>
              <w:right w:val="nil"/>
            </w:tcBorders>
            <w:shd w:val="clear" w:color="auto" w:fill="auto"/>
            <w:noWrap/>
            <w:vAlign w:val="center"/>
            <w:hideMark/>
          </w:tcPr>
          <w:p w14:paraId="60EB166D"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0.24</w:t>
            </w:r>
          </w:p>
        </w:tc>
        <w:tc>
          <w:tcPr>
            <w:tcW w:w="851" w:type="dxa"/>
            <w:tcBorders>
              <w:top w:val="nil"/>
              <w:left w:val="nil"/>
              <w:bottom w:val="nil"/>
              <w:right w:val="nil"/>
            </w:tcBorders>
            <w:shd w:val="clear" w:color="auto" w:fill="auto"/>
            <w:noWrap/>
            <w:vAlign w:val="center"/>
            <w:hideMark/>
          </w:tcPr>
          <w:p w14:paraId="60EB166E"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0.04</w:t>
            </w:r>
          </w:p>
        </w:tc>
        <w:tc>
          <w:tcPr>
            <w:tcW w:w="806" w:type="dxa"/>
            <w:tcBorders>
              <w:top w:val="nil"/>
              <w:left w:val="nil"/>
              <w:bottom w:val="nil"/>
              <w:right w:val="nil"/>
            </w:tcBorders>
            <w:shd w:val="clear" w:color="auto" w:fill="auto"/>
            <w:noWrap/>
            <w:vAlign w:val="center"/>
            <w:hideMark/>
          </w:tcPr>
          <w:p w14:paraId="60EB166F"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0.02</w:t>
            </w:r>
          </w:p>
        </w:tc>
      </w:tr>
      <w:tr w:rsidR="00644C98" w:rsidRPr="00A93CD2" w14:paraId="60EB167B" w14:textId="77777777" w:rsidTr="00D37891">
        <w:trPr>
          <w:trHeight w:val="300"/>
          <w:jc w:val="center"/>
        </w:trPr>
        <w:tc>
          <w:tcPr>
            <w:tcW w:w="1680" w:type="dxa"/>
            <w:tcBorders>
              <w:top w:val="nil"/>
              <w:left w:val="nil"/>
              <w:bottom w:val="nil"/>
              <w:right w:val="nil"/>
            </w:tcBorders>
            <w:shd w:val="clear" w:color="auto" w:fill="auto"/>
            <w:noWrap/>
            <w:vAlign w:val="center"/>
            <w:hideMark/>
          </w:tcPr>
          <w:p w14:paraId="60EB1671"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Surge GP21</w:t>
            </w:r>
          </w:p>
        </w:tc>
        <w:tc>
          <w:tcPr>
            <w:tcW w:w="1676" w:type="dxa"/>
            <w:tcBorders>
              <w:top w:val="nil"/>
              <w:left w:val="nil"/>
              <w:bottom w:val="nil"/>
              <w:right w:val="nil"/>
            </w:tcBorders>
            <w:shd w:val="clear" w:color="auto" w:fill="auto"/>
            <w:noWrap/>
            <w:vAlign w:val="center"/>
            <w:hideMark/>
          </w:tcPr>
          <w:p w14:paraId="60EB1672"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08075770</w:t>
            </w:r>
          </w:p>
        </w:tc>
        <w:tc>
          <w:tcPr>
            <w:tcW w:w="708" w:type="dxa"/>
            <w:tcBorders>
              <w:top w:val="nil"/>
              <w:left w:val="nil"/>
              <w:bottom w:val="nil"/>
              <w:right w:val="nil"/>
            </w:tcBorders>
            <w:shd w:val="clear" w:color="auto" w:fill="auto"/>
            <w:noWrap/>
            <w:vAlign w:val="center"/>
            <w:hideMark/>
          </w:tcPr>
          <w:p w14:paraId="60EB1673"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0.32</w:t>
            </w:r>
          </w:p>
        </w:tc>
        <w:tc>
          <w:tcPr>
            <w:tcW w:w="709" w:type="dxa"/>
            <w:tcBorders>
              <w:top w:val="nil"/>
              <w:left w:val="nil"/>
              <w:bottom w:val="nil"/>
              <w:right w:val="nil"/>
            </w:tcBorders>
            <w:shd w:val="clear" w:color="auto" w:fill="auto"/>
            <w:noWrap/>
            <w:vAlign w:val="center"/>
            <w:hideMark/>
          </w:tcPr>
          <w:p w14:paraId="60EB1674"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0.09</w:t>
            </w:r>
          </w:p>
        </w:tc>
        <w:tc>
          <w:tcPr>
            <w:tcW w:w="567" w:type="dxa"/>
            <w:tcBorders>
              <w:top w:val="nil"/>
              <w:left w:val="nil"/>
              <w:bottom w:val="nil"/>
              <w:right w:val="nil"/>
            </w:tcBorders>
            <w:shd w:val="clear" w:color="auto" w:fill="auto"/>
            <w:noWrap/>
            <w:vAlign w:val="center"/>
            <w:hideMark/>
          </w:tcPr>
          <w:p w14:paraId="60EB1675"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0.32</w:t>
            </w:r>
          </w:p>
        </w:tc>
        <w:tc>
          <w:tcPr>
            <w:tcW w:w="709" w:type="dxa"/>
            <w:tcBorders>
              <w:top w:val="nil"/>
              <w:left w:val="nil"/>
              <w:bottom w:val="nil"/>
              <w:right w:val="nil"/>
            </w:tcBorders>
            <w:shd w:val="clear" w:color="auto" w:fill="auto"/>
            <w:noWrap/>
            <w:vAlign w:val="center"/>
            <w:hideMark/>
          </w:tcPr>
          <w:p w14:paraId="60EB1676"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0.00</w:t>
            </w:r>
          </w:p>
        </w:tc>
        <w:tc>
          <w:tcPr>
            <w:tcW w:w="709" w:type="dxa"/>
            <w:tcBorders>
              <w:top w:val="nil"/>
              <w:left w:val="nil"/>
              <w:bottom w:val="nil"/>
              <w:right w:val="nil"/>
            </w:tcBorders>
            <w:shd w:val="clear" w:color="auto" w:fill="auto"/>
            <w:noWrap/>
            <w:vAlign w:val="center"/>
            <w:hideMark/>
          </w:tcPr>
          <w:p w14:paraId="60EB1677"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0.03</w:t>
            </w:r>
          </w:p>
        </w:tc>
        <w:tc>
          <w:tcPr>
            <w:tcW w:w="708" w:type="dxa"/>
            <w:tcBorders>
              <w:top w:val="nil"/>
              <w:left w:val="nil"/>
              <w:bottom w:val="nil"/>
              <w:right w:val="nil"/>
            </w:tcBorders>
            <w:shd w:val="clear" w:color="auto" w:fill="auto"/>
            <w:noWrap/>
            <w:vAlign w:val="center"/>
            <w:hideMark/>
          </w:tcPr>
          <w:p w14:paraId="60EB1678"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0.26</w:t>
            </w:r>
          </w:p>
        </w:tc>
        <w:tc>
          <w:tcPr>
            <w:tcW w:w="851" w:type="dxa"/>
            <w:tcBorders>
              <w:top w:val="nil"/>
              <w:left w:val="nil"/>
              <w:bottom w:val="nil"/>
              <w:right w:val="nil"/>
            </w:tcBorders>
            <w:shd w:val="clear" w:color="auto" w:fill="auto"/>
            <w:noWrap/>
            <w:vAlign w:val="center"/>
            <w:hideMark/>
          </w:tcPr>
          <w:p w14:paraId="60EB1679"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0.04</w:t>
            </w:r>
          </w:p>
        </w:tc>
        <w:tc>
          <w:tcPr>
            <w:tcW w:w="806" w:type="dxa"/>
            <w:tcBorders>
              <w:top w:val="nil"/>
              <w:left w:val="nil"/>
              <w:bottom w:val="nil"/>
              <w:right w:val="nil"/>
            </w:tcBorders>
            <w:shd w:val="clear" w:color="auto" w:fill="auto"/>
            <w:noWrap/>
            <w:vAlign w:val="center"/>
            <w:hideMark/>
          </w:tcPr>
          <w:p w14:paraId="60EB167A"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0.01</w:t>
            </w:r>
          </w:p>
        </w:tc>
      </w:tr>
      <w:tr w:rsidR="00644C98" w:rsidRPr="00A93CD2" w14:paraId="60EB1691" w14:textId="77777777" w:rsidTr="00D37891">
        <w:trPr>
          <w:trHeight w:val="300"/>
          <w:jc w:val="center"/>
        </w:trPr>
        <w:tc>
          <w:tcPr>
            <w:tcW w:w="1680" w:type="dxa"/>
            <w:tcBorders>
              <w:top w:val="nil"/>
              <w:left w:val="nil"/>
              <w:bottom w:val="nil"/>
              <w:right w:val="nil"/>
            </w:tcBorders>
            <w:shd w:val="clear" w:color="auto" w:fill="auto"/>
            <w:noWrap/>
            <w:vAlign w:val="center"/>
            <w:hideMark/>
          </w:tcPr>
          <w:p w14:paraId="60EB1687"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8075000</w:t>
            </w:r>
          </w:p>
        </w:tc>
        <w:tc>
          <w:tcPr>
            <w:tcW w:w="1676" w:type="dxa"/>
            <w:tcBorders>
              <w:top w:val="nil"/>
              <w:left w:val="nil"/>
              <w:bottom w:val="nil"/>
              <w:right w:val="nil"/>
            </w:tcBorders>
            <w:shd w:val="clear" w:color="auto" w:fill="auto"/>
            <w:noWrap/>
            <w:vAlign w:val="center"/>
            <w:hideMark/>
          </w:tcPr>
          <w:p w14:paraId="60EB1688"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08075730</w:t>
            </w:r>
          </w:p>
        </w:tc>
        <w:tc>
          <w:tcPr>
            <w:tcW w:w="708" w:type="dxa"/>
            <w:tcBorders>
              <w:top w:val="nil"/>
              <w:left w:val="nil"/>
              <w:bottom w:val="nil"/>
              <w:right w:val="nil"/>
            </w:tcBorders>
            <w:shd w:val="clear" w:color="auto" w:fill="auto"/>
            <w:noWrap/>
            <w:vAlign w:val="center"/>
            <w:hideMark/>
          </w:tcPr>
          <w:p w14:paraId="60EB1689"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0.64</w:t>
            </w:r>
          </w:p>
        </w:tc>
        <w:tc>
          <w:tcPr>
            <w:tcW w:w="709" w:type="dxa"/>
            <w:tcBorders>
              <w:top w:val="nil"/>
              <w:left w:val="nil"/>
              <w:bottom w:val="nil"/>
              <w:right w:val="nil"/>
            </w:tcBorders>
            <w:shd w:val="clear" w:color="auto" w:fill="auto"/>
            <w:noWrap/>
            <w:vAlign w:val="center"/>
            <w:hideMark/>
          </w:tcPr>
          <w:p w14:paraId="60EB168A"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-0.01</w:t>
            </w:r>
          </w:p>
        </w:tc>
        <w:tc>
          <w:tcPr>
            <w:tcW w:w="567" w:type="dxa"/>
            <w:tcBorders>
              <w:top w:val="nil"/>
              <w:left w:val="nil"/>
              <w:bottom w:val="nil"/>
              <w:right w:val="nil"/>
            </w:tcBorders>
            <w:shd w:val="clear" w:color="auto" w:fill="auto"/>
            <w:noWrap/>
            <w:vAlign w:val="center"/>
            <w:hideMark/>
          </w:tcPr>
          <w:p w14:paraId="60EB168B"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0.75</w:t>
            </w:r>
          </w:p>
        </w:tc>
        <w:tc>
          <w:tcPr>
            <w:tcW w:w="709" w:type="dxa"/>
            <w:tcBorders>
              <w:top w:val="nil"/>
              <w:left w:val="nil"/>
              <w:bottom w:val="nil"/>
              <w:right w:val="nil"/>
            </w:tcBorders>
            <w:shd w:val="clear" w:color="auto" w:fill="auto"/>
            <w:noWrap/>
            <w:vAlign w:val="center"/>
            <w:hideMark/>
          </w:tcPr>
          <w:p w14:paraId="60EB168C"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0.08</w:t>
            </w:r>
          </w:p>
        </w:tc>
        <w:tc>
          <w:tcPr>
            <w:tcW w:w="709" w:type="dxa"/>
            <w:tcBorders>
              <w:top w:val="nil"/>
              <w:left w:val="nil"/>
              <w:bottom w:val="nil"/>
              <w:right w:val="nil"/>
            </w:tcBorders>
            <w:shd w:val="clear" w:color="auto" w:fill="auto"/>
            <w:noWrap/>
            <w:vAlign w:val="center"/>
            <w:hideMark/>
          </w:tcPr>
          <w:p w14:paraId="60EB168D"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0.22</w:t>
            </w:r>
          </w:p>
        </w:tc>
        <w:tc>
          <w:tcPr>
            <w:tcW w:w="708" w:type="dxa"/>
            <w:tcBorders>
              <w:top w:val="nil"/>
              <w:left w:val="nil"/>
              <w:bottom w:val="nil"/>
              <w:right w:val="nil"/>
            </w:tcBorders>
            <w:shd w:val="clear" w:color="auto" w:fill="auto"/>
            <w:noWrap/>
            <w:vAlign w:val="center"/>
            <w:hideMark/>
          </w:tcPr>
          <w:p w14:paraId="60EB168E"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0.86</w:t>
            </w:r>
          </w:p>
        </w:tc>
        <w:tc>
          <w:tcPr>
            <w:tcW w:w="851" w:type="dxa"/>
            <w:tcBorders>
              <w:top w:val="nil"/>
              <w:left w:val="nil"/>
              <w:bottom w:val="nil"/>
              <w:right w:val="nil"/>
            </w:tcBorders>
            <w:shd w:val="clear" w:color="auto" w:fill="auto"/>
            <w:noWrap/>
            <w:vAlign w:val="center"/>
            <w:hideMark/>
          </w:tcPr>
          <w:p w14:paraId="60EB168F"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0.16</w:t>
            </w:r>
          </w:p>
        </w:tc>
        <w:tc>
          <w:tcPr>
            <w:tcW w:w="806" w:type="dxa"/>
            <w:tcBorders>
              <w:top w:val="nil"/>
              <w:left w:val="nil"/>
              <w:bottom w:val="nil"/>
              <w:right w:val="nil"/>
            </w:tcBorders>
            <w:shd w:val="clear" w:color="auto" w:fill="auto"/>
            <w:noWrap/>
            <w:vAlign w:val="center"/>
            <w:hideMark/>
          </w:tcPr>
          <w:p w14:paraId="60EB1690"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0.07</w:t>
            </w:r>
          </w:p>
        </w:tc>
      </w:tr>
      <w:tr w:rsidR="00644C98" w:rsidRPr="00A93CD2" w14:paraId="60EB169C" w14:textId="77777777" w:rsidTr="00D37891">
        <w:trPr>
          <w:trHeight w:val="300"/>
          <w:jc w:val="center"/>
        </w:trPr>
        <w:tc>
          <w:tcPr>
            <w:tcW w:w="1680" w:type="dxa"/>
            <w:tcBorders>
              <w:top w:val="nil"/>
              <w:left w:val="nil"/>
              <w:bottom w:val="nil"/>
              <w:right w:val="nil"/>
            </w:tcBorders>
            <w:shd w:val="clear" w:color="auto" w:fill="auto"/>
            <w:noWrap/>
            <w:vAlign w:val="center"/>
            <w:hideMark/>
          </w:tcPr>
          <w:p w14:paraId="60EB1692"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8075000</w:t>
            </w:r>
          </w:p>
        </w:tc>
        <w:tc>
          <w:tcPr>
            <w:tcW w:w="1676" w:type="dxa"/>
            <w:tcBorders>
              <w:top w:val="nil"/>
              <w:left w:val="nil"/>
              <w:bottom w:val="nil"/>
              <w:right w:val="nil"/>
            </w:tcBorders>
            <w:shd w:val="clear" w:color="auto" w:fill="auto"/>
            <w:noWrap/>
            <w:vAlign w:val="center"/>
            <w:hideMark/>
          </w:tcPr>
          <w:p w14:paraId="60EB1693"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08074500</w:t>
            </w:r>
          </w:p>
        </w:tc>
        <w:tc>
          <w:tcPr>
            <w:tcW w:w="708" w:type="dxa"/>
            <w:tcBorders>
              <w:top w:val="nil"/>
              <w:left w:val="nil"/>
              <w:bottom w:val="nil"/>
              <w:right w:val="nil"/>
            </w:tcBorders>
            <w:shd w:val="clear" w:color="auto" w:fill="auto"/>
            <w:noWrap/>
            <w:vAlign w:val="center"/>
            <w:hideMark/>
          </w:tcPr>
          <w:p w14:paraId="60EB1694"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0.80</w:t>
            </w:r>
          </w:p>
        </w:tc>
        <w:tc>
          <w:tcPr>
            <w:tcW w:w="709" w:type="dxa"/>
            <w:tcBorders>
              <w:top w:val="nil"/>
              <w:left w:val="nil"/>
              <w:bottom w:val="nil"/>
              <w:right w:val="nil"/>
            </w:tcBorders>
            <w:shd w:val="clear" w:color="auto" w:fill="auto"/>
            <w:noWrap/>
            <w:vAlign w:val="center"/>
            <w:hideMark/>
          </w:tcPr>
          <w:p w14:paraId="60EB1695"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-0.06</w:t>
            </w:r>
          </w:p>
        </w:tc>
        <w:tc>
          <w:tcPr>
            <w:tcW w:w="567" w:type="dxa"/>
            <w:tcBorders>
              <w:top w:val="nil"/>
              <w:left w:val="nil"/>
              <w:bottom w:val="nil"/>
              <w:right w:val="nil"/>
            </w:tcBorders>
            <w:shd w:val="clear" w:color="auto" w:fill="auto"/>
            <w:noWrap/>
            <w:vAlign w:val="center"/>
            <w:hideMark/>
          </w:tcPr>
          <w:p w14:paraId="60EB1696"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0.84</w:t>
            </w:r>
          </w:p>
        </w:tc>
        <w:tc>
          <w:tcPr>
            <w:tcW w:w="709" w:type="dxa"/>
            <w:tcBorders>
              <w:top w:val="nil"/>
              <w:left w:val="nil"/>
              <w:bottom w:val="nil"/>
              <w:right w:val="nil"/>
            </w:tcBorders>
            <w:shd w:val="clear" w:color="auto" w:fill="auto"/>
            <w:noWrap/>
            <w:vAlign w:val="center"/>
            <w:hideMark/>
          </w:tcPr>
          <w:p w14:paraId="60EB1697"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0.03</w:t>
            </w:r>
          </w:p>
        </w:tc>
        <w:tc>
          <w:tcPr>
            <w:tcW w:w="709" w:type="dxa"/>
            <w:tcBorders>
              <w:top w:val="nil"/>
              <w:left w:val="nil"/>
              <w:bottom w:val="nil"/>
              <w:right w:val="nil"/>
            </w:tcBorders>
            <w:shd w:val="clear" w:color="auto" w:fill="auto"/>
            <w:noWrap/>
            <w:vAlign w:val="center"/>
            <w:hideMark/>
          </w:tcPr>
          <w:p w14:paraId="60EB1698"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0.41</w:t>
            </w:r>
          </w:p>
        </w:tc>
        <w:tc>
          <w:tcPr>
            <w:tcW w:w="708" w:type="dxa"/>
            <w:tcBorders>
              <w:top w:val="nil"/>
              <w:left w:val="nil"/>
              <w:bottom w:val="nil"/>
              <w:right w:val="nil"/>
            </w:tcBorders>
            <w:shd w:val="clear" w:color="auto" w:fill="auto"/>
            <w:noWrap/>
            <w:vAlign w:val="center"/>
            <w:hideMark/>
          </w:tcPr>
          <w:p w14:paraId="60EB1699"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0.89</w:t>
            </w:r>
          </w:p>
        </w:tc>
        <w:tc>
          <w:tcPr>
            <w:tcW w:w="851" w:type="dxa"/>
            <w:tcBorders>
              <w:top w:val="nil"/>
              <w:left w:val="nil"/>
              <w:bottom w:val="nil"/>
              <w:right w:val="nil"/>
            </w:tcBorders>
            <w:shd w:val="clear" w:color="auto" w:fill="auto"/>
            <w:noWrap/>
            <w:vAlign w:val="center"/>
            <w:hideMark/>
          </w:tcPr>
          <w:p w14:paraId="60EB169A"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0.08</w:t>
            </w:r>
          </w:p>
        </w:tc>
        <w:tc>
          <w:tcPr>
            <w:tcW w:w="806" w:type="dxa"/>
            <w:tcBorders>
              <w:top w:val="nil"/>
              <w:left w:val="nil"/>
              <w:bottom w:val="nil"/>
              <w:right w:val="nil"/>
            </w:tcBorders>
            <w:shd w:val="clear" w:color="auto" w:fill="auto"/>
            <w:noWrap/>
            <w:vAlign w:val="center"/>
            <w:hideMark/>
          </w:tcPr>
          <w:p w14:paraId="60EB169B"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0.03</w:t>
            </w:r>
          </w:p>
        </w:tc>
      </w:tr>
      <w:tr w:rsidR="00644C98" w:rsidRPr="00A93CD2" w14:paraId="60EB16A7" w14:textId="77777777" w:rsidTr="00D37891">
        <w:trPr>
          <w:trHeight w:val="300"/>
          <w:jc w:val="center"/>
        </w:trPr>
        <w:tc>
          <w:tcPr>
            <w:tcW w:w="1680" w:type="dxa"/>
            <w:tcBorders>
              <w:top w:val="nil"/>
              <w:left w:val="nil"/>
              <w:bottom w:val="nil"/>
              <w:right w:val="nil"/>
            </w:tcBorders>
            <w:shd w:val="clear" w:color="auto" w:fill="auto"/>
            <w:noWrap/>
            <w:vAlign w:val="center"/>
            <w:hideMark/>
          </w:tcPr>
          <w:p w14:paraId="60EB169D"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8075000</w:t>
            </w:r>
          </w:p>
        </w:tc>
        <w:tc>
          <w:tcPr>
            <w:tcW w:w="1676" w:type="dxa"/>
            <w:tcBorders>
              <w:top w:val="nil"/>
              <w:left w:val="nil"/>
              <w:bottom w:val="nil"/>
              <w:right w:val="nil"/>
            </w:tcBorders>
            <w:shd w:val="clear" w:color="auto" w:fill="auto"/>
            <w:noWrap/>
            <w:vAlign w:val="center"/>
            <w:hideMark/>
          </w:tcPr>
          <w:p w14:paraId="60EB169E"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08075770</w:t>
            </w:r>
          </w:p>
        </w:tc>
        <w:tc>
          <w:tcPr>
            <w:tcW w:w="708" w:type="dxa"/>
            <w:tcBorders>
              <w:top w:val="nil"/>
              <w:left w:val="nil"/>
              <w:bottom w:val="nil"/>
              <w:right w:val="nil"/>
            </w:tcBorders>
            <w:shd w:val="clear" w:color="auto" w:fill="auto"/>
            <w:noWrap/>
            <w:vAlign w:val="center"/>
            <w:hideMark/>
          </w:tcPr>
          <w:p w14:paraId="60EB169F"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0.71</w:t>
            </w:r>
          </w:p>
        </w:tc>
        <w:tc>
          <w:tcPr>
            <w:tcW w:w="709" w:type="dxa"/>
            <w:tcBorders>
              <w:top w:val="nil"/>
              <w:left w:val="nil"/>
              <w:bottom w:val="nil"/>
              <w:right w:val="nil"/>
            </w:tcBorders>
            <w:shd w:val="clear" w:color="auto" w:fill="auto"/>
            <w:noWrap/>
            <w:vAlign w:val="center"/>
            <w:hideMark/>
          </w:tcPr>
          <w:p w14:paraId="60EB16A0"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0.12</w:t>
            </w:r>
          </w:p>
        </w:tc>
        <w:tc>
          <w:tcPr>
            <w:tcW w:w="567" w:type="dxa"/>
            <w:tcBorders>
              <w:top w:val="nil"/>
              <w:left w:val="nil"/>
              <w:bottom w:val="nil"/>
              <w:right w:val="nil"/>
            </w:tcBorders>
            <w:shd w:val="clear" w:color="auto" w:fill="auto"/>
            <w:noWrap/>
            <w:vAlign w:val="center"/>
            <w:hideMark/>
          </w:tcPr>
          <w:p w14:paraId="60EB16A1"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0.78</w:t>
            </w:r>
          </w:p>
        </w:tc>
        <w:tc>
          <w:tcPr>
            <w:tcW w:w="709" w:type="dxa"/>
            <w:tcBorders>
              <w:top w:val="nil"/>
              <w:left w:val="nil"/>
              <w:bottom w:val="nil"/>
              <w:right w:val="nil"/>
            </w:tcBorders>
            <w:shd w:val="clear" w:color="auto" w:fill="auto"/>
            <w:noWrap/>
            <w:vAlign w:val="center"/>
            <w:hideMark/>
          </w:tcPr>
          <w:p w14:paraId="60EB16A2"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-0.08</w:t>
            </w:r>
          </w:p>
        </w:tc>
        <w:tc>
          <w:tcPr>
            <w:tcW w:w="709" w:type="dxa"/>
            <w:tcBorders>
              <w:top w:val="nil"/>
              <w:left w:val="nil"/>
              <w:bottom w:val="nil"/>
              <w:right w:val="nil"/>
            </w:tcBorders>
            <w:shd w:val="clear" w:color="auto" w:fill="auto"/>
            <w:noWrap/>
            <w:vAlign w:val="center"/>
            <w:hideMark/>
          </w:tcPr>
          <w:p w14:paraId="60EB16A3"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0.19</w:t>
            </w:r>
          </w:p>
        </w:tc>
        <w:tc>
          <w:tcPr>
            <w:tcW w:w="708" w:type="dxa"/>
            <w:tcBorders>
              <w:top w:val="nil"/>
              <w:left w:val="nil"/>
              <w:bottom w:val="nil"/>
              <w:right w:val="nil"/>
            </w:tcBorders>
            <w:shd w:val="clear" w:color="auto" w:fill="auto"/>
            <w:noWrap/>
            <w:vAlign w:val="center"/>
            <w:hideMark/>
          </w:tcPr>
          <w:p w14:paraId="60EB16A4"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0.96</w:t>
            </w:r>
          </w:p>
        </w:tc>
        <w:tc>
          <w:tcPr>
            <w:tcW w:w="851" w:type="dxa"/>
            <w:tcBorders>
              <w:top w:val="nil"/>
              <w:left w:val="nil"/>
              <w:bottom w:val="nil"/>
              <w:right w:val="nil"/>
            </w:tcBorders>
            <w:shd w:val="clear" w:color="auto" w:fill="auto"/>
            <w:noWrap/>
            <w:vAlign w:val="center"/>
            <w:hideMark/>
          </w:tcPr>
          <w:p w14:paraId="60EB16A5"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0.10</w:t>
            </w:r>
          </w:p>
        </w:tc>
        <w:tc>
          <w:tcPr>
            <w:tcW w:w="806" w:type="dxa"/>
            <w:tcBorders>
              <w:top w:val="nil"/>
              <w:left w:val="nil"/>
              <w:bottom w:val="nil"/>
              <w:right w:val="nil"/>
            </w:tcBorders>
            <w:shd w:val="clear" w:color="auto" w:fill="auto"/>
            <w:noWrap/>
            <w:vAlign w:val="center"/>
            <w:hideMark/>
          </w:tcPr>
          <w:p w14:paraId="60EB16A6"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0.03</w:t>
            </w:r>
          </w:p>
        </w:tc>
      </w:tr>
      <w:tr w:rsidR="00644C98" w:rsidRPr="00A93CD2" w14:paraId="60EB16B2" w14:textId="77777777" w:rsidTr="00D37891">
        <w:trPr>
          <w:trHeight w:val="300"/>
          <w:jc w:val="center"/>
        </w:trPr>
        <w:tc>
          <w:tcPr>
            <w:tcW w:w="1680" w:type="dxa"/>
            <w:tcBorders>
              <w:top w:val="nil"/>
              <w:left w:val="nil"/>
              <w:bottom w:val="nil"/>
              <w:right w:val="nil"/>
            </w:tcBorders>
            <w:shd w:val="clear" w:color="auto" w:fill="auto"/>
            <w:noWrap/>
            <w:vAlign w:val="center"/>
            <w:hideMark/>
          </w:tcPr>
          <w:p w14:paraId="60EB16A8"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8075730</w:t>
            </w:r>
          </w:p>
        </w:tc>
        <w:tc>
          <w:tcPr>
            <w:tcW w:w="1676" w:type="dxa"/>
            <w:tcBorders>
              <w:top w:val="nil"/>
              <w:left w:val="nil"/>
              <w:bottom w:val="nil"/>
              <w:right w:val="nil"/>
            </w:tcBorders>
            <w:shd w:val="clear" w:color="auto" w:fill="auto"/>
            <w:noWrap/>
            <w:vAlign w:val="center"/>
            <w:hideMark/>
          </w:tcPr>
          <w:p w14:paraId="60EB16A9"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08074500</w:t>
            </w:r>
          </w:p>
        </w:tc>
        <w:tc>
          <w:tcPr>
            <w:tcW w:w="708" w:type="dxa"/>
            <w:tcBorders>
              <w:top w:val="nil"/>
              <w:left w:val="nil"/>
              <w:bottom w:val="nil"/>
              <w:right w:val="nil"/>
            </w:tcBorders>
            <w:shd w:val="clear" w:color="auto" w:fill="auto"/>
            <w:noWrap/>
            <w:vAlign w:val="center"/>
            <w:hideMark/>
          </w:tcPr>
          <w:p w14:paraId="60EB16AA"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0.62</w:t>
            </w:r>
          </w:p>
        </w:tc>
        <w:tc>
          <w:tcPr>
            <w:tcW w:w="709" w:type="dxa"/>
            <w:tcBorders>
              <w:top w:val="nil"/>
              <w:left w:val="nil"/>
              <w:bottom w:val="nil"/>
              <w:right w:val="nil"/>
            </w:tcBorders>
            <w:shd w:val="clear" w:color="auto" w:fill="auto"/>
            <w:noWrap/>
            <w:vAlign w:val="center"/>
            <w:hideMark/>
          </w:tcPr>
          <w:p w14:paraId="60EB16AB"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0.00</w:t>
            </w:r>
          </w:p>
        </w:tc>
        <w:tc>
          <w:tcPr>
            <w:tcW w:w="567" w:type="dxa"/>
            <w:tcBorders>
              <w:top w:val="nil"/>
              <w:left w:val="nil"/>
              <w:bottom w:val="nil"/>
              <w:right w:val="nil"/>
            </w:tcBorders>
            <w:shd w:val="clear" w:color="auto" w:fill="auto"/>
            <w:noWrap/>
            <w:vAlign w:val="center"/>
            <w:hideMark/>
          </w:tcPr>
          <w:p w14:paraId="60EB16AC"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0.71</w:t>
            </w:r>
          </w:p>
        </w:tc>
        <w:tc>
          <w:tcPr>
            <w:tcW w:w="709" w:type="dxa"/>
            <w:tcBorders>
              <w:top w:val="nil"/>
              <w:left w:val="nil"/>
              <w:bottom w:val="nil"/>
              <w:right w:val="nil"/>
            </w:tcBorders>
            <w:shd w:val="clear" w:color="auto" w:fill="auto"/>
            <w:noWrap/>
            <w:vAlign w:val="center"/>
            <w:hideMark/>
          </w:tcPr>
          <w:p w14:paraId="60EB16AD"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0.04</w:t>
            </w:r>
          </w:p>
        </w:tc>
        <w:tc>
          <w:tcPr>
            <w:tcW w:w="709" w:type="dxa"/>
            <w:tcBorders>
              <w:top w:val="nil"/>
              <w:left w:val="nil"/>
              <w:bottom w:val="nil"/>
              <w:right w:val="nil"/>
            </w:tcBorders>
            <w:shd w:val="clear" w:color="auto" w:fill="auto"/>
            <w:noWrap/>
            <w:vAlign w:val="center"/>
            <w:hideMark/>
          </w:tcPr>
          <w:p w14:paraId="60EB16AE"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0.15</w:t>
            </w:r>
          </w:p>
        </w:tc>
        <w:tc>
          <w:tcPr>
            <w:tcW w:w="708" w:type="dxa"/>
            <w:tcBorders>
              <w:top w:val="nil"/>
              <w:left w:val="nil"/>
              <w:bottom w:val="nil"/>
              <w:right w:val="nil"/>
            </w:tcBorders>
            <w:shd w:val="clear" w:color="auto" w:fill="auto"/>
            <w:noWrap/>
            <w:vAlign w:val="center"/>
            <w:hideMark/>
          </w:tcPr>
          <w:p w14:paraId="60EB16AF"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0.85</w:t>
            </w:r>
          </w:p>
        </w:tc>
        <w:tc>
          <w:tcPr>
            <w:tcW w:w="851" w:type="dxa"/>
            <w:tcBorders>
              <w:top w:val="nil"/>
              <w:left w:val="nil"/>
              <w:bottom w:val="nil"/>
              <w:right w:val="nil"/>
            </w:tcBorders>
            <w:shd w:val="clear" w:color="auto" w:fill="auto"/>
            <w:noWrap/>
            <w:vAlign w:val="center"/>
            <w:hideMark/>
          </w:tcPr>
          <w:p w14:paraId="60EB16B0"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0.16</w:t>
            </w:r>
          </w:p>
        </w:tc>
        <w:tc>
          <w:tcPr>
            <w:tcW w:w="806" w:type="dxa"/>
            <w:tcBorders>
              <w:top w:val="nil"/>
              <w:left w:val="nil"/>
              <w:bottom w:val="nil"/>
              <w:right w:val="nil"/>
            </w:tcBorders>
            <w:shd w:val="clear" w:color="auto" w:fill="auto"/>
            <w:noWrap/>
            <w:vAlign w:val="center"/>
            <w:hideMark/>
          </w:tcPr>
          <w:p w14:paraId="60EB16B1"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0.07</w:t>
            </w:r>
          </w:p>
        </w:tc>
      </w:tr>
      <w:tr w:rsidR="00644C98" w:rsidRPr="00A93CD2" w14:paraId="60EB16BD" w14:textId="77777777" w:rsidTr="00D37891">
        <w:trPr>
          <w:trHeight w:val="300"/>
          <w:jc w:val="center"/>
        </w:trPr>
        <w:tc>
          <w:tcPr>
            <w:tcW w:w="1680" w:type="dxa"/>
            <w:tcBorders>
              <w:top w:val="nil"/>
              <w:left w:val="nil"/>
              <w:right w:val="nil"/>
            </w:tcBorders>
            <w:shd w:val="clear" w:color="auto" w:fill="auto"/>
            <w:noWrap/>
            <w:vAlign w:val="center"/>
            <w:hideMark/>
          </w:tcPr>
          <w:p w14:paraId="60EB16B3"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8075730</w:t>
            </w:r>
          </w:p>
        </w:tc>
        <w:tc>
          <w:tcPr>
            <w:tcW w:w="1676" w:type="dxa"/>
            <w:tcBorders>
              <w:top w:val="nil"/>
              <w:left w:val="nil"/>
              <w:right w:val="nil"/>
            </w:tcBorders>
            <w:shd w:val="clear" w:color="auto" w:fill="auto"/>
            <w:noWrap/>
            <w:vAlign w:val="center"/>
            <w:hideMark/>
          </w:tcPr>
          <w:p w14:paraId="60EB16B4"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08075770</w:t>
            </w:r>
          </w:p>
        </w:tc>
        <w:tc>
          <w:tcPr>
            <w:tcW w:w="708" w:type="dxa"/>
            <w:tcBorders>
              <w:top w:val="nil"/>
              <w:left w:val="nil"/>
              <w:right w:val="nil"/>
            </w:tcBorders>
            <w:shd w:val="clear" w:color="auto" w:fill="auto"/>
            <w:noWrap/>
            <w:vAlign w:val="center"/>
            <w:hideMark/>
          </w:tcPr>
          <w:p w14:paraId="60EB16B5"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0.61</w:t>
            </w:r>
          </w:p>
        </w:tc>
        <w:tc>
          <w:tcPr>
            <w:tcW w:w="709" w:type="dxa"/>
            <w:tcBorders>
              <w:top w:val="nil"/>
              <w:left w:val="nil"/>
              <w:right w:val="nil"/>
            </w:tcBorders>
            <w:shd w:val="clear" w:color="auto" w:fill="auto"/>
            <w:noWrap/>
            <w:vAlign w:val="center"/>
            <w:hideMark/>
          </w:tcPr>
          <w:p w14:paraId="60EB16B6"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0.02</w:t>
            </w:r>
          </w:p>
        </w:tc>
        <w:tc>
          <w:tcPr>
            <w:tcW w:w="567" w:type="dxa"/>
            <w:tcBorders>
              <w:top w:val="nil"/>
              <w:left w:val="nil"/>
              <w:right w:val="nil"/>
            </w:tcBorders>
            <w:shd w:val="clear" w:color="auto" w:fill="auto"/>
            <w:noWrap/>
            <w:vAlign w:val="center"/>
            <w:hideMark/>
          </w:tcPr>
          <w:p w14:paraId="60EB16B7"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0.73</w:t>
            </w:r>
          </w:p>
        </w:tc>
        <w:tc>
          <w:tcPr>
            <w:tcW w:w="709" w:type="dxa"/>
            <w:tcBorders>
              <w:top w:val="nil"/>
              <w:left w:val="nil"/>
              <w:right w:val="nil"/>
            </w:tcBorders>
            <w:shd w:val="clear" w:color="auto" w:fill="auto"/>
            <w:noWrap/>
            <w:vAlign w:val="center"/>
            <w:hideMark/>
          </w:tcPr>
          <w:p w14:paraId="60EB16B8"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0.08</w:t>
            </w:r>
          </w:p>
        </w:tc>
        <w:tc>
          <w:tcPr>
            <w:tcW w:w="709" w:type="dxa"/>
            <w:tcBorders>
              <w:top w:val="nil"/>
              <w:left w:val="nil"/>
              <w:right w:val="nil"/>
            </w:tcBorders>
            <w:shd w:val="clear" w:color="auto" w:fill="auto"/>
            <w:noWrap/>
            <w:vAlign w:val="center"/>
            <w:hideMark/>
          </w:tcPr>
          <w:p w14:paraId="60EB16B9"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0.12</w:t>
            </w:r>
          </w:p>
        </w:tc>
        <w:tc>
          <w:tcPr>
            <w:tcW w:w="708" w:type="dxa"/>
            <w:tcBorders>
              <w:top w:val="nil"/>
              <w:left w:val="nil"/>
              <w:right w:val="nil"/>
            </w:tcBorders>
            <w:shd w:val="clear" w:color="auto" w:fill="auto"/>
            <w:noWrap/>
            <w:vAlign w:val="center"/>
            <w:hideMark/>
          </w:tcPr>
          <w:p w14:paraId="60EB16BA"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0.83</w:t>
            </w:r>
          </w:p>
        </w:tc>
        <w:tc>
          <w:tcPr>
            <w:tcW w:w="851" w:type="dxa"/>
            <w:tcBorders>
              <w:top w:val="nil"/>
              <w:left w:val="nil"/>
              <w:right w:val="nil"/>
            </w:tcBorders>
            <w:shd w:val="clear" w:color="auto" w:fill="auto"/>
            <w:noWrap/>
            <w:vAlign w:val="center"/>
            <w:hideMark/>
          </w:tcPr>
          <w:p w14:paraId="60EB16BB"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0.17</w:t>
            </w:r>
          </w:p>
        </w:tc>
        <w:tc>
          <w:tcPr>
            <w:tcW w:w="806" w:type="dxa"/>
            <w:tcBorders>
              <w:top w:val="nil"/>
              <w:left w:val="nil"/>
              <w:right w:val="nil"/>
            </w:tcBorders>
            <w:shd w:val="clear" w:color="auto" w:fill="auto"/>
            <w:noWrap/>
            <w:vAlign w:val="center"/>
            <w:hideMark/>
          </w:tcPr>
          <w:p w14:paraId="60EB16BC"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0.08</w:t>
            </w:r>
          </w:p>
        </w:tc>
      </w:tr>
      <w:tr w:rsidR="00644C98" w:rsidRPr="00A93CD2" w14:paraId="60EB16C8" w14:textId="77777777" w:rsidTr="00D37891">
        <w:trPr>
          <w:trHeight w:val="300"/>
          <w:jc w:val="center"/>
        </w:trPr>
        <w:tc>
          <w:tcPr>
            <w:tcW w:w="1680" w:type="dxa"/>
            <w:tcBorders>
              <w:top w:val="nil"/>
              <w:left w:val="nil"/>
              <w:bottom w:val="single" w:sz="4" w:space="0" w:color="auto"/>
              <w:right w:val="nil"/>
            </w:tcBorders>
            <w:shd w:val="clear" w:color="auto" w:fill="auto"/>
            <w:noWrap/>
            <w:vAlign w:val="center"/>
            <w:hideMark/>
          </w:tcPr>
          <w:p w14:paraId="60EB16BE"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8074500</w:t>
            </w:r>
          </w:p>
        </w:tc>
        <w:tc>
          <w:tcPr>
            <w:tcW w:w="1676" w:type="dxa"/>
            <w:tcBorders>
              <w:top w:val="nil"/>
              <w:left w:val="nil"/>
              <w:bottom w:val="single" w:sz="4" w:space="0" w:color="auto"/>
              <w:right w:val="nil"/>
            </w:tcBorders>
            <w:shd w:val="clear" w:color="auto" w:fill="auto"/>
            <w:noWrap/>
            <w:vAlign w:val="center"/>
            <w:hideMark/>
          </w:tcPr>
          <w:p w14:paraId="60EB16BF"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Station 08075770</w:t>
            </w:r>
          </w:p>
        </w:tc>
        <w:tc>
          <w:tcPr>
            <w:tcW w:w="708" w:type="dxa"/>
            <w:tcBorders>
              <w:top w:val="nil"/>
              <w:left w:val="nil"/>
              <w:bottom w:val="single" w:sz="4" w:space="0" w:color="auto"/>
              <w:right w:val="nil"/>
            </w:tcBorders>
            <w:shd w:val="clear" w:color="auto" w:fill="auto"/>
            <w:noWrap/>
            <w:vAlign w:val="center"/>
            <w:hideMark/>
          </w:tcPr>
          <w:p w14:paraId="60EB16C0"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0.72</w:t>
            </w:r>
          </w:p>
        </w:tc>
        <w:tc>
          <w:tcPr>
            <w:tcW w:w="709" w:type="dxa"/>
            <w:tcBorders>
              <w:top w:val="nil"/>
              <w:left w:val="nil"/>
              <w:bottom w:val="single" w:sz="4" w:space="0" w:color="auto"/>
              <w:right w:val="nil"/>
            </w:tcBorders>
            <w:shd w:val="clear" w:color="auto" w:fill="auto"/>
            <w:noWrap/>
            <w:vAlign w:val="center"/>
            <w:hideMark/>
          </w:tcPr>
          <w:p w14:paraId="60EB16C1"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0.02</w:t>
            </w:r>
          </w:p>
        </w:tc>
        <w:tc>
          <w:tcPr>
            <w:tcW w:w="567" w:type="dxa"/>
            <w:tcBorders>
              <w:top w:val="nil"/>
              <w:left w:val="nil"/>
              <w:bottom w:val="single" w:sz="4" w:space="0" w:color="auto"/>
              <w:right w:val="nil"/>
            </w:tcBorders>
            <w:shd w:val="clear" w:color="auto" w:fill="auto"/>
            <w:noWrap/>
            <w:vAlign w:val="center"/>
            <w:hideMark/>
          </w:tcPr>
          <w:p w14:paraId="60EB16C2"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0.81</w:t>
            </w:r>
          </w:p>
        </w:tc>
        <w:tc>
          <w:tcPr>
            <w:tcW w:w="709" w:type="dxa"/>
            <w:tcBorders>
              <w:top w:val="nil"/>
              <w:left w:val="nil"/>
              <w:bottom w:val="single" w:sz="4" w:space="0" w:color="auto"/>
              <w:right w:val="nil"/>
            </w:tcBorders>
            <w:shd w:val="clear" w:color="auto" w:fill="auto"/>
            <w:noWrap/>
            <w:vAlign w:val="center"/>
            <w:hideMark/>
          </w:tcPr>
          <w:p w14:paraId="60EB16C3"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-0.06</w:t>
            </w:r>
          </w:p>
        </w:tc>
        <w:tc>
          <w:tcPr>
            <w:tcW w:w="709" w:type="dxa"/>
            <w:tcBorders>
              <w:top w:val="nil"/>
              <w:left w:val="nil"/>
              <w:bottom w:val="single" w:sz="4" w:space="0" w:color="auto"/>
              <w:right w:val="nil"/>
            </w:tcBorders>
            <w:shd w:val="clear" w:color="auto" w:fill="auto"/>
            <w:noWrap/>
            <w:vAlign w:val="center"/>
            <w:hideMark/>
          </w:tcPr>
          <w:p w14:paraId="60EB16C4"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0.27</w:t>
            </w:r>
          </w:p>
        </w:tc>
        <w:tc>
          <w:tcPr>
            <w:tcW w:w="708" w:type="dxa"/>
            <w:tcBorders>
              <w:top w:val="nil"/>
              <w:left w:val="nil"/>
              <w:bottom w:val="single" w:sz="4" w:space="0" w:color="auto"/>
              <w:right w:val="nil"/>
            </w:tcBorders>
            <w:shd w:val="clear" w:color="auto" w:fill="auto"/>
            <w:noWrap/>
            <w:vAlign w:val="center"/>
            <w:hideMark/>
          </w:tcPr>
          <w:p w14:paraId="60EB16C5"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1.00</w:t>
            </w:r>
          </w:p>
        </w:tc>
        <w:tc>
          <w:tcPr>
            <w:tcW w:w="851" w:type="dxa"/>
            <w:tcBorders>
              <w:top w:val="nil"/>
              <w:left w:val="nil"/>
              <w:bottom w:val="single" w:sz="4" w:space="0" w:color="auto"/>
              <w:right w:val="nil"/>
            </w:tcBorders>
            <w:shd w:val="clear" w:color="auto" w:fill="auto"/>
            <w:noWrap/>
            <w:vAlign w:val="center"/>
            <w:hideMark/>
          </w:tcPr>
          <w:p w14:paraId="60EB16C6" w14:textId="77777777" w:rsidR="00644C98" w:rsidRPr="00A93CD2" w:rsidRDefault="00644C98" w:rsidP="00936D87">
            <w:pPr>
              <w:pStyle w:val="NoSpacing"/>
              <w:jc w:val="center"/>
              <w:rPr>
                <w:rFonts w:ascii="Palatino Linotype" w:eastAsia="Times New Roman" w:hAnsi="Palatino Linotype" w:cstheme="minorHAnsi"/>
                <w:sz w:val="20"/>
                <w:szCs w:val="20"/>
                <w:lang w:eastAsia="nl-NL"/>
              </w:rPr>
            </w:pPr>
            <w:r w:rsidRPr="00A93CD2">
              <w:rPr>
                <w:rFonts w:ascii="Palatino Linotype" w:eastAsia="Times New Roman" w:hAnsi="Palatino Linotype" w:cstheme="minorHAnsi"/>
                <w:sz w:val="20"/>
                <w:szCs w:val="20"/>
                <w:lang w:eastAsia="nl-NL"/>
              </w:rPr>
              <w:t>0.13</w:t>
            </w:r>
          </w:p>
        </w:tc>
        <w:tc>
          <w:tcPr>
            <w:tcW w:w="806" w:type="dxa"/>
            <w:tcBorders>
              <w:top w:val="nil"/>
              <w:left w:val="nil"/>
              <w:bottom w:val="single" w:sz="4" w:space="0" w:color="auto"/>
              <w:right w:val="nil"/>
            </w:tcBorders>
            <w:shd w:val="clear" w:color="auto" w:fill="auto"/>
            <w:noWrap/>
            <w:vAlign w:val="center"/>
            <w:hideMark/>
          </w:tcPr>
          <w:p w14:paraId="60EB16C7" w14:textId="77777777" w:rsidR="00644C98" w:rsidRPr="00A93CD2" w:rsidRDefault="00644C98" w:rsidP="00936D87">
            <w:pPr>
              <w:pStyle w:val="NoSpacing"/>
              <w:jc w:val="center"/>
              <w:rPr>
                <w:rFonts w:ascii="Palatino Linotype" w:eastAsia="Times New Roman" w:hAnsi="Palatino Linotype" w:cstheme="minorHAnsi"/>
                <w:b/>
                <w:sz w:val="20"/>
                <w:szCs w:val="20"/>
                <w:lang w:eastAsia="nl-NL"/>
              </w:rPr>
            </w:pPr>
            <w:r w:rsidRPr="00A93CD2">
              <w:rPr>
                <w:rFonts w:ascii="Palatino Linotype" w:eastAsia="Times New Roman" w:hAnsi="Palatino Linotype" w:cstheme="minorHAnsi"/>
                <w:b/>
                <w:sz w:val="20"/>
                <w:szCs w:val="20"/>
                <w:lang w:eastAsia="nl-NL"/>
              </w:rPr>
              <w:t>0.04</w:t>
            </w:r>
          </w:p>
        </w:tc>
      </w:tr>
    </w:tbl>
    <w:p w14:paraId="60EB16C9" w14:textId="46F4144A" w:rsidR="00D517BC" w:rsidRDefault="00D517BC" w:rsidP="00936D87">
      <w:pPr>
        <w:jc w:val="center"/>
        <w:rPr>
          <w:rFonts w:ascii="Palatino Linotype" w:hAnsi="Palatino Linotype"/>
          <w:sz w:val="20"/>
          <w:szCs w:val="20"/>
          <w:lang w:val="en-CA"/>
        </w:rPr>
      </w:pPr>
    </w:p>
    <w:p w14:paraId="1CBB3FAA" w14:textId="77777777" w:rsidR="00244972" w:rsidRDefault="00244972" w:rsidP="00936D87">
      <w:pPr>
        <w:jc w:val="center"/>
        <w:rPr>
          <w:rFonts w:ascii="Palatino Linotype" w:hAnsi="Palatino Linotype"/>
          <w:sz w:val="20"/>
          <w:szCs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87688E" w:rsidRPr="00A93CD2" w14:paraId="60EB16CD" w14:textId="77777777" w:rsidTr="0087688E">
        <w:tc>
          <w:tcPr>
            <w:tcW w:w="9212" w:type="dxa"/>
          </w:tcPr>
          <w:p w14:paraId="60EB16CC" w14:textId="77777777" w:rsidR="0087688E" w:rsidRPr="00A93CD2" w:rsidRDefault="0087688E" w:rsidP="00936D87">
            <w:pPr>
              <w:jc w:val="center"/>
              <w:rPr>
                <w:rFonts w:ascii="Palatino Linotype" w:hAnsi="Palatino Linotype"/>
                <w:sz w:val="20"/>
                <w:szCs w:val="20"/>
                <w:lang w:val="en-CA"/>
              </w:rPr>
            </w:pPr>
            <w:r w:rsidRPr="00A93CD2">
              <w:rPr>
                <w:rFonts w:ascii="Palatino Linotype" w:hAnsi="Palatino Linotype"/>
                <w:noProof/>
                <w:sz w:val="20"/>
                <w:szCs w:val="20"/>
                <w:lang w:eastAsia="nl-NL"/>
              </w:rPr>
              <w:drawing>
                <wp:inline distT="0" distB="0" distL="0" distR="0" wp14:anchorId="60EB1714" wp14:editId="60EB1715">
                  <wp:extent cx="3422114" cy="1980000"/>
                  <wp:effectExtent l="0" t="0" r="698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ge_08075730.png"/>
                          <pic:cNvPicPr/>
                        </pic:nvPicPr>
                        <pic:blipFill rotWithShape="1">
                          <a:blip r:embed="rId15">
                            <a:extLst>
                              <a:ext uri="{28A0092B-C50C-407E-A947-70E740481C1C}">
                                <a14:useLocalDpi xmlns:a14="http://schemas.microsoft.com/office/drawing/2010/main" val="0"/>
                              </a:ext>
                            </a:extLst>
                          </a:blip>
                          <a:srcRect l="3924"/>
                          <a:stretch/>
                        </pic:blipFill>
                        <pic:spPr bwMode="auto">
                          <a:xfrm>
                            <a:off x="0" y="0"/>
                            <a:ext cx="3422114" cy="1980000"/>
                          </a:xfrm>
                          <a:prstGeom prst="rect">
                            <a:avLst/>
                          </a:prstGeom>
                          <a:ln>
                            <a:noFill/>
                          </a:ln>
                          <a:extLst>
                            <a:ext uri="{53640926-AAD7-44D8-BBD7-CCE9431645EC}">
                              <a14:shadowObscured xmlns:a14="http://schemas.microsoft.com/office/drawing/2010/main"/>
                            </a:ext>
                          </a:extLst>
                        </pic:spPr>
                      </pic:pic>
                    </a:graphicData>
                  </a:graphic>
                </wp:inline>
              </w:drawing>
            </w:r>
          </w:p>
        </w:tc>
      </w:tr>
      <w:tr w:rsidR="0087688E" w:rsidRPr="00A93CD2" w14:paraId="60EB16D0" w14:textId="77777777" w:rsidTr="0087688E">
        <w:tc>
          <w:tcPr>
            <w:tcW w:w="9212" w:type="dxa"/>
          </w:tcPr>
          <w:p w14:paraId="60EB16CE" w14:textId="77777777" w:rsidR="0087688E" w:rsidRPr="00A93CD2" w:rsidRDefault="0087688E" w:rsidP="00936D87">
            <w:pPr>
              <w:jc w:val="center"/>
              <w:rPr>
                <w:rFonts w:ascii="Palatino Linotype" w:hAnsi="Palatino Linotype"/>
                <w:b/>
                <w:noProof/>
                <w:sz w:val="20"/>
                <w:szCs w:val="20"/>
                <w:lang w:eastAsia="nl-NL"/>
              </w:rPr>
            </w:pPr>
            <w:r w:rsidRPr="00A93CD2">
              <w:rPr>
                <w:rFonts w:ascii="Palatino Linotype" w:hAnsi="Palatino Linotype"/>
                <w:b/>
                <w:noProof/>
                <w:sz w:val="20"/>
                <w:szCs w:val="20"/>
                <w:lang w:eastAsia="nl-NL"/>
              </w:rPr>
              <w:t>(a)</w:t>
            </w:r>
          </w:p>
          <w:p w14:paraId="60EB16CF" w14:textId="77777777" w:rsidR="0087688E" w:rsidRPr="00A93CD2" w:rsidRDefault="0087688E" w:rsidP="00936D87">
            <w:pPr>
              <w:jc w:val="center"/>
              <w:rPr>
                <w:rFonts w:ascii="Palatino Linotype" w:hAnsi="Palatino Linotype"/>
                <w:sz w:val="20"/>
                <w:szCs w:val="20"/>
                <w:lang w:val="en-CA"/>
              </w:rPr>
            </w:pPr>
          </w:p>
        </w:tc>
      </w:tr>
      <w:tr w:rsidR="0087688E" w:rsidRPr="00A93CD2" w14:paraId="60EB16D2" w14:textId="77777777" w:rsidTr="0087688E">
        <w:tc>
          <w:tcPr>
            <w:tcW w:w="9212" w:type="dxa"/>
          </w:tcPr>
          <w:p w14:paraId="60EB16D1" w14:textId="77777777" w:rsidR="0087688E" w:rsidRPr="00A93CD2" w:rsidRDefault="0087688E" w:rsidP="00936D87">
            <w:pPr>
              <w:jc w:val="center"/>
              <w:rPr>
                <w:rFonts w:ascii="Palatino Linotype" w:hAnsi="Palatino Linotype"/>
                <w:sz w:val="20"/>
                <w:szCs w:val="20"/>
                <w:lang w:val="en-CA"/>
              </w:rPr>
            </w:pPr>
            <w:r w:rsidRPr="00A93CD2">
              <w:rPr>
                <w:rFonts w:ascii="Palatino Linotype" w:hAnsi="Palatino Linotype"/>
                <w:noProof/>
                <w:sz w:val="20"/>
                <w:szCs w:val="20"/>
                <w:lang w:eastAsia="nl-NL"/>
              </w:rPr>
              <w:drawing>
                <wp:inline distT="0" distB="0" distL="0" distR="0" wp14:anchorId="60EB1716" wp14:editId="60EB1717">
                  <wp:extent cx="3561879" cy="1980000"/>
                  <wp:effectExtent l="0" t="0" r="635"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75000_08075770.png"/>
                          <pic:cNvPicPr/>
                        </pic:nvPicPr>
                        <pic:blipFill>
                          <a:blip r:embed="rId16">
                            <a:extLst>
                              <a:ext uri="{28A0092B-C50C-407E-A947-70E740481C1C}">
                                <a14:useLocalDpi xmlns:a14="http://schemas.microsoft.com/office/drawing/2010/main" val="0"/>
                              </a:ext>
                            </a:extLst>
                          </a:blip>
                          <a:stretch>
                            <a:fillRect/>
                          </a:stretch>
                        </pic:blipFill>
                        <pic:spPr>
                          <a:xfrm>
                            <a:off x="0" y="0"/>
                            <a:ext cx="3561879" cy="1980000"/>
                          </a:xfrm>
                          <a:prstGeom prst="rect">
                            <a:avLst/>
                          </a:prstGeom>
                        </pic:spPr>
                      </pic:pic>
                    </a:graphicData>
                  </a:graphic>
                </wp:inline>
              </w:drawing>
            </w:r>
          </w:p>
        </w:tc>
      </w:tr>
      <w:tr w:rsidR="0087688E" w:rsidRPr="00A93CD2" w14:paraId="60EB16D4" w14:textId="77777777" w:rsidTr="0087688E">
        <w:tc>
          <w:tcPr>
            <w:tcW w:w="9212" w:type="dxa"/>
          </w:tcPr>
          <w:p w14:paraId="60EB16D3" w14:textId="77777777" w:rsidR="0087688E" w:rsidRPr="00A93CD2" w:rsidRDefault="0087688E" w:rsidP="00936D87">
            <w:pPr>
              <w:jc w:val="center"/>
              <w:rPr>
                <w:rFonts w:ascii="Palatino Linotype" w:hAnsi="Palatino Linotype"/>
                <w:b/>
                <w:sz w:val="20"/>
                <w:szCs w:val="20"/>
                <w:lang w:val="en-CA"/>
              </w:rPr>
            </w:pPr>
            <w:r w:rsidRPr="00A93CD2">
              <w:rPr>
                <w:rFonts w:ascii="Palatino Linotype" w:hAnsi="Palatino Linotype"/>
                <w:b/>
                <w:noProof/>
                <w:sz w:val="20"/>
                <w:szCs w:val="20"/>
                <w:lang w:eastAsia="nl-NL"/>
              </w:rPr>
              <w:t>(b)</w:t>
            </w:r>
          </w:p>
        </w:tc>
      </w:tr>
    </w:tbl>
    <w:p w14:paraId="60EB16D6" w14:textId="524C4979" w:rsidR="00244972" w:rsidRPr="00A521E5" w:rsidRDefault="0087688E" w:rsidP="00A521E5">
      <w:pPr>
        <w:pStyle w:val="MDPI51figurecaption"/>
        <w:rPr>
          <w:lang w:val="en-CA"/>
        </w:rPr>
      </w:pPr>
      <w:r w:rsidRPr="00A521E5">
        <w:rPr>
          <w:lang w:val="en-CA"/>
        </w:rPr>
        <w:t xml:space="preserve">Figure </w:t>
      </w:r>
      <w:r w:rsidR="00F26203">
        <w:rPr>
          <w:lang w:val="en-CA"/>
        </w:rPr>
        <w:t>S</w:t>
      </w:r>
      <w:r w:rsidR="00BD0655" w:rsidRPr="00A521E5">
        <w:rPr>
          <w:lang w:val="en-CA"/>
        </w:rPr>
        <w:t>6</w:t>
      </w:r>
      <w:r w:rsidRPr="00A521E5">
        <w:rPr>
          <w:lang w:val="en-CA"/>
        </w:rPr>
        <w:t>: Selected examples of semi-correlation for</w:t>
      </w:r>
      <w:r w:rsidR="004B7746" w:rsidRPr="00A521E5">
        <w:rPr>
          <w:lang w:val="en-CA"/>
        </w:rPr>
        <w:t xml:space="preserve"> </w:t>
      </w:r>
      <w:r w:rsidRPr="00A521E5">
        <w:rPr>
          <w:i/>
          <w:lang w:val="en-CA"/>
        </w:rPr>
        <w:t>discharge – surge</w:t>
      </w:r>
      <w:r w:rsidRPr="00A521E5">
        <w:rPr>
          <w:lang w:val="en-CA"/>
        </w:rPr>
        <w:t xml:space="preserve"> (</w:t>
      </w:r>
      <w:r w:rsidRPr="00A521E5">
        <w:rPr>
          <w:b/>
          <w:lang w:val="en-CA"/>
        </w:rPr>
        <w:t>a</w:t>
      </w:r>
      <w:r w:rsidRPr="00A521E5">
        <w:rPr>
          <w:lang w:val="en-CA"/>
        </w:rPr>
        <w:t>)</w:t>
      </w:r>
      <w:r w:rsidR="00A521E5">
        <w:rPr>
          <w:lang w:val="en-CA"/>
        </w:rPr>
        <w:t xml:space="preserve"> and</w:t>
      </w:r>
      <w:r w:rsidRPr="00A521E5">
        <w:rPr>
          <w:lang w:val="en-CA"/>
        </w:rPr>
        <w:t xml:space="preserve"> </w:t>
      </w:r>
      <w:r w:rsidRPr="00A521E5">
        <w:rPr>
          <w:i/>
          <w:lang w:val="en-CA"/>
        </w:rPr>
        <w:t xml:space="preserve">discharge - discharge </w:t>
      </w:r>
      <w:r w:rsidRPr="00A521E5">
        <w:rPr>
          <w:lang w:val="en-CA"/>
        </w:rPr>
        <w:t>(</w:t>
      </w:r>
      <w:r w:rsidRPr="00A521E5">
        <w:rPr>
          <w:b/>
          <w:lang w:val="en-CA"/>
        </w:rPr>
        <w:t>b</w:t>
      </w:r>
      <w:r w:rsidRPr="00A521E5">
        <w:rPr>
          <w:lang w:val="en-CA"/>
        </w:rPr>
        <w:t>) pair variables</w:t>
      </w:r>
    </w:p>
    <w:p w14:paraId="7ABB9CC1" w14:textId="77777777" w:rsidR="00244972" w:rsidRDefault="00244972">
      <w:pPr>
        <w:rPr>
          <w:rFonts w:ascii="Palatino Linotype" w:hAnsi="Palatino Linotype"/>
          <w:i/>
          <w:sz w:val="20"/>
          <w:szCs w:val="20"/>
          <w:lang w:val="en-CA"/>
        </w:rPr>
      </w:pPr>
      <w:r>
        <w:rPr>
          <w:rFonts w:ascii="Palatino Linotype" w:hAnsi="Palatino Linotype"/>
          <w:i/>
          <w:sz w:val="20"/>
          <w:szCs w:val="20"/>
          <w:lang w:val="en-CA"/>
        </w:rPr>
        <w:br w:type="page"/>
      </w:r>
    </w:p>
    <w:p w14:paraId="60EB16D7" w14:textId="13E38FFE" w:rsidR="00E33023" w:rsidRPr="00A93CD2" w:rsidRDefault="00F26203" w:rsidP="00F26203">
      <w:pPr>
        <w:pStyle w:val="Heading3"/>
        <w:ind w:left="360"/>
        <w:rPr>
          <w:rFonts w:ascii="Palatino Linotype" w:hAnsi="Palatino Linotype"/>
          <w:sz w:val="20"/>
          <w:szCs w:val="20"/>
          <w:lang w:val="en-CA"/>
        </w:rPr>
      </w:pPr>
      <w:r>
        <w:rPr>
          <w:rFonts w:ascii="Palatino Linotype" w:hAnsi="Palatino Linotype"/>
          <w:sz w:val="20"/>
          <w:szCs w:val="20"/>
          <w:lang w:val="en-CA"/>
        </w:rPr>
        <w:lastRenderedPageBreak/>
        <w:t xml:space="preserve">S5.3. </w:t>
      </w:r>
      <w:r w:rsidR="00FF6162" w:rsidRPr="00A93CD2">
        <w:rPr>
          <w:rFonts w:ascii="Palatino Linotype" w:hAnsi="Palatino Linotype"/>
          <w:sz w:val="20"/>
          <w:szCs w:val="20"/>
          <w:lang w:val="en-CA"/>
        </w:rPr>
        <w:t xml:space="preserve">Statistical </w:t>
      </w:r>
      <w:r w:rsidR="00E33023" w:rsidRPr="00A93CD2">
        <w:rPr>
          <w:rFonts w:ascii="Palatino Linotype" w:hAnsi="Palatino Linotype"/>
          <w:sz w:val="20"/>
          <w:szCs w:val="20"/>
          <w:lang w:val="en-CA"/>
        </w:rPr>
        <w:t xml:space="preserve">Validation of the </w:t>
      </w:r>
      <w:r w:rsidR="001B59D8" w:rsidRPr="00A93CD2">
        <w:rPr>
          <w:rFonts w:ascii="Palatino Linotype" w:hAnsi="Palatino Linotype"/>
          <w:sz w:val="20"/>
          <w:szCs w:val="20"/>
          <w:lang w:val="en-CA"/>
        </w:rPr>
        <w:t xml:space="preserve">BN </w:t>
      </w:r>
      <w:r w:rsidR="00E33023" w:rsidRPr="00A93CD2">
        <w:rPr>
          <w:rFonts w:ascii="Palatino Linotype" w:hAnsi="Palatino Linotype"/>
          <w:sz w:val="20"/>
          <w:szCs w:val="20"/>
          <w:lang w:val="en-CA"/>
        </w:rPr>
        <w:t>Network</w:t>
      </w:r>
    </w:p>
    <w:p w14:paraId="60EB16D8" w14:textId="7F0A028F" w:rsidR="00F26413" w:rsidRPr="00A93CD2" w:rsidRDefault="003954BA" w:rsidP="001B59D8">
      <w:pPr>
        <w:jc w:val="both"/>
        <w:rPr>
          <w:rFonts w:ascii="Palatino Linotype" w:hAnsi="Palatino Linotype"/>
          <w:sz w:val="20"/>
          <w:szCs w:val="20"/>
          <w:lang w:val="en-CA"/>
        </w:rPr>
      </w:pPr>
      <w:r w:rsidRPr="00A93CD2">
        <w:rPr>
          <w:rFonts w:ascii="Palatino Linotype" w:hAnsi="Palatino Linotype"/>
          <w:sz w:val="20"/>
          <w:szCs w:val="20"/>
          <w:lang w:val="en-CA"/>
        </w:rPr>
        <w:t xml:space="preserve">The </w:t>
      </w:r>
      <w:r w:rsidR="00FF6162" w:rsidRPr="00A93CD2">
        <w:rPr>
          <w:rFonts w:ascii="Palatino Linotype" w:hAnsi="Palatino Linotype"/>
          <w:sz w:val="20"/>
          <w:szCs w:val="20"/>
          <w:lang w:val="en-CA"/>
        </w:rPr>
        <w:t xml:space="preserve">statistical </w:t>
      </w:r>
      <w:r w:rsidRPr="00A93CD2">
        <w:rPr>
          <w:rFonts w:ascii="Palatino Linotype" w:hAnsi="Palatino Linotype"/>
          <w:sz w:val="20"/>
          <w:szCs w:val="20"/>
          <w:lang w:val="en-CA"/>
        </w:rPr>
        <w:t>validation of the selected graphical structure is tested</w:t>
      </w:r>
      <w:r w:rsidR="00CF7A8A" w:rsidRPr="00A93CD2">
        <w:rPr>
          <w:rFonts w:ascii="Palatino Linotype" w:hAnsi="Palatino Linotype"/>
          <w:sz w:val="20"/>
          <w:szCs w:val="20"/>
          <w:lang w:val="en-CA"/>
        </w:rPr>
        <w:t xml:space="preserve"> following the method developed in </w:t>
      </w:r>
      <w:proofErr w:type="spellStart"/>
      <w:r w:rsidR="00CF7A8A" w:rsidRPr="00A93CD2">
        <w:rPr>
          <w:rFonts w:ascii="Palatino Linotype" w:hAnsi="Palatino Linotype"/>
          <w:sz w:val="20"/>
          <w:szCs w:val="20"/>
          <w:lang w:val="en-CA"/>
        </w:rPr>
        <w:t>Hanea</w:t>
      </w:r>
      <w:proofErr w:type="spellEnd"/>
      <w:r w:rsidR="00CF7A8A" w:rsidRPr="00A93CD2">
        <w:rPr>
          <w:rFonts w:ascii="Palatino Linotype" w:hAnsi="Palatino Linotype"/>
          <w:sz w:val="20"/>
          <w:szCs w:val="20"/>
          <w:lang w:val="en-CA"/>
        </w:rPr>
        <w:t xml:space="preserve"> et al. </w:t>
      </w:r>
      <w:r w:rsidR="00CF7A8A" w:rsidRPr="00A93CD2">
        <w:rPr>
          <w:rFonts w:ascii="Palatino Linotype" w:hAnsi="Palatino Linotype"/>
          <w:sz w:val="20"/>
          <w:szCs w:val="20"/>
          <w:lang w:val="en-CA"/>
        </w:rPr>
        <w:fldChar w:fldCharType="begin" w:fldLock="1"/>
      </w:r>
      <w:r w:rsidR="00F70E29">
        <w:rPr>
          <w:rFonts w:ascii="Palatino Linotype" w:hAnsi="Palatino Linotype"/>
          <w:sz w:val="20"/>
          <w:szCs w:val="20"/>
          <w:lang w:val="en-CA"/>
        </w:rPr>
        <w:instrText>ADDIN CSL_CITATION {"citationItems":[{"id":"ITEM-1","itemData":{"DOI":"10.1016/j.ress.2015.07.027","ISBN":"0951-8320","ISSN":"09518320","abstract":"Applications in various domains often lead to high dimensional dependence modelling. A Bayesian network (BN) is a probabilistic graphical model that provides an elegant way of expressing the joint distribution of a large number of interrelated variables. BNs have been successfully used to represent uncertain knowledge in a variety of fields. The majority of applications use discrete BNs, i.e. BNs whose nodes represent discrete variables. Integrating continuous variables in BNs is an area fraught with difficulty. Several methods that handle discrete-continuous BNs have been proposed in the literature. This paper concentrates only on one method called non-parametric BNs (NPBNs). NPBNs were introduced in 2004 and they have been or are currently being used in at least twelve professional applications. This paper provides a short introduction to NPBNs, a couple of theoretical advances, and an overview of applications. The aim of the paper is twofold: one is to present the latest improvements of the theory underlying NPBNs, and the other is to complement the existing overviews of BNs applications with the NPNBs applications. The latter opens the opportunity to discuss some difficulties that applications pose to the theoretical framework and in this way offers some NPBN modelling guidance to practitioners.","author":[{"dropping-particle":"","family":"Hanea","given":"Anca","non-dropping-particle":"","parse-names":false,"suffix":""},{"dropping-particle":"","family":"Morales Napoles","given":"Oswaldo","non-dropping-particle":"","parse-names":false,"suffix":""},{"dropping-particle":"","family":"Ababei","given":"Dan","non-dropping-particle":"","parse-names":false,"suffix":""}],"container-title":"Reliability Engineering and System Safety","id":"ITEM-1","issued":{"date-parts":[["2015"]]},"page":"265-284","publisher":"Elsevier","title":"Non-parametric Bayesian networks: Improving theory and reviewing applications","type":"article-journal","volume":"144"},"suppress-author":1,"uris":["http://www.mendeley.com/documents/?uuid=db64d328-24c9-422e-a320-c1e5ee02890f"]}],"mendeley":{"formattedCitation":"[13]","plainTextFormattedCitation":"[13]","previouslyFormattedCitation":"[13]"},"properties":{"noteIndex":0},"schema":"https://github.com/citation-style-language/schema/raw/master/csl-citation.json"}</w:instrText>
      </w:r>
      <w:r w:rsidR="00CF7A8A" w:rsidRPr="00A93CD2">
        <w:rPr>
          <w:rFonts w:ascii="Palatino Linotype" w:hAnsi="Palatino Linotype"/>
          <w:sz w:val="20"/>
          <w:szCs w:val="20"/>
          <w:lang w:val="en-CA"/>
        </w:rPr>
        <w:fldChar w:fldCharType="separate"/>
      </w:r>
      <w:r w:rsidR="006816B8" w:rsidRPr="006816B8">
        <w:rPr>
          <w:rFonts w:ascii="Palatino Linotype" w:hAnsi="Palatino Linotype"/>
          <w:noProof/>
          <w:sz w:val="20"/>
          <w:szCs w:val="20"/>
          <w:lang w:val="en-CA"/>
        </w:rPr>
        <w:t>[13]</w:t>
      </w:r>
      <w:r w:rsidR="00CF7A8A" w:rsidRPr="00A93CD2">
        <w:rPr>
          <w:rFonts w:ascii="Palatino Linotype" w:hAnsi="Palatino Linotype"/>
          <w:sz w:val="20"/>
          <w:szCs w:val="20"/>
          <w:lang w:val="en-CA"/>
        </w:rPr>
        <w:fldChar w:fldCharType="end"/>
      </w:r>
      <w:r w:rsidR="00FF6162" w:rsidRPr="00A93CD2">
        <w:rPr>
          <w:rFonts w:ascii="Palatino Linotype" w:hAnsi="Palatino Linotype"/>
          <w:sz w:val="20"/>
          <w:szCs w:val="20"/>
          <w:lang w:val="en-CA"/>
        </w:rPr>
        <w:t xml:space="preserve"> which uses the determinant of the rank correlation matrix between all variable as an overall measure for the multivariate dependence. For the normal copula, there exists the following relationship between the rank correlation </w:t>
      </w:r>
      <m:oMath>
        <m:r>
          <w:rPr>
            <w:rFonts w:ascii="Cambria Math" w:hAnsi="Cambria Math"/>
            <w:sz w:val="20"/>
            <w:szCs w:val="20"/>
            <w:lang w:val="en-CA"/>
          </w:rPr>
          <m:t>r</m:t>
        </m:r>
      </m:oMath>
      <w:r w:rsidR="00FF6162" w:rsidRPr="00A93CD2">
        <w:rPr>
          <w:rFonts w:ascii="Palatino Linotype" w:hAnsi="Palatino Linotype"/>
          <w:sz w:val="20"/>
          <w:szCs w:val="20"/>
          <w:lang w:val="en-CA"/>
        </w:rPr>
        <w:t xml:space="preserve"> and the Pearson product moment correlation </w:t>
      </w:r>
      <m:oMath>
        <m:r>
          <w:rPr>
            <w:rFonts w:ascii="Cambria Math" w:hAnsi="Cambria Math"/>
            <w:sz w:val="20"/>
            <w:szCs w:val="20"/>
            <w:lang w:val="en-CA"/>
          </w:rPr>
          <m:t>ρ</m:t>
        </m:r>
      </m:oMath>
      <w:r w:rsidR="00FF6162" w:rsidRPr="00A93CD2">
        <w:rPr>
          <w:rFonts w:ascii="Palatino Linotype" w:hAnsi="Palatino Linotype"/>
          <w:sz w:val="20"/>
          <w:szCs w:val="20"/>
          <w:lang w:val="en-CA"/>
        </w:rPr>
        <w:t xml:space="preserve"> for the pair of variables ( </w:t>
      </w:r>
      <m:oMath>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i</m:t>
            </m:r>
          </m:sub>
        </m:sSub>
        <m:r>
          <w:rPr>
            <w:rFonts w:ascii="Cambria Math" w:hAnsi="Cambria Math"/>
            <w:sz w:val="20"/>
            <w:szCs w:val="20"/>
            <w:lang w:val="en-CA"/>
          </w:rPr>
          <m:t>,</m:t>
        </m:r>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j</m:t>
            </m:r>
          </m:sub>
        </m:sSub>
      </m:oMath>
      <w:r w:rsidR="00FF6162" w:rsidRPr="00A93CD2">
        <w:rPr>
          <w:rFonts w:ascii="Palatino Linotype" w:hAnsi="Palatino Linotype"/>
          <w:sz w:val="20"/>
          <w:szCs w:val="20"/>
          <w:lang w:val="en-CA"/>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8"/>
        <w:gridCol w:w="882"/>
      </w:tblGrid>
      <w:tr w:rsidR="00FF6162" w:rsidRPr="00A93CD2" w14:paraId="60EB16DC" w14:textId="77777777" w:rsidTr="00225926">
        <w:trPr>
          <w:jc w:val="center"/>
        </w:trPr>
        <w:tc>
          <w:tcPr>
            <w:tcW w:w="392" w:type="dxa"/>
            <w:vAlign w:val="center"/>
          </w:tcPr>
          <w:p w14:paraId="60EB16D9" w14:textId="77777777" w:rsidR="00FF6162" w:rsidRPr="00A93CD2" w:rsidRDefault="00FF6162" w:rsidP="00225926">
            <w:pPr>
              <w:jc w:val="center"/>
              <w:rPr>
                <w:rFonts w:ascii="Palatino Linotype" w:hAnsi="Palatino Linotype"/>
                <w:sz w:val="20"/>
                <w:szCs w:val="20"/>
                <w:lang w:val="en-CA"/>
              </w:rPr>
            </w:pPr>
          </w:p>
        </w:tc>
        <w:tc>
          <w:tcPr>
            <w:tcW w:w="7938" w:type="dxa"/>
            <w:vAlign w:val="center"/>
          </w:tcPr>
          <w:p w14:paraId="60EB16DA" w14:textId="77777777" w:rsidR="00FF6162" w:rsidRPr="00A93CD2" w:rsidRDefault="00FF6162" w:rsidP="00225926">
            <w:pPr>
              <w:ind w:firstLine="708"/>
              <w:rPr>
                <w:rFonts w:ascii="Palatino Linotype" w:hAnsi="Palatino Linotype"/>
                <w:sz w:val="20"/>
                <w:szCs w:val="20"/>
              </w:rPr>
            </w:pPr>
            <m:oMathPara>
              <m:oMath>
                <m:r>
                  <w:rPr>
                    <w:rFonts w:ascii="Cambria Math" w:hAnsi="Cambria Math"/>
                    <w:sz w:val="20"/>
                    <w:szCs w:val="20"/>
                    <w:lang w:val="en-CA"/>
                  </w:rPr>
                  <m:t>r</m:t>
                </m:r>
                <m:d>
                  <m:dPr>
                    <m:ctrlPr>
                      <w:rPr>
                        <w:rFonts w:ascii="Cambria Math" w:hAnsi="Cambria Math"/>
                        <w:i/>
                        <w:sz w:val="20"/>
                        <w:szCs w:val="20"/>
                        <w:lang w:val="en-CA"/>
                      </w:rPr>
                    </m:ctrlPr>
                  </m:dPr>
                  <m:e>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i</m:t>
                        </m:r>
                      </m:sub>
                    </m:sSub>
                    <m:r>
                      <w:rPr>
                        <w:rFonts w:ascii="Cambria Math" w:hAnsi="Cambria Math"/>
                        <w:sz w:val="20"/>
                        <w:szCs w:val="20"/>
                        <w:lang w:val="en-CA"/>
                      </w:rPr>
                      <m:t>,</m:t>
                    </m:r>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j</m:t>
                        </m:r>
                      </m:sub>
                    </m:sSub>
                  </m:e>
                </m:d>
                <m:r>
                  <w:rPr>
                    <w:rFonts w:ascii="Cambria Math" w:hAnsi="Cambria Math"/>
                    <w:sz w:val="20"/>
                    <w:szCs w:val="20"/>
                    <w:lang w:val="en-CA"/>
                  </w:rPr>
                  <m:t xml:space="preserve"> = </m:t>
                </m:r>
                <m:f>
                  <m:fPr>
                    <m:ctrlPr>
                      <w:rPr>
                        <w:rFonts w:ascii="Cambria Math" w:hAnsi="Cambria Math"/>
                        <w:i/>
                        <w:sz w:val="20"/>
                        <w:szCs w:val="20"/>
                        <w:lang w:val="en-CA"/>
                      </w:rPr>
                    </m:ctrlPr>
                  </m:fPr>
                  <m:num>
                    <m:r>
                      <w:rPr>
                        <w:rFonts w:ascii="Cambria Math" w:hAnsi="Cambria Math"/>
                        <w:sz w:val="20"/>
                        <w:szCs w:val="20"/>
                        <w:lang w:val="en-CA"/>
                      </w:rPr>
                      <m:t>6</m:t>
                    </m:r>
                  </m:num>
                  <m:den>
                    <m:r>
                      <w:rPr>
                        <w:rFonts w:ascii="Cambria Math" w:hAnsi="Cambria Math"/>
                        <w:sz w:val="20"/>
                        <w:szCs w:val="20"/>
                        <w:lang w:val="en-CA"/>
                      </w:rPr>
                      <m:t>π</m:t>
                    </m:r>
                  </m:den>
                </m:f>
                <m:r>
                  <w:rPr>
                    <w:rFonts w:ascii="Cambria Math" w:hAnsi="Cambria Math"/>
                    <w:sz w:val="20"/>
                    <w:szCs w:val="20"/>
                    <w:lang w:val="en-CA"/>
                  </w:rPr>
                  <m:t xml:space="preserve"> </m:t>
                </m:r>
                <m:r>
                  <m:rPr>
                    <m:sty m:val="p"/>
                  </m:rPr>
                  <w:rPr>
                    <w:rFonts w:ascii="Cambria Math" w:hAnsi="Cambria Math"/>
                    <w:sz w:val="20"/>
                    <w:szCs w:val="20"/>
                    <w:lang w:val="en-CA"/>
                  </w:rPr>
                  <m:t>arcsin⁡</m:t>
                </m:r>
                <m:d>
                  <m:dPr>
                    <m:ctrlPr>
                      <w:rPr>
                        <w:rFonts w:ascii="Cambria Math" w:hAnsi="Cambria Math"/>
                        <w:i/>
                        <w:sz w:val="20"/>
                        <w:szCs w:val="20"/>
                        <w:lang w:val="en-CA"/>
                      </w:rPr>
                    </m:ctrlPr>
                  </m:dPr>
                  <m:e>
                    <m:f>
                      <m:fPr>
                        <m:ctrlPr>
                          <w:rPr>
                            <w:rFonts w:ascii="Cambria Math" w:hAnsi="Cambria Math"/>
                            <w:i/>
                            <w:sz w:val="20"/>
                            <w:szCs w:val="20"/>
                            <w:lang w:val="en-CA"/>
                          </w:rPr>
                        </m:ctrlPr>
                      </m:fPr>
                      <m:num>
                        <m:r>
                          <w:rPr>
                            <w:rFonts w:ascii="Cambria Math" w:hAnsi="Cambria Math"/>
                            <w:sz w:val="20"/>
                            <w:szCs w:val="20"/>
                            <w:lang w:val="en-CA"/>
                          </w:rPr>
                          <m:t>ρ</m:t>
                        </m:r>
                        <m:d>
                          <m:dPr>
                            <m:ctrlPr>
                              <w:rPr>
                                <w:rFonts w:ascii="Cambria Math" w:hAnsi="Cambria Math"/>
                                <w:i/>
                                <w:sz w:val="20"/>
                                <w:szCs w:val="20"/>
                                <w:lang w:val="en-CA"/>
                              </w:rPr>
                            </m:ctrlPr>
                          </m:dPr>
                          <m:e>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i</m:t>
                                </m:r>
                              </m:sub>
                            </m:sSub>
                            <m:r>
                              <w:rPr>
                                <w:rFonts w:ascii="Cambria Math" w:hAnsi="Cambria Math"/>
                                <w:sz w:val="20"/>
                                <w:szCs w:val="20"/>
                                <w:lang w:val="en-CA"/>
                              </w:rPr>
                              <m:t>,</m:t>
                            </m:r>
                            <m:sSub>
                              <m:sSubPr>
                                <m:ctrlPr>
                                  <w:rPr>
                                    <w:rFonts w:ascii="Cambria Math" w:hAnsi="Cambria Math"/>
                                    <w:i/>
                                    <w:sz w:val="20"/>
                                    <w:szCs w:val="20"/>
                                    <w:lang w:val="en-CA"/>
                                  </w:rPr>
                                </m:ctrlPr>
                              </m:sSubPr>
                              <m:e>
                                <m:r>
                                  <w:rPr>
                                    <w:rFonts w:ascii="Cambria Math" w:hAnsi="Cambria Math"/>
                                    <w:sz w:val="20"/>
                                    <w:szCs w:val="20"/>
                                    <w:lang w:val="en-CA"/>
                                  </w:rPr>
                                  <m:t>X</m:t>
                                </m:r>
                              </m:e>
                              <m:sub>
                                <m:r>
                                  <w:rPr>
                                    <w:rFonts w:ascii="Cambria Math" w:hAnsi="Cambria Math"/>
                                    <w:sz w:val="20"/>
                                    <w:szCs w:val="20"/>
                                    <w:lang w:val="en-CA"/>
                                  </w:rPr>
                                  <m:t>j</m:t>
                                </m:r>
                              </m:sub>
                            </m:sSub>
                          </m:e>
                        </m:d>
                      </m:num>
                      <m:den>
                        <m:r>
                          <w:rPr>
                            <w:rFonts w:ascii="Cambria Math" w:hAnsi="Cambria Math"/>
                            <w:sz w:val="20"/>
                            <w:szCs w:val="20"/>
                            <w:lang w:val="en-CA"/>
                          </w:rPr>
                          <m:t>2</m:t>
                        </m:r>
                      </m:den>
                    </m:f>
                  </m:e>
                </m:d>
              </m:oMath>
            </m:oMathPara>
          </w:p>
        </w:tc>
        <w:tc>
          <w:tcPr>
            <w:tcW w:w="882" w:type="dxa"/>
            <w:vAlign w:val="center"/>
          </w:tcPr>
          <w:p w14:paraId="60EB16DB" w14:textId="7803EEC1" w:rsidR="00FF6162" w:rsidRPr="00A93CD2" w:rsidRDefault="00FF6162" w:rsidP="00225926">
            <w:pPr>
              <w:jc w:val="center"/>
              <w:rPr>
                <w:rFonts w:ascii="Palatino Linotype" w:hAnsi="Palatino Linotype"/>
                <w:sz w:val="20"/>
                <w:szCs w:val="20"/>
                <w:lang w:val="en-CA"/>
              </w:rPr>
            </w:pPr>
            <w:r w:rsidRPr="00A93CD2">
              <w:rPr>
                <w:rFonts w:ascii="Palatino Linotype" w:hAnsi="Palatino Linotype"/>
                <w:sz w:val="20"/>
                <w:szCs w:val="20"/>
                <w:lang w:val="en-CA"/>
              </w:rPr>
              <w:t>(</w:t>
            </w:r>
            <w:r w:rsidR="00F26203">
              <w:rPr>
                <w:rFonts w:ascii="Palatino Linotype" w:hAnsi="Palatino Linotype"/>
                <w:sz w:val="20"/>
                <w:szCs w:val="20"/>
                <w:lang w:val="en-CA"/>
              </w:rPr>
              <w:t>S</w:t>
            </w:r>
            <w:r w:rsidRPr="00A93CD2">
              <w:rPr>
                <w:rFonts w:ascii="Palatino Linotype" w:hAnsi="Palatino Linotype"/>
                <w:sz w:val="20"/>
                <w:szCs w:val="20"/>
                <w:lang w:val="en-CA"/>
              </w:rPr>
              <w:t>.</w:t>
            </w:r>
            <w:r w:rsidRPr="00A93CD2">
              <w:rPr>
                <w:rFonts w:ascii="Palatino Linotype" w:hAnsi="Palatino Linotype"/>
                <w:sz w:val="20"/>
                <w:szCs w:val="20"/>
                <w:lang w:val="en-CA"/>
              </w:rPr>
              <w:fldChar w:fldCharType="begin"/>
            </w:r>
            <w:r w:rsidRPr="00A93CD2">
              <w:rPr>
                <w:rFonts w:ascii="Palatino Linotype" w:hAnsi="Palatino Linotype"/>
                <w:sz w:val="20"/>
                <w:szCs w:val="20"/>
                <w:lang w:val="en-CA"/>
              </w:rPr>
              <w:instrText xml:space="preserve"> SEQ Eq \* MERGEFORMAT </w:instrText>
            </w:r>
            <w:r w:rsidRPr="00A93CD2">
              <w:rPr>
                <w:rFonts w:ascii="Palatino Linotype" w:hAnsi="Palatino Linotype"/>
                <w:sz w:val="20"/>
                <w:szCs w:val="20"/>
                <w:lang w:val="en-CA"/>
              </w:rPr>
              <w:fldChar w:fldCharType="separate"/>
            </w:r>
            <w:r w:rsidR="00BD0655" w:rsidRPr="00A93CD2">
              <w:rPr>
                <w:rFonts w:ascii="Palatino Linotype" w:hAnsi="Palatino Linotype"/>
                <w:noProof/>
                <w:sz w:val="20"/>
                <w:szCs w:val="20"/>
                <w:lang w:val="en-CA"/>
              </w:rPr>
              <w:t>12</w:t>
            </w:r>
            <w:r w:rsidRPr="00A93CD2">
              <w:rPr>
                <w:rFonts w:ascii="Palatino Linotype" w:hAnsi="Palatino Linotype"/>
                <w:sz w:val="20"/>
                <w:szCs w:val="20"/>
                <w:lang w:val="en-CA"/>
              </w:rPr>
              <w:fldChar w:fldCharType="end"/>
            </w:r>
            <w:r w:rsidRPr="00A93CD2">
              <w:rPr>
                <w:rFonts w:ascii="Palatino Linotype" w:hAnsi="Palatino Linotype"/>
                <w:sz w:val="20"/>
                <w:szCs w:val="20"/>
                <w:lang w:val="en-CA"/>
              </w:rPr>
              <w:t>)</w:t>
            </w:r>
          </w:p>
        </w:tc>
      </w:tr>
    </w:tbl>
    <w:p w14:paraId="60EB16DD" w14:textId="662F4475" w:rsidR="000C3FE7" w:rsidRPr="00A93CD2" w:rsidRDefault="00FF6162" w:rsidP="0042256E">
      <w:pPr>
        <w:jc w:val="both"/>
        <w:rPr>
          <w:rFonts w:ascii="Palatino Linotype" w:hAnsi="Palatino Linotype"/>
          <w:sz w:val="20"/>
          <w:szCs w:val="20"/>
          <w:lang w:val="en-CA"/>
        </w:rPr>
      </w:pPr>
      <w:r w:rsidRPr="00A93CD2">
        <w:rPr>
          <w:rFonts w:ascii="Palatino Linotype" w:hAnsi="Palatino Linotype"/>
          <w:sz w:val="20"/>
          <w:szCs w:val="20"/>
          <w:lang w:val="en-CA"/>
        </w:rPr>
        <w:t>We compute and compare the determinant of the empirical rank correlation matrix (DER) with the one of the empiric</w:t>
      </w:r>
      <w:r w:rsidR="0042256E" w:rsidRPr="00A93CD2">
        <w:rPr>
          <w:rFonts w:ascii="Palatino Linotype" w:hAnsi="Palatino Linotype"/>
          <w:sz w:val="20"/>
          <w:szCs w:val="20"/>
          <w:lang w:val="en-CA"/>
        </w:rPr>
        <w:t>al normal rank correlation (DNR).</w:t>
      </w:r>
      <w:r w:rsidR="003954BA" w:rsidRPr="00A93CD2">
        <w:rPr>
          <w:rFonts w:ascii="Palatino Linotype" w:hAnsi="Palatino Linotype"/>
          <w:sz w:val="20"/>
          <w:szCs w:val="20"/>
          <w:lang w:val="en-CA"/>
        </w:rPr>
        <w:t xml:space="preserve"> </w:t>
      </w:r>
      <w:r w:rsidR="00CF7A8A" w:rsidRPr="00A93CD2">
        <w:rPr>
          <w:rFonts w:ascii="Palatino Linotype" w:hAnsi="Palatino Linotype"/>
          <w:sz w:val="20"/>
          <w:szCs w:val="20"/>
          <w:lang w:val="en-CA"/>
        </w:rPr>
        <w:t>T</w:t>
      </w:r>
      <w:r w:rsidR="00E64110" w:rsidRPr="00A93CD2">
        <w:rPr>
          <w:rFonts w:ascii="Palatino Linotype" w:hAnsi="Palatino Linotype"/>
          <w:sz w:val="20"/>
          <w:szCs w:val="20"/>
          <w:lang w:val="en-CA"/>
        </w:rPr>
        <w:t>he DER is obtained by transforming the empirical ma</w:t>
      </w:r>
      <w:r w:rsidR="00CF7A8A" w:rsidRPr="00A93CD2">
        <w:rPr>
          <w:rFonts w:ascii="Palatino Linotype" w:hAnsi="Palatino Linotype"/>
          <w:sz w:val="20"/>
          <w:szCs w:val="20"/>
          <w:lang w:val="en-CA"/>
        </w:rPr>
        <w:t>rginal distribution to uniforms while</w:t>
      </w:r>
      <w:r w:rsidR="00E64110" w:rsidRPr="00A93CD2">
        <w:rPr>
          <w:rFonts w:ascii="Palatino Linotype" w:hAnsi="Palatino Linotype"/>
          <w:sz w:val="20"/>
          <w:szCs w:val="20"/>
          <w:lang w:val="en-CA"/>
        </w:rPr>
        <w:t xml:space="preserve"> the DNR transforms marginal distribution to </w:t>
      </w:r>
      <w:r w:rsidR="00CF7A8A" w:rsidRPr="00A93CD2">
        <w:rPr>
          <w:rFonts w:ascii="Palatino Linotype" w:hAnsi="Palatino Linotype"/>
          <w:sz w:val="20"/>
          <w:szCs w:val="20"/>
          <w:lang w:val="en-CA"/>
        </w:rPr>
        <w:t xml:space="preserve">standard normal distributions. </w:t>
      </w:r>
      <w:r w:rsidR="0042256E" w:rsidRPr="00A93CD2">
        <w:rPr>
          <w:rFonts w:ascii="Palatino Linotype" w:hAnsi="Palatino Linotype"/>
          <w:sz w:val="20"/>
          <w:szCs w:val="20"/>
          <w:lang w:val="en-CA"/>
        </w:rPr>
        <w:t>If the DER is within the 90% central confidence band of the DNR, the joint normal copula is a reasonable assumption. Similarly, the same procedure is repeated to compare</w:t>
      </w:r>
      <w:r w:rsidR="004B7746">
        <w:rPr>
          <w:rFonts w:ascii="Palatino Linotype" w:hAnsi="Palatino Linotype"/>
          <w:sz w:val="20"/>
          <w:szCs w:val="20"/>
          <w:lang w:val="en-CA"/>
        </w:rPr>
        <w:t xml:space="preserve"> </w:t>
      </w:r>
      <w:r w:rsidR="0042256E" w:rsidRPr="00A93CD2">
        <w:rPr>
          <w:rFonts w:ascii="Palatino Linotype" w:hAnsi="Palatino Linotype"/>
          <w:sz w:val="20"/>
          <w:szCs w:val="20"/>
          <w:lang w:val="en-CA"/>
        </w:rPr>
        <w:t>the DNR with the determinant obtained from the BN using normal copulas (DBN).</w:t>
      </w:r>
      <w:r w:rsidR="000C3FE7" w:rsidRPr="00A93CD2">
        <w:rPr>
          <w:rFonts w:ascii="Palatino Linotype" w:hAnsi="Palatino Linotype"/>
          <w:sz w:val="20"/>
          <w:szCs w:val="20"/>
          <w:lang w:val="en-CA"/>
        </w:rPr>
        <w:t xml:space="preserve"> </w:t>
      </w:r>
    </w:p>
    <w:p w14:paraId="60EB16DF" w14:textId="72ECD69E" w:rsidR="00F26413" w:rsidRPr="00A93CD2" w:rsidRDefault="00467A0B" w:rsidP="001B59D8">
      <w:pPr>
        <w:jc w:val="both"/>
        <w:rPr>
          <w:rFonts w:ascii="Palatino Linotype" w:hAnsi="Palatino Linotype"/>
          <w:sz w:val="20"/>
          <w:szCs w:val="20"/>
          <w:lang w:val="en-CA"/>
        </w:rPr>
      </w:pPr>
      <w:r w:rsidRPr="00A93CD2">
        <w:rPr>
          <w:rFonts w:ascii="Palatino Linotype" w:hAnsi="Palatino Linotype"/>
          <w:sz w:val="20"/>
          <w:szCs w:val="20"/>
          <w:lang w:val="en-CA"/>
        </w:rPr>
        <w:t xml:space="preserve">Based on this test, the DER remained within the 90% confidence bound of the DNR for </w:t>
      </w:r>
      <w:r w:rsidR="00E427CF" w:rsidRPr="00A93CD2">
        <w:rPr>
          <w:rFonts w:ascii="Palatino Linotype" w:hAnsi="Palatino Linotype"/>
          <w:sz w:val="20"/>
          <w:szCs w:val="20"/>
          <w:lang w:val="en-CA"/>
        </w:rPr>
        <w:t xml:space="preserve">up to 600 samples drawn and the DNR was within the 90% confidence bound of the DBN for a sample size of about 1000 samples. </w:t>
      </w:r>
      <w:r w:rsidR="00B85B63">
        <w:rPr>
          <w:rFonts w:ascii="Palatino Linotype" w:hAnsi="Palatino Linotype"/>
          <w:sz w:val="20"/>
          <w:szCs w:val="20"/>
          <w:lang w:val="en-CA"/>
        </w:rPr>
        <w:t>I</w:t>
      </w:r>
      <w:r w:rsidR="00E427CF" w:rsidRPr="00A93CD2">
        <w:rPr>
          <w:rFonts w:ascii="Palatino Linotype" w:hAnsi="Palatino Linotype"/>
          <w:sz w:val="20"/>
          <w:szCs w:val="20"/>
          <w:lang w:val="en-CA"/>
        </w:rPr>
        <w:t xml:space="preserve">t is expected here since </w:t>
      </w:r>
      <w:proofErr w:type="spellStart"/>
      <w:r w:rsidR="00E427CF" w:rsidRPr="00A93CD2">
        <w:rPr>
          <w:rFonts w:ascii="Palatino Linotype" w:hAnsi="Palatino Linotype"/>
          <w:sz w:val="20"/>
          <w:szCs w:val="20"/>
          <w:lang w:val="en-CA"/>
        </w:rPr>
        <w:t>Hanea</w:t>
      </w:r>
      <w:proofErr w:type="spellEnd"/>
      <w:r w:rsidR="00E427CF" w:rsidRPr="00A93CD2">
        <w:rPr>
          <w:rFonts w:ascii="Palatino Linotype" w:hAnsi="Palatino Linotype"/>
          <w:sz w:val="20"/>
          <w:szCs w:val="20"/>
          <w:lang w:val="en-CA"/>
        </w:rPr>
        <w:t xml:space="preserve"> et al. </w:t>
      </w:r>
      <w:r w:rsidR="00E427CF" w:rsidRPr="00A93CD2">
        <w:rPr>
          <w:rFonts w:ascii="Palatino Linotype" w:hAnsi="Palatino Linotype"/>
          <w:sz w:val="20"/>
          <w:szCs w:val="20"/>
          <w:lang w:val="en-CA"/>
        </w:rPr>
        <w:fldChar w:fldCharType="begin" w:fldLock="1"/>
      </w:r>
      <w:r w:rsidR="00F70E29">
        <w:rPr>
          <w:rFonts w:ascii="Palatino Linotype" w:hAnsi="Palatino Linotype"/>
          <w:sz w:val="20"/>
          <w:szCs w:val="20"/>
          <w:lang w:val="en-CA"/>
        </w:rPr>
        <w:instrText>ADDIN CSL_CITATION {"citationItems":[{"id":"ITEM-1","itemData":{"DOI":"10.1016/j.ress.2015.07.027","ISBN":"0951-8320","ISSN":"09518320","abstract":"Applications in various domains often lead to high dimensional dependence modelling. A Bayesian network (BN) is a probabilistic graphical model that provides an elegant way of expressing the joint distribution of a large number of interrelated variables. BNs have been successfully used to represent uncertain knowledge in a variety of fields. The majority of applications use discrete BNs, i.e. BNs whose nodes represent discrete variables. Integrating continuous variables in BNs is an area fraught with difficulty. Several methods that handle discrete-continuous BNs have been proposed in the literature. This paper concentrates only on one method called non-parametric BNs (NPBNs). NPBNs were introduced in 2004 and they have been or are currently being used in at least twelve professional applications. This paper provides a short introduction to NPBNs, a couple of theoretical advances, and an overview of applications. The aim of the paper is twofold: one is to present the latest improvements of the theory underlying NPBNs, and the other is to complement the existing overviews of BNs applications with the NPNBs applications. The latter opens the opportunity to discuss some difficulties that applications pose to the theoretical framework and in this way offers some NPBN modelling guidance to practitioners.","author":[{"dropping-particle":"","family":"Hanea","given":"Anca","non-dropping-particle":"","parse-names":false,"suffix":""},{"dropping-particle":"","family":"Morales Napoles","given":"Oswaldo","non-dropping-particle":"","parse-names":false,"suffix":""},{"dropping-particle":"","family":"Ababei","given":"Dan","non-dropping-particle":"","parse-names":false,"suffix":""}],"container-title":"Reliability Engineering and System Safety","id":"ITEM-1","issued":{"date-parts":[["2015"]]},"page":"265-284","publisher":"Elsevier","title":"Non-parametric Bayesian networks: Improving theory and reviewing applications","type":"article-journal","volume":"144"},"suppress-author":1,"uris":["http://www.mendeley.com/documents/?uuid=db64d328-24c9-422e-a320-c1e5ee02890f"]}],"mendeley":{"formattedCitation":"[13]","plainTextFormattedCitation":"[13]","previouslyFormattedCitation":"[13]"},"properties":{"noteIndex":0},"schema":"https://github.com/citation-style-language/schema/raw/master/csl-citation.json"}</w:instrText>
      </w:r>
      <w:r w:rsidR="00E427CF" w:rsidRPr="00A93CD2">
        <w:rPr>
          <w:rFonts w:ascii="Palatino Linotype" w:hAnsi="Palatino Linotype"/>
          <w:sz w:val="20"/>
          <w:szCs w:val="20"/>
          <w:lang w:val="en-CA"/>
        </w:rPr>
        <w:fldChar w:fldCharType="separate"/>
      </w:r>
      <w:r w:rsidR="006816B8" w:rsidRPr="006816B8">
        <w:rPr>
          <w:rFonts w:ascii="Palatino Linotype" w:hAnsi="Palatino Linotype"/>
          <w:noProof/>
          <w:sz w:val="20"/>
          <w:szCs w:val="20"/>
          <w:lang w:val="en-CA"/>
        </w:rPr>
        <w:t>[13]</w:t>
      </w:r>
      <w:r w:rsidR="00E427CF" w:rsidRPr="00A93CD2">
        <w:rPr>
          <w:rFonts w:ascii="Palatino Linotype" w:hAnsi="Palatino Linotype"/>
          <w:sz w:val="20"/>
          <w:szCs w:val="20"/>
          <w:lang w:val="en-CA"/>
        </w:rPr>
        <w:fldChar w:fldCharType="end"/>
      </w:r>
      <w:r w:rsidR="00E427CF" w:rsidRPr="00A93CD2">
        <w:rPr>
          <w:rFonts w:ascii="Palatino Linotype" w:hAnsi="Palatino Linotype"/>
          <w:sz w:val="20"/>
          <w:szCs w:val="20"/>
          <w:lang w:val="en-CA"/>
        </w:rPr>
        <w:t xml:space="preserve"> discusses that t</w:t>
      </w:r>
      <w:r w:rsidR="00E64110" w:rsidRPr="00A93CD2">
        <w:rPr>
          <w:rFonts w:ascii="Palatino Linotype" w:hAnsi="Palatino Linotype"/>
          <w:sz w:val="20"/>
          <w:szCs w:val="20"/>
          <w:lang w:val="en-CA"/>
        </w:rPr>
        <w:t>his test is particularly severe for large datasets</w:t>
      </w:r>
      <w:r w:rsidR="00E427CF" w:rsidRPr="00A93CD2">
        <w:rPr>
          <w:rFonts w:ascii="Palatino Linotype" w:hAnsi="Palatino Linotype"/>
          <w:sz w:val="20"/>
          <w:szCs w:val="20"/>
          <w:lang w:val="en-CA"/>
        </w:rPr>
        <w:t xml:space="preserve"> and the BN contains more than 12,000 samples for each variable. These results are in line with other similar studies (see for example</w:t>
      </w:r>
      <w:r w:rsidR="00637EA1" w:rsidRPr="00A93CD2">
        <w:rPr>
          <w:rFonts w:ascii="Palatino Linotype" w:hAnsi="Palatino Linotype"/>
          <w:sz w:val="20"/>
          <w:szCs w:val="20"/>
          <w:lang w:val="en-CA"/>
        </w:rPr>
        <w:t xml:space="preserve"> </w:t>
      </w:r>
      <w:proofErr w:type="spellStart"/>
      <w:r w:rsidR="00637EA1" w:rsidRPr="00A93CD2">
        <w:rPr>
          <w:rFonts w:ascii="Palatino Linotype" w:hAnsi="Palatino Linotype"/>
          <w:sz w:val="20"/>
          <w:szCs w:val="20"/>
          <w:lang w:val="en-CA"/>
        </w:rPr>
        <w:t>Paprotny</w:t>
      </w:r>
      <w:proofErr w:type="spellEnd"/>
      <w:r w:rsidR="00637EA1" w:rsidRPr="00A93CD2">
        <w:rPr>
          <w:rFonts w:ascii="Palatino Linotype" w:hAnsi="Palatino Linotype"/>
          <w:sz w:val="20"/>
          <w:szCs w:val="20"/>
          <w:lang w:val="en-CA"/>
        </w:rPr>
        <w:t xml:space="preserve"> and Morales-</w:t>
      </w:r>
      <w:proofErr w:type="spellStart"/>
      <w:r w:rsidR="00637EA1" w:rsidRPr="00A93CD2">
        <w:rPr>
          <w:rFonts w:ascii="Palatino Linotype" w:hAnsi="Palatino Linotype"/>
          <w:sz w:val="20"/>
          <w:szCs w:val="20"/>
          <w:lang w:val="en-CA"/>
        </w:rPr>
        <w:t>N</w:t>
      </w:r>
      <w:r w:rsidR="003E5E0F" w:rsidRPr="00A93CD2">
        <w:rPr>
          <w:rFonts w:ascii="Palatino Linotype" w:hAnsi="Palatino Linotype"/>
          <w:sz w:val="20"/>
          <w:szCs w:val="20"/>
          <w:lang w:val="en-CA"/>
        </w:rPr>
        <w:t>á</w:t>
      </w:r>
      <w:r w:rsidR="00637EA1" w:rsidRPr="00A93CD2">
        <w:rPr>
          <w:rFonts w:ascii="Palatino Linotype" w:hAnsi="Palatino Linotype"/>
          <w:sz w:val="20"/>
          <w:szCs w:val="20"/>
          <w:lang w:val="en-CA"/>
        </w:rPr>
        <w:t>poles</w:t>
      </w:r>
      <w:proofErr w:type="spellEnd"/>
      <w:r w:rsidR="00E427CF" w:rsidRPr="00A93CD2">
        <w:rPr>
          <w:rFonts w:ascii="Palatino Linotype" w:hAnsi="Palatino Linotype"/>
          <w:sz w:val="20"/>
          <w:szCs w:val="20"/>
          <w:lang w:val="en-CA"/>
        </w:rPr>
        <w:t xml:space="preserve"> </w:t>
      </w:r>
      <w:r w:rsidR="00E427CF" w:rsidRPr="00A93CD2">
        <w:rPr>
          <w:rFonts w:ascii="Palatino Linotype" w:hAnsi="Palatino Linotype"/>
          <w:sz w:val="20"/>
          <w:szCs w:val="20"/>
          <w:lang w:val="en-CA"/>
        </w:rPr>
        <w:fldChar w:fldCharType="begin" w:fldLock="1"/>
      </w:r>
      <w:r w:rsidR="00EF0866">
        <w:rPr>
          <w:rFonts w:ascii="Palatino Linotype" w:hAnsi="Palatino Linotype"/>
          <w:sz w:val="20"/>
          <w:szCs w:val="20"/>
          <w:lang w:val="en-CA"/>
        </w:rPr>
        <w:instrText>ADDIN CSL_CITATION {"citationItems":[{"id":"ITEM-1","itemData":{"DOI":"10.5194/hess-21-2615-2017","ISSN":"1607-7938","abstract":"Abstract. Large-scale hydrological modelling of flood hazards requires adequate extreme discharge data. In practise, models based on physics are applied alongside those utilizing only statistical analysis. The former require enormous computational power, while the latter are mostly limited in accuracy and spatial coverage. In this paper we introduce an alternate, statistical approach based on Bayesian networks (BNs), a graphical model for dependent random variables. We use a non-parametric BN to describe the joint distribution of extreme discharges in European rivers and variables representing the geographical characteristics of their catchments. Annual maxima of daily discharges from more than 1800 river gauges (stations with catchment areas ranging from 1.4 to 807000km2) were collected, together with information on terrain, land use and local climate. The (conditional) correlations between the variables are modelled through copulas, with the dependency structure defined in the network. The results show that using this method, mean annual maxima and return periods of discharges could be estimated with an accuracy similar to existing studies using physical models for Europe and better than a comparable global statistical model. Performance of the model varies slightly between regions of Europe, but is consistent between different time periods, and remains the same in a split-sample validation. Though discharge prediction under climate change is not the main scope of this paper, the BN was applied to a large domain covering all sizes of rivers in the continent both for present and future climate, as an example. Results show substantial variation in the influence of climate change on river discharges. The model can be used to provide quick estimates of extreme discharges at any location for the purpose of obtaining input information for hydraulic modelling.","author":[{"dropping-particle":"","family":"Paprotny","given":"Dominik","non-dropping-particle":"","parse-names":false,"suffix":""},{"dropping-particle":"","family":"Morales-Nápoles","given":"Oswaldo","non-dropping-particle":"","parse-names":false,"suffix":""}],"container-title":"Hydrology and Earth System Sciences","id":"ITEM-1","issue":"6","issued":{"date-parts":[["2017","6","2"]]},"page":"2615-2636","title":"Estimating extreme river discharges in Europe through a Bayesian network","type":"article-journal","volume":"21"},"suppress-author":1,"uris":["http://www.mendeley.com/documents/?uuid=4b1f4f88-efcc-4c29-a492-067140998bc7"]}],"mendeley":{"formattedCitation":"[18]","plainTextFormattedCitation":"[18]","previouslyFormattedCitation":"[18]"},"properties":{"noteIndex":0},"schema":"https://github.com/citation-style-language/schema/raw/master/csl-citation.json"}</w:instrText>
      </w:r>
      <w:r w:rsidR="00E427CF" w:rsidRPr="00A93CD2">
        <w:rPr>
          <w:rFonts w:ascii="Palatino Linotype" w:hAnsi="Palatino Linotype"/>
          <w:sz w:val="20"/>
          <w:szCs w:val="20"/>
          <w:lang w:val="en-CA"/>
        </w:rPr>
        <w:fldChar w:fldCharType="separate"/>
      </w:r>
      <w:r w:rsidR="00F70E29" w:rsidRPr="00F70E29">
        <w:rPr>
          <w:rFonts w:ascii="Palatino Linotype" w:hAnsi="Palatino Linotype"/>
          <w:noProof/>
          <w:sz w:val="20"/>
          <w:szCs w:val="20"/>
          <w:lang w:val="en-CA"/>
        </w:rPr>
        <w:t>[18]</w:t>
      </w:r>
      <w:r w:rsidR="00E427CF" w:rsidRPr="00A93CD2">
        <w:rPr>
          <w:rFonts w:ascii="Palatino Linotype" w:hAnsi="Palatino Linotype"/>
          <w:sz w:val="20"/>
          <w:szCs w:val="20"/>
          <w:lang w:val="en-CA"/>
        </w:rPr>
        <w:fldChar w:fldCharType="end"/>
      </w:r>
      <w:r w:rsidR="00637EA1" w:rsidRPr="00A93CD2">
        <w:rPr>
          <w:rFonts w:ascii="Palatino Linotype" w:hAnsi="Palatino Linotype"/>
          <w:sz w:val="20"/>
          <w:szCs w:val="20"/>
          <w:lang w:val="en-CA"/>
        </w:rPr>
        <w:t xml:space="preserve">) and therefore does not preclude the rejection of the selected BN structure. However, as discussed in the previous section, better characterizing the dependence structure, especially for the pairs of variable </w:t>
      </w:r>
      <w:r w:rsidR="00637EA1" w:rsidRPr="00A93CD2">
        <w:rPr>
          <w:rFonts w:ascii="Palatino Linotype" w:hAnsi="Palatino Linotype"/>
          <w:i/>
          <w:sz w:val="20"/>
          <w:szCs w:val="20"/>
          <w:lang w:val="en-CA"/>
        </w:rPr>
        <w:t>discharge-discharge</w:t>
      </w:r>
      <w:r w:rsidR="007D2A6B" w:rsidRPr="00C04627">
        <w:rPr>
          <w:rFonts w:ascii="Palatino Linotype" w:hAnsi="Palatino Linotype"/>
          <w:sz w:val="20"/>
          <w:szCs w:val="20"/>
          <w:lang w:val="en-CA"/>
        </w:rPr>
        <w:t>,</w:t>
      </w:r>
      <w:r w:rsidR="00637EA1" w:rsidRPr="00A93CD2">
        <w:rPr>
          <w:rFonts w:ascii="Palatino Linotype" w:hAnsi="Palatino Linotype"/>
          <w:sz w:val="20"/>
          <w:szCs w:val="20"/>
          <w:lang w:val="en-CA"/>
        </w:rPr>
        <w:t xml:space="preserve"> would improve the multivariate dependence representation.</w:t>
      </w:r>
    </w:p>
    <w:p w14:paraId="60EB16E3" w14:textId="77777777" w:rsidR="009050A1" w:rsidRPr="00A93CD2" w:rsidRDefault="009050A1" w:rsidP="009050A1">
      <w:pPr>
        <w:rPr>
          <w:rFonts w:ascii="Palatino Linotype" w:hAnsi="Palatino Linotype"/>
          <w:sz w:val="20"/>
          <w:szCs w:val="20"/>
          <w:lang w:val="en-CA"/>
        </w:rPr>
      </w:pPr>
    </w:p>
    <w:p w14:paraId="60EB16E4" w14:textId="77777777" w:rsidR="009050A1" w:rsidRPr="00A93CD2" w:rsidRDefault="009050A1">
      <w:pPr>
        <w:rPr>
          <w:rFonts w:ascii="Palatino Linotype" w:hAnsi="Palatino Linotype"/>
          <w:sz w:val="20"/>
          <w:szCs w:val="20"/>
          <w:lang w:val="en-CA"/>
        </w:rPr>
      </w:pPr>
      <w:r w:rsidRPr="00A93CD2">
        <w:rPr>
          <w:rFonts w:ascii="Palatino Linotype" w:hAnsi="Palatino Linotype"/>
          <w:sz w:val="20"/>
          <w:szCs w:val="20"/>
          <w:lang w:val="en-CA"/>
        </w:rPr>
        <w:br w:type="page"/>
      </w:r>
    </w:p>
    <w:p w14:paraId="60EB16E5" w14:textId="77777777" w:rsidR="00876A1D" w:rsidRPr="00A93CD2" w:rsidRDefault="00876A1D" w:rsidP="00876A1D">
      <w:pPr>
        <w:pStyle w:val="Heading2"/>
        <w:ind w:left="360"/>
        <w:rPr>
          <w:rFonts w:ascii="Palatino Linotype" w:hAnsi="Palatino Linotype"/>
          <w:sz w:val="20"/>
          <w:szCs w:val="20"/>
          <w:lang w:val="en-CA"/>
        </w:rPr>
      </w:pPr>
      <w:r w:rsidRPr="00A93CD2">
        <w:rPr>
          <w:rFonts w:ascii="Palatino Linotype" w:hAnsi="Palatino Linotype"/>
          <w:sz w:val="20"/>
          <w:szCs w:val="20"/>
          <w:lang w:val="en-CA"/>
        </w:rPr>
        <w:lastRenderedPageBreak/>
        <w:t>References</w:t>
      </w:r>
    </w:p>
    <w:p w14:paraId="3142F9A0" w14:textId="510583EE" w:rsidR="00EF0866" w:rsidRPr="00EF0866" w:rsidRDefault="00876A1D"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A93CD2">
        <w:rPr>
          <w:rFonts w:ascii="Palatino Linotype" w:hAnsi="Palatino Linotype"/>
          <w:sz w:val="20"/>
          <w:szCs w:val="20"/>
          <w:lang w:val="en-CA"/>
        </w:rPr>
        <w:fldChar w:fldCharType="begin" w:fldLock="1"/>
      </w:r>
      <w:r w:rsidRPr="00A93CD2">
        <w:rPr>
          <w:rFonts w:ascii="Palatino Linotype" w:hAnsi="Palatino Linotype"/>
          <w:sz w:val="20"/>
          <w:szCs w:val="20"/>
          <w:lang w:val="en-CA"/>
        </w:rPr>
        <w:instrText xml:space="preserve">ADDIN Mendeley Bibliography CSL_BIBLIOGRAPHY </w:instrText>
      </w:r>
      <w:r w:rsidRPr="00A93CD2">
        <w:rPr>
          <w:rFonts w:ascii="Palatino Linotype" w:hAnsi="Palatino Linotype"/>
          <w:sz w:val="20"/>
          <w:szCs w:val="20"/>
          <w:lang w:val="en-CA"/>
        </w:rPr>
        <w:fldChar w:fldCharType="separate"/>
      </w:r>
      <w:r w:rsidR="00EF0866" w:rsidRPr="00EF0866">
        <w:rPr>
          <w:rFonts w:ascii="Palatino Linotype" w:hAnsi="Palatino Linotype" w:cs="Times New Roman"/>
          <w:noProof/>
          <w:sz w:val="20"/>
          <w:szCs w:val="24"/>
        </w:rPr>
        <w:t xml:space="preserve">1. </w:t>
      </w:r>
      <w:r w:rsidR="00EF0866" w:rsidRPr="00EF0866">
        <w:rPr>
          <w:rFonts w:ascii="Palatino Linotype" w:hAnsi="Palatino Linotype" w:cs="Times New Roman"/>
          <w:noProof/>
          <w:sz w:val="20"/>
          <w:szCs w:val="24"/>
        </w:rPr>
        <w:tab/>
        <w:t xml:space="preserve">Villarini, G.; Smith, J. A.; Baeck, M. L.; Krajewski, W. F. Examining Flood Frequency Distributions in the Midwest U.S.1. </w:t>
      </w:r>
      <w:r w:rsidR="00EF0866" w:rsidRPr="00EF0866">
        <w:rPr>
          <w:rFonts w:ascii="Palatino Linotype" w:hAnsi="Palatino Linotype" w:cs="Times New Roman"/>
          <w:i/>
          <w:iCs/>
          <w:noProof/>
          <w:sz w:val="20"/>
          <w:szCs w:val="24"/>
        </w:rPr>
        <w:t>JAWRA J. Am. Water Resour. Assoc.</w:t>
      </w:r>
      <w:r w:rsidR="00EF0866" w:rsidRPr="00EF0866">
        <w:rPr>
          <w:rFonts w:ascii="Palatino Linotype" w:hAnsi="Palatino Linotype" w:cs="Times New Roman"/>
          <w:noProof/>
          <w:sz w:val="20"/>
          <w:szCs w:val="24"/>
        </w:rPr>
        <w:t xml:space="preserve"> </w:t>
      </w:r>
      <w:r w:rsidR="00EF0866" w:rsidRPr="00EF0866">
        <w:rPr>
          <w:rFonts w:ascii="Palatino Linotype" w:hAnsi="Palatino Linotype" w:cs="Times New Roman"/>
          <w:b/>
          <w:bCs/>
          <w:noProof/>
          <w:sz w:val="20"/>
          <w:szCs w:val="24"/>
        </w:rPr>
        <w:t>2011</w:t>
      </w:r>
      <w:r w:rsidR="00EF0866" w:rsidRPr="00EF0866">
        <w:rPr>
          <w:rFonts w:ascii="Palatino Linotype" w:hAnsi="Palatino Linotype" w:cs="Times New Roman"/>
          <w:noProof/>
          <w:sz w:val="20"/>
          <w:szCs w:val="24"/>
        </w:rPr>
        <w:t xml:space="preserve">, </w:t>
      </w:r>
      <w:r w:rsidR="00EF0866" w:rsidRPr="00EF0866">
        <w:rPr>
          <w:rFonts w:ascii="Palatino Linotype" w:hAnsi="Palatino Linotype" w:cs="Times New Roman"/>
          <w:i/>
          <w:iCs/>
          <w:noProof/>
          <w:sz w:val="20"/>
          <w:szCs w:val="24"/>
        </w:rPr>
        <w:t>47</w:t>
      </w:r>
      <w:r w:rsidR="00EF0866" w:rsidRPr="00EF0866">
        <w:rPr>
          <w:rFonts w:ascii="Palatino Linotype" w:hAnsi="Palatino Linotype" w:cs="Times New Roman"/>
          <w:noProof/>
          <w:sz w:val="20"/>
          <w:szCs w:val="24"/>
        </w:rPr>
        <w:t>, 447–463, doi:10.1111/j.1752-1688.2011.00540.x.</w:t>
      </w:r>
    </w:p>
    <w:p w14:paraId="716F3328"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2. </w:t>
      </w:r>
      <w:r w:rsidRPr="00EF0866">
        <w:rPr>
          <w:rFonts w:ascii="Palatino Linotype" w:hAnsi="Palatino Linotype" w:cs="Times New Roman"/>
          <w:noProof/>
          <w:sz w:val="20"/>
          <w:szCs w:val="24"/>
        </w:rPr>
        <w:tab/>
        <w:t xml:space="preserve">Mallakpour, I.; Villarini, G. The changing nature of flooding across the central United States. </w:t>
      </w:r>
      <w:r w:rsidRPr="00EF0866">
        <w:rPr>
          <w:rFonts w:ascii="Palatino Linotype" w:hAnsi="Palatino Linotype" w:cs="Times New Roman"/>
          <w:i/>
          <w:iCs/>
          <w:noProof/>
          <w:sz w:val="20"/>
          <w:szCs w:val="24"/>
        </w:rPr>
        <w:t>Nat. Clim. Chang.</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2015</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5</w:t>
      </w:r>
      <w:r w:rsidRPr="00EF0866">
        <w:rPr>
          <w:rFonts w:ascii="Palatino Linotype" w:hAnsi="Palatino Linotype" w:cs="Times New Roman"/>
          <w:noProof/>
          <w:sz w:val="20"/>
          <w:szCs w:val="24"/>
        </w:rPr>
        <w:t>, 250–254, doi:10.1038/nclimate2516.</w:t>
      </w:r>
    </w:p>
    <w:p w14:paraId="520A8309"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3. </w:t>
      </w:r>
      <w:r w:rsidRPr="00EF0866">
        <w:rPr>
          <w:rFonts w:ascii="Palatino Linotype" w:hAnsi="Palatino Linotype" w:cs="Times New Roman"/>
          <w:noProof/>
          <w:sz w:val="20"/>
          <w:szCs w:val="24"/>
        </w:rPr>
        <w:tab/>
        <w:t xml:space="preserve">Federal Emergency Management Agency </w:t>
      </w:r>
      <w:r w:rsidRPr="00EF0866">
        <w:rPr>
          <w:rFonts w:ascii="Palatino Linotype" w:hAnsi="Palatino Linotype" w:cs="Times New Roman"/>
          <w:i/>
          <w:iCs/>
          <w:noProof/>
          <w:sz w:val="20"/>
          <w:szCs w:val="24"/>
        </w:rPr>
        <w:t>Flood Insurance Study. Harris County, Texas and Incorporated Areas</w:t>
      </w:r>
      <w:r w:rsidRPr="00EF0866">
        <w:rPr>
          <w:rFonts w:ascii="Palatino Linotype" w:hAnsi="Palatino Linotype" w:cs="Times New Roman"/>
          <w:noProof/>
          <w:sz w:val="20"/>
          <w:szCs w:val="24"/>
        </w:rPr>
        <w:t>; Washington, D.C., 2017; Vol. 1&amp;2;.</w:t>
      </w:r>
    </w:p>
    <w:p w14:paraId="7851D3B2"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4. </w:t>
      </w:r>
      <w:r w:rsidRPr="00EF0866">
        <w:rPr>
          <w:rFonts w:ascii="Palatino Linotype" w:hAnsi="Palatino Linotype" w:cs="Times New Roman"/>
          <w:noProof/>
          <w:sz w:val="20"/>
          <w:szCs w:val="24"/>
        </w:rPr>
        <w:tab/>
        <w:t xml:space="preserve">Qian, Z. Without zoning: Urban development and land use controls in Houston. </w:t>
      </w:r>
      <w:r w:rsidRPr="00EF0866">
        <w:rPr>
          <w:rFonts w:ascii="Palatino Linotype" w:hAnsi="Palatino Linotype" w:cs="Times New Roman"/>
          <w:i/>
          <w:iCs/>
          <w:noProof/>
          <w:sz w:val="20"/>
          <w:szCs w:val="24"/>
        </w:rPr>
        <w:t>Cities</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2010</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27</w:t>
      </w:r>
      <w:r w:rsidRPr="00EF0866">
        <w:rPr>
          <w:rFonts w:ascii="Palatino Linotype" w:hAnsi="Palatino Linotype" w:cs="Times New Roman"/>
          <w:noProof/>
          <w:sz w:val="20"/>
          <w:szCs w:val="24"/>
        </w:rPr>
        <w:t>, 31–41, doi:10.1016/j.cities.2009.11.006.</w:t>
      </w:r>
    </w:p>
    <w:p w14:paraId="76335549"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5. </w:t>
      </w:r>
      <w:r w:rsidRPr="00EF0866">
        <w:rPr>
          <w:rFonts w:ascii="Palatino Linotype" w:hAnsi="Palatino Linotype" w:cs="Times New Roman"/>
          <w:noProof/>
          <w:sz w:val="20"/>
          <w:szCs w:val="24"/>
        </w:rPr>
        <w:tab/>
        <w:t>NOAA National Oceanic and Atmospheric Administration. Tides and Currents. Annual Exceedance Probability Curves 8771450 Galveston Pier 21, TX, https://tidesandcurrents.noaa.gov/est/curves.shtml?stnid=8771450, [accessed December 2017].</w:t>
      </w:r>
    </w:p>
    <w:p w14:paraId="2A5BDB04"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6. </w:t>
      </w:r>
      <w:r w:rsidRPr="00EF0866">
        <w:rPr>
          <w:rFonts w:ascii="Palatino Linotype" w:hAnsi="Palatino Linotype" w:cs="Times New Roman"/>
          <w:noProof/>
          <w:sz w:val="20"/>
          <w:szCs w:val="24"/>
        </w:rPr>
        <w:tab/>
        <w:t xml:space="preserve">McLachlan, G.; Peel, D. </w:t>
      </w:r>
      <w:r w:rsidRPr="00EF0866">
        <w:rPr>
          <w:rFonts w:ascii="Palatino Linotype" w:hAnsi="Palatino Linotype" w:cs="Times New Roman"/>
          <w:i/>
          <w:iCs/>
          <w:noProof/>
          <w:sz w:val="20"/>
          <w:szCs w:val="24"/>
        </w:rPr>
        <w:t>Finite mixture models</w:t>
      </w:r>
      <w:r w:rsidRPr="00EF0866">
        <w:rPr>
          <w:rFonts w:ascii="Palatino Linotype" w:hAnsi="Palatino Linotype" w:cs="Times New Roman"/>
          <w:noProof/>
          <w:sz w:val="20"/>
          <w:szCs w:val="24"/>
        </w:rPr>
        <w:t>; Wiley Interscience: Hoboken, NJ, 2000;</w:t>
      </w:r>
    </w:p>
    <w:p w14:paraId="20EDE7EB"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7. </w:t>
      </w:r>
      <w:r w:rsidRPr="00EF0866">
        <w:rPr>
          <w:rFonts w:ascii="Palatino Linotype" w:hAnsi="Palatino Linotype" w:cs="Times New Roman"/>
          <w:noProof/>
          <w:sz w:val="20"/>
          <w:szCs w:val="24"/>
        </w:rPr>
        <w:tab/>
        <w:t xml:space="preserve">Serinaldi, F. Can we tell more than we can know? The limits of bivariate drought analyses in the United States. </w:t>
      </w:r>
      <w:r w:rsidRPr="00EF0866">
        <w:rPr>
          <w:rFonts w:ascii="Palatino Linotype" w:hAnsi="Palatino Linotype" w:cs="Times New Roman"/>
          <w:i/>
          <w:iCs/>
          <w:noProof/>
          <w:sz w:val="20"/>
          <w:szCs w:val="24"/>
        </w:rPr>
        <w:t>Stoch. Environ. Res. Risk Assess.</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2015</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30</w:t>
      </w:r>
      <w:r w:rsidRPr="00EF0866">
        <w:rPr>
          <w:rFonts w:ascii="Palatino Linotype" w:hAnsi="Palatino Linotype" w:cs="Times New Roman"/>
          <w:noProof/>
          <w:sz w:val="20"/>
          <w:szCs w:val="24"/>
        </w:rPr>
        <w:t>, 1691–1704, doi:10.1007/s00477-015-1124-3.</w:t>
      </w:r>
    </w:p>
    <w:p w14:paraId="61E6F670"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8. </w:t>
      </w:r>
      <w:r w:rsidRPr="00EF0866">
        <w:rPr>
          <w:rFonts w:ascii="Palatino Linotype" w:hAnsi="Palatino Linotype" w:cs="Times New Roman"/>
          <w:noProof/>
          <w:sz w:val="20"/>
          <w:szCs w:val="24"/>
        </w:rPr>
        <w:tab/>
        <w:t xml:space="preserve">Claps, P.; Laio, F. Can continuous streamflow data support flood frequency analysis? An alternative to the partial duration series approach. </w:t>
      </w:r>
      <w:r w:rsidRPr="00EF0866">
        <w:rPr>
          <w:rFonts w:ascii="Palatino Linotype" w:hAnsi="Palatino Linotype" w:cs="Times New Roman"/>
          <w:i/>
          <w:iCs/>
          <w:noProof/>
          <w:sz w:val="20"/>
          <w:szCs w:val="24"/>
        </w:rPr>
        <w:t>Water Resour. Res.</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2003</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39</w:t>
      </w:r>
      <w:r w:rsidRPr="00EF0866">
        <w:rPr>
          <w:rFonts w:ascii="Palatino Linotype" w:hAnsi="Palatino Linotype" w:cs="Times New Roman"/>
          <w:noProof/>
          <w:sz w:val="20"/>
          <w:szCs w:val="24"/>
        </w:rPr>
        <w:t>, 1–11, doi:10.1029/2002WR001868.</w:t>
      </w:r>
    </w:p>
    <w:p w14:paraId="74891F3F"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9. </w:t>
      </w:r>
      <w:r w:rsidRPr="00EF0866">
        <w:rPr>
          <w:rFonts w:ascii="Palatino Linotype" w:hAnsi="Palatino Linotype" w:cs="Times New Roman"/>
          <w:noProof/>
          <w:sz w:val="20"/>
          <w:szCs w:val="24"/>
        </w:rPr>
        <w:tab/>
        <w:t xml:space="preserve">US Army Corps of Engineers </w:t>
      </w:r>
      <w:r w:rsidRPr="00EF0866">
        <w:rPr>
          <w:rFonts w:ascii="Palatino Linotype" w:hAnsi="Palatino Linotype" w:cs="Times New Roman"/>
          <w:i/>
          <w:iCs/>
          <w:noProof/>
          <w:sz w:val="20"/>
          <w:szCs w:val="24"/>
        </w:rPr>
        <w:t>HEC-RAS River Analysis System. Hydraulic Reference Manual.</w:t>
      </w:r>
      <w:r w:rsidRPr="00EF0866">
        <w:rPr>
          <w:rFonts w:ascii="Palatino Linotype" w:hAnsi="Palatino Linotype" w:cs="Times New Roman"/>
          <w:noProof/>
          <w:sz w:val="20"/>
          <w:szCs w:val="24"/>
        </w:rPr>
        <w:t>; Davis, CA, 2016;</w:t>
      </w:r>
    </w:p>
    <w:p w14:paraId="4B8097B1"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10. </w:t>
      </w:r>
      <w:r w:rsidRPr="00EF0866">
        <w:rPr>
          <w:rFonts w:ascii="Palatino Linotype" w:hAnsi="Palatino Linotype" w:cs="Times New Roman"/>
          <w:noProof/>
          <w:sz w:val="20"/>
          <w:szCs w:val="24"/>
        </w:rPr>
        <w:tab/>
        <w:t xml:space="preserve">Ray, T.; Stepinski, E.; Sebastian, A.; Bedient, P. B. Dynamic Modeling of Storm Surge and Inland Flooding in a Texas Coastal Floodplain. </w:t>
      </w:r>
      <w:r w:rsidRPr="00EF0866">
        <w:rPr>
          <w:rFonts w:ascii="Palatino Linotype" w:hAnsi="Palatino Linotype" w:cs="Times New Roman"/>
          <w:i/>
          <w:iCs/>
          <w:noProof/>
          <w:sz w:val="20"/>
          <w:szCs w:val="24"/>
        </w:rPr>
        <w:t>J. Hydraul. Eng.</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2011</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137</w:t>
      </w:r>
      <w:r w:rsidRPr="00EF0866">
        <w:rPr>
          <w:rFonts w:ascii="Palatino Linotype" w:hAnsi="Palatino Linotype" w:cs="Times New Roman"/>
          <w:noProof/>
          <w:sz w:val="20"/>
          <w:szCs w:val="24"/>
        </w:rPr>
        <w:t>, 1103–1111, doi:10.1061/(ASCE)HY.1943-7900.0000398.</w:t>
      </w:r>
    </w:p>
    <w:p w14:paraId="1F48390B"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11. </w:t>
      </w:r>
      <w:r w:rsidRPr="00EF0866">
        <w:rPr>
          <w:rFonts w:ascii="Palatino Linotype" w:hAnsi="Palatino Linotype" w:cs="Times New Roman"/>
          <w:noProof/>
          <w:sz w:val="20"/>
          <w:szCs w:val="24"/>
        </w:rPr>
        <w:tab/>
        <w:t xml:space="preserve">Henderson, F. M. </w:t>
      </w:r>
      <w:r w:rsidRPr="00EF0866">
        <w:rPr>
          <w:rFonts w:ascii="Palatino Linotype" w:hAnsi="Palatino Linotype" w:cs="Times New Roman"/>
          <w:i/>
          <w:iCs/>
          <w:noProof/>
          <w:sz w:val="20"/>
          <w:szCs w:val="24"/>
        </w:rPr>
        <w:t>Open Channel Flow</w:t>
      </w:r>
      <w:r w:rsidRPr="00EF0866">
        <w:rPr>
          <w:rFonts w:ascii="Palatino Linotype" w:hAnsi="Palatino Linotype" w:cs="Times New Roman"/>
          <w:noProof/>
          <w:sz w:val="20"/>
          <w:szCs w:val="24"/>
        </w:rPr>
        <w:t>; Prentice-Hall: Upper Saddle River, NJ, 1966; ISBN 0023535105.</w:t>
      </w:r>
    </w:p>
    <w:p w14:paraId="30C1295F"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12. </w:t>
      </w:r>
      <w:r w:rsidRPr="00EF0866">
        <w:rPr>
          <w:rFonts w:ascii="Palatino Linotype" w:hAnsi="Palatino Linotype" w:cs="Times New Roman"/>
          <w:noProof/>
          <w:sz w:val="20"/>
          <w:szCs w:val="24"/>
        </w:rPr>
        <w:tab/>
        <w:t>Harris County Flood Control District Model and Map Management System. Available online: http://www.m3models.org/ (accessed on Jul 1, 2016).</w:t>
      </w:r>
    </w:p>
    <w:p w14:paraId="7D5CFB33"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13. </w:t>
      </w:r>
      <w:r w:rsidRPr="00EF0866">
        <w:rPr>
          <w:rFonts w:ascii="Palatino Linotype" w:hAnsi="Palatino Linotype" w:cs="Times New Roman"/>
          <w:noProof/>
          <w:sz w:val="20"/>
          <w:szCs w:val="24"/>
        </w:rPr>
        <w:tab/>
        <w:t xml:space="preserve">Hanea, A.; Morales Napoles, O.; Ababei, D. Non-parametric Bayesian networks: Improving theory and reviewing applications. </w:t>
      </w:r>
      <w:r w:rsidRPr="00EF0866">
        <w:rPr>
          <w:rFonts w:ascii="Palatino Linotype" w:hAnsi="Palatino Linotype" w:cs="Times New Roman"/>
          <w:i/>
          <w:iCs/>
          <w:noProof/>
          <w:sz w:val="20"/>
          <w:szCs w:val="24"/>
        </w:rPr>
        <w:t>Reliab. Eng. Syst. Saf.</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2015</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144</w:t>
      </w:r>
      <w:r w:rsidRPr="00EF0866">
        <w:rPr>
          <w:rFonts w:ascii="Palatino Linotype" w:hAnsi="Palatino Linotype" w:cs="Times New Roman"/>
          <w:noProof/>
          <w:sz w:val="20"/>
          <w:szCs w:val="24"/>
        </w:rPr>
        <w:t>, 265–284, doi:10.1016/j.ress.2015.07.027.</w:t>
      </w:r>
    </w:p>
    <w:p w14:paraId="731DBD9F"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14. </w:t>
      </w:r>
      <w:r w:rsidRPr="00EF0866">
        <w:rPr>
          <w:rFonts w:ascii="Palatino Linotype" w:hAnsi="Palatino Linotype" w:cs="Times New Roman"/>
          <w:noProof/>
          <w:sz w:val="20"/>
          <w:szCs w:val="24"/>
        </w:rPr>
        <w:tab/>
        <w:t xml:space="preserve">Klerk, W. J.; Winsemius, H. C.; van Verseveld, W. J.; Bakker, A. M. R.; Diermanse, F. L. M. The co-incidence of storm surges and extreme discharges within the Rhine–Meuse Delta. </w:t>
      </w:r>
      <w:r w:rsidRPr="00EF0866">
        <w:rPr>
          <w:rFonts w:ascii="Palatino Linotype" w:hAnsi="Palatino Linotype" w:cs="Times New Roman"/>
          <w:i/>
          <w:iCs/>
          <w:noProof/>
          <w:sz w:val="20"/>
          <w:szCs w:val="24"/>
        </w:rPr>
        <w:t>Environ. Res. Lett.</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2015</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10</w:t>
      </w:r>
      <w:r w:rsidRPr="00EF0866">
        <w:rPr>
          <w:rFonts w:ascii="Palatino Linotype" w:hAnsi="Palatino Linotype" w:cs="Times New Roman"/>
          <w:noProof/>
          <w:sz w:val="20"/>
          <w:szCs w:val="24"/>
        </w:rPr>
        <w:t>, 035005, doi:10.1088/1748-9326/10/3/035005.</w:t>
      </w:r>
    </w:p>
    <w:p w14:paraId="570084C1"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15. </w:t>
      </w:r>
      <w:r w:rsidRPr="00EF0866">
        <w:rPr>
          <w:rFonts w:ascii="Palatino Linotype" w:hAnsi="Palatino Linotype" w:cs="Times New Roman"/>
          <w:noProof/>
          <w:sz w:val="20"/>
          <w:szCs w:val="24"/>
        </w:rPr>
        <w:tab/>
        <w:t xml:space="preserve">Bevacqua, E.; Maraun, D.; Hobæk Haff, I.; Widmann, M.; Vrac, M. Multivariate statistical modelling of compound events via pair-copula constructions: analysis of floods in Ravenna (Italy). </w:t>
      </w:r>
      <w:r w:rsidRPr="00EF0866">
        <w:rPr>
          <w:rFonts w:ascii="Palatino Linotype" w:hAnsi="Palatino Linotype" w:cs="Times New Roman"/>
          <w:i/>
          <w:iCs/>
          <w:noProof/>
          <w:sz w:val="20"/>
          <w:szCs w:val="24"/>
        </w:rPr>
        <w:t>Hydrol. Earth Syst. Sci.</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2017</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21</w:t>
      </w:r>
      <w:r w:rsidRPr="00EF0866">
        <w:rPr>
          <w:rFonts w:ascii="Palatino Linotype" w:hAnsi="Palatino Linotype" w:cs="Times New Roman"/>
          <w:noProof/>
          <w:sz w:val="20"/>
          <w:szCs w:val="24"/>
        </w:rPr>
        <w:t>, 2701–2723, doi:10.5194/hess-21-2701-2017.</w:t>
      </w:r>
    </w:p>
    <w:p w14:paraId="49F1D407"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16. </w:t>
      </w:r>
      <w:r w:rsidRPr="00EF0866">
        <w:rPr>
          <w:rFonts w:ascii="Palatino Linotype" w:hAnsi="Palatino Linotype" w:cs="Times New Roman"/>
          <w:noProof/>
          <w:sz w:val="20"/>
          <w:szCs w:val="24"/>
        </w:rPr>
        <w:tab/>
        <w:t xml:space="preserve">Joe, H. </w:t>
      </w:r>
      <w:r w:rsidRPr="00EF0866">
        <w:rPr>
          <w:rFonts w:ascii="Palatino Linotype" w:hAnsi="Palatino Linotype" w:cs="Times New Roman"/>
          <w:i/>
          <w:iCs/>
          <w:noProof/>
          <w:sz w:val="20"/>
          <w:szCs w:val="24"/>
        </w:rPr>
        <w:t>Dependence Modeling with Copulas</w:t>
      </w:r>
      <w:r w:rsidRPr="00EF0866">
        <w:rPr>
          <w:rFonts w:ascii="Palatino Linotype" w:hAnsi="Palatino Linotype" w:cs="Times New Roman"/>
          <w:noProof/>
          <w:sz w:val="20"/>
          <w:szCs w:val="24"/>
        </w:rPr>
        <w:t>; Chapman &amp; Hall/CRC: London, UK, 2015; ISBN 9781466583221.</w:t>
      </w:r>
    </w:p>
    <w:p w14:paraId="5D5FEA4E"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cs="Times New Roman"/>
          <w:noProof/>
          <w:sz w:val="20"/>
          <w:szCs w:val="24"/>
        </w:rPr>
      </w:pPr>
      <w:r w:rsidRPr="00EF0866">
        <w:rPr>
          <w:rFonts w:ascii="Palatino Linotype" w:hAnsi="Palatino Linotype" w:cs="Times New Roman"/>
          <w:noProof/>
          <w:sz w:val="20"/>
          <w:szCs w:val="24"/>
        </w:rPr>
        <w:t xml:space="preserve">17. </w:t>
      </w:r>
      <w:r w:rsidRPr="00EF0866">
        <w:rPr>
          <w:rFonts w:ascii="Palatino Linotype" w:hAnsi="Palatino Linotype" w:cs="Times New Roman"/>
          <w:noProof/>
          <w:sz w:val="20"/>
          <w:szCs w:val="24"/>
        </w:rPr>
        <w:tab/>
        <w:t xml:space="preserve">Genest, C.; Rémillard, B.; Beaudoin, D. Goodness-of-fit tests for copulas: A review and a power </w:t>
      </w:r>
      <w:r w:rsidRPr="00EF0866">
        <w:rPr>
          <w:rFonts w:ascii="Palatino Linotype" w:hAnsi="Palatino Linotype" w:cs="Times New Roman"/>
          <w:noProof/>
          <w:sz w:val="20"/>
          <w:szCs w:val="24"/>
        </w:rPr>
        <w:lastRenderedPageBreak/>
        <w:t xml:space="preserve">study. </w:t>
      </w:r>
      <w:r w:rsidRPr="00EF0866">
        <w:rPr>
          <w:rFonts w:ascii="Palatino Linotype" w:hAnsi="Palatino Linotype" w:cs="Times New Roman"/>
          <w:i/>
          <w:iCs/>
          <w:noProof/>
          <w:sz w:val="20"/>
          <w:szCs w:val="24"/>
        </w:rPr>
        <w:t>Insur. Math. Econ.</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2009</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44</w:t>
      </w:r>
      <w:r w:rsidRPr="00EF0866">
        <w:rPr>
          <w:rFonts w:ascii="Palatino Linotype" w:hAnsi="Palatino Linotype" w:cs="Times New Roman"/>
          <w:noProof/>
          <w:sz w:val="20"/>
          <w:szCs w:val="24"/>
        </w:rPr>
        <w:t>, 199–213, doi:10.1016/j.insmat</w:t>
      </w:r>
      <w:bookmarkStart w:id="0" w:name="_GoBack"/>
      <w:bookmarkEnd w:id="0"/>
      <w:r w:rsidRPr="00EF0866">
        <w:rPr>
          <w:rFonts w:ascii="Palatino Linotype" w:hAnsi="Palatino Linotype" w:cs="Times New Roman"/>
          <w:noProof/>
          <w:sz w:val="20"/>
          <w:szCs w:val="24"/>
        </w:rPr>
        <w:t>heco.2007.10.005.</w:t>
      </w:r>
    </w:p>
    <w:p w14:paraId="43ACA367" w14:textId="77777777" w:rsidR="00EF0866" w:rsidRPr="00EF0866" w:rsidRDefault="00EF0866" w:rsidP="00EF0866">
      <w:pPr>
        <w:widowControl w:val="0"/>
        <w:autoSpaceDE w:val="0"/>
        <w:autoSpaceDN w:val="0"/>
        <w:adjustRightInd w:val="0"/>
        <w:spacing w:line="240" w:lineRule="auto"/>
        <w:ind w:left="640" w:hanging="640"/>
        <w:rPr>
          <w:rFonts w:ascii="Palatino Linotype" w:hAnsi="Palatino Linotype"/>
          <w:noProof/>
          <w:sz w:val="20"/>
        </w:rPr>
      </w:pPr>
      <w:r w:rsidRPr="00EF0866">
        <w:rPr>
          <w:rFonts w:ascii="Palatino Linotype" w:hAnsi="Palatino Linotype" w:cs="Times New Roman"/>
          <w:noProof/>
          <w:sz w:val="20"/>
          <w:szCs w:val="24"/>
        </w:rPr>
        <w:t xml:space="preserve">18. </w:t>
      </w:r>
      <w:r w:rsidRPr="00EF0866">
        <w:rPr>
          <w:rFonts w:ascii="Palatino Linotype" w:hAnsi="Palatino Linotype" w:cs="Times New Roman"/>
          <w:noProof/>
          <w:sz w:val="20"/>
          <w:szCs w:val="24"/>
        </w:rPr>
        <w:tab/>
        <w:t xml:space="preserve">Paprotny, D.; Morales-Nápoles, O. Estimating extreme river discharges in Europe through a Bayesian network. </w:t>
      </w:r>
      <w:r w:rsidRPr="00EF0866">
        <w:rPr>
          <w:rFonts w:ascii="Palatino Linotype" w:hAnsi="Palatino Linotype" w:cs="Times New Roman"/>
          <w:i/>
          <w:iCs/>
          <w:noProof/>
          <w:sz w:val="20"/>
          <w:szCs w:val="24"/>
        </w:rPr>
        <w:t>Hydrol. Earth Syst. Sci.</w:t>
      </w:r>
      <w:r w:rsidRPr="00EF0866">
        <w:rPr>
          <w:rFonts w:ascii="Palatino Linotype" w:hAnsi="Palatino Linotype" w:cs="Times New Roman"/>
          <w:noProof/>
          <w:sz w:val="20"/>
          <w:szCs w:val="24"/>
        </w:rPr>
        <w:t xml:space="preserve"> </w:t>
      </w:r>
      <w:r w:rsidRPr="00EF0866">
        <w:rPr>
          <w:rFonts w:ascii="Palatino Linotype" w:hAnsi="Palatino Linotype" w:cs="Times New Roman"/>
          <w:b/>
          <w:bCs/>
          <w:noProof/>
          <w:sz w:val="20"/>
          <w:szCs w:val="24"/>
        </w:rPr>
        <w:t>2017</w:t>
      </w:r>
      <w:r w:rsidRPr="00EF0866">
        <w:rPr>
          <w:rFonts w:ascii="Palatino Linotype" w:hAnsi="Palatino Linotype" w:cs="Times New Roman"/>
          <w:noProof/>
          <w:sz w:val="20"/>
          <w:szCs w:val="24"/>
        </w:rPr>
        <w:t xml:space="preserve">, </w:t>
      </w:r>
      <w:r w:rsidRPr="00EF0866">
        <w:rPr>
          <w:rFonts w:ascii="Palatino Linotype" w:hAnsi="Palatino Linotype" w:cs="Times New Roman"/>
          <w:i/>
          <w:iCs/>
          <w:noProof/>
          <w:sz w:val="20"/>
          <w:szCs w:val="24"/>
        </w:rPr>
        <w:t>21</w:t>
      </w:r>
      <w:r w:rsidRPr="00EF0866">
        <w:rPr>
          <w:rFonts w:ascii="Palatino Linotype" w:hAnsi="Palatino Linotype" w:cs="Times New Roman"/>
          <w:noProof/>
          <w:sz w:val="20"/>
          <w:szCs w:val="24"/>
        </w:rPr>
        <w:t>, 2615–2636, doi:10.5194/hess-21-2615-2017.</w:t>
      </w:r>
    </w:p>
    <w:p w14:paraId="60EB16FB" w14:textId="02F25FC4" w:rsidR="00876A1D" w:rsidRPr="00A93CD2" w:rsidRDefault="00876A1D" w:rsidP="00EF0866">
      <w:pPr>
        <w:widowControl w:val="0"/>
        <w:autoSpaceDE w:val="0"/>
        <w:autoSpaceDN w:val="0"/>
        <w:adjustRightInd w:val="0"/>
        <w:spacing w:line="240" w:lineRule="auto"/>
        <w:ind w:left="640" w:hanging="640"/>
        <w:rPr>
          <w:rFonts w:ascii="Palatino Linotype" w:hAnsi="Palatino Linotype"/>
          <w:b/>
          <w:sz w:val="20"/>
          <w:szCs w:val="20"/>
          <w:lang w:val="en-CA"/>
        </w:rPr>
      </w:pPr>
      <w:r w:rsidRPr="00A93CD2">
        <w:rPr>
          <w:rFonts w:ascii="Palatino Linotype" w:hAnsi="Palatino Linotype"/>
          <w:sz w:val="20"/>
          <w:szCs w:val="20"/>
          <w:lang w:val="en-CA"/>
        </w:rPr>
        <w:fldChar w:fldCharType="end"/>
      </w:r>
    </w:p>
    <w:sectPr w:rsidR="00876A1D" w:rsidRPr="00A93CD2" w:rsidSect="00F54C28">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76DC"/>
    <w:multiLevelType w:val="multilevel"/>
    <w:tmpl w:val="0EBED158"/>
    <w:lvl w:ilvl="0">
      <w:start w:val="1"/>
      <w:numFmt w:val="decimal"/>
      <w:lvlText w:val="A%1."/>
      <w:lvlJc w:val="left"/>
      <w:pPr>
        <w:ind w:left="360" w:hanging="360"/>
      </w:pPr>
      <w:rPr>
        <w:rFonts w:hint="default"/>
      </w:rPr>
    </w:lvl>
    <w:lvl w:ilvl="1">
      <w:start w:val="1"/>
      <w:numFmt w:val="decimal"/>
      <w:lvlText w:val="A%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6906B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11618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C0387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7017FF"/>
    <w:multiLevelType w:val="hybridMultilevel"/>
    <w:tmpl w:val="254A0B4E"/>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9F7EE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4B57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567"/>
    <w:rsid w:val="00001C85"/>
    <w:rsid w:val="00042847"/>
    <w:rsid w:val="00060BEF"/>
    <w:rsid w:val="00063C44"/>
    <w:rsid w:val="00070D25"/>
    <w:rsid w:val="00080B33"/>
    <w:rsid w:val="000921A2"/>
    <w:rsid w:val="00096861"/>
    <w:rsid w:val="000A19D9"/>
    <w:rsid w:val="000A4C7C"/>
    <w:rsid w:val="000A75FC"/>
    <w:rsid w:val="000C3FE7"/>
    <w:rsid w:val="000D7AE0"/>
    <w:rsid w:val="000F2F23"/>
    <w:rsid w:val="0010160F"/>
    <w:rsid w:val="0010729E"/>
    <w:rsid w:val="00120EC7"/>
    <w:rsid w:val="00133C31"/>
    <w:rsid w:val="001400D4"/>
    <w:rsid w:val="001466FA"/>
    <w:rsid w:val="001512D4"/>
    <w:rsid w:val="00175143"/>
    <w:rsid w:val="001961F3"/>
    <w:rsid w:val="001A17BA"/>
    <w:rsid w:val="001A30EA"/>
    <w:rsid w:val="001A3825"/>
    <w:rsid w:val="001B2C1E"/>
    <w:rsid w:val="001B3469"/>
    <w:rsid w:val="001B538D"/>
    <w:rsid w:val="001B5979"/>
    <w:rsid w:val="001B59D8"/>
    <w:rsid w:val="001C0980"/>
    <w:rsid w:val="001C4E2F"/>
    <w:rsid w:val="001C56EE"/>
    <w:rsid w:val="001D3661"/>
    <w:rsid w:val="001F15C8"/>
    <w:rsid w:val="001F66B3"/>
    <w:rsid w:val="001F758A"/>
    <w:rsid w:val="002112F1"/>
    <w:rsid w:val="00225926"/>
    <w:rsid w:val="00227B0D"/>
    <w:rsid w:val="002367F8"/>
    <w:rsid w:val="00242C36"/>
    <w:rsid w:val="00244972"/>
    <w:rsid w:val="00255360"/>
    <w:rsid w:val="00272ACB"/>
    <w:rsid w:val="002734EA"/>
    <w:rsid w:val="0027427A"/>
    <w:rsid w:val="00282E9C"/>
    <w:rsid w:val="00283076"/>
    <w:rsid w:val="002C4A53"/>
    <w:rsid w:val="0030536D"/>
    <w:rsid w:val="003232FE"/>
    <w:rsid w:val="00326941"/>
    <w:rsid w:val="00335D16"/>
    <w:rsid w:val="00362A8B"/>
    <w:rsid w:val="00377A3C"/>
    <w:rsid w:val="003954BA"/>
    <w:rsid w:val="003D32A1"/>
    <w:rsid w:val="003E2494"/>
    <w:rsid w:val="003E5E0F"/>
    <w:rsid w:val="003F2284"/>
    <w:rsid w:val="003F7817"/>
    <w:rsid w:val="00405B05"/>
    <w:rsid w:val="0041704C"/>
    <w:rsid w:val="0042256E"/>
    <w:rsid w:val="00424A9D"/>
    <w:rsid w:val="00426A8B"/>
    <w:rsid w:val="004414F9"/>
    <w:rsid w:val="004510E4"/>
    <w:rsid w:val="0046593B"/>
    <w:rsid w:val="00467A0B"/>
    <w:rsid w:val="00475163"/>
    <w:rsid w:val="00481ED0"/>
    <w:rsid w:val="00484C9E"/>
    <w:rsid w:val="004A22E2"/>
    <w:rsid w:val="004A31B8"/>
    <w:rsid w:val="004B7746"/>
    <w:rsid w:val="004E22E9"/>
    <w:rsid w:val="004E2F43"/>
    <w:rsid w:val="004E4E26"/>
    <w:rsid w:val="004F3826"/>
    <w:rsid w:val="004F6ACF"/>
    <w:rsid w:val="0051520B"/>
    <w:rsid w:val="00547A23"/>
    <w:rsid w:val="005678C8"/>
    <w:rsid w:val="00576454"/>
    <w:rsid w:val="00580BE5"/>
    <w:rsid w:val="005934F5"/>
    <w:rsid w:val="005A75AB"/>
    <w:rsid w:val="005B45C2"/>
    <w:rsid w:val="005C6BEB"/>
    <w:rsid w:val="005F6581"/>
    <w:rsid w:val="00620A6D"/>
    <w:rsid w:val="00637AE3"/>
    <w:rsid w:val="00637EA1"/>
    <w:rsid w:val="00643CEE"/>
    <w:rsid w:val="00644C98"/>
    <w:rsid w:val="0065177F"/>
    <w:rsid w:val="00663102"/>
    <w:rsid w:val="006635C8"/>
    <w:rsid w:val="00665362"/>
    <w:rsid w:val="00670C59"/>
    <w:rsid w:val="006722CF"/>
    <w:rsid w:val="006816B8"/>
    <w:rsid w:val="006A3BFD"/>
    <w:rsid w:val="006B7B45"/>
    <w:rsid w:val="006C3449"/>
    <w:rsid w:val="006C38D0"/>
    <w:rsid w:val="006D375C"/>
    <w:rsid w:val="006E5132"/>
    <w:rsid w:val="00705CF3"/>
    <w:rsid w:val="00710A98"/>
    <w:rsid w:val="00720BA7"/>
    <w:rsid w:val="00741C62"/>
    <w:rsid w:val="0074736C"/>
    <w:rsid w:val="00761567"/>
    <w:rsid w:val="0076602C"/>
    <w:rsid w:val="00793527"/>
    <w:rsid w:val="00796297"/>
    <w:rsid w:val="00797967"/>
    <w:rsid w:val="007C2D2B"/>
    <w:rsid w:val="007D00DB"/>
    <w:rsid w:val="007D2A6B"/>
    <w:rsid w:val="007F02D2"/>
    <w:rsid w:val="007F2A20"/>
    <w:rsid w:val="007F66A8"/>
    <w:rsid w:val="007F7734"/>
    <w:rsid w:val="00800CF2"/>
    <w:rsid w:val="0082516E"/>
    <w:rsid w:val="008377BE"/>
    <w:rsid w:val="00850E85"/>
    <w:rsid w:val="00857523"/>
    <w:rsid w:val="00871792"/>
    <w:rsid w:val="0087688E"/>
    <w:rsid w:val="00876A1D"/>
    <w:rsid w:val="00896BDF"/>
    <w:rsid w:val="008A6E4F"/>
    <w:rsid w:val="008B187B"/>
    <w:rsid w:val="008C47D8"/>
    <w:rsid w:val="008D057C"/>
    <w:rsid w:val="008F5150"/>
    <w:rsid w:val="008F559E"/>
    <w:rsid w:val="008F5AD4"/>
    <w:rsid w:val="009050A1"/>
    <w:rsid w:val="0091167A"/>
    <w:rsid w:val="00920D2F"/>
    <w:rsid w:val="00924BB2"/>
    <w:rsid w:val="0093007C"/>
    <w:rsid w:val="00931CF5"/>
    <w:rsid w:val="00936D87"/>
    <w:rsid w:val="00942113"/>
    <w:rsid w:val="00950729"/>
    <w:rsid w:val="00965C73"/>
    <w:rsid w:val="00971F2A"/>
    <w:rsid w:val="0097495D"/>
    <w:rsid w:val="00997F43"/>
    <w:rsid w:val="009A47D0"/>
    <w:rsid w:val="009A50E3"/>
    <w:rsid w:val="009A5895"/>
    <w:rsid w:val="009A750F"/>
    <w:rsid w:val="009B1BC0"/>
    <w:rsid w:val="009C7963"/>
    <w:rsid w:val="009D4546"/>
    <w:rsid w:val="009E0DB3"/>
    <w:rsid w:val="009E63B8"/>
    <w:rsid w:val="00A0171A"/>
    <w:rsid w:val="00A13CA4"/>
    <w:rsid w:val="00A13DB5"/>
    <w:rsid w:val="00A24497"/>
    <w:rsid w:val="00A521E5"/>
    <w:rsid w:val="00A5548D"/>
    <w:rsid w:val="00A60502"/>
    <w:rsid w:val="00A613A1"/>
    <w:rsid w:val="00A62862"/>
    <w:rsid w:val="00A6796D"/>
    <w:rsid w:val="00A91D6E"/>
    <w:rsid w:val="00A93CD2"/>
    <w:rsid w:val="00A93D4A"/>
    <w:rsid w:val="00A95D6D"/>
    <w:rsid w:val="00AC790D"/>
    <w:rsid w:val="00AE0B12"/>
    <w:rsid w:val="00AF5400"/>
    <w:rsid w:val="00B022A1"/>
    <w:rsid w:val="00B21A5B"/>
    <w:rsid w:val="00B44972"/>
    <w:rsid w:val="00B46042"/>
    <w:rsid w:val="00B47619"/>
    <w:rsid w:val="00B8276C"/>
    <w:rsid w:val="00B84052"/>
    <w:rsid w:val="00B85B63"/>
    <w:rsid w:val="00B94317"/>
    <w:rsid w:val="00BB3965"/>
    <w:rsid w:val="00BB5BA5"/>
    <w:rsid w:val="00BC0679"/>
    <w:rsid w:val="00BD0655"/>
    <w:rsid w:val="00BD4469"/>
    <w:rsid w:val="00BE6D63"/>
    <w:rsid w:val="00BF37FF"/>
    <w:rsid w:val="00C04627"/>
    <w:rsid w:val="00C14879"/>
    <w:rsid w:val="00C252AB"/>
    <w:rsid w:val="00C444EA"/>
    <w:rsid w:val="00C4654A"/>
    <w:rsid w:val="00C529B3"/>
    <w:rsid w:val="00C55E43"/>
    <w:rsid w:val="00C66DFF"/>
    <w:rsid w:val="00C753E1"/>
    <w:rsid w:val="00C7560A"/>
    <w:rsid w:val="00C804F5"/>
    <w:rsid w:val="00C80A9D"/>
    <w:rsid w:val="00CA6192"/>
    <w:rsid w:val="00CA7825"/>
    <w:rsid w:val="00CB16B9"/>
    <w:rsid w:val="00CB3A65"/>
    <w:rsid w:val="00CC44CB"/>
    <w:rsid w:val="00CE6FF1"/>
    <w:rsid w:val="00CE7178"/>
    <w:rsid w:val="00CF7A8A"/>
    <w:rsid w:val="00D07BB7"/>
    <w:rsid w:val="00D142A9"/>
    <w:rsid w:val="00D147F1"/>
    <w:rsid w:val="00D168A8"/>
    <w:rsid w:val="00D24E0A"/>
    <w:rsid w:val="00D2604E"/>
    <w:rsid w:val="00D26B1F"/>
    <w:rsid w:val="00D30899"/>
    <w:rsid w:val="00D35AF1"/>
    <w:rsid w:val="00D37891"/>
    <w:rsid w:val="00D517BC"/>
    <w:rsid w:val="00D84CAE"/>
    <w:rsid w:val="00D851FC"/>
    <w:rsid w:val="00DB7252"/>
    <w:rsid w:val="00DC17D0"/>
    <w:rsid w:val="00DD3807"/>
    <w:rsid w:val="00DF1584"/>
    <w:rsid w:val="00E048CD"/>
    <w:rsid w:val="00E248EE"/>
    <w:rsid w:val="00E327CB"/>
    <w:rsid w:val="00E33023"/>
    <w:rsid w:val="00E41E7D"/>
    <w:rsid w:val="00E427CF"/>
    <w:rsid w:val="00E46190"/>
    <w:rsid w:val="00E46A7F"/>
    <w:rsid w:val="00E46CB2"/>
    <w:rsid w:val="00E53F73"/>
    <w:rsid w:val="00E64110"/>
    <w:rsid w:val="00E71B30"/>
    <w:rsid w:val="00E8423E"/>
    <w:rsid w:val="00EA6352"/>
    <w:rsid w:val="00EC5A9F"/>
    <w:rsid w:val="00EC7C69"/>
    <w:rsid w:val="00ED1013"/>
    <w:rsid w:val="00ED19D5"/>
    <w:rsid w:val="00ED54CD"/>
    <w:rsid w:val="00EE2069"/>
    <w:rsid w:val="00EF0866"/>
    <w:rsid w:val="00EF345B"/>
    <w:rsid w:val="00F016C4"/>
    <w:rsid w:val="00F07AB0"/>
    <w:rsid w:val="00F16CF8"/>
    <w:rsid w:val="00F21185"/>
    <w:rsid w:val="00F26203"/>
    <w:rsid w:val="00F26413"/>
    <w:rsid w:val="00F3226C"/>
    <w:rsid w:val="00F54C28"/>
    <w:rsid w:val="00F646EF"/>
    <w:rsid w:val="00F70E29"/>
    <w:rsid w:val="00F74736"/>
    <w:rsid w:val="00F80E17"/>
    <w:rsid w:val="00F875F0"/>
    <w:rsid w:val="00F93C80"/>
    <w:rsid w:val="00FA12A4"/>
    <w:rsid w:val="00FA24B4"/>
    <w:rsid w:val="00FA7680"/>
    <w:rsid w:val="00FB2F09"/>
    <w:rsid w:val="00FB3DB1"/>
    <w:rsid w:val="00FC1373"/>
    <w:rsid w:val="00FC4EF0"/>
    <w:rsid w:val="00FD3946"/>
    <w:rsid w:val="00FF616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76"/>
  <w15:docId w15:val="{81C3564C-F1F0-47AC-B025-28586234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02"/>
  </w:style>
  <w:style w:type="paragraph" w:styleId="Heading1">
    <w:name w:val="heading 1"/>
    <w:basedOn w:val="Normal"/>
    <w:next w:val="Normal"/>
    <w:link w:val="Heading1Char"/>
    <w:uiPriority w:val="9"/>
    <w:qFormat/>
    <w:rsid w:val="00A605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605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605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605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6050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6050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605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605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605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02"/>
    <w:pPr>
      <w:ind w:left="720"/>
      <w:contextualSpacing/>
    </w:pPr>
  </w:style>
  <w:style w:type="character" w:customStyle="1" w:styleId="Heading1Char">
    <w:name w:val="Heading 1 Char"/>
    <w:basedOn w:val="DefaultParagraphFont"/>
    <w:link w:val="Heading1"/>
    <w:uiPriority w:val="9"/>
    <w:rsid w:val="00A605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605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605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605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6050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6050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605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605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60502"/>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60502"/>
    <w:rPr>
      <w:b/>
      <w:bCs/>
      <w:smallCaps/>
      <w:color w:val="1F497D" w:themeColor="text2"/>
      <w:spacing w:val="10"/>
      <w:sz w:val="18"/>
      <w:szCs w:val="18"/>
    </w:rPr>
  </w:style>
  <w:style w:type="paragraph" w:styleId="Title">
    <w:name w:val="Title"/>
    <w:basedOn w:val="Normal"/>
    <w:next w:val="Normal"/>
    <w:link w:val="TitleChar"/>
    <w:uiPriority w:val="10"/>
    <w:qFormat/>
    <w:rsid w:val="00A605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605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605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60502"/>
    <w:rPr>
      <w:rFonts w:asciiTheme="majorHAnsi" w:eastAsiaTheme="majorEastAsia" w:hAnsiTheme="majorHAnsi" w:cstheme="majorBidi"/>
      <w:i/>
      <w:iCs/>
      <w:spacing w:val="13"/>
      <w:sz w:val="24"/>
      <w:szCs w:val="24"/>
    </w:rPr>
  </w:style>
  <w:style w:type="character" w:styleId="Strong">
    <w:name w:val="Strong"/>
    <w:uiPriority w:val="22"/>
    <w:qFormat/>
    <w:rsid w:val="00A60502"/>
    <w:rPr>
      <w:b/>
      <w:bCs/>
    </w:rPr>
  </w:style>
  <w:style w:type="character" w:styleId="Emphasis">
    <w:name w:val="Emphasis"/>
    <w:uiPriority w:val="20"/>
    <w:qFormat/>
    <w:rsid w:val="00A60502"/>
    <w:rPr>
      <w:b/>
      <w:bCs/>
      <w:i/>
      <w:iCs/>
      <w:spacing w:val="10"/>
      <w:bdr w:val="none" w:sz="0" w:space="0" w:color="auto"/>
      <w:shd w:val="clear" w:color="auto" w:fill="auto"/>
    </w:rPr>
  </w:style>
  <w:style w:type="paragraph" w:styleId="NoSpacing">
    <w:name w:val="No Spacing"/>
    <w:basedOn w:val="Normal"/>
    <w:link w:val="NoSpacingChar"/>
    <w:uiPriority w:val="1"/>
    <w:qFormat/>
    <w:rsid w:val="00A60502"/>
    <w:pPr>
      <w:spacing w:after="0" w:line="240" w:lineRule="auto"/>
    </w:pPr>
  </w:style>
  <w:style w:type="character" w:customStyle="1" w:styleId="NoSpacingChar">
    <w:name w:val="No Spacing Char"/>
    <w:basedOn w:val="DefaultParagraphFont"/>
    <w:link w:val="NoSpacing"/>
    <w:uiPriority w:val="1"/>
    <w:rsid w:val="00A60502"/>
  </w:style>
  <w:style w:type="paragraph" w:styleId="Quote">
    <w:name w:val="Quote"/>
    <w:basedOn w:val="Normal"/>
    <w:next w:val="Normal"/>
    <w:link w:val="QuoteChar"/>
    <w:uiPriority w:val="29"/>
    <w:qFormat/>
    <w:rsid w:val="00A60502"/>
    <w:pPr>
      <w:spacing w:before="200" w:after="0"/>
      <w:ind w:left="360" w:right="360"/>
    </w:pPr>
    <w:rPr>
      <w:i/>
      <w:iCs/>
    </w:rPr>
  </w:style>
  <w:style w:type="character" w:customStyle="1" w:styleId="QuoteChar">
    <w:name w:val="Quote Char"/>
    <w:basedOn w:val="DefaultParagraphFont"/>
    <w:link w:val="Quote"/>
    <w:uiPriority w:val="29"/>
    <w:rsid w:val="00A60502"/>
    <w:rPr>
      <w:i/>
      <w:iCs/>
    </w:rPr>
  </w:style>
  <w:style w:type="paragraph" w:styleId="IntenseQuote">
    <w:name w:val="Intense Quote"/>
    <w:basedOn w:val="Normal"/>
    <w:next w:val="Normal"/>
    <w:link w:val="IntenseQuoteChar"/>
    <w:uiPriority w:val="30"/>
    <w:qFormat/>
    <w:rsid w:val="00A605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60502"/>
    <w:rPr>
      <w:b/>
      <w:bCs/>
      <w:i/>
      <w:iCs/>
    </w:rPr>
  </w:style>
  <w:style w:type="character" w:styleId="SubtleEmphasis">
    <w:name w:val="Subtle Emphasis"/>
    <w:uiPriority w:val="19"/>
    <w:qFormat/>
    <w:rsid w:val="00A60502"/>
    <w:rPr>
      <w:i/>
      <w:iCs/>
    </w:rPr>
  </w:style>
  <w:style w:type="character" w:styleId="IntenseEmphasis">
    <w:name w:val="Intense Emphasis"/>
    <w:uiPriority w:val="21"/>
    <w:qFormat/>
    <w:rsid w:val="00A60502"/>
    <w:rPr>
      <w:b/>
      <w:bCs/>
    </w:rPr>
  </w:style>
  <w:style w:type="character" w:styleId="SubtleReference">
    <w:name w:val="Subtle Reference"/>
    <w:uiPriority w:val="31"/>
    <w:qFormat/>
    <w:rsid w:val="00A60502"/>
    <w:rPr>
      <w:smallCaps/>
    </w:rPr>
  </w:style>
  <w:style w:type="character" w:styleId="IntenseReference">
    <w:name w:val="Intense Reference"/>
    <w:uiPriority w:val="32"/>
    <w:qFormat/>
    <w:rsid w:val="00A60502"/>
    <w:rPr>
      <w:smallCaps/>
      <w:spacing w:val="5"/>
      <w:u w:val="single"/>
    </w:rPr>
  </w:style>
  <w:style w:type="character" w:styleId="BookTitle">
    <w:name w:val="Book Title"/>
    <w:uiPriority w:val="33"/>
    <w:qFormat/>
    <w:rsid w:val="00A60502"/>
    <w:rPr>
      <w:i/>
      <w:iCs/>
      <w:smallCaps/>
      <w:spacing w:val="5"/>
    </w:rPr>
  </w:style>
  <w:style w:type="paragraph" w:styleId="TOCHeading">
    <w:name w:val="TOC Heading"/>
    <w:basedOn w:val="Heading1"/>
    <w:next w:val="Normal"/>
    <w:uiPriority w:val="39"/>
    <w:semiHidden/>
    <w:unhideWhenUsed/>
    <w:qFormat/>
    <w:rsid w:val="00A60502"/>
    <w:pPr>
      <w:outlineLvl w:val="9"/>
    </w:pPr>
    <w:rPr>
      <w:lang w:bidi="en-US"/>
    </w:rPr>
  </w:style>
  <w:style w:type="paragraph" w:styleId="BalloonText">
    <w:name w:val="Balloon Text"/>
    <w:basedOn w:val="Normal"/>
    <w:link w:val="BalloonTextChar"/>
    <w:uiPriority w:val="99"/>
    <w:semiHidden/>
    <w:unhideWhenUsed/>
    <w:rsid w:val="00B02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A1"/>
    <w:rPr>
      <w:rFonts w:ascii="Tahoma" w:hAnsi="Tahoma" w:cs="Tahoma"/>
      <w:sz w:val="16"/>
      <w:szCs w:val="16"/>
    </w:rPr>
  </w:style>
  <w:style w:type="table" w:styleId="TableGrid">
    <w:name w:val="Table Grid"/>
    <w:basedOn w:val="TableNormal"/>
    <w:uiPriority w:val="59"/>
    <w:rsid w:val="00CC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3BFD"/>
    <w:rPr>
      <w:color w:val="808080"/>
    </w:rPr>
  </w:style>
  <w:style w:type="character" w:styleId="Hyperlink">
    <w:name w:val="Hyperlink"/>
    <w:basedOn w:val="DefaultParagraphFont"/>
    <w:uiPriority w:val="99"/>
    <w:unhideWhenUsed/>
    <w:rsid w:val="006B7B45"/>
    <w:rPr>
      <w:color w:val="0000FF" w:themeColor="hyperlink"/>
      <w:u w:val="single"/>
    </w:rPr>
  </w:style>
  <w:style w:type="character" w:styleId="CommentReference">
    <w:name w:val="annotation reference"/>
    <w:basedOn w:val="DefaultParagraphFont"/>
    <w:uiPriority w:val="99"/>
    <w:semiHidden/>
    <w:unhideWhenUsed/>
    <w:rsid w:val="00E8423E"/>
    <w:rPr>
      <w:sz w:val="16"/>
      <w:szCs w:val="16"/>
    </w:rPr>
  </w:style>
  <w:style w:type="paragraph" w:styleId="CommentText">
    <w:name w:val="annotation text"/>
    <w:basedOn w:val="Normal"/>
    <w:link w:val="CommentTextChar"/>
    <w:uiPriority w:val="99"/>
    <w:semiHidden/>
    <w:unhideWhenUsed/>
    <w:rsid w:val="00E8423E"/>
    <w:pPr>
      <w:spacing w:line="240" w:lineRule="auto"/>
    </w:pPr>
    <w:rPr>
      <w:sz w:val="20"/>
      <w:szCs w:val="20"/>
    </w:rPr>
  </w:style>
  <w:style w:type="character" w:customStyle="1" w:styleId="CommentTextChar">
    <w:name w:val="Comment Text Char"/>
    <w:basedOn w:val="DefaultParagraphFont"/>
    <w:link w:val="CommentText"/>
    <w:uiPriority w:val="99"/>
    <w:semiHidden/>
    <w:rsid w:val="00E8423E"/>
    <w:rPr>
      <w:sz w:val="20"/>
      <w:szCs w:val="20"/>
    </w:rPr>
  </w:style>
  <w:style w:type="paragraph" w:styleId="CommentSubject">
    <w:name w:val="annotation subject"/>
    <w:basedOn w:val="CommentText"/>
    <w:next w:val="CommentText"/>
    <w:link w:val="CommentSubjectChar"/>
    <w:uiPriority w:val="99"/>
    <w:semiHidden/>
    <w:unhideWhenUsed/>
    <w:rsid w:val="00E8423E"/>
    <w:rPr>
      <w:b/>
      <w:bCs/>
    </w:rPr>
  </w:style>
  <w:style w:type="character" w:customStyle="1" w:styleId="CommentSubjectChar">
    <w:name w:val="Comment Subject Char"/>
    <w:basedOn w:val="CommentTextChar"/>
    <w:link w:val="CommentSubject"/>
    <w:uiPriority w:val="99"/>
    <w:semiHidden/>
    <w:rsid w:val="00E8423E"/>
    <w:rPr>
      <w:b/>
      <w:bCs/>
      <w:sz w:val="20"/>
      <w:szCs w:val="20"/>
    </w:rPr>
  </w:style>
  <w:style w:type="paragraph" w:customStyle="1" w:styleId="MDPI31text">
    <w:name w:val="MDPI_3.1_text"/>
    <w:qFormat/>
    <w:rsid w:val="00D35AF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51figurecaption">
    <w:name w:val="MDPI_5.1_figure_caption"/>
    <w:basedOn w:val="Normal"/>
    <w:qFormat/>
    <w:rsid w:val="00A521E5"/>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164616">
      <w:bodyDiv w:val="1"/>
      <w:marLeft w:val="0"/>
      <w:marRight w:val="0"/>
      <w:marTop w:val="0"/>
      <w:marBottom w:val="0"/>
      <w:divBdr>
        <w:top w:val="none" w:sz="0" w:space="0" w:color="auto"/>
        <w:left w:val="none" w:sz="0" w:space="0" w:color="auto"/>
        <w:bottom w:val="none" w:sz="0" w:space="0" w:color="auto"/>
        <w:right w:val="none" w:sz="0" w:space="0" w:color="auto"/>
      </w:divBdr>
    </w:div>
    <w:div w:id="183849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3models.org/" TargetMode="Externa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1DCAC-9619-484B-B954-B179F873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10831</Words>
  <Characters>61742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72429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testMDPI</cp:lastModifiedBy>
  <cp:revision>22</cp:revision>
  <cp:lastPrinted>2018-07-30T11:54:00Z</cp:lastPrinted>
  <dcterms:created xsi:type="dcterms:W3CDTF">2018-08-01T15:41:00Z</dcterms:created>
  <dcterms:modified xsi:type="dcterms:W3CDTF">2018-08-03T13:39:00Z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0f692ef6-fdc9-38f6-8c56-b623902a00af</vt:lpwstr>
  </property>
  <property fmtid="{D5CDD505-2E9C-101B-9397-08002B2CF9AE}" pid="4" name="Mendeley Citation Style_1">
    <vt:lpwstr>http://www.zotero.org/styles/multidisciplinary-digital-publishing-institute</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16th edition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http://www.zotero.org/styles/multidisciplinary-digital-publishing-institute</vt:lpwstr>
  </property>
  <property fmtid="{D5CDD505-2E9C-101B-9397-08002B2CF9AE}" pid="22" name="Mendeley Recent Style Name 8_1">
    <vt:lpwstr>Multidisciplinary Digital Publishing Institute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