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CE4C3A3" w14:textId="7C373272" w:rsidR="00EA6423" w:rsidRPr="00C207B2" w:rsidRDefault="006D3116" w:rsidP="00544F22">
      <w:pPr>
        <w:pStyle w:val="MDPI12title"/>
        <w:tabs>
          <w:tab w:val="left" w:pos="2687"/>
        </w:tabs>
        <w:spacing w:line="240" w:lineRule="atLeast"/>
      </w:pPr>
      <w:r>
        <w:t xml:space="preserve">Supplementary Materials: </w:t>
      </w:r>
      <w:r w:rsidR="00652E73">
        <w:t>Genetic optimization algorithm for metabolic engineering revisited</w:t>
      </w:r>
    </w:p>
    <w:p w14:paraId="1F322D57" w14:textId="1730F4ED" w:rsidR="001D6C97" w:rsidRPr="00C207B2" w:rsidRDefault="00652E73" w:rsidP="00544F22">
      <w:pPr>
        <w:pStyle w:val="MDPI13authornames"/>
      </w:pPr>
      <w:r>
        <w:t>Tobias B. Alter</w:t>
      </w:r>
      <w:r w:rsidR="001D6C97" w:rsidRPr="00C207B2">
        <w:t xml:space="preserve"> </w:t>
      </w:r>
      <w:r w:rsidR="001D6C97" w:rsidRPr="00C207B2">
        <w:rPr>
          <w:vertAlign w:val="superscript"/>
        </w:rPr>
        <w:t>1</w:t>
      </w:r>
      <w:r w:rsidR="001D6C97" w:rsidRPr="00C207B2">
        <w:t xml:space="preserve">, </w:t>
      </w:r>
      <w:r>
        <w:t>Lars M. Blank</w:t>
      </w:r>
      <w:r w:rsidR="001D6C97" w:rsidRPr="00C207B2">
        <w:t xml:space="preserve"> </w:t>
      </w:r>
      <w:r w:rsidR="001D6C97" w:rsidRPr="00C207B2">
        <w:rPr>
          <w:vertAlign w:val="superscript"/>
        </w:rPr>
        <w:t>2</w:t>
      </w:r>
      <w:r w:rsidR="001D6C97" w:rsidRPr="00C207B2">
        <w:t xml:space="preserve"> and </w:t>
      </w:r>
      <w:r>
        <w:t>Birgitta E. Ebert</w:t>
      </w:r>
      <w:r w:rsidR="001D6C97" w:rsidRPr="00C207B2">
        <w:t xml:space="preserve"> *</w:t>
      </w:r>
    </w:p>
    <w:p w14:paraId="63023673" w14:textId="77777777" w:rsidR="008A20DA" w:rsidRPr="00564310" w:rsidRDefault="008A20DA" w:rsidP="00544F22">
      <w:pPr>
        <w:pStyle w:val="MDPI16affiliation"/>
      </w:pPr>
      <w:r w:rsidRPr="00564310">
        <w:rPr>
          <w:vertAlign w:val="superscript"/>
        </w:rPr>
        <w:t>1</w:t>
      </w:r>
      <w:r w:rsidRPr="00564310">
        <w:tab/>
      </w:r>
      <w:r w:rsidR="00652E73" w:rsidRPr="00564310">
        <w:t>tobias.alter@rwth-aachen.de</w:t>
      </w:r>
    </w:p>
    <w:p w14:paraId="66EFBD6E" w14:textId="77777777" w:rsidR="008A20DA" w:rsidRPr="00564310" w:rsidRDefault="008A20DA" w:rsidP="00544F22">
      <w:pPr>
        <w:pStyle w:val="MDPI16affiliation"/>
      </w:pPr>
      <w:r w:rsidRPr="00564310">
        <w:rPr>
          <w:szCs w:val="20"/>
          <w:vertAlign w:val="superscript"/>
        </w:rPr>
        <w:t>2</w:t>
      </w:r>
      <w:r w:rsidRPr="00564310">
        <w:rPr>
          <w:szCs w:val="20"/>
        </w:rPr>
        <w:tab/>
      </w:r>
      <w:r w:rsidR="00652E73" w:rsidRPr="00564310">
        <w:rPr>
          <w:szCs w:val="20"/>
        </w:rPr>
        <w:t>lars.blank@rwth-aachen.de</w:t>
      </w:r>
    </w:p>
    <w:p w14:paraId="16431522" w14:textId="6FAFD30D" w:rsidR="008A20DA" w:rsidRPr="00652E73" w:rsidRDefault="008A20DA" w:rsidP="00544F22">
      <w:pPr>
        <w:pStyle w:val="MDPI14history"/>
        <w:spacing w:before="0"/>
        <w:ind w:left="311" w:hanging="198"/>
      </w:pPr>
      <w:r w:rsidRPr="00652E73">
        <w:rPr>
          <w:b/>
        </w:rPr>
        <w:t>*</w:t>
      </w:r>
      <w:r w:rsidRPr="00652E73">
        <w:tab/>
        <w:t xml:space="preserve">Correspondence: </w:t>
      </w:r>
      <w:r w:rsidR="00652E73" w:rsidRPr="00652E73">
        <w:t xml:space="preserve">birgitta.ebert@rwth-aachen.de; </w:t>
      </w:r>
      <w:r w:rsidRPr="00652E73">
        <w:t>Tel.: +</w:t>
      </w:r>
      <w:r w:rsidR="00652E73" w:rsidRPr="00652E73">
        <w:t>49</w:t>
      </w:r>
      <w:r w:rsidR="00652E73">
        <w:t xml:space="preserve"> 241 80 266 </w:t>
      </w:r>
      <w:r w:rsidR="00E26990">
        <w:t>48</w:t>
      </w:r>
    </w:p>
    <w:p w14:paraId="2FE046E9" w14:textId="77777777" w:rsidR="00EA6423" w:rsidRPr="00C207B2" w:rsidRDefault="00EA6423" w:rsidP="00544F22">
      <w:pPr>
        <w:pStyle w:val="MDPI19line"/>
      </w:pPr>
    </w:p>
    <w:p w14:paraId="22B63FD7" w14:textId="463ACCA6" w:rsidR="00564310" w:rsidRDefault="00D2712D" w:rsidP="007354DE">
      <w:pPr>
        <w:pStyle w:val="MDPI21heading1"/>
        <w:numPr>
          <w:ilvl w:val="0"/>
          <w:numId w:val="8"/>
        </w:numPr>
        <w:ind w:left="284" w:hanging="142"/>
      </w:pPr>
      <w:r>
        <w:t>Supplementary</w:t>
      </w:r>
      <w:r w:rsidR="006D3116">
        <w:t xml:space="preserve"> Text</w:t>
      </w:r>
    </w:p>
    <w:p w14:paraId="71D6E357" w14:textId="5E319A2D" w:rsidR="00D2712D" w:rsidRDefault="006F4E80" w:rsidP="00D2712D">
      <w:pPr>
        <w:pStyle w:val="MDPI22heading2"/>
        <w:numPr>
          <w:ilvl w:val="1"/>
          <w:numId w:val="8"/>
        </w:numPr>
      </w:pPr>
      <w:r>
        <w:t>Determination of</w:t>
      </w:r>
      <w:r w:rsidR="00D2712D">
        <w:t xml:space="preserve"> Reference Flux Distribution</w:t>
      </w:r>
      <w:r>
        <w:t>s</w:t>
      </w:r>
    </w:p>
    <w:p w14:paraId="3164DEA5" w14:textId="23EAE796" w:rsidR="00D2712D" w:rsidRDefault="00D2712D" w:rsidP="00D2712D">
      <w:pPr>
        <w:pStyle w:val="MDPI31text"/>
      </w:pPr>
      <w:r>
        <w:t>To apply MiMBl for determining mutant strain phenotypes</w:t>
      </w:r>
      <w:r w:rsidR="004864F0">
        <w:t>,</w:t>
      </w:r>
      <w:r>
        <w:t xml:space="preserve"> a reference or wildtype flux distribution is crucial.</w:t>
      </w:r>
      <w:r w:rsidR="009B3566">
        <w:t xml:space="preserve"> We derived individual reference flux distributions for both the </w:t>
      </w:r>
      <w:r w:rsidR="009B3566">
        <w:rPr>
          <w:i/>
        </w:rPr>
        <w:t>E. coli</w:t>
      </w:r>
      <w:r w:rsidR="009B3566">
        <w:t xml:space="preserve"> core and genome-scale model from </w:t>
      </w:r>
      <w:r w:rsidR="002113E6">
        <w:t xml:space="preserve">appropriate </w:t>
      </w:r>
      <w:r w:rsidR="00CF0C76">
        <w:t xml:space="preserve">intra- and extracellular </w:t>
      </w:r>
      <w:r w:rsidR="009B3566">
        <w:t xml:space="preserve">metabolic flux data by subsequently solving two linear optimization programs. Firstly, we minimized the sum of the </w:t>
      </w:r>
      <w:r w:rsidR="009C7A17">
        <w:t xml:space="preserve">absolute </w:t>
      </w:r>
      <w:r w:rsidR="009B3566">
        <w:t xml:space="preserve">difference between simulated and experimentally determined fluxes. Secondly, while fixing the objective function of the former linear program to </w:t>
      </w:r>
      <w:r w:rsidR="00BE21C8">
        <w:t>its optimal value</w:t>
      </w:r>
      <w:r w:rsidR="009B3566">
        <w:t xml:space="preserve">, </w:t>
      </w:r>
      <w:r w:rsidR="00BE21C8">
        <w:t>the sum</w:t>
      </w:r>
      <w:r w:rsidR="009C7A17">
        <w:t xml:space="preserve"> of</w:t>
      </w:r>
      <w:r w:rsidR="00BE21C8">
        <w:t xml:space="preserve"> all other absolute flux values in the model, excluding those of exchange reactions, </w:t>
      </w:r>
      <w:r w:rsidR="009C7A17">
        <w:t>was</w:t>
      </w:r>
      <w:r w:rsidR="00BE21C8">
        <w:t xml:space="preserve"> minimized.</w:t>
      </w:r>
      <w:r>
        <w:t xml:space="preserve"> </w:t>
      </w:r>
      <w:r w:rsidR="00D91AB4">
        <w:t xml:space="preserve">This method follows the descriptions of Long et al. </w:t>
      </w:r>
      <w:r w:rsidR="00D91AB4">
        <w:fldChar w:fldCharType="begin" w:fldLock="1"/>
      </w:r>
      <w:r w:rsidR="00D91AB4">
        <w:instrText>ADDIN CSL_CITATION { "citationItems" : [ { "id" : "ITEM-1", "itemData" : { "DOI" : "10.1093/bioinformatics/btw706", "ISSN" : "1367-4803", "PMID" : "27998937", "abstract" : "MOTIVATION Incorporating experimental data into constraint-based models can improve the quality and accuracy of their metabolic flux predictions. Unfortunately, routinely and easily measured experimental data such as growth rates, extracellular fluxes, transcriptomics, and even proteomics are not always sufficient to significantly improve metabolic flux predictions. RESULTS We developed a new method (called REPPS) for incorporating experimental measurements of growth rates and extracellular fluxes from a set of perturbed reference strains (RSs) and a parental strain (PS) to substantially improve the predicted flux distribution of the parental strain. Using data from five single gene knockouts and the wild type strain, we decrease the mean squared error of predicted central metabolic fluxes by ~47% compared to parsimonious flux balance analysis (pFBA). This decrease in error further improves flux predictions for new knockout strains. Furthermore, REPPS is less sensitive to the completeness of the metabolic network than pFBA. CONTACT reed@engr.wisc.edu SUPPLEMENTARY INFORMATION: Supplementary data are available at Bioinformatics online.", "author" : [ { "dropping-particle" : "", "family" : "Long", "given" : "Matthew R.", "non-dropping-particle" : "", "parse-names" : false, "suffix" : "" }, { "dropping-particle" : "", "family" : "Reed", "given" : "Jennifer L.", "non-dropping-particle" : "", "parse-names" : false, "suffix" : "" } ], "container-title" : "Bioinformatics", "id" : "ITEM-1", "issue" : "December 2016", "issued" : { "date-parts" : [ [ "2016" ] ] }, "page" : "btw706", "title" : "Improving flux predictions by integrating data from multiple strains", "type" : "article-journal", "volume" : "33" }, "uris" : [ "http://www.mendeley.com/documents/?uuid=43189823-e919-4fee-afe8-74b749dbfff3" ] } ], "mendeley" : { "formattedCitation" : "[1]", "plainTextFormattedCitation" : "[1]", "previouslyFormattedCitation" : "[1]" }, "properties" : {  }, "schema" : "https://github.com/citation-style-language/schema/raw/master/csl-citation.json" }</w:instrText>
      </w:r>
      <w:r w:rsidR="00D91AB4">
        <w:fldChar w:fldCharType="separate"/>
      </w:r>
      <w:r w:rsidR="00D91AB4" w:rsidRPr="00D91AB4">
        <w:rPr>
          <w:noProof/>
        </w:rPr>
        <w:t>[1]</w:t>
      </w:r>
      <w:r w:rsidR="00D91AB4">
        <w:fldChar w:fldCharType="end"/>
      </w:r>
      <w:r w:rsidR="00D91AB4">
        <w:t xml:space="preserve">. </w:t>
      </w:r>
      <w:r w:rsidR="009C7A17">
        <w:t xml:space="preserve">We used central carbon metabolism </w:t>
      </w:r>
      <w:r>
        <w:t>flux data of an</w:t>
      </w:r>
      <w:r w:rsidR="009B3566">
        <w:t xml:space="preserve"> aerob</w:t>
      </w:r>
      <w:r w:rsidR="004864F0">
        <w:t>ic</w:t>
      </w:r>
      <w:r w:rsidR="009B3566">
        <w:t xml:space="preserve"> chemostat cultivation at a dilution rate of </w:t>
      </w:r>
      <m:oMath>
        <m:r>
          <w:rPr>
            <w:rFonts w:ascii="Cambria Math" w:hAnsi="Cambria Math"/>
          </w:rPr>
          <m:t xml:space="preserve">0.7 </m:t>
        </m:r>
        <m:sSup>
          <m:sSupPr>
            <m:ctrlPr>
              <w:rPr>
                <w:rFonts w:ascii="Cambria Math" w:hAnsi="Cambria Math"/>
                <w:i/>
              </w:rPr>
            </m:ctrlPr>
          </m:sSupPr>
          <m:e>
            <m:r>
              <w:rPr>
                <w:rFonts w:ascii="Cambria Math" w:hAnsi="Cambria Math"/>
              </w:rPr>
              <m:t>h</m:t>
            </m:r>
          </m:e>
          <m:sup>
            <m:r>
              <w:rPr>
                <w:rFonts w:ascii="Cambria Math" w:hAnsi="Cambria Math"/>
              </w:rPr>
              <m:t>-1</m:t>
            </m:r>
          </m:sup>
        </m:sSup>
      </m:oMath>
      <w:r w:rsidR="009B3566">
        <w:t xml:space="preserve"> taken from Ishii et al. </w:t>
      </w:r>
      <w:r w:rsidR="009B3566">
        <w:fldChar w:fldCharType="begin" w:fldLock="1"/>
      </w:r>
      <w:r w:rsidR="00D91AB4">
        <w:instrText>ADDIN CSL_CITATION { "citationItems" : [ { "id" : "ITEM-1", "itemData" : { "DOI" : "10.1126/science.1132067", "ISBN" : "1095-9203 (Electronic)\\r0036-8075 (Linking)", "ISSN" : "0036-8075", "PMID" : "17379776", "abstract" : "Analysis of cellular components at multiple levels of biological information can provide valuable functional insights. We performed multiple high-throughput measurements to study the response of Escherichia coli cells to genetic and environmental perturbations. Analysis of metabolic enzyme gene disruptants revealed unexpectedly small changes in messenger RNA and proteins for most disruptants. Overall, metabolite levels were also stable, reflecting the rerouting of fluxes in the metabolic network. In contrast, E. coli actively regulated enzyme levels to maintain a stable metabolic state in response to changes in growth rate. E. coli thus seems to use complementary strategies that result in a metabolic network robust against perturbations.", "author" : [ { "dropping-particle" : "", "family" : "Ishii", "given" : "N.", "non-dropping-particle" : "", "parse-names" : false, "suffix" : "" }, { "dropping-particle" : "", "family" : "Nakahigashi", "given" : "K.", "non-dropping-particle" : "", "parse-names" : false, "suffix" : "" }, { "dropping-particle" : "", "family" : "Baba", "given" : "T.", "non-dropping-particle" : "", "parse-names" : false, "suffix" : "" }, { "dropping-particle" : "", "family" : "Robert", "given" : "M.", "non-dropping-particle" : "", "parse-names" : false, "suffix" : "" }, { "dropping-particle" : "", "family" : "Soga", "given" : "T.", "non-dropping-particle" : "", "parse-names" : false, "suffix" : "" }, { "dropping-particle" : "", "family" : "Kanai", "given" : "A.", "non-dropping-particle" : "", "parse-names" : false, "suffix" : "" }, { "dropping-particle" : "", "family" : "Hirasawa", "given" : "T.", "non-dropping-particle" : "", "parse-names" : false, "suffix" : "" }, { "dropping-particle" : "", "family" : "Naba", "given" : "M.", "non-dropping-particle" : "", "parse-names" : false, "suffix" : "" }, { "dropping-particle" : "", "family" : "Hirai", "given" : "K.", "non-dropping-particle" : "", "parse-names" : false, "suffix" : "" }, { "dropping-particle" : "", "family" : "Hoque", "given" : "A.", "non-dropping-particle" : "", "parse-names" : false, "suffix" : "" }, { "dropping-particle" : "", "family" : "Ho", "given" : "P. Y.", "non-dropping-particle" : "", "parse-names" : false, "suffix" : "" }, { "dropping-particle" : "", "family" : "Kakazu", "given" : "Y.", "non-dropping-particle" : "", "parse-names" : false, "suffix" : "" }, { "dropping-particle" : "", "family" : "Sugawara", "given" : "K.", "non-dropping-particle" : "", "parse-names" : false, "suffix" : "" }, { "dropping-particle" : "", "family" : "Igarashi", "given" : "S.", "non-dropping-particle" : "", "parse-names" : false, "suffix" : "" }, { "dropping-particle" : "", "family" : "Harada", "given" : "S.", "non-dropping-particle" : "", "parse-names" : false, "suffix" : "" }, { "dropping-particle" : "", "family" : "Masuda", "given" : "T.", "non-dropping-particle" : "", "parse-names" : false, "suffix" : "" }, { "dropping-particle" : "", "family" : "Sugiyama", "given" : "N.", "non-dropping-particle" : "", "parse-names" : false, "suffix" : "" }, { "dropping-particle" : "", "family" : "Togashi", "given" : "T.", "non-dropping-particle" : "", "parse-names" : false, "suffix" : "" }, { "dropping-particle" : "", "family" : "Hasegawa", "given" : "M.", "non-dropping-particle" : "", "parse-names" : false, "suffix" : "" }, { "dropping-particle" : "", "family" : "Takai", "given" : "Y.", "non-dropping-particle" : "", "parse-names" : false, "suffix" : "" }, { "dropping-particle" : "", "family" : "Yugi", "given" : "K.", "non-dropping-particle" : "", "parse-names" : false, "suffix" : "" }, { "dropping-particle" : "", "family" : "Arakawa", "given" : "K.", "non-dropping-particle" : "", "parse-names" : false, "suffix" : "" }, { "dropping-particle" : "", "family" : "Iwata", "given" : "N.", "non-dropping-particle" : "", "parse-names" : false, "suffix" : "" }, { "dropping-particle" : "", "family" : "Toya", "given" : "Y.", "non-dropping-particle" : "", "parse-names" : false, "suffix" : "" }, { "dropping-particle" : "", "family" : "Nakayama", "given" : "Y.", "non-dropping-particle" : "", "parse-names" : false, "suffix" : "" }, { "dropping-particle" : "", "family" : "Nishioka", "given" : "T.", "non-dropping-particle" : "", "parse-names" : false, "suffix" : "" }, { "dropping-particle" : "", "family" : "Shimizu", "given" : "K.", "non-dropping-particle" : "", "parse-names" : false, "suffix" : "" }, { "dropping-particle" : "", "family" : "Mori", "given" : "H.", "non-dropping-particle" : "", "parse-names" : false, "suffix" : "" }, { "dropping-particle" : "", "family" : "Tomita", "given" : "M.", "non-dropping-particle" : "", "parse-names" : false, "suffix" : "" } ], "container-title" : "Science", "id" : "ITEM-1", "issue" : "5824", "issued" : { "date-parts" : [ [ "2007" ] ] }, "page" : "593-597", "title" : "Multiple High-Throughput Analyses Monitor the Response of E. coli to Perturbations", "type" : "article-journal", "volume" : "316" }, "uris" : [ "http://www.mendeley.com/documents/?uuid=867fb17c-423b-44b3-899d-6a75b82d7ff8" ] } ], "mendeley" : { "formattedCitation" : "[2]", "plainTextFormattedCitation" : "[2]", "previouslyFormattedCitation" : "[2]" }, "properties" : {  }, "schema" : "https://github.com/citation-style-language/schema/raw/master/csl-citation.json" }</w:instrText>
      </w:r>
      <w:r w:rsidR="009B3566">
        <w:fldChar w:fldCharType="separate"/>
      </w:r>
      <w:r w:rsidR="00D91AB4" w:rsidRPr="00D91AB4">
        <w:rPr>
          <w:noProof/>
        </w:rPr>
        <w:t>[2]</w:t>
      </w:r>
      <w:r w:rsidR="009B3566">
        <w:fldChar w:fldCharType="end"/>
      </w:r>
      <w:r w:rsidR="009C7A17">
        <w:t>.</w:t>
      </w:r>
    </w:p>
    <w:p w14:paraId="1876D6C3" w14:textId="54DC8F87" w:rsidR="000F1242" w:rsidRDefault="000F1242" w:rsidP="000F1242">
      <w:pPr>
        <w:pStyle w:val="MDPI22heading2"/>
        <w:numPr>
          <w:ilvl w:val="1"/>
          <w:numId w:val="8"/>
        </w:numPr>
      </w:pPr>
      <w:r>
        <w:t>A Simplified Calculation of the Growth-Couling Strength</w:t>
      </w:r>
    </w:p>
    <w:p w14:paraId="7F8D13FB" w14:textId="76BD7DF0" w:rsidR="00FE0FC4" w:rsidRDefault="009238D1" w:rsidP="00CD7780">
      <w:pPr>
        <w:pStyle w:val="MDPI31text"/>
      </w:pPr>
      <w:r>
        <w:t xml:space="preserve">The original representation of the </w:t>
      </w:r>
      <w:r w:rsidR="00673E15">
        <w:t>growth-coupling strength (</w:t>
      </w:r>
      <w:r>
        <w:t>GCS</w:t>
      </w:r>
      <w:r w:rsidR="00673E15">
        <w:t>)</w:t>
      </w:r>
      <w:r>
        <w:t xml:space="preserve"> </w:t>
      </w:r>
      <w:r w:rsidR="00BA785A">
        <w:t xml:space="preserve">is </w:t>
      </w:r>
      <w:r>
        <w:t>base</w:t>
      </w:r>
      <w:r w:rsidR="00BA785A">
        <w:t>d</w:t>
      </w:r>
      <w:r>
        <w:t xml:space="preserve"> on a quantitative comparison of the </w:t>
      </w:r>
      <w:r w:rsidR="00062EEE">
        <w:t>production envelope</w:t>
      </w:r>
      <w:r>
        <w:t xml:space="preserve"> space areas between the mutant and wildtype strain. Since the ex</w:t>
      </w:r>
      <w:r w:rsidR="00062EEE">
        <w:t>act determination of the production envelope</w:t>
      </w:r>
      <w:r>
        <w:t xml:space="preserve"> areas is computatio</w:t>
      </w:r>
      <w:r w:rsidR="00662928">
        <w:t xml:space="preserve">nally expensive, </w:t>
      </w:r>
      <w:r w:rsidR="00673E15">
        <w:t xml:space="preserve">calculation of the GCS had to be simplified for a utilization as an engineering objective for the GA. </w:t>
      </w:r>
      <w:r w:rsidR="00B35C9F">
        <w:t xml:space="preserve">Therefore, </w:t>
      </w:r>
      <w:r w:rsidR="00662928">
        <w:t xml:space="preserve">we derived an </w:t>
      </w:r>
      <w:r>
        <w:t>approximation</w:t>
      </w:r>
      <w:r w:rsidR="00662928">
        <w:t xml:space="preserve"> using only two distinct points on the </w:t>
      </w:r>
      <w:r w:rsidR="00062EEE">
        <w:t>envelope</w:t>
      </w:r>
      <w:r w:rsidR="00662928">
        <w:t xml:space="preserve"> edge</w:t>
      </w:r>
      <w:r w:rsidR="005920D2">
        <w:t xml:space="preserve">, which are computed by two separate linear programs. </w:t>
      </w:r>
      <w:r w:rsidR="00062EEE">
        <w:t xml:space="preserve">These </w:t>
      </w:r>
      <w:r w:rsidR="00F5220A">
        <w:t>yield</w:t>
      </w:r>
      <w:r w:rsidR="00062EEE">
        <w:t xml:space="preserve"> the target production rate</w:t>
      </w:r>
      <w:r w:rsidR="003618A3">
        <w:t xml:space="preserve"> </w:t>
      </w:r>
      <m:oMath>
        <m:sSubSup>
          <m:sSubSupPr>
            <m:ctrlPr>
              <w:rPr>
                <w:rFonts w:ascii="Cambria Math" w:hAnsi="Cambria Math"/>
                <w:i/>
              </w:rPr>
            </m:ctrlPr>
          </m:sSubSupPr>
          <m:e>
            <m:r>
              <w:rPr>
                <w:rFonts w:ascii="Cambria Math" w:hAnsi="Cambria Math"/>
              </w:rPr>
              <m:t>v</m:t>
            </m:r>
          </m:e>
          <m:sub>
            <m:r>
              <w:rPr>
                <w:rFonts w:ascii="Cambria Math" w:hAnsi="Cambria Math"/>
              </w:rPr>
              <m:t>t</m:t>
            </m:r>
          </m:sub>
          <m:sup>
            <m:sSub>
              <m:sSubPr>
                <m:ctrlPr>
                  <w:rPr>
                    <w:rFonts w:ascii="Cambria Math" w:hAnsi="Cambria Math"/>
                    <w:i/>
                  </w:rPr>
                </m:ctrlPr>
              </m:sSubPr>
              <m:e>
                <m:r>
                  <w:rPr>
                    <w:rFonts w:ascii="Cambria Math" w:hAnsi="Cambria Math"/>
                  </w:rPr>
                  <m:t>μ</m:t>
                </m:r>
              </m:e>
              <m:sub>
                <m:r>
                  <w:rPr>
                    <w:rFonts w:ascii="Cambria Math" w:hAnsi="Cambria Math"/>
                  </w:rPr>
                  <m:t>max</m:t>
                </m:r>
              </m:sub>
            </m:sSub>
          </m:sup>
        </m:sSubSup>
      </m:oMath>
      <w:r w:rsidR="008D4641">
        <w:t xml:space="preserve"> </w:t>
      </w:r>
      <w:r w:rsidR="00062EEE">
        <w:t>at maximal growth rate</w:t>
      </w:r>
      <w:r w:rsidR="00F14A4D">
        <w:t xml:space="preserve"> </w:t>
      </w:r>
      <m:oMath>
        <m:sSub>
          <m:sSubPr>
            <m:ctrlPr>
              <w:rPr>
                <w:rFonts w:ascii="Cambria Math" w:hAnsi="Cambria Math"/>
                <w:i/>
              </w:rPr>
            </m:ctrlPr>
          </m:sSubPr>
          <m:e>
            <m:r>
              <w:rPr>
                <w:rFonts w:ascii="Cambria Math" w:hAnsi="Cambria Math"/>
              </w:rPr>
              <m:t>μ</m:t>
            </m:r>
          </m:e>
          <m:sub>
            <m:r>
              <w:rPr>
                <w:rFonts w:ascii="Cambria Math" w:hAnsi="Cambria Math"/>
              </w:rPr>
              <m:t>max</m:t>
            </m:r>
          </m:sub>
        </m:sSub>
      </m:oMath>
      <w:r w:rsidR="00062EEE">
        <w:t xml:space="preserve"> and the minimally guaranteed production rate</w:t>
      </w:r>
      <w:r w:rsidR="008D4641">
        <w:t xml:space="preserve"> </w:t>
      </w:r>
      <m:oMath>
        <m:sSubSup>
          <m:sSubSupPr>
            <m:ctrlPr>
              <w:rPr>
                <w:rFonts w:ascii="Cambria Math" w:hAnsi="Cambria Math"/>
                <w:i/>
              </w:rPr>
            </m:ctrlPr>
          </m:sSubSupPr>
          <m:e>
            <m:r>
              <w:rPr>
                <w:rFonts w:ascii="Cambria Math" w:hAnsi="Cambria Math"/>
              </w:rPr>
              <m:t>v</m:t>
            </m:r>
          </m:e>
          <m:sub>
            <m:r>
              <w:rPr>
                <w:rFonts w:ascii="Cambria Math" w:hAnsi="Cambria Math"/>
              </w:rPr>
              <m:t>t</m:t>
            </m:r>
          </m:sub>
          <m:sup>
            <m:sSub>
              <m:sSubPr>
                <m:ctrlPr>
                  <w:rPr>
                    <w:rFonts w:ascii="Cambria Math" w:hAnsi="Cambria Math"/>
                    <w:i/>
                  </w:rPr>
                </m:ctrlPr>
              </m:sSubPr>
              <m:e>
                <m:r>
                  <w:rPr>
                    <w:rFonts w:ascii="Cambria Math" w:hAnsi="Cambria Math"/>
                  </w:rPr>
                  <m:t>μ</m:t>
                </m:r>
              </m:e>
              <m:sub>
                <m:r>
                  <w:rPr>
                    <w:rFonts w:ascii="Cambria Math" w:hAnsi="Cambria Math"/>
                  </w:rPr>
                  <m:t>red</m:t>
                </m:r>
              </m:sub>
            </m:sSub>
          </m:sup>
        </m:sSubSup>
      </m:oMath>
      <w:r w:rsidR="00062EEE">
        <w:t xml:space="preserve"> at</w:t>
      </w:r>
      <w:r w:rsidR="008D4641">
        <w:t xml:space="preserve"> </w:t>
      </w:r>
      <m:oMath>
        <m:sSub>
          <m:sSubPr>
            <m:ctrlPr>
              <w:rPr>
                <w:rFonts w:ascii="Cambria Math" w:hAnsi="Cambria Math"/>
                <w:i/>
              </w:rPr>
            </m:ctrlPr>
          </m:sSubPr>
          <m:e>
            <m:r>
              <w:rPr>
                <w:rFonts w:ascii="Cambria Math" w:hAnsi="Cambria Math"/>
              </w:rPr>
              <m:t>μ</m:t>
            </m:r>
          </m:e>
          <m:sub>
            <m:r>
              <w:rPr>
                <w:rFonts w:ascii="Cambria Math" w:hAnsi="Cambria Math"/>
              </w:rPr>
              <m:t>red</m:t>
            </m:r>
          </m:sub>
        </m:sSub>
        <m:r>
          <w:rPr>
            <w:rFonts w:ascii="Cambria Math" w:hAnsi="Cambria Math"/>
          </w:rPr>
          <m:t>=0.9∙</m:t>
        </m:r>
        <m:sSub>
          <m:sSubPr>
            <m:ctrlPr>
              <w:rPr>
                <w:rFonts w:ascii="Cambria Math" w:hAnsi="Cambria Math"/>
                <w:i/>
              </w:rPr>
            </m:ctrlPr>
          </m:sSubPr>
          <m:e>
            <m:r>
              <w:rPr>
                <w:rFonts w:ascii="Cambria Math" w:hAnsi="Cambria Math"/>
              </w:rPr>
              <m:t>μ</m:t>
            </m:r>
          </m:e>
          <m:sub>
            <m:r>
              <w:rPr>
                <w:rFonts w:ascii="Cambria Math" w:hAnsi="Cambria Math"/>
              </w:rPr>
              <m:t>max</m:t>
            </m:r>
          </m:sub>
        </m:sSub>
      </m:oMath>
      <w:r w:rsidR="00062EEE">
        <w:t>.</w:t>
      </w:r>
      <w:r w:rsidR="00662928">
        <w:t xml:space="preserve"> </w:t>
      </w:r>
      <w:r w:rsidR="00EA0875">
        <w:t>W</w:t>
      </w:r>
      <w:r w:rsidR="00F5220A">
        <w:t xml:space="preserve">e </w:t>
      </w:r>
      <w:r w:rsidR="008D4641">
        <w:t>used</w:t>
      </w:r>
      <w:r w:rsidR="00F5220A">
        <w:t xml:space="preserve"> the linear extrapolation </w:t>
      </w:r>
      <w:r w:rsidR="00071C04">
        <w:t>of</w:t>
      </w:r>
      <w:r w:rsidR="00F5220A">
        <w:t xml:space="preserve"> both points as </w:t>
      </w:r>
      <w:r w:rsidR="008D4641">
        <w:t>an indicator for the growth-coupling characteristics</w:t>
      </w:r>
      <w:r w:rsidR="00F5220A">
        <w:t>.</w:t>
      </w:r>
      <w:r w:rsidR="00071C04">
        <w:t xml:space="preserve"> </w:t>
      </w:r>
      <w:r w:rsidR="00EA0875">
        <w:t xml:space="preserve">Therefore, the production rate axis intercept of the extrapolation </w:t>
      </w:r>
      <w:r w:rsidR="00BA785A">
        <w:t>was</w:t>
      </w:r>
      <w:r w:rsidR="00EA0875">
        <w:t xml:space="preserve"> determined by Equation 1:</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409"/>
        <w:gridCol w:w="435"/>
      </w:tblGrid>
      <w:tr w:rsidR="00FE0FC4" w:rsidRPr="00C207B2" w14:paraId="188116B8" w14:textId="77777777" w:rsidTr="00650DA7">
        <w:trPr>
          <w:jc w:val="center"/>
        </w:trPr>
        <w:tc>
          <w:tcPr>
            <w:tcW w:w="4754" w:type="pct"/>
          </w:tcPr>
          <w:p w14:paraId="241EEA6F" w14:textId="04FF04A1" w:rsidR="00FE0FC4" w:rsidRPr="00E7442D" w:rsidRDefault="00503980" w:rsidP="00092E92">
            <w:pPr>
              <w:pStyle w:val="MDPI39equation"/>
              <w:rPr>
                <w:rFonts w:ascii="Cambria Math" w:hAnsi="Cambria Math"/>
              </w:rPr>
            </w:pPr>
            <m:oMathPara>
              <m:oMath>
                <m:sSub>
                  <m:sSubPr>
                    <m:ctrlPr>
                      <w:rPr>
                        <w:rFonts w:ascii="Cambria Math" w:hAnsi="Cambria Math"/>
                        <w:i/>
                      </w:rPr>
                    </m:ctrlPr>
                  </m:sSubPr>
                  <m:e>
                    <m:r>
                      <w:rPr>
                        <w:rFonts w:ascii="Cambria Math" w:hAnsi="Cambria Math"/>
                      </w:rPr>
                      <m:t>v</m:t>
                    </m:r>
                  </m:e>
                  <m:sub>
                    <m:r>
                      <w:rPr>
                        <w:rFonts w:ascii="Cambria Math" w:hAnsi="Cambria Math"/>
                      </w:rPr>
                      <m:t>t,i</m:t>
                    </m:r>
                  </m:sub>
                </m:sSub>
                <m:r>
                  <w:rPr>
                    <w:rFonts w:ascii="Cambria Math" w:hAnsi="Cambria Math"/>
                  </w:rPr>
                  <m:t>=</m:t>
                </m:r>
                <m:f>
                  <m:fPr>
                    <m:ctrlPr>
                      <w:rPr>
                        <w:rFonts w:ascii="Cambria Math" w:hAnsi="Cambria Math"/>
                        <w:i/>
                      </w:rPr>
                    </m:ctrlPr>
                  </m:fPr>
                  <m:num>
                    <m:f>
                      <m:fPr>
                        <m:ctrlPr>
                          <w:rPr>
                            <w:rFonts w:ascii="Cambria Math" w:hAnsi="Cambria Math"/>
                            <w:i/>
                          </w:rPr>
                        </m:ctrlPr>
                      </m:fPr>
                      <m:num>
                        <m:sSubSup>
                          <m:sSubSupPr>
                            <m:ctrlPr>
                              <w:rPr>
                                <w:rFonts w:ascii="Cambria Math" w:hAnsi="Cambria Math"/>
                                <w:i/>
                              </w:rPr>
                            </m:ctrlPr>
                          </m:sSubSupPr>
                          <m:e>
                            <m:r>
                              <w:rPr>
                                <w:rFonts w:ascii="Cambria Math" w:hAnsi="Cambria Math"/>
                              </w:rPr>
                              <m:t>v</m:t>
                            </m:r>
                          </m:e>
                          <m:sub>
                            <m:r>
                              <w:rPr>
                                <w:rFonts w:ascii="Cambria Math" w:hAnsi="Cambria Math"/>
                              </w:rPr>
                              <m:t>t</m:t>
                            </m:r>
                          </m:sub>
                          <m:sup>
                            <m:sSub>
                              <m:sSubPr>
                                <m:ctrlPr>
                                  <w:rPr>
                                    <w:rFonts w:ascii="Cambria Math" w:hAnsi="Cambria Math"/>
                                    <w:i/>
                                  </w:rPr>
                                </m:ctrlPr>
                              </m:sSubPr>
                              <m:e>
                                <m:r>
                                  <w:rPr>
                                    <w:rFonts w:ascii="Cambria Math" w:hAnsi="Cambria Math"/>
                                  </w:rPr>
                                  <m:t>μ</m:t>
                                </m:r>
                              </m:e>
                              <m:sub>
                                <m:r>
                                  <w:rPr>
                                    <w:rFonts w:ascii="Cambria Math" w:hAnsi="Cambria Math"/>
                                  </w:rPr>
                                  <m:t>max</m:t>
                                </m:r>
                              </m:sub>
                            </m:sSub>
                          </m:sup>
                        </m:sSubSup>
                      </m:num>
                      <m:den>
                        <m:sSub>
                          <m:sSubPr>
                            <m:ctrlPr>
                              <w:rPr>
                                <w:rFonts w:ascii="Cambria Math" w:hAnsi="Cambria Math"/>
                                <w:i/>
                              </w:rPr>
                            </m:ctrlPr>
                          </m:sSubPr>
                          <m:e>
                            <m:r>
                              <w:rPr>
                                <w:rFonts w:ascii="Cambria Math" w:hAnsi="Cambria Math"/>
                              </w:rPr>
                              <m:t>μ</m:t>
                            </m:r>
                          </m:e>
                          <m:sub>
                            <m:r>
                              <w:rPr>
                                <w:rFonts w:ascii="Cambria Math" w:hAnsi="Cambria Math"/>
                              </w:rPr>
                              <m:t>max</m:t>
                            </m:r>
                          </m:sub>
                        </m:sSub>
                      </m:den>
                    </m:f>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v</m:t>
                            </m:r>
                          </m:e>
                          <m:sub>
                            <m:r>
                              <w:rPr>
                                <w:rFonts w:ascii="Cambria Math" w:hAnsi="Cambria Math"/>
                              </w:rPr>
                              <m:t>t</m:t>
                            </m:r>
                          </m:sub>
                          <m:sup>
                            <m:sSub>
                              <m:sSubPr>
                                <m:ctrlPr>
                                  <w:rPr>
                                    <w:rFonts w:ascii="Cambria Math" w:hAnsi="Cambria Math"/>
                                    <w:i/>
                                  </w:rPr>
                                </m:ctrlPr>
                              </m:sSubPr>
                              <m:e>
                                <m:r>
                                  <w:rPr>
                                    <w:rFonts w:ascii="Cambria Math" w:hAnsi="Cambria Math"/>
                                  </w:rPr>
                                  <m:t>μ</m:t>
                                </m:r>
                              </m:e>
                              <m:sub>
                                <m:r>
                                  <w:rPr>
                                    <w:rFonts w:ascii="Cambria Math" w:hAnsi="Cambria Math"/>
                                  </w:rPr>
                                  <m:t>red</m:t>
                                </m:r>
                              </m:sub>
                            </m:sSub>
                          </m:sup>
                        </m:sSubSup>
                      </m:num>
                      <m:den>
                        <m:sSub>
                          <m:sSubPr>
                            <m:ctrlPr>
                              <w:rPr>
                                <w:rFonts w:ascii="Cambria Math" w:hAnsi="Cambria Math"/>
                                <w:i/>
                              </w:rPr>
                            </m:ctrlPr>
                          </m:sSubPr>
                          <m:e>
                            <m:r>
                              <w:rPr>
                                <w:rFonts w:ascii="Cambria Math" w:hAnsi="Cambria Math"/>
                              </w:rPr>
                              <m:t>μ</m:t>
                            </m:r>
                          </m:e>
                          <m:sub>
                            <m:r>
                              <w:rPr>
                                <w:rFonts w:ascii="Cambria Math" w:hAnsi="Cambria Math"/>
                              </w:rPr>
                              <m:t>red</m:t>
                            </m:r>
                          </m:sub>
                        </m:sSub>
                      </m:den>
                    </m:f>
                  </m:num>
                  <m:den>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μ</m:t>
                            </m:r>
                          </m:e>
                          <m:sub>
                            <m:r>
                              <w:rPr>
                                <w:rFonts w:ascii="Cambria Math" w:hAnsi="Cambria Math"/>
                              </w:rPr>
                              <m:t>max</m:t>
                            </m:r>
                          </m:sub>
                        </m:sSub>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μ</m:t>
                            </m:r>
                          </m:e>
                          <m:sub>
                            <m:r>
                              <w:rPr>
                                <w:rFonts w:ascii="Cambria Math" w:hAnsi="Cambria Math"/>
                              </w:rPr>
                              <m:t>red</m:t>
                            </m:r>
                          </m:sub>
                        </m:sSub>
                      </m:den>
                    </m:f>
                  </m:den>
                </m:f>
                <m:r>
                  <w:rPr>
                    <w:rFonts w:ascii="Cambria Math" w:hAnsi="Cambria Math"/>
                  </w:rPr>
                  <m:t>,</m:t>
                </m:r>
              </m:oMath>
            </m:oMathPara>
          </w:p>
        </w:tc>
        <w:tc>
          <w:tcPr>
            <w:tcW w:w="246" w:type="pct"/>
            <w:vAlign w:val="center"/>
          </w:tcPr>
          <w:p w14:paraId="511472B3" w14:textId="1E42940B" w:rsidR="00FE0FC4" w:rsidRPr="00C207B2" w:rsidRDefault="00FE0FC4" w:rsidP="00650DA7">
            <w:pPr>
              <w:pStyle w:val="MDPI31text"/>
              <w:ind w:firstLine="0"/>
              <w:jc w:val="right"/>
            </w:pPr>
            <w:bookmarkStart w:id="0" w:name="_Ref507351728"/>
            <w:r>
              <w:t>(</w:t>
            </w:r>
            <w:fldSimple w:instr=" SEQ Equation \* ARABIC ">
              <w:r>
                <w:rPr>
                  <w:noProof/>
                </w:rPr>
                <w:t>1</w:t>
              </w:r>
            </w:fldSimple>
            <w:bookmarkEnd w:id="0"/>
            <w:r>
              <w:t>)</w:t>
            </w:r>
          </w:p>
        </w:tc>
      </w:tr>
    </w:tbl>
    <w:p w14:paraId="7AACBAB4" w14:textId="66622427" w:rsidR="008D4641" w:rsidRDefault="00EA0875" w:rsidP="009238D1">
      <w:pPr>
        <w:pStyle w:val="MDPI31text"/>
      </w:pPr>
      <w:r>
        <w:t xml:space="preserve">A </w:t>
      </w:r>
      <m:oMath>
        <m:sSub>
          <m:sSubPr>
            <m:ctrlPr>
              <w:rPr>
                <w:rFonts w:ascii="Cambria Math" w:hAnsi="Cambria Math"/>
                <w:i/>
              </w:rPr>
            </m:ctrlPr>
          </m:sSubPr>
          <m:e>
            <m:r>
              <w:rPr>
                <w:rFonts w:ascii="Cambria Math" w:hAnsi="Cambria Math"/>
              </w:rPr>
              <m:t>v</m:t>
            </m:r>
          </m:e>
          <m:sub>
            <m:r>
              <w:rPr>
                <w:rFonts w:ascii="Cambria Math" w:hAnsi="Cambria Math"/>
              </w:rPr>
              <m:t>t,i</m:t>
            </m:r>
          </m:sub>
        </m:sSub>
        <m:r>
          <w:rPr>
            <w:rFonts w:ascii="Cambria Math" w:hAnsi="Cambria Math"/>
          </w:rPr>
          <m:t>≤0</m:t>
        </m:r>
      </m:oMath>
      <w:r>
        <w:t xml:space="preserve"> indicates weak growth-coupling </w:t>
      </w:r>
      <w:r w:rsidR="00CE2A5A">
        <w:t>and the</w:t>
      </w:r>
      <w:r w:rsidR="00E217E3">
        <w:t xml:space="preserve"> area</w:t>
      </w:r>
      <w:r w:rsidR="00CE2A5A">
        <w:t xml:space="preserve"> </w:t>
      </w:r>
      <w:r w:rsidR="00E217E3">
        <w:t xml:space="preserve">below the approximated lower production rate bound </w:t>
      </w:r>
      <m:oMath>
        <m:sSub>
          <m:sSubPr>
            <m:ctrlPr>
              <w:rPr>
                <w:rFonts w:ascii="Cambria Math" w:hAnsi="Cambria Math"/>
                <w:i/>
              </w:rPr>
            </m:ctrlPr>
          </m:sSubPr>
          <m:e>
            <m:r>
              <w:rPr>
                <w:rFonts w:ascii="Cambria Math" w:hAnsi="Cambria Math"/>
              </w:rPr>
              <m:t>A</m:t>
            </m:r>
          </m:e>
          <m:sub>
            <m:r>
              <w:rPr>
                <w:rFonts w:ascii="Cambria Math" w:hAnsi="Cambria Math"/>
              </w:rPr>
              <m:t>weak</m:t>
            </m:r>
          </m:sub>
        </m:sSub>
      </m:oMath>
      <w:r w:rsidR="00E217E3">
        <w:t xml:space="preserve"> </w:t>
      </w:r>
      <w:r w:rsidR="00BA785A">
        <w:t>was</w:t>
      </w:r>
      <w:r w:rsidR="00CE2A5A">
        <w:t xml:space="preserve"> calculated by</w:t>
      </w:r>
      <w:r w:rsidR="00E217E3">
        <w:t xml:space="preserve"> </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409"/>
        <w:gridCol w:w="435"/>
      </w:tblGrid>
      <w:tr w:rsidR="00195355" w:rsidRPr="00C207B2" w14:paraId="2E42CAA6" w14:textId="77777777" w:rsidTr="00092E92">
        <w:trPr>
          <w:jc w:val="center"/>
        </w:trPr>
        <w:tc>
          <w:tcPr>
            <w:tcW w:w="4754" w:type="pct"/>
          </w:tcPr>
          <w:p w14:paraId="601B8B94" w14:textId="160CAA92" w:rsidR="00195355" w:rsidRPr="00E7442D" w:rsidRDefault="00503980" w:rsidP="00092E92">
            <w:pPr>
              <w:pStyle w:val="MDPI39equation"/>
              <w:rPr>
                <w:rFonts w:ascii="Cambria Math" w:hAnsi="Cambria Math"/>
              </w:rPr>
            </w:pPr>
            <m:oMathPara>
              <m:oMath>
                <m:sSub>
                  <m:sSubPr>
                    <m:ctrlPr>
                      <w:rPr>
                        <w:rFonts w:ascii="Cambria Math" w:hAnsi="Cambria Math"/>
                        <w:i/>
                      </w:rPr>
                    </m:ctrlPr>
                  </m:sSubPr>
                  <m:e>
                    <m:r>
                      <w:rPr>
                        <w:rFonts w:ascii="Cambria Math" w:hAnsi="Cambria Math"/>
                      </w:rPr>
                      <m:t>A</m:t>
                    </m:r>
                  </m:e>
                  <m:sub>
                    <m:r>
                      <w:rPr>
                        <w:rFonts w:ascii="Cambria Math" w:hAnsi="Cambria Math"/>
                      </w:rPr>
                      <m:t>weak</m:t>
                    </m:r>
                  </m:sub>
                </m:sSub>
                <m:r>
                  <w:rPr>
                    <w:rFonts w:ascii="Cambria Math" w:hAnsi="Cambria Math"/>
                  </w:rPr>
                  <m:t>=0.5∙</m:t>
                </m:r>
                <m:sSubSup>
                  <m:sSubSupPr>
                    <m:ctrlPr>
                      <w:rPr>
                        <w:rFonts w:ascii="Cambria Math" w:hAnsi="Cambria Math"/>
                        <w:i/>
                      </w:rPr>
                    </m:ctrlPr>
                  </m:sSubSupPr>
                  <m:e>
                    <m:r>
                      <w:rPr>
                        <w:rFonts w:ascii="Cambria Math" w:hAnsi="Cambria Math"/>
                      </w:rPr>
                      <m:t>v</m:t>
                    </m:r>
                  </m:e>
                  <m:sub>
                    <m:r>
                      <w:rPr>
                        <w:rFonts w:ascii="Cambria Math" w:hAnsi="Cambria Math"/>
                      </w:rPr>
                      <m:t>t</m:t>
                    </m:r>
                  </m:sub>
                  <m:sup>
                    <m:sSub>
                      <m:sSubPr>
                        <m:ctrlPr>
                          <w:rPr>
                            <w:rFonts w:ascii="Cambria Math" w:hAnsi="Cambria Math"/>
                            <w:i/>
                          </w:rPr>
                        </m:ctrlPr>
                      </m:sSubPr>
                      <m:e>
                        <m:r>
                          <w:rPr>
                            <w:rFonts w:ascii="Cambria Math" w:hAnsi="Cambria Math"/>
                          </w:rPr>
                          <m:t>μ</m:t>
                        </m:r>
                      </m:e>
                      <m:sub>
                        <m:r>
                          <w:rPr>
                            <w:rFonts w:ascii="Cambria Math" w:hAnsi="Cambria Math"/>
                          </w:rPr>
                          <m:t>max</m:t>
                        </m:r>
                      </m:sub>
                    </m:sSub>
                  </m:sup>
                </m:sSubSup>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μ</m:t>
                        </m:r>
                      </m:e>
                      <m:sub>
                        <m:r>
                          <w:rPr>
                            <w:rFonts w:ascii="Cambria Math" w:hAnsi="Cambria Math"/>
                          </w:rPr>
                          <m:t>max</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t,i</m:t>
                            </m:r>
                          </m:sub>
                        </m:sSub>
                      </m:num>
                      <m:den>
                        <m:sSubSup>
                          <m:sSubSupPr>
                            <m:ctrlPr>
                              <w:rPr>
                                <w:rFonts w:ascii="Cambria Math" w:hAnsi="Cambria Math"/>
                                <w:i/>
                              </w:rPr>
                            </m:ctrlPr>
                          </m:sSubSupPr>
                          <m:e>
                            <m:r>
                              <w:rPr>
                                <w:rFonts w:ascii="Cambria Math" w:hAnsi="Cambria Math"/>
                              </w:rPr>
                              <m:t>v</m:t>
                            </m:r>
                          </m:e>
                          <m:sub>
                            <m:r>
                              <w:rPr>
                                <w:rFonts w:ascii="Cambria Math" w:hAnsi="Cambria Math"/>
                              </w:rPr>
                              <m:t>t</m:t>
                            </m:r>
                          </m:sub>
                          <m:sup>
                            <m:sSub>
                              <m:sSubPr>
                                <m:ctrlPr>
                                  <w:rPr>
                                    <w:rFonts w:ascii="Cambria Math" w:hAnsi="Cambria Math"/>
                                    <w:i/>
                                  </w:rPr>
                                </m:ctrlPr>
                              </m:sSubPr>
                              <m:e>
                                <m:r>
                                  <w:rPr>
                                    <w:rFonts w:ascii="Cambria Math" w:hAnsi="Cambria Math"/>
                                  </w:rPr>
                                  <m:t>μ</m:t>
                                </m:r>
                              </m:e>
                              <m:sub>
                                <m:r>
                                  <w:rPr>
                                    <w:rFonts w:ascii="Cambria Math" w:hAnsi="Cambria Math"/>
                                  </w:rPr>
                                  <m:t>max</m:t>
                                </m:r>
                              </m:sub>
                            </m:sSub>
                          </m:sup>
                        </m:sSubSup>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t,i</m:t>
                            </m:r>
                          </m:sub>
                        </m:sSub>
                      </m:den>
                    </m:f>
                  </m:e>
                </m:d>
                <m:r>
                  <w:rPr>
                    <w:rFonts w:ascii="Cambria Math" w:hAnsi="Cambria Math"/>
                  </w:rPr>
                  <m:t>.</m:t>
                </m:r>
              </m:oMath>
            </m:oMathPara>
          </w:p>
        </w:tc>
        <w:tc>
          <w:tcPr>
            <w:tcW w:w="246" w:type="pct"/>
            <w:vAlign w:val="center"/>
          </w:tcPr>
          <w:p w14:paraId="1BC6A208" w14:textId="1862D266" w:rsidR="00195355" w:rsidRPr="00C207B2" w:rsidRDefault="00195355" w:rsidP="00092E92">
            <w:pPr>
              <w:pStyle w:val="MDPI31text"/>
              <w:ind w:firstLine="0"/>
              <w:jc w:val="right"/>
            </w:pPr>
            <w:r>
              <w:t>(</w:t>
            </w:r>
            <w:fldSimple w:instr=" SEQ Equation \* ARABIC ">
              <w:r>
                <w:rPr>
                  <w:noProof/>
                </w:rPr>
                <w:t>2</w:t>
              </w:r>
            </w:fldSimple>
            <w:r>
              <w:t>)</w:t>
            </w:r>
          </w:p>
        </w:tc>
      </w:tr>
    </w:tbl>
    <w:p w14:paraId="42E6A4A6" w14:textId="113A93C1" w:rsidR="00B808AE" w:rsidRDefault="00B808AE" w:rsidP="009238D1">
      <w:pPr>
        <w:pStyle w:val="MDPI31text"/>
      </w:pPr>
      <w:r>
        <w:t xml:space="preserve">If </w:t>
      </w:r>
      <m:oMath>
        <m:sSub>
          <m:sSubPr>
            <m:ctrlPr>
              <w:rPr>
                <w:rFonts w:ascii="Cambria Math" w:hAnsi="Cambria Math"/>
                <w:i/>
              </w:rPr>
            </m:ctrlPr>
          </m:sSubPr>
          <m:e>
            <m:r>
              <w:rPr>
                <w:rFonts w:ascii="Cambria Math" w:hAnsi="Cambria Math"/>
              </w:rPr>
              <m:t>v</m:t>
            </m:r>
          </m:e>
          <m:sub>
            <m:r>
              <w:rPr>
                <w:rFonts w:ascii="Cambria Math" w:hAnsi="Cambria Math"/>
              </w:rPr>
              <m:t>t,i</m:t>
            </m:r>
          </m:sub>
        </m:sSub>
      </m:oMath>
      <w:r>
        <w:t xml:space="preserve"> is positive, the strain design exhibits strong growth-coupling and </w:t>
      </w:r>
      <m:oMath>
        <m:sSub>
          <m:sSubPr>
            <m:ctrlPr>
              <w:rPr>
                <w:rFonts w:ascii="Cambria Math" w:hAnsi="Cambria Math"/>
                <w:i/>
              </w:rPr>
            </m:ctrlPr>
          </m:sSubPr>
          <m:e>
            <m:r>
              <w:rPr>
                <w:rFonts w:ascii="Cambria Math" w:hAnsi="Cambria Math"/>
              </w:rPr>
              <m:t>A</m:t>
            </m:r>
          </m:e>
          <m:sub>
            <m:r>
              <w:rPr>
                <w:rFonts w:ascii="Cambria Math" w:hAnsi="Cambria Math"/>
              </w:rPr>
              <m:t>strong</m:t>
            </m:r>
          </m:sub>
        </m:sSub>
      </m:oMath>
      <w:r>
        <w:t xml:space="preserve"> is</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409"/>
        <w:gridCol w:w="435"/>
      </w:tblGrid>
      <w:tr w:rsidR="00B808AE" w:rsidRPr="00C207B2" w14:paraId="36C06D98" w14:textId="77777777" w:rsidTr="00092E92">
        <w:trPr>
          <w:jc w:val="center"/>
        </w:trPr>
        <w:tc>
          <w:tcPr>
            <w:tcW w:w="4754" w:type="pct"/>
          </w:tcPr>
          <w:p w14:paraId="4F72C77C" w14:textId="468FF9CA" w:rsidR="00B808AE" w:rsidRPr="00E7442D" w:rsidRDefault="00503980" w:rsidP="00092E92">
            <w:pPr>
              <w:pStyle w:val="MDPI39equation"/>
              <w:rPr>
                <w:rFonts w:ascii="Cambria Math" w:hAnsi="Cambria Math"/>
              </w:rPr>
            </w:pPr>
            <m:oMathPara>
              <m:oMath>
                <m:sSub>
                  <m:sSubPr>
                    <m:ctrlPr>
                      <w:rPr>
                        <w:rFonts w:ascii="Cambria Math" w:hAnsi="Cambria Math"/>
                        <w:i/>
                      </w:rPr>
                    </m:ctrlPr>
                  </m:sSubPr>
                  <m:e>
                    <m:r>
                      <w:rPr>
                        <w:rFonts w:ascii="Cambria Math" w:hAnsi="Cambria Math"/>
                      </w:rPr>
                      <m:t>A</m:t>
                    </m:r>
                  </m:e>
                  <m:sub>
                    <m:r>
                      <w:rPr>
                        <w:rFonts w:ascii="Cambria Math" w:hAnsi="Cambria Math"/>
                      </w:rPr>
                      <m:t>strong</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μ</m:t>
                        </m:r>
                      </m:e>
                      <m:sub>
                        <m:r>
                          <w:rPr>
                            <w:rFonts w:ascii="Cambria Math" w:hAnsi="Cambria Math"/>
                          </w:rPr>
                          <m:t>max</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t</m:t>
                        </m:r>
                      </m:sub>
                      <m:sup>
                        <m:sSub>
                          <m:sSubPr>
                            <m:ctrlPr>
                              <w:rPr>
                                <w:rFonts w:ascii="Cambria Math" w:hAnsi="Cambria Math"/>
                                <w:i/>
                              </w:rPr>
                            </m:ctrlPr>
                          </m:sSubPr>
                          <m:e>
                            <m:r>
                              <w:rPr>
                                <w:rFonts w:ascii="Cambria Math" w:hAnsi="Cambria Math"/>
                              </w:rPr>
                              <m:t>μ</m:t>
                            </m:r>
                          </m:e>
                          <m:sub>
                            <m:r>
                              <w:rPr>
                                <w:rFonts w:ascii="Cambria Math" w:hAnsi="Cambria Math"/>
                              </w:rPr>
                              <m:t>max</m:t>
                            </m:r>
                          </m:sub>
                        </m:sSub>
                      </m:sup>
                    </m:sSubSup>
                  </m:e>
                </m:d>
                <m:r>
                  <w:rPr>
                    <w:rFonts w:ascii="Cambria Math" w:hAnsi="Cambria Math"/>
                  </w:rPr>
                  <m:t>-</m:t>
                </m:r>
                <m:d>
                  <m:dPr>
                    <m:ctrlPr>
                      <w:rPr>
                        <w:rFonts w:ascii="Cambria Math" w:hAnsi="Cambria Math"/>
                        <w:i/>
                      </w:rPr>
                    </m:ctrlPr>
                  </m:dPr>
                  <m:e>
                    <m:r>
                      <w:rPr>
                        <w:rFonts w:ascii="Cambria Math" w:hAnsi="Cambria Math"/>
                      </w:rPr>
                      <m:t>0.5∙</m:t>
                    </m:r>
                    <m:sSub>
                      <m:sSubPr>
                        <m:ctrlPr>
                          <w:rPr>
                            <w:rFonts w:ascii="Cambria Math" w:hAnsi="Cambria Math"/>
                            <w:i/>
                          </w:rPr>
                        </m:ctrlPr>
                      </m:sSubPr>
                      <m:e>
                        <m:r>
                          <w:rPr>
                            <w:rFonts w:ascii="Cambria Math" w:hAnsi="Cambria Math"/>
                          </w:rPr>
                          <m:t>μ</m:t>
                        </m:r>
                      </m:e>
                      <m:sub>
                        <m:r>
                          <w:rPr>
                            <w:rFonts w:ascii="Cambria Math" w:hAnsi="Cambria Math"/>
                          </w:rPr>
                          <m:t>max</m:t>
                        </m:r>
                      </m:sub>
                    </m:sSub>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v</m:t>
                            </m:r>
                          </m:e>
                          <m:sub>
                            <m:r>
                              <w:rPr>
                                <w:rFonts w:ascii="Cambria Math" w:hAnsi="Cambria Math"/>
                              </w:rPr>
                              <m:t>t</m:t>
                            </m:r>
                          </m:sub>
                          <m:sup>
                            <m:sSub>
                              <m:sSubPr>
                                <m:ctrlPr>
                                  <w:rPr>
                                    <w:rFonts w:ascii="Cambria Math" w:hAnsi="Cambria Math"/>
                                    <w:i/>
                                  </w:rPr>
                                </m:ctrlPr>
                              </m:sSubPr>
                              <m:e>
                                <m:r>
                                  <w:rPr>
                                    <w:rFonts w:ascii="Cambria Math" w:hAnsi="Cambria Math"/>
                                  </w:rPr>
                                  <m:t>μ</m:t>
                                </m:r>
                              </m:e>
                              <m:sub>
                                <m:r>
                                  <w:rPr>
                                    <w:rFonts w:ascii="Cambria Math" w:hAnsi="Cambria Math"/>
                                  </w:rPr>
                                  <m:t>max</m:t>
                                </m:r>
                              </m:sub>
                            </m:sSub>
                          </m:sup>
                        </m:sSubSup>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t,i</m:t>
                            </m:r>
                          </m:sub>
                        </m:sSub>
                      </m:e>
                    </m:d>
                  </m:e>
                </m:d>
                <m:r>
                  <w:rPr>
                    <w:rFonts w:ascii="Cambria Math" w:hAnsi="Cambria Math"/>
                  </w:rPr>
                  <m:t>.</m:t>
                </m:r>
              </m:oMath>
            </m:oMathPara>
          </w:p>
        </w:tc>
        <w:tc>
          <w:tcPr>
            <w:tcW w:w="246" w:type="pct"/>
            <w:vAlign w:val="center"/>
          </w:tcPr>
          <w:p w14:paraId="015BB877" w14:textId="25D5A6F7" w:rsidR="00B808AE" w:rsidRPr="00C207B2" w:rsidRDefault="00B808AE" w:rsidP="00092E92">
            <w:pPr>
              <w:pStyle w:val="MDPI31text"/>
              <w:ind w:firstLine="0"/>
              <w:jc w:val="right"/>
            </w:pPr>
            <w:r>
              <w:t>(</w:t>
            </w:r>
            <w:fldSimple w:instr=" SEQ Equation \* ARABIC ">
              <w:r w:rsidR="00092E92">
                <w:rPr>
                  <w:noProof/>
                </w:rPr>
                <w:t>3</w:t>
              </w:r>
            </w:fldSimple>
            <w:r>
              <w:t>)</w:t>
            </w:r>
          </w:p>
        </w:tc>
      </w:tr>
    </w:tbl>
    <w:p w14:paraId="5A2C546C" w14:textId="198CD3B7" w:rsidR="00092E92" w:rsidRDefault="00092E92" w:rsidP="00092E92">
      <w:pPr>
        <w:pStyle w:val="MDPI31text"/>
      </w:pPr>
      <w:r>
        <w:t xml:space="preserve">To derive the GCS approximation, the area of the wildtype production rate beyond </w:t>
      </w:r>
      <m:oMath>
        <m:sSub>
          <m:sSubPr>
            <m:ctrlPr>
              <w:rPr>
                <w:rFonts w:ascii="Cambria Math" w:hAnsi="Cambria Math"/>
                <w:i/>
              </w:rPr>
            </m:ctrlPr>
          </m:sSubPr>
          <m:e>
            <m:r>
              <w:rPr>
                <w:rFonts w:ascii="Cambria Math" w:hAnsi="Cambria Math"/>
              </w:rPr>
              <m:t>μ</m:t>
            </m:r>
          </m:e>
          <m:sub>
            <m:r>
              <w:rPr>
                <w:rFonts w:ascii="Cambria Math" w:hAnsi="Cambria Math"/>
              </w:rPr>
              <m:t>max</m:t>
            </m:r>
          </m:sub>
        </m:sSub>
      </m:oMath>
      <w:r>
        <w:t xml:space="preserve"> is added to </w:t>
      </w:r>
      <m:oMath>
        <m:sSub>
          <m:sSubPr>
            <m:ctrlPr>
              <w:rPr>
                <w:rFonts w:ascii="Cambria Math" w:hAnsi="Cambria Math"/>
                <w:i/>
              </w:rPr>
            </m:ctrlPr>
          </m:sSubPr>
          <m:e>
            <m:r>
              <w:rPr>
                <w:rFonts w:ascii="Cambria Math" w:hAnsi="Cambria Math"/>
              </w:rPr>
              <m:t>A</m:t>
            </m:r>
          </m:e>
          <m:sub>
            <m:r>
              <w:rPr>
                <w:rFonts w:ascii="Cambria Math" w:hAnsi="Cambria Math"/>
              </w:rPr>
              <m:t>weak</m:t>
            </m:r>
          </m:sub>
        </m:sSub>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strong</m:t>
            </m:r>
          </m:sub>
        </m:sSub>
      </m:oMath>
      <w:r>
        <w:t xml:space="preserve"> and the sum is normalized by the total area of the wildtype production envelope </w:t>
      </w:r>
      <m:oMath>
        <m:sSub>
          <m:sSubPr>
            <m:ctrlPr>
              <w:rPr>
                <w:rFonts w:ascii="Cambria Math" w:hAnsi="Cambria Math"/>
                <w:i/>
              </w:rPr>
            </m:ctrlPr>
          </m:sSubPr>
          <m:e>
            <m:r>
              <w:rPr>
                <w:rFonts w:ascii="Cambria Math" w:hAnsi="Cambria Math"/>
              </w:rPr>
              <m:t>A</m:t>
            </m:r>
          </m:e>
          <m:sub>
            <m:r>
              <w:rPr>
                <w:rFonts w:ascii="Cambria Math" w:hAnsi="Cambria Math"/>
              </w:rPr>
              <m:t>wt</m:t>
            </m:r>
          </m:sub>
        </m:sSub>
      </m:oMath>
      <w:r>
        <w:t>, hence</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409"/>
        <w:gridCol w:w="435"/>
      </w:tblGrid>
      <w:tr w:rsidR="00092E92" w:rsidRPr="00C207B2" w14:paraId="5F86CD5B" w14:textId="77777777" w:rsidTr="00092E92">
        <w:trPr>
          <w:jc w:val="center"/>
        </w:trPr>
        <w:tc>
          <w:tcPr>
            <w:tcW w:w="4754" w:type="pct"/>
          </w:tcPr>
          <w:p w14:paraId="71AF9863" w14:textId="3E1A89AB" w:rsidR="00092E92" w:rsidRPr="00E7442D" w:rsidRDefault="00092E92" w:rsidP="00092E92">
            <w:pPr>
              <w:pStyle w:val="MDPI39equation"/>
              <w:rPr>
                <w:rFonts w:ascii="Cambria Math" w:hAnsi="Cambria Math"/>
              </w:rPr>
            </w:pPr>
            <m:oMathPara>
              <m:oMath>
                <m:r>
                  <w:rPr>
                    <w:rFonts w:ascii="Cambria Math" w:hAnsi="Cambria Math"/>
                  </w:rPr>
                  <w:lastRenderedPageBreak/>
                  <m:t>GCS=</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weak/strong</m:t>
                        </m:r>
                      </m:sub>
                    </m:sSub>
                    <m:r>
                      <w:rPr>
                        <w:rFonts w:ascii="Cambria Math" w:hAnsi="Cambria Math"/>
                      </w:rPr>
                      <m:t>+</m:t>
                    </m:r>
                    <m:d>
                      <m:dPr>
                        <m:ctrlPr>
                          <w:rPr>
                            <w:rFonts w:ascii="Cambria Math" w:hAnsi="Cambria Math"/>
                            <w:i/>
                          </w:rPr>
                        </m:ctrlPr>
                      </m:dPr>
                      <m:e>
                        <m:r>
                          <w:rPr>
                            <w:rFonts w:ascii="Cambria Math" w:hAnsi="Cambria Math"/>
                          </w:rPr>
                          <m:t>0.5∙</m:t>
                        </m:r>
                        <m:sSubSup>
                          <m:sSubSupPr>
                            <m:ctrlPr>
                              <w:rPr>
                                <w:rFonts w:ascii="Cambria Math" w:hAnsi="Cambria Math"/>
                                <w:i/>
                              </w:rPr>
                            </m:ctrlPr>
                          </m:sSubSupPr>
                          <m:e>
                            <m:r>
                              <w:rPr>
                                <w:rFonts w:ascii="Cambria Math" w:hAnsi="Cambria Math"/>
                              </w:rPr>
                              <m:t>v</m:t>
                            </m:r>
                          </m:e>
                          <m:sub>
                            <m:r>
                              <w:rPr>
                                <w:rFonts w:ascii="Cambria Math" w:hAnsi="Cambria Math"/>
                              </w:rPr>
                              <m:t>t</m:t>
                            </m:r>
                          </m:sub>
                          <m:sup>
                            <m:sSub>
                              <m:sSubPr>
                                <m:ctrlPr>
                                  <w:rPr>
                                    <w:rFonts w:ascii="Cambria Math" w:hAnsi="Cambria Math"/>
                                    <w:i/>
                                  </w:rPr>
                                </m:ctrlPr>
                              </m:sSubPr>
                              <m:e>
                                <m:r>
                                  <w:rPr>
                                    <w:rFonts w:ascii="Cambria Math" w:hAnsi="Cambria Math"/>
                                  </w:rPr>
                                  <m:t>μ</m:t>
                                </m:r>
                              </m:e>
                              <m:sub>
                                <m:r>
                                  <w:rPr>
                                    <w:rFonts w:ascii="Cambria Math" w:hAnsi="Cambria Math"/>
                                  </w:rPr>
                                  <m:t>max</m:t>
                                </m:r>
                              </m:sub>
                            </m:sSub>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μ</m:t>
                                </m:r>
                              </m:e>
                              <m:sub>
                                <m:r>
                                  <w:rPr>
                                    <w:rFonts w:ascii="Cambria Math" w:hAnsi="Cambria Math"/>
                                  </w:rPr>
                                  <m:t>max</m:t>
                                </m:r>
                              </m:sub>
                              <m:sup>
                                <m:r>
                                  <w:rPr>
                                    <w:rFonts w:ascii="Cambria Math" w:hAnsi="Cambria Math"/>
                                  </w:rPr>
                                  <m:t>wt</m:t>
                                </m:r>
                              </m:sup>
                            </m:sSubSup>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max</m:t>
                                </m:r>
                              </m:sub>
                            </m:sSub>
                          </m:e>
                        </m:d>
                      </m:e>
                    </m:d>
                  </m:num>
                  <m:den>
                    <m:sSub>
                      <m:sSubPr>
                        <m:ctrlPr>
                          <w:rPr>
                            <w:rFonts w:ascii="Cambria Math" w:hAnsi="Cambria Math"/>
                            <w:i/>
                          </w:rPr>
                        </m:ctrlPr>
                      </m:sSubPr>
                      <m:e>
                        <m:r>
                          <w:rPr>
                            <w:rFonts w:ascii="Cambria Math" w:hAnsi="Cambria Math"/>
                          </w:rPr>
                          <m:t>A</m:t>
                        </m:r>
                      </m:e>
                      <m:sub>
                        <m:r>
                          <w:rPr>
                            <w:rFonts w:ascii="Cambria Math" w:hAnsi="Cambria Math"/>
                          </w:rPr>
                          <m:t>wt</m:t>
                        </m:r>
                      </m:sub>
                    </m:sSub>
                  </m:den>
                </m:f>
                <m:r>
                  <w:rPr>
                    <w:rFonts w:ascii="Cambria Math" w:hAnsi="Cambria Math"/>
                  </w:rPr>
                  <m:t>,</m:t>
                </m:r>
              </m:oMath>
            </m:oMathPara>
          </w:p>
        </w:tc>
        <w:tc>
          <w:tcPr>
            <w:tcW w:w="246" w:type="pct"/>
            <w:vAlign w:val="center"/>
          </w:tcPr>
          <w:p w14:paraId="7875F00B" w14:textId="4CEB5A11" w:rsidR="00092E92" w:rsidRPr="00C207B2" w:rsidRDefault="00092E92" w:rsidP="00092E92">
            <w:pPr>
              <w:pStyle w:val="MDPI31text"/>
              <w:ind w:firstLine="0"/>
              <w:jc w:val="right"/>
            </w:pPr>
            <w:r>
              <w:t>(</w:t>
            </w:r>
            <w:fldSimple w:instr=" SEQ Equation \* ARABIC ">
              <w:r>
                <w:rPr>
                  <w:noProof/>
                </w:rPr>
                <w:t>4</w:t>
              </w:r>
            </w:fldSimple>
            <w:r>
              <w:t>)</w:t>
            </w:r>
          </w:p>
        </w:tc>
      </w:tr>
    </w:tbl>
    <w:p w14:paraId="662EE84B" w14:textId="55DC501B" w:rsidR="009238D1" w:rsidRDefault="00E47CC2" w:rsidP="007A54C4">
      <w:pPr>
        <w:pStyle w:val="MDPI31text"/>
        <w:ind w:firstLine="0"/>
      </w:pPr>
      <w:r>
        <w:t>where</w:t>
      </w:r>
      <w:r w:rsidR="001610E6">
        <w:t xml:space="preserve"> </w:t>
      </w:r>
      <m:oMath>
        <m:sSubSup>
          <m:sSubSupPr>
            <m:ctrlPr>
              <w:rPr>
                <w:rFonts w:ascii="Cambria Math" w:hAnsi="Cambria Math"/>
                <w:i/>
              </w:rPr>
            </m:ctrlPr>
          </m:sSubSupPr>
          <m:e>
            <m:r>
              <w:rPr>
                <w:rFonts w:ascii="Cambria Math" w:hAnsi="Cambria Math"/>
              </w:rPr>
              <m:t>μ</m:t>
            </m:r>
          </m:e>
          <m:sub>
            <m:r>
              <w:rPr>
                <w:rFonts w:ascii="Cambria Math" w:hAnsi="Cambria Math"/>
              </w:rPr>
              <m:t>max</m:t>
            </m:r>
          </m:sub>
          <m:sup>
            <m:r>
              <w:rPr>
                <w:rFonts w:ascii="Cambria Math" w:hAnsi="Cambria Math"/>
              </w:rPr>
              <m:t>wt</m:t>
            </m:r>
          </m:sup>
        </m:sSubSup>
      </m:oMath>
      <w:r w:rsidR="001610E6">
        <w:t xml:space="preserve"> is the </w:t>
      </w:r>
      <w:r w:rsidR="008A26BC">
        <w:t xml:space="preserve">theoretical </w:t>
      </w:r>
      <w:r w:rsidR="001610E6">
        <w:t xml:space="preserve">maximal growth rate </w:t>
      </w:r>
      <w:r w:rsidR="00F23369">
        <w:t>of</w:t>
      </w:r>
      <w:r w:rsidR="001610E6">
        <w:t xml:space="preserve"> the wildtype strain.</w:t>
      </w:r>
    </w:p>
    <w:p w14:paraId="75526A08" w14:textId="6F859C8C" w:rsidR="00DF4D1D" w:rsidRDefault="00DF4D1D" w:rsidP="00DF4D1D">
      <w:pPr>
        <w:pStyle w:val="MDPI22heading2"/>
        <w:numPr>
          <w:ilvl w:val="1"/>
          <w:numId w:val="8"/>
        </w:numPr>
      </w:pPr>
      <w:r>
        <w:t>A Databank Model Including Novel Network Edges</w:t>
      </w:r>
    </w:p>
    <w:p w14:paraId="26B88B04" w14:textId="724D44E2" w:rsidR="00DF4D1D" w:rsidRDefault="00A73B69" w:rsidP="00A73B69">
      <w:pPr>
        <w:pStyle w:val="MDPI31text"/>
      </w:pPr>
      <w:r>
        <w:t>The establishment of a databa</w:t>
      </w:r>
      <w:r w:rsidR="00BA785A">
        <w:t>nk</w:t>
      </w:r>
      <w:r>
        <w:t xml:space="preserve"> model comprising novel functionalities or reactions was inspired by the OptStrain </w:t>
      </w:r>
      <w:r>
        <w:fldChar w:fldCharType="begin" w:fldLock="1"/>
      </w:r>
      <w:r w:rsidR="0041020E">
        <w:instrText>ADDIN CSL_CITATION { "citationItems" : [ { "id" : "ITEM-1", "itemData" : { "DOI" : "10.1101/gr.2872004", "ISBN" : "1088-9051 (Print)\\r1088-9051 (Linking)", "ISSN" : "10889051", "PMID" : "15520298", "author" : [ { "dropping-particle" : "", "family" : "Pharkya", "given" : "Priti", "non-dropping-particle" : "", "parse-names" : false, "suffix" : "" }, { "dropping-particle" : "", "family" : "Burgard", "given" : "Anthony P", "non-dropping-particle" : "", "parse-names" : false, "suffix" : "" }, { "dropping-particle" : "", "family" : "Maranas", "given" : "Costas D", "non-dropping-particle" : "", "parse-names" : false, "suffix" : "" } ], "container-title" : "Genome Research", "id" : "ITEM-1", "issue" : "814", "issued" : { "date-parts" : [ [ "2004" ] ] }, "page" : "2367-2376", "title" : "OptStrain : A computational framework for redesign of microbial production systems", "type" : "article-journal" }, "uris" : [ "http://www.mendeley.com/documents/?uuid=451c8299-7435-4c61-9161-d95e72bd7027" ] } ], "mendeley" : { "formattedCitation" : "[3]", "plainTextFormattedCitation" : "[3]", "previouslyFormattedCitation" : "[3]" }, "properties" : {  }, "schema" : "https://github.com/citation-style-language/schema/raw/master/csl-citation.json" }</w:instrText>
      </w:r>
      <w:r>
        <w:fldChar w:fldCharType="separate"/>
      </w:r>
      <w:r w:rsidRPr="00A73B69">
        <w:rPr>
          <w:noProof/>
        </w:rPr>
        <w:t>[3]</w:t>
      </w:r>
      <w:r>
        <w:fldChar w:fldCharType="end"/>
      </w:r>
      <w:r>
        <w:t xml:space="preserve"> and SimOptStrain </w:t>
      </w:r>
      <w:r>
        <w:fldChar w:fldCharType="begin" w:fldLock="1"/>
      </w:r>
      <w:r w:rsidR="0041020E">
        <w:instrText>ADDIN CSL_CITATION { "citationItems" : [ { "id" : "ITEM-1", "itemData" : { "DOI" : "10.1371/journal.pone.0024162", "ISBN" : "1932-6203 (Electronic)\\n1932-6203 (Linking)", "ISSN" : "19326203", "PMID" : "21949695", "abstract" : "The use of computational models in metabolic engineering has been increasing as more genome-scale metabolic models and computational approaches become available. Various computational approaches have been developed to predict how genetic perturbations affect metabolic behavior at a systems level, and have been successfully used to engineer microbial strains with improved primary or secondary metabolite production. However, identification of metabolic engineering strategies involving a large number of perturbations is currently limited by computational resources due to the size of genome-scale models and the combinatorial nature of the problem. In this study, we present (i) two new bi-level strain design approaches using mixed-integer programming (MIP), and (ii) general solution techniques that improve the performance of MIP-based bi-level approaches. The first approach (SimOptStrain) simultaneously considers gene deletion and non-native reaction addition, while the second approach (BiMOMA) uses minimization of metabolic adjustment to predict knockout behavior in a MIP-based bi-level problem for the first time. Our general MIP solution techniques significantly reduced the CPU times needed to find optimal strategies when applied to an existing strain design approach (OptORF) (e.g., from \u223c10 days to \u223c5 minutes for metabolic engineering strategies with 4 gene deletions), and identified strategies for producing compounds where previous studies could not (e.g., malate and serine). Additionally, we found novel strategies using SimOptStrain with higher predicted production levels (for succinate and glycerol) than could have been found using an existing approach that considers network additions and deletions in sequential steps rather than simultaneously. Finally, using BiMOMA we found novel strategies involving large numbers of modifications (for pyruvate and glutamate), which sequential search and genetic algorithms were unable to find. The approaches and solution techniques developed here will facilitate the strain design process and extend the scope of its application to metabolic engineering.", "author" : [ { "dropping-particle" : "", "family" : "Kim", "given" : "Joonhoon", "non-dropping-particle" : "", "parse-names" : false, "suffix" : "" }, { "dropping-particle" : "", "family" : "Reed", "given" : "Jennifer L.", "non-dropping-particle" : "", "parse-names" : false, "suffix" : "" }, { "dropping-particle" : "", "family" : "Maravelias", "given" : "Christos T.", "non-dropping-particle" : "", "parse-names" : false, "suffix" : "" } ], "container-title" : "PLoS ONE", "id" : "ITEM-1", "issue" : "9", "issued" : { "date-parts" : [ [ "2011" ] ] }, "title" : "Large-scale bi-Level strain design approaches and mixed-integer programming solution techniques", "type" : "article-journal", "volume" : "6" }, "uris" : [ "http://www.mendeley.com/documents/?uuid=599e58eb-fb32-46f2-970e-caaa74fedeee" ] } ], "mendeley" : { "formattedCitation" : "[4]", "plainTextFormattedCitation" : "[4]", "previouslyFormattedCitation" : "[4]" }, "properties" : {  }, "schema" : "https://github.com/citation-style-language/schema/raw/master/csl-citation.json" }</w:instrText>
      </w:r>
      <w:r>
        <w:fldChar w:fldCharType="separate"/>
      </w:r>
      <w:r w:rsidRPr="00A73B69">
        <w:rPr>
          <w:noProof/>
        </w:rPr>
        <w:t>[4]</w:t>
      </w:r>
      <w:r>
        <w:fldChar w:fldCharType="end"/>
      </w:r>
      <w:r>
        <w:t xml:space="preserve"> framework.</w:t>
      </w:r>
      <w:r w:rsidR="007F7A9A">
        <w:t xml:space="preserve"> In this work, however, we focused on novel network edges only, meaning that all metabolites </w:t>
      </w:r>
      <w:r w:rsidR="00CE2BCA">
        <w:t>of</w:t>
      </w:r>
      <w:r w:rsidR="007F7A9A">
        <w:t xml:space="preserve"> non-native reactions</w:t>
      </w:r>
      <w:r w:rsidR="00E54519">
        <w:t xml:space="preserve"> in the database model</w:t>
      </w:r>
      <w:r>
        <w:t xml:space="preserve"> </w:t>
      </w:r>
      <w:r w:rsidR="00CE2BCA">
        <w:t>had to be present in the wildtype metabolic model.</w:t>
      </w:r>
      <w:r w:rsidR="00112451">
        <w:t xml:space="preserve"> Using the following protocol, we searched</w:t>
      </w:r>
      <w:r w:rsidR="00213608">
        <w:t xml:space="preserve"> or used</w:t>
      </w:r>
      <w:r w:rsidR="00112451">
        <w:t xml:space="preserve"> the MetaNetX</w:t>
      </w:r>
      <w:r w:rsidR="002F19E4">
        <w:t xml:space="preserve"> </w:t>
      </w:r>
      <w:r w:rsidR="002F19E4">
        <w:fldChar w:fldCharType="begin" w:fldLock="1"/>
      </w:r>
      <w:r w:rsidR="002F19E4">
        <w:instrText>ADDIN CSL_CITATION { "citationItems" : [ { "id" : "ITEM-1", "itemData" : { "DOI" : "10.1093/nar/gkv1117", "ISBN" : "1362-4962 (Electronic)\\r0305-1048 (Linking)", "ISSN" : "13624962", "PMID" : "26527720", "abstract" : "MetaNetX is a repository of genome-scale metabolic networks (GSMNs) and biochemical pathways from a number of major resources imported into a common namespace of chemical compounds, reactions, cellular compartments-namely MNXref-and proteins. The MetaNetX.org website (http://www.metanetx.org/) provides access to these integrated data as well as a variety of tools that allow users to import their own GSMNs, map them to the MNXref reconciliation, and manipulate, compare, analyze, simulate (using flux balance analysis) and export the resulting GSMNs. MNXref and MetaNetX are regularly updated and freely available.", "author" : [ { "dropping-particle" : "", "family" : "Moretti", "given" : "S\u00e9bastien", "non-dropping-particle" : "", "parse-names" : false, "suffix" : "" }, { "dropping-particle" : "", "family" : "Martin", "given" : "Olivier", "non-dropping-particle" : "", "parse-names" : false, "suffix" : "" }, { "dropping-particle" : "", "family" : "Du Tran", "given" : "T.", "non-dropping-particle" : "Van", "parse-names" : false, "suffix" : "" }, { "dropping-particle" : "", "family" : "Bridge", "given" : "Alan", "non-dropping-particle" : "", "parse-names" : false, "suffix" : "" }, { "dropping-particle" : "", "family" : "Morgat", "given" : "Anne", "non-dropping-particle" : "", "parse-names" : false, "suffix" : "" }, { "dropping-particle" : "", "family" : "Pagni", "given" : "Marco", "non-dropping-particle" : "", "parse-names" : false, "suffix" : "" } ], "container-title" : "Nucleic Acids Research", "id" : "ITEM-1", "issue" : "D1", "issued" : { "date-parts" : [ [ "2016" ] ] }, "page" : "D523-D526", "title" : "MetaNetX/MNXref - Reconciliation of metabolites and biochemical reactions to bring together genome-scale metabolic networks", "type" : "article-journal", "volume" : "44" }, "uris" : [ "http://www.mendeley.com/documents/?uuid=94a57827-a917-42e5-be6a-9f0f347b0df6" ] } ], "mendeley" : { "formattedCitation" : "[5]", "plainTextFormattedCitation" : "[5]", "previouslyFormattedCitation" : "[5]" }, "properties" : {  }, "schema" : "https://github.com/citation-style-language/schema/raw/master/csl-citation.json" }</w:instrText>
      </w:r>
      <w:r w:rsidR="002F19E4">
        <w:fldChar w:fldCharType="separate"/>
      </w:r>
      <w:r w:rsidR="002F19E4" w:rsidRPr="002F19E4">
        <w:rPr>
          <w:noProof/>
        </w:rPr>
        <w:t>[5]</w:t>
      </w:r>
      <w:r w:rsidR="002F19E4">
        <w:fldChar w:fldCharType="end"/>
      </w:r>
      <w:r w:rsidR="00112451">
        <w:t>, Bi</w:t>
      </w:r>
      <w:r w:rsidR="002F19E4">
        <w:t xml:space="preserve">GG </w:t>
      </w:r>
      <w:r w:rsidR="00213608">
        <w:fldChar w:fldCharType="begin" w:fldLock="1"/>
      </w:r>
      <w:r w:rsidR="00213608">
        <w:instrText>ADDIN CSL_CITATION { "citationItems" : [ { "id" : "ITEM-1", "itemData" : { "DOI" : "10.1186/1471-2105-11-213", "ISBN" : "1471-2105 (Linking)", "ISSN" : "14712105", "PMID" : "20426874", "abstract" : "BACKGROUND: Genome-scale metabolic reconstructions under the Constraint Based Reconstruction and Analysis (COBRA) framework are valuable tools for analyzing the metabolic capabilities of organisms and interpreting experimental data. As the number of such reconstructions and analysis methods increases, there is a greater need for data uniformity and ease of distribution and use.\\n\\nDESCRIPTION: We describe BiGG, a knowledgebase of Biochemically, Genetically and Genomically structured genome-scale metabolic network reconstructions. BiGG integrates several published genome-scale metabolic networks into one resource with standard nomenclature which allows components to be compared across different organisms. BiGG can be used to browse model content, visualize metabolic pathway maps, and export SBML files of the models for further analysis by external software packages. Users may follow links from BiGG to several external databases to obtain additional information on genes, proteins, reactions, metabolites and citations of interest.\\n\\nCONCLUSIONS: BiGG addresses a need in the systems biology community to have access to high quality curated metabolic models and reconstructions. It is freely available for academic use at http://bigg.ucsd.edu.", "author" : [ { "dropping-particle" : "", "family" : "Schellenberger", "given" : "Jan", "non-dropping-particle" : "", "parse-names" : false, "suffix" : "" }, { "dropping-particle" : "", "family" : "Park", "given" : "Junyoung O.", "non-dropping-particle" : "", "parse-names" : false, "suffix" : "" }, { "dropping-particle" : "", "family" : "Conrad", "given" : "Tom M.", "non-dropping-particle" : "", "parse-names" : false, "suffix" : "" }, { "dropping-particle" : "", "family" : "Palsson", "given" : "Bernhard T.", "non-dropping-particle" : "", "parse-names" : false, "suffix" : "" } ], "container-title" : "BMC Bioinformatics", "id" : "ITEM-1", "issued" : { "date-parts" : [ [ "2010" ] ] }, "title" : "BiGG: A Biochemical Genetic and Genomic knowledgebase of large scale metabolic reconstructions", "type" : "article-journal", "volume" : "11" }, "uris" : [ "http://www.mendeley.com/documents/?uuid=45283465-07bc-4bd6-9551-6e4836102545" ] } ], "mendeley" : { "formattedCitation" : "[6]", "plainTextFormattedCitation" : "[6]", "previouslyFormattedCitation" : "[6]" }, "properties" : {  }, "schema" : "https://github.com/citation-style-language/schema/raw/master/csl-citation.json" }</w:instrText>
      </w:r>
      <w:r w:rsidR="00213608">
        <w:fldChar w:fldCharType="separate"/>
      </w:r>
      <w:r w:rsidR="00213608" w:rsidRPr="00213608">
        <w:rPr>
          <w:noProof/>
        </w:rPr>
        <w:t>[6]</w:t>
      </w:r>
      <w:r w:rsidR="00213608">
        <w:fldChar w:fldCharType="end"/>
      </w:r>
      <w:r w:rsidR="00112451">
        <w:t xml:space="preserve"> and K</w:t>
      </w:r>
      <w:r w:rsidR="002F19E4">
        <w:t>EGG</w:t>
      </w:r>
      <w:r w:rsidR="00213608">
        <w:t xml:space="preserve"> </w:t>
      </w:r>
      <w:r w:rsidR="00213608">
        <w:fldChar w:fldCharType="begin" w:fldLock="1"/>
      </w:r>
      <w:r w:rsidR="00213608">
        <w:instrText>ADDIN CSL_CITATION { "citationItems" : [ { "id" : "ITEM-1", "itemData" : { "DOI" : "10.1093/nar/gkw1092", "ISBN" : "2076792171", "ISSN" : "13624962", "PMID" : "27899565", "abstract" : "The eukaryotic RNA exosome is an essential, multi-subunit complex that catalyzes RNA turnover, maturation, and quality control processes. Its non-catalytic donut-shaped core includes 9 subunits that associate with the 3' to 5' exoribonucleases Rrp6, and Rrp44/Dis3, a subunit that also catalyzes endoribonuclease activity. Although recent structures and biochemical studies of RNA bound exosomes from S. cerevisiae revealed that the Exo9 central channel guides RNA to either Rrp6 or Rrp44 using partially overlapping and mutually exclusive paths, several issues related to RNA recruitment remain. Here, we identify activities for the highly basic Rrp6 C-terminal tail that we term the 'lasso' because it binds RNA and stimulates ribonuclease activities associated with Rrp44 and Rrp6 within the 11-subunit nuclear exosome. Stimulation is dependent on the Exo9 central channel, and the lasso contributes to degradation and processing activities of exosome substrates in vitro and in vivo. Finally, we present evidence that the Rrp6 lasso may be a conserved feature of the eukaryotic RNA exosome.", "author" : [ { "dropping-particle" : "", "family" : "Kanehisa", "given" : "Minoru", "non-dropping-particle" : "", "parse-names" : false, "suffix" : "" }, { "dropping-particle" : "", "family" : "Furumichi", "given" : "Miho", "non-dropping-particle" : "", "parse-names" : false, "suffix" : "" }, { "dropping-particle" : "", "family" : "Tanabe", "given" : "Mao", "non-dropping-particle" : "", "parse-names" : false, "suffix" : "" }, { "dropping-particle" : "", "family" : "Sato", "given" : "Yoko", "non-dropping-particle" : "", "parse-names" : false, "suffix" : "" }, { "dropping-particle" : "", "family" : "Morishima", "given" : "Kanae", "non-dropping-particle" : "", "parse-names" : false, "suffix" : "" } ], "container-title" : "Nucleic Acids Research", "id" : "ITEM-1", "issue" : "D1", "issued" : { "date-parts" : [ [ "2017" ] ] }, "page" : "D353-D361", "title" : "KEGG: New perspectives on genomes, pathways, diseases and drugs", "type" : "article-journal", "volume" : "45" }, "uris" : [ "http://www.mendeley.com/documents/?uuid=f3f7dc7d-423a-405e-97d3-e80805f17633" ] } ], "mendeley" : { "formattedCitation" : "[7]", "plainTextFormattedCitation" : "[7]", "previouslyFormattedCitation" : "[7]" }, "properties" : {  }, "schema" : "https://github.com/citation-style-language/schema/raw/master/csl-citation.json" }</w:instrText>
      </w:r>
      <w:r w:rsidR="00213608">
        <w:fldChar w:fldCharType="separate"/>
      </w:r>
      <w:r w:rsidR="00213608" w:rsidRPr="00213608">
        <w:rPr>
          <w:noProof/>
        </w:rPr>
        <w:t>[7]</w:t>
      </w:r>
      <w:r w:rsidR="00213608">
        <w:fldChar w:fldCharType="end"/>
      </w:r>
      <w:r w:rsidR="00112451">
        <w:t xml:space="preserve"> databases for reactions that fulfill these constraints. </w:t>
      </w:r>
      <w:r w:rsidR="00096BC7">
        <w:t>The protocol also</w:t>
      </w:r>
      <w:r w:rsidR="00484BAE">
        <w:t xml:space="preserve"> includes</w:t>
      </w:r>
      <w:r w:rsidR="00112451">
        <w:t xml:space="preserve"> curation</w:t>
      </w:r>
      <w:r w:rsidR="00484BAE">
        <w:t xml:space="preserve"> step</w:t>
      </w:r>
      <w:r w:rsidR="00096BC7">
        <w:t>s</w:t>
      </w:r>
      <w:r w:rsidR="00484BAE">
        <w:t xml:space="preserve"> </w:t>
      </w:r>
      <w:r w:rsidR="00112451">
        <w:t xml:space="preserve">to determine reaction directionalities based on thermodynamic data taken from the </w:t>
      </w:r>
      <w:r w:rsidR="00BA785A">
        <w:t>eQ</w:t>
      </w:r>
      <w:r w:rsidR="00112451">
        <w:t>uilibrator database</w:t>
      </w:r>
      <w:r w:rsidR="00BA785A">
        <w:t xml:space="preserve"> </w:t>
      </w:r>
      <w:r w:rsidR="00BA785A">
        <w:fldChar w:fldCharType="begin" w:fldLock="1"/>
      </w:r>
      <w:r w:rsidR="00BA785A">
        <w:instrText>ADDIN CSL_CITATION { "citationItems" : [ { "id" : "ITEM-1", "itemData" : { "DOI" : "10.1093/nar/gkr874", "ISBN" : "1362-4962", "ISSN" : "03051048", "PMID" : "22064852", "abstract" : "The laws of thermodynamics constrain the action of biochemical systems. However, thermodynamic data on biochemical compounds can be difficult to find and is cumbersome to perform calculations with manually. Even simple thermodynamic questions like 'how much Gibbs energy is released by ATP hydrolysis at pH 5?' are complicated excessively by the search for accurate data. To address this problem, eQuilibrator couples a comprehensive and accurate database of thermodynamic properties of biochemical compounds and reactions with a simple and powerful online search and calculation interface. The web interface to eQuilibrator (http://equilibrator.weizmann.ac.il) enables easy calculation of Gibbs energies of compounds and reactions given arbitrary pH, ionic strength and metabolite concentrations. The eQuilibrator code is open-source and all thermodynamic source data are freely downloadable in standard formats. Here we describe the database characteristics and implementation and demonstrate its use.", "author" : [ { "dropping-particle" : "", "family" : "Flamholz", "given" : "Avi", "non-dropping-particle" : "", "parse-names" : false, "suffix" : "" }, { "dropping-particle" : "", "family" : "Noor", "given" : "Elad", "non-dropping-particle" : "", "parse-names" : false, "suffix" : "" }, { "dropping-particle" : "", "family" : "Bar-Even", "given" : "Arren", "non-dropping-particle" : "", "parse-names" : false, "suffix" : "" }, { "dropping-particle" : "", "family" : "Milo", "given" : "Ron", "non-dropping-particle" : "", "parse-names" : false, "suffix" : "" } ], "container-title" : "Nucleic Acids Research", "id" : "ITEM-1", "issue" : "D1", "issued" : { "date-parts" : [ [ "2012" ] ] }, "page" : "770-775", "title" : "EQuilibrator - The biochemical thermodynamics calculator", "type" : "article-journal", "volume" : "40" }, "uris" : [ "http://www.mendeley.com/documents/?uuid=10d407a4-4115-48f0-93fb-a4de7a8014ca" ] } ], "mendeley" : { "formattedCitation" : "[8]", "plainTextFormattedCitation" : "[8]", "previouslyFormattedCitation" : "[8]" }, "properties" : {  }, "schema" : "https://github.com/citation-style-language/schema/raw/master/csl-citation.json" }</w:instrText>
      </w:r>
      <w:r w:rsidR="00BA785A">
        <w:fldChar w:fldCharType="separate"/>
      </w:r>
      <w:r w:rsidR="00BA785A" w:rsidRPr="00722B67">
        <w:rPr>
          <w:noProof/>
        </w:rPr>
        <w:t>[8]</w:t>
      </w:r>
      <w:r w:rsidR="00BA785A">
        <w:fldChar w:fldCharType="end"/>
      </w:r>
      <w:r w:rsidR="00BA785A">
        <w:t>, thereby</w:t>
      </w:r>
      <w:r w:rsidR="00112451">
        <w:t xml:space="preserve"> guarantee</w:t>
      </w:r>
      <w:r w:rsidR="00BA785A">
        <w:t>ing</w:t>
      </w:r>
      <w:r w:rsidR="00112451">
        <w:t xml:space="preserve"> correct reaction mass and charge balances.</w:t>
      </w:r>
    </w:p>
    <w:p w14:paraId="0CB8B471" w14:textId="1ECBE117" w:rsidR="00D81F67" w:rsidRDefault="002F19E4" w:rsidP="00523C2B">
      <w:pPr>
        <w:pStyle w:val="MDPI31text"/>
        <w:numPr>
          <w:ilvl w:val="0"/>
          <w:numId w:val="12"/>
        </w:numPr>
        <w:spacing w:before="120"/>
        <w:ind w:left="1139" w:hanging="357"/>
      </w:pPr>
      <w:r>
        <w:t>Load the complete MetaNetX database for biochemical reactions and metabolites and match their identifiers with the BiGG database namespace.</w:t>
      </w:r>
    </w:p>
    <w:p w14:paraId="6D772217" w14:textId="46795C5A" w:rsidR="002F19E4" w:rsidRDefault="000746E8" w:rsidP="00523C2B">
      <w:pPr>
        <w:pStyle w:val="MDPI31text"/>
        <w:numPr>
          <w:ilvl w:val="0"/>
          <w:numId w:val="12"/>
        </w:numPr>
        <w:spacing w:before="120"/>
        <w:ind w:left="1139" w:hanging="357"/>
      </w:pPr>
      <w:r>
        <w:t xml:space="preserve">Discard reactions with dubious </w:t>
      </w:r>
      <w:r w:rsidR="00A0665E">
        <w:t>mass balances according to MetaNetX and those already present in the</w:t>
      </w:r>
      <w:r w:rsidR="00685C62">
        <w:t xml:space="preserve"> wildtype</w:t>
      </w:r>
      <w:r w:rsidR="00A0665E">
        <w:t xml:space="preserve"> metabolic model.</w:t>
      </w:r>
    </w:p>
    <w:p w14:paraId="53D8F588" w14:textId="3E4BB98D" w:rsidR="00A0665E" w:rsidRDefault="000B21AE" w:rsidP="00523C2B">
      <w:pPr>
        <w:pStyle w:val="MDPI31text"/>
        <w:numPr>
          <w:ilvl w:val="0"/>
          <w:numId w:val="12"/>
        </w:numPr>
        <w:spacing w:before="120"/>
        <w:ind w:left="1139" w:hanging="357"/>
      </w:pPr>
      <w:r>
        <w:t xml:space="preserve">Discard reactions </w:t>
      </w:r>
      <w:r w:rsidR="00BA785A">
        <w:t>that</w:t>
      </w:r>
      <w:r>
        <w:t xml:space="preserve"> act on metabolites not present in the wildtype metabolic model.</w:t>
      </w:r>
    </w:p>
    <w:p w14:paraId="46139738" w14:textId="50F082DA" w:rsidR="00CE072C" w:rsidRDefault="00CE072C" w:rsidP="00523C2B">
      <w:pPr>
        <w:pStyle w:val="MDPI31text"/>
        <w:numPr>
          <w:ilvl w:val="0"/>
          <w:numId w:val="12"/>
        </w:numPr>
        <w:spacing w:before="120"/>
        <w:ind w:left="1139" w:hanging="357"/>
      </w:pPr>
      <w:r>
        <w:t>Determine directionality of reactions according to the</w:t>
      </w:r>
      <w:r w:rsidR="00FC5DBC">
        <w:t xml:space="preserve"> standard</w:t>
      </w:r>
      <w:r>
        <w:t xml:space="preserve"> Gibbs Free Energy of Reaction </w:t>
      </w:r>
      <m:oMath>
        <m:sSub>
          <m:sSubPr>
            <m:ctrlPr>
              <w:rPr>
                <w:rFonts w:ascii="Cambria Math" w:hAnsi="Cambria Math"/>
                <w:i/>
              </w:rPr>
            </m:ctrlPr>
          </m:sSubPr>
          <m:e>
            <m:r>
              <w:rPr>
                <w:rFonts w:ascii="Cambria Math" w:hAnsi="Cambria Math"/>
              </w:rPr>
              <m:t>∆</m:t>
            </m:r>
          </m:e>
          <m:sub>
            <m:r>
              <w:rPr>
                <w:rFonts w:ascii="Cambria Math" w:hAnsi="Cambria Math"/>
              </w:rPr>
              <m:t>r</m:t>
            </m:r>
          </m:sub>
        </m:sSub>
        <m:sSup>
          <m:sSupPr>
            <m:ctrlPr>
              <w:rPr>
                <w:rFonts w:ascii="Cambria Math" w:hAnsi="Cambria Math"/>
                <w:i/>
              </w:rPr>
            </m:ctrlPr>
          </m:sSupPr>
          <m:e>
            <m:r>
              <w:rPr>
                <w:rFonts w:ascii="Cambria Math" w:hAnsi="Cambria Math"/>
              </w:rPr>
              <m:t>G</m:t>
            </m:r>
          </m:e>
          <m:sup>
            <m:r>
              <w:rPr>
                <w:rFonts w:ascii="Cambria Math" w:hAnsi="Cambria Math"/>
              </w:rPr>
              <m:t>'</m:t>
            </m:r>
          </m:sup>
        </m:sSup>
        <m:r>
          <w:rPr>
            <w:rFonts w:ascii="Cambria Math" w:hAnsi="Cambria Math"/>
          </w:rPr>
          <m:t>°</m:t>
        </m:r>
      </m:oMath>
      <w:r w:rsidR="0024499A">
        <w:t xml:space="preserve"> </w:t>
      </w:r>
      <w:r>
        <w:t xml:space="preserve">at pH 7 and an ionic strength of </w:t>
      </w:r>
      <m:oMath>
        <m:r>
          <w:rPr>
            <w:rFonts w:ascii="Cambria Math" w:hAnsi="Cambria Math"/>
          </w:rPr>
          <m:t>0.1 M</m:t>
        </m:r>
      </m:oMath>
      <w:r w:rsidR="00AC139A">
        <w:t>.</w:t>
      </w:r>
      <w:r w:rsidR="007C285A">
        <w:t xml:space="preserve"> If </w:t>
      </w:r>
      <m:oMath>
        <m:sSub>
          <m:sSubPr>
            <m:ctrlPr>
              <w:rPr>
                <w:rFonts w:ascii="Cambria Math" w:hAnsi="Cambria Math"/>
                <w:i/>
              </w:rPr>
            </m:ctrlPr>
          </m:sSubPr>
          <m:e>
            <m:r>
              <w:rPr>
                <w:rFonts w:ascii="Cambria Math" w:hAnsi="Cambria Math"/>
              </w:rPr>
              <m:t>∆</m:t>
            </m:r>
          </m:e>
          <m:sub>
            <m:r>
              <w:rPr>
                <w:rFonts w:ascii="Cambria Math" w:hAnsi="Cambria Math"/>
              </w:rPr>
              <m:t>r</m:t>
            </m:r>
          </m:sub>
        </m:sSub>
        <m:sSup>
          <m:sSupPr>
            <m:ctrlPr>
              <w:rPr>
                <w:rFonts w:ascii="Cambria Math" w:hAnsi="Cambria Math"/>
                <w:i/>
              </w:rPr>
            </m:ctrlPr>
          </m:sSupPr>
          <m:e>
            <m:r>
              <w:rPr>
                <w:rFonts w:ascii="Cambria Math" w:hAnsi="Cambria Math"/>
              </w:rPr>
              <m:t>G</m:t>
            </m:r>
          </m:e>
          <m:sup>
            <m:r>
              <w:rPr>
                <w:rFonts w:ascii="Cambria Math" w:hAnsi="Cambria Math"/>
              </w:rPr>
              <m:t>'</m:t>
            </m:r>
          </m:sup>
        </m:sSup>
        <m:r>
          <w:rPr>
            <w:rFonts w:ascii="Cambria Math" w:hAnsi="Cambria Math"/>
          </w:rPr>
          <m:t>°</m:t>
        </m:r>
      </m:oMath>
      <w:r w:rsidR="007C285A">
        <w:t xml:space="preserve"> cannot be provided for a reaction, it is assumed to be reversible</w:t>
      </w:r>
      <w:r w:rsidR="00446DC8">
        <w:t xml:space="preserve"> and</w:t>
      </w:r>
      <w:r w:rsidR="00D776D4">
        <w:t xml:space="preserve"> </w:t>
      </w:r>
      <w:r w:rsidR="00446DC8">
        <w:t>f</w:t>
      </w:r>
      <w:r w:rsidR="00D776D4">
        <w:t xml:space="preserve">or </w:t>
      </w:r>
      <w:r w:rsidR="00446DC8">
        <w:t>all other</w:t>
      </w:r>
      <w:r w:rsidR="00D776D4">
        <w:t xml:space="preserve"> reaction</w:t>
      </w:r>
      <w:r w:rsidR="00446DC8">
        <w:t>s</w:t>
      </w:r>
      <w:r w:rsidR="00D776D4">
        <w:t>:</w:t>
      </w:r>
    </w:p>
    <w:p w14:paraId="564FABF7" w14:textId="00EAB981" w:rsidR="009E486D" w:rsidRDefault="00D776D4" w:rsidP="009E486D">
      <w:pPr>
        <w:pStyle w:val="MDPI31text"/>
        <w:numPr>
          <w:ilvl w:val="1"/>
          <w:numId w:val="12"/>
        </w:numPr>
        <w:spacing w:before="120"/>
      </w:pPr>
      <w:r>
        <w:t xml:space="preserve">Extract </w:t>
      </w:r>
      <m:oMath>
        <m:sSub>
          <m:sSubPr>
            <m:ctrlPr>
              <w:rPr>
                <w:rFonts w:ascii="Cambria Math" w:hAnsi="Cambria Math"/>
                <w:i/>
              </w:rPr>
            </m:ctrlPr>
          </m:sSubPr>
          <m:e>
            <m:r>
              <w:rPr>
                <w:rFonts w:ascii="Cambria Math" w:hAnsi="Cambria Math"/>
              </w:rPr>
              <m:t>∆</m:t>
            </m:r>
          </m:e>
          <m:sub>
            <m:r>
              <w:rPr>
                <w:rFonts w:ascii="Cambria Math" w:hAnsi="Cambria Math"/>
              </w:rPr>
              <m:t>r</m:t>
            </m:r>
          </m:sub>
        </m:sSub>
        <m:sSup>
          <m:sSupPr>
            <m:ctrlPr>
              <w:rPr>
                <w:rFonts w:ascii="Cambria Math" w:hAnsi="Cambria Math"/>
                <w:i/>
              </w:rPr>
            </m:ctrlPr>
          </m:sSupPr>
          <m:e>
            <m:r>
              <w:rPr>
                <w:rFonts w:ascii="Cambria Math" w:hAnsi="Cambria Math"/>
              </w:rPr>
              <m:t>G</m:t>
            </m:r>
          </m:e>
          <m:sup>
            <m:r>
              <w:rPr>
                <w:rFonts w:ascii="Cambria Math" w:hAnsi="Cambria Math"/>
              </w:rPr>
              <m:t>'</m:t>
            </m:r>
          </m:sup>
        </m:sSup>
        <m:r>
          <w:rPr>
            <w:rFonts w:ascii="Cambria Math" w:hAnsi="Cambria Math"/>
          </w:rPr>
          <m:t>°</m:t>
        </m:r>
      </m:oMath>
      <w:r>
        <w:t xml:space="preserve"> and its standard deviation from the eQuilibrator database.</w:t>
      </w:r>
    </w:p>
    <w:p w14:paraId="6B9C7DD9" w14:textId="72BB2A48" w:rsidR="00D776D4" w:rsidRDefault="00EB583C" w:rsidP="009E486D">
      <w:pPr>
        <w:pStyle w:val="MDPI31text"/>
        <w:numPr>
          <w:ilvl w:val="1"/>
          <w:numId w:val="12"/>
        </w:numPr>
        <w:spacing w:before="120"/>
      </w:pPr>
      <w:r>
        <w:t xml:space="preserve">Calculate a </w:t>
      </w:r>
      <w:r w:rsidR="00446DC8">
        <w:t>physiologically relevant</w:t>
      </w:r>
      <w:r w:rsidR="0042336A">
        <w:t xml:space="preserve"> </w:t>
      </w:r>
      <w:r>
        <w:t xml:space="preserve">Gibbs Free Energy of Reaction </w:t>
      </w:r>
      <m:oMath>
        <m:sSub>
          <m:sSubPr>
            <m:ctrlPr>
              <w:rPr>
                <w:rFonts w:ascii="Cambria Math" w:hAnsi="Cambria Math"/>
                <w:i/>
              </w:rPr>
            </m:ctrlPr>
          </m:sSubPr>
          <m:e>
            <m:r>
              <w:rPr>
                <w:rFonts w:ascii="Cambria Math" w:hAnsi="Cambria Math"/>
              </w:rPr>
              <m:t>∆</m:t>
            </m:r>
          </m:e>
          <m:sub>
            <m:r>
              <w:rPr>
                <w:rFonts w:ascii="Cambria Math" w:hAnsi="Cambria Math"/>
              </w:rPr>
              <m:t>r</m:t>
            </m:r>
          </m:sub>
        </m:sSub>
        <m:sSup>
          <m:sSupPr>
            <m:ctrlPr>
              <w:rPr>
                <w:rFonts w:ascii="Cambria Math" w:hAnsi="Cambria Math"/>
                <w:i/>
              </w:rPr>
            </m:ctrlPr>
          </m:sSupPr>
          <m:e>
            <m:r>
              <w:rPr>
                <w:rFonts w:ascii="Cambria Math" w:hAnsi="Cambria Math"/>
              </w:rPr>
              <m:t>G</m:t>
            </m:r>
          </m:e>
          <m:sup>
            <m:r>
              <w:rPr>
                <w:rFonts w:ascii="Cambria Math" w:hAnsi="Cambria Math"/>
              </w:rPr>
              <m:t>'m</m:t>
            </m:r>
          </m:sup>
        </m:sSup>
      </m:oMath>
      <w:r>
        <w:t xml:space="preserve"> using</w:t>
      </w:r>
      <w:r w:rsidR="00A114DD">
        <w:t xml:space="preserve"> standard</w:t>
      </w:r>
      <w:r w:rsidR="0042336A">
        <w:t xml:space="preserve"> </w:t>
      </w:r>
      <w:r w:rsidR="00A114DD">
        <w:t>concentration</w:t>
      </w:r>
      <w:r w:rsidR="0042336A">
        <w:t>s</w:t>
      </w:r>
      <w:r w:rsidR="00A114DD">
        <w:t xml:space="preserve"> of </w:t>
      </w:r>
      <m:oMath>
        <m:r>
          <w:rPr>
            <w:rFonts w:ascii="Cambria Math" w:hAnsi="Cambria Math"/>
          </w:rPr>
          <m:t>1 mM</m:t>
        </m:r>
      </m:oMath>
      <w:r w:rsidR="0042336A">
        <w:t xml:space="preserve"> </w:t>
      </w:r>
      <w:r w:rsidR="00A114DD">
        <w:t xml:space="preserve">for each participating metabolite. Water and protons </w:t>
      </w:r>
      <w:r w:rsidR="002F4D28">
        <w:t>do</w:t>
      </w:r>
      <w:r w:rsidR="00A114DD">
        <w:t xml:space="preserve"> not contribute to </w:t>
      </w:r>
      <m:oMath>
        <m:sSub>
          <m:sSubPr>
            <m:ctrlPr>
              <w:rPr>
                <w:rFonts w:ascii="Cambria Math" w:hAnsi="Cambria Math"/>
                <w:i/>
              </w:rPr>
            </m:ctrlPr>
          </m:sSubPr>
          <m:e>
            <m:r>
              <w:rPr>
                <w:rFonts w:ascii="Cambria Math" w:hAnsi="Cambria Math"/>
              </w:rPr>
              <m:t>∆</m:t>
            </m:r>
          </m:e>
          <m:sub>
            <m:r>
              <w:rPr>
                <w:rFonts w:ascii="Cambria Math" w:hAnsi="Cambria Math"/>
              </w:rPr>
              <m:t>r</m:t>
            </m:r>
          </m:sub>
        </m:sSub>
        <m:sSup>
          <m:sSupPr>
            <m:ctrlPr>
              <w:rPr>
                <w:rFonts w:ascii="Cambria Math" w:hAnsi="Cambria Math"/>
                <w:i/>
              </w:rPr>
            </m:ctrlPr>
          </m:sSupPr>
          <m:e>
            <m:r>
              <w:rPr>
                <w:rFonts w:ascii="Cambria Math" w:hAnsi="Cambria Math"/>
              </w:rPr>
              <m:t>G</m:t>
            </m:r>
          </m:e>
          <m:sup>
            <m:r>
              <w:rPr>
                <w:rFonts w:ascii="Cambria Math" w:hAnsi="Cambria Math"/>
              </w:rPr>
              <m:t>'m</m:t>
            </m:r>
          </m:sup>
        </m:sSup>
      </m:oMath>
      <w:r w:rsidR="00A114DD">
        <w:t>. Standard concentrations for oxygen, carbon dioxide and hydrogen</w:t>
      </w:r>
      <w:r w:rsidR="00332D98">
        <w:t xml:space="preserve"> are</w:t>
      </w:r>
      <w:r w:rsidR="00CC275F">
        <w:t xml:space="preserve"> </w:t>
      </w:r>
      <w:r w:rsidR="00C37CF4">
        <w:t>listed in Table</w:t>
      </w:r>
      <w:r w:rsidR="00964C56">
        <w:t> S1</w:t>
      </w:r>
      <w:r w:rsidR="00A30C27">
        <w:t>.</w:t>
      </w:r>
      <w:r w:rsidR="00B663E6">
        <w:t xml:space="preserve"> For a general reaction of the form </w:t>
      </w:r>
      <m:oMath>
        <m:sSub>
          <m:sSubPr>
            <m:ctrlPr>
              <w:rPr>
                <w:rFonts w:ascii="Cambria Math" w:hAnsi="Cambria Math"/>
                <w:i/>
              </w:rPr>
            </m:ctrlPr>
          </m:sSubPr>
          <m:e>
            <m:r>
              <w:rPr>
                <w:rFonts w:ascii="Cambria Math" w:hAnsi="Cambria Math"/>
              </w:rPr>
              <m:t>ν</m:t>
            </m:r>
          </m:e>
          <m:sub>
            <m:r>
              <w:rPr>
                <w:rFonts w:ascii="Cambria Math" w:hAnsi="Cambria Math"/>
              </w:rPr>
              <m:t>i</m:t>
            </m:r>
          </m:sub>
        </m:s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ν</m:t>
            </m:r>
          </m:e>
          <m:sub>
            <m:r>
              <w:rPr>
                <w:rFonts w:ascii="Cambria Math" w:hAnsi="Cambria Math"/>
              </w:rPr>
              <m:t>j</m:t>
            </m:r>
          </m:sub>
        </m:s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ν</m:t>
            </m:r>
          </m:e>
          <m:sub>
            <m:r>
              <w:rPr>
                <w:rFonts w:ascii="Cambria Math" w:hAnsi="Cambria Math"/>
              </w:rPr>
              <m:t>k</m:t>
            </m:r>
          </m:sub>
        </m:sSub>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ν</m:t>
            </m:r>
          </m:e>
          <m:sub>
            <m:r>
              <w:rPr>
                <w:rFonts w:ascii="Cambria Math" w:hAnsi="Cambria Math"/>
              </w:rPr>
              <m:t>l</m:t>
            </m:r>
          </m:sub>
        </m:sSub>
        <m:sSub>
          <m:sSubPr>
            <m:ctrlPr>
              <w:rPr>
                <w:rFonts w:ascii="Cambria Math" w:hAnsi="Cambria Math"/>
                <w:i/>
              </w:rPr>
            </m:ctrlPr>
          </m:sSubPr>
          <m:e>
            <m:r>
              <w:rPr>
                <w:rFonts w:ascii="Cambria Math" w:hAnsi="Cambria Math"/>
              </w:rPr>
              <m:t>p</m:t>
            </m:r>
          </m:e>
          <m:sub>
            <m:r>
              <w:rPr>
                <w:rFonts w:ascii="Cambria Math" w:hAnsi="Cambria Math"/>
              </w:rPr>
              <m:t>l</m:t>
            </m:r>
          </m:sub>
        </m:sSub>
      </m:oMath>
      <w:r w:rsidR="001A1D6F">
        <w:t xml:space="preserve"> with educts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1A1D6F">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1A1D6F">
        <w:t xml:space="preserve">, the products </w:t>
      </w:r>
      <m:oMath>
        <m:sSub>
          <m:sSubPr>
            <m:ctrlPr>
              <w:rPr>
                <w:rFonts w:ascii="Cambria Math" w:hAnsi="Cambria Math"/>
                <w:i/>
              </w:rPr>
            </m:ctrlPr>
          </m:sSubPr>
          <m:e>
            <m:r>
              <w:rPr>
                <w:rFonts w:ascii="Cambria Math" w:hAnsi="Cambria Math"/>
              </w:rPr>
              <m:t>p</m:t>
            </m:r>
          </m:e>
          <m:sub>
            <m:r>
              <w:rPr>
                <w:rFonts w:ascii="Cambria Math" w:hAnsi="Cambria Math"/>
              </w:rPr>
              <m:t>k</m:t>
            </m:r>
          </m:sub>
        </m:sSub>
      </m:oMath>
      <w:r w:rsidR="001A1D6F">
        <w:t xml:space="preserve"> and </w:t>
      </w:r>
      <m:oMath>
        <m:sSub>
          <m:sSubPr>
            <m:ctrlPr>
              <w:rPr>
                <w:rFonts w:ascii="Cambria Math" w:hAnsi="Cambria Math"/>
                <w:i/>
              </w:rPr>
            </m:ctrlPr>
          </m:sSubPr>
          <m:e>
            <m:r>
              <w:rPr>
                <w:rFonts w:ascii="Cambria Math" w:hAnsi="Cambria Math"/>
              </w:rPr>
              <m:t>p</m:t>
            </m:r>
          </m:e>
          <m:sub>
            <m:r>
              <w:rPr>
                <w:rFonts w:ascii="Cambria Math" w:hAnsi="Cambria Math"/>
              </w:rPr>
              <m:t>l</m:t>
            </m:r>
          </m:sub>
        </m:sSub>
      </m:oMath>
      <w:r w:rsidR="001A1D6F">
        <w:t xml:space="preserve"> as well their respective stoichiometric coefficients </w:t>
      </w:r>
      <w:r w:rsidR="001A1D6F">
        <w:rPr>
          <w:rFonts w:ascii="Times New Roman" w:hAnsi="Times New Roman"/>
        </w:rPr>
        <w:t xml:space="preserve">ν, </w:t>
      </w:r>
      <m:oMath>
        <m:sSub>
          <m:sSubPr>
            <m:ctrlPr>
              <w:rPr>
                <w:rFonts w:ascii="Cambria Math" w:hAnsi="Cambria Math"/>
                <w:i/>
              </w:rPr>
            </m:ctrlPr>
          </m:sSubPr>
          <m:e>
            <m:r>
              <w:rPr>
                <w:rFonts w:ascii="Cambria Math" w:hAnsi="Cambria Math"/>
              </w:rPr>
              <m:t>∆</m:t>
            </m:r>
          </m:e>
          <m:sub>
            <m:r>
              <w:rPr>
                <w:rFonts w:ascii="Cambria Math" w:hAnsi="Cambria Math"/>
              </w:rPr>
              <m:t>r</m:t>
            </m:r>
          </m:sub>
        </m:sSub>
        <m:sSup>
          <m:sSupPr>
            <m:ctrlPr>
              <w:rPr>
                <w:rFonts w:ascii="Cambria Math" w:hAnsi="Cambria Math"/>
                <w:i/>
              </w:rPr>
            </m:ctrlPr>
          </m:sSupPr>
          <m:e>
            <m:r>
              <w:rPr>
                <w:rFonts w:ascii="Cambria Math" w:hAnsi="Cambria Math"/>
              </w:rPr>
              <m:t>G</m:t>
            </m:r>
          </m:e>
          <m:sup>
            <m:r>
              <w:rPr>
                <w:rFonts w:ascii="Cambria Math" w:hAnsi="Cambria Math"/>
              </w:rPr>
              <m:t>'m</m:t>
            </m:r>
          </m:sup>
        </m:sSup>
      </m:oMath>
      <w:r w:rsidR="008142B6">
        <w:rPr>
          <w:rFonts w:ascii="Times New Roman" w:hAnsi="Times New Roman"/>
        </w:rPr>
        <w:t xml:space="preserve"> </w:t>
      </w:r>
      <w:r w:rsidR="001A1D6F">
        <w:t>is calculated to:</w:t>
      </w:r>
    </w:p>
    <w:tbl>
      <w:tblPr>
        <w:tblStyle w:val="TableGrid"/>
        <w:tblW w:w="0" w:type="auto"/>
        <w:tblInd w:w="18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30"/>
        <w:gridCol w:w="844"/>
      </w:tblGrid>
      <w:tr w:rsidR="00AC0413" w14:paraId="1FC521D8" w14:textId="77777777" w:rsidTr="00726EF0">
        <w:trPr>
          <w:trHeight w:val="152"/>
        </w:trPr>
        <w:tc>
          <w:tcPr>
            <w:tcW w:w="6330" w:type="dxa"/>
            <w:vAlign w:val="center"/>
          </w:tcPr>
          <w:p w14:paraId="23666388" w14:textId="0686F13B" w:rsidR="00AC0413" w:rsidRDefault="00503980" w:rsidP="00AC0413">
            <w:pPr>
              <w:pStyle w:val="MDPI31text"/>
              <w:spacing w:before="120"/>
              <w:ind w:firstLine="0"/>
              <w:jc w:val="center"/>
            </w:pPr>
            <m:oMathPara>
              <m:oMath>
                <m:sSub>
                  <m:sSubPr>
                    <m:ctrlPr>
                      <w:rPr>
                        <w:rFonts w:ascii="Cambria Math" w:hAnsi="Cambria Math"/>
                        <w:i/>
                      </w:rPr>
                    </m:ctrlPr>
                  </m:sSubPr>
                  <m:e>
                    <m:r>
                      <w:rPr>
                        <w:rFonts w:ascii="Cambria Math" w:hAnsi="Cambria Math"/>
                      </w:rPr>
                      <m:t>∆</m:t>
                    </m:r>
                  </m:e>
                  <m:sub>
                    <m:r>
                      <w:rPr>
                        <w:rFonts w:ascii="Cambria Math" w:hAnsi="Cambria Math"/>
                      </w:rPr>
                      <m:t>r</m:t>
                    </m:r>
                  </m:sub>
                </m:sSub>
                <m:sSup>
                  <m:sSupPr>
                    <m:ctrlPr>
                      <w:rPr>
                        <w:rFonts w:ascii="Cambria Math" w:hAnsi="Cambria Math"/>
                        <w:i/>
                      </w:rPr>
                    </m:ctrlPr>
                  </m:sSupPr>
                  <m:e>
                    <m:r>
                      <w:rPr>
                        <w:rFonts w:ascii="Cambria Math" w:hAnsi="Cambria Math"/>
                      </w:rPr>
                      <m:t>G</m:t>
                    </m:r>
                  </m:e>
                  <m:sup>
                    <m:r>
                      <w:rPr>
                        <w:rFonts w:ascii="Cambria Math" w:hAnsi="Cambria Math"/>
                      </w:rPr>
                      <m:t>'m</m:t>
                    </m:r>
                  </m:sup>
                </m:sSup>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r</m:t>
                    </m:r>
                  </m:sub>
                </m:sSub>
                <m:sSup>
                  <m:sSupPr>
                    <m:ctrlPr>
                      <w:rPr>
                        <w:rFonts w:ascii="Cambria Math" w:hAnsi="Cambria Math"/>
                        <w:i/>
                      </w:rPr>
                    </m:ctrlPr>
                  </m:sSupPr>
                  <m:e>
                    <m:r>
                      <w:rPr>
                        <w:rFonts w:ascii="Cambria Math" w:hAnsi="Cambria Math"/>
                      </w:rPr>
                      <m:t>G</m:t>
                    </m:r>
                  </m:e>
                  <m:sup>
                    <m:r>
                      <w:rPr>
                        <w:rFonts w:ascii="Cambria Math" w:hAnsi="Cambria Math"/>
                      </w:rPr>
                      <m:t>'</m:t>
                    </m:r>
                  </m:sup>
                </m:sSup>
                <m:r>
                  <w:rPr>
                    <w:rFonts w:ascii="Cambria Math" w:hAnsi="Cambria Math"/>
                  </w:rPr>
                  <m:t>°+RT</m:t>
                </m:r>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p</m:t>
                                    </m:r>
                                  </m:e>
                                  <m:sub>
                                    <m:r>
                                      <w:rPr>
                                        <w:rFonts w:ascii="Cambria Math" w:hAnsi="Cambria Math"/>
                                      </w:rPr>
                                      <m:t>k</m:t>
                                    </m:r>
                                  </m:sub>
                                </m:sSub>
                              </m:sub>
                              <m:sup>
                                <m:sSub>
                                  <m:sSubPr>
                                    <m:ctrlPr>
                                      <w:rPr>
                                        <w:rFonts w:ascii="Cambria Math" w:hAnsi="Cambria Math"/>
                                        <w:i/>
                                      </w:rPr>
                                    </m:ctrlPr>
                                  </m:sSubPr>
                                  <m:e>
                                    <m:r>
                                      <w:rPr>
                                        <w:rFonts w:ascii="Cambria Math" w:hAnsi="Cambria Math"/>
                                      </w:rPr>
                                      <m:t>ν</m:t>
                                    </m:r>
                                  </m:e>
                                  <m:sub>
                                    <m:r>
                                      <w:rPr>
                                        <w:rFonts w:ascii="Cambria Math" w:hAnsi="Cambria Math"/>
                                      </w:rPr>
                                      <m:t>k</m:t>
                                    </m:r>
                                  </m:sub>
                                </m:sSub>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p</m:t>
                                    </m:r>
                                  </m:e>
                                  <m:sub>
                                    <m:r>
                                      <w:rPr>
                                        <w:rFonts w:ascii="Cambria Math" w:hAnsi="Cambria Math"/>
                                      </w:rPr>
                                      <m:t>l</m:t>
                                    </m:r>
                                  </m:sub>
                                </m:sSub>
                              </m:sub>
                              <m:sup>
                                <m:sSub>
                                  <m:sSubPr>
                                    <m:ctrlPr>
                                      <w:rPr>
                                        <w:rFonts w:ascii="Cambria Math" w:hAnsi="Cambria Math"/>
                                        <w:i/>
                                      </w:rPr>
                                    </m:ctrlPr>
                                  </m:sSubPr>
                                  <m:e>
                                    <m:r>
                                      <w:rPr>
                                        <w:rFonts w:ascii="Cambria Math" w:hAnsi="Cambria Math"/>
                                      </w:rPr>
                                      <m:t>ν</m:t>
                                    </m:r>
                                  </m:e>
                                  <m:sub>
                                    <m:r>
                                      <w:rPr>
                                        <w:rFonts w:ascii="Cambria Math" w:hAnsi="Cambria Math"/>
                                      </w:rPr>
                                      <m:t>l</m:t>
                                    </m:r>
                                  </m:sub>
                                </m:sSub>
                              </m:sup>
                            </m:sSubSup>
                          </m:num>
                          <m:den>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s</m:t>
                                    </m:r>
                                  </m:e>
                                  <m:sub>
                                    <m:r>
                                      <w:rPr>
                                        <w:rFonts w:ascii="Cambria Math" w:hAnsi="Cambria Math"/>
                                      </w:rPr>
                                      <m:t>i</m:t>
                                    </m:r>
                                  </m:sub>
                                </m:sSub>
                              </m:sub>
                              <m:sup>
                                <m:sSub>
                                  <m:sSubPr>
                                    <m:ctrlPr>
                                      <w:rPr>
                                        <w:rFonts w:ascii="Cambria Math" w:hAnsi="Cambria Math"/>
                                        <w:i/>
                                      </w:rPr>
                                    </m:ctrlPr>
                                  </m:sSubPr>
                                  <m:e>
                                    <m:r>
                                      <w:rPr>
                                        <w:rFonts w:ascii="Cambria Math" w:hAnsi="Cambria Math"/>
                                      </w:rPr>
                                      <m:t>ν</m:t>
                                    </m:r>
                                  </m:e>
                                  <m:sub>
                                    <m:r>
                                      <w:rPr>
                                        <w:rFonts w:ascii="Cambria Math" w:hAnsi="Cambria Math"/>
                                      </w:rPr>
                                      <m:t>i</m:t>
                                    </m:r>
                                  </m:sub>
                                </m:sSub>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s</m:t>
                                    </m:r>
                                  </m:e>
                                  <m:sub>
                                    <m:r>
                                      <w:rPr>
                                        <w:rFonts w:ascii="Cambria Math" w:hAnsi="Cambria Math"/>
                                      </w:rPr>
                                      <m:t>j</m:t>
                                    </m:r>
                                  </m:sub>
                                </m:sSub>
                              </m:sub>
                              <m:sup>
                                <m:sSub>
                                  <m:sSubPr>
                                    <m:ctrlPr>
                                      <w:rPr>
                                        <w:rFonts w:ascii="Cambria Math" w:hAnsi="Cambria Math"/>
                                        <w:i/>
                                      </w:rPr>
                                    </m:ctrlPr>
                                  </m:sSubPr>
                                  <m:e>
                                    <m:r>
                                      <w:rPr>
                                        <w:rFonts w:ascii="Cambria Math" w:hAnsi="Cambria Math"/>
                                      </w:rPr>
                                      <m:t>ν</m:t>
                                    </m:r>
                                  </m:e>
                                  <m:sub>
                                    <m:r>
                                      <w:rPr>
                                        <w:rFonts w:ascii="Cambria Math" w:hAnsi="Cambria Math"/>
                                      </w:rPr>
                                      <m:t>j</m:t>
                                    </m:r>
                                  </m:sub>
                                </m:sSub>
                              </m:sup>
                            </m:sSubSup>
                          </m:den>
                        </m:f>
                      </m:e>
                    </m:d>
                  </m:e>
                </m:func>
                <m:r>
                  <w:rPr>
                    <w:rFonts w:ascii="Cambria Math" w:hAnsi="Cambria Math"/>
                  </w:rPr>
                  <m:t>,</m:t>
                </m:r>
              </m:oMath>
            </m:oMathPara>
          </w:p>
        </w:tc>
        <w:tc>
          <w:tcPr>
            <w:tcW w:w="844" w:type="dxa"/>
            <w:vAlign w:val="center"/>
          </w:tcPr>
          <w:p w14:paraId="2A051360" w14:textId="5FE8AB15" w:rsidR="00AC0413" w:rsidRDefault="00AC0413" w:rsidP="00AC0413">
            <w:pPr>
              <w:pStyle w:val="MDPI31text"/>
              <w:spacing w:before="120"/>
              <w:ind w:firstLine="0"/>
              <w:jc w:val="right"/>
            </w:pPr>
            <w:r>
              <w:t>(1)</w:t>
            </w:r>
          </w:p>
        </w:tc>
      </w:tr>
    </w:tbl>
    <w:p w14:paraId="43E14D54" w14:textId="1B7061A3" w:rsidR="00AE081A" w:rsidRDefault="00726EF0" w:rsidP="00AE081A">
      <w:pPr>
        <w:pStyle w:val="MDPI31text"/>
        <w:spacing w:before="120"/>
        <w:ind w:left="1865" w:firstLine="0"/>
      </w:pPr>
      <w:r>
        <w:t xml:space="preserve">where </w:t>
      </w:r>
      <m:oMath>
        <m:r>
          <w:rPr>
            <w:rFonts w:ascii="Cambria Math" w:hAnsi="Cambria Math"/>
          </w:rPr>
          <m:t>c</m:t>
        </m:r>
      </m:oMath>
      <w:r>
        <w:t xml:space="preserve"> is the molar concentration of a metabolite </w:t>
      </w:r>
      <w:r w:rsidR="00AE081A">
        <w:t>specified</w:t>
      </w:r>
      <w:r>
        <w:t xml:space="preserve"> by the indices and </w:t>
      </w:r>
      <m:oMath>
        <m:r>
          <w:rPr>
            <w:rFonts w:ascii="Cambria Math" w:hAnsi="Cambria Math"/>
          </w:rPr>
          <m:t xml:space="preserve">R=8.314 J </m:t>
        </m:r>
        <m:sSup>
          <m:sSupPr>
            <m:ctrlPr>
              <w:rPr>
                <w:rFonts w:ascii="Cambria Math" w:hAnsi="Cambria Math"/>
                <w:i/>
              </w:rPr>
            </m:ctrlPr>
          </m:sSupPr>
          <m:e>
            <m:r>
              <w:rPr>
                <w:rFonts w:ascii="Cambria Math" w:hAnsi="Cambria Math"/>
              </w:rPr>
              <m:t>K</m:t>
            </m:r>
          </m:e>
          <m:sup>
            <m:r>
              <w:rPr>
                <w:rFonts w:ascii="Cambria Math" w:hAnsi="Cambria Math"/>
              </w:rPr>
              <m:t>-1</m:t>
            </m:r>
          </m:sup>
        </m:sSup>
        <m:r>
          <w:rPr>
            <w:rFonts w:ascii="Cambria Math" w:hAnsi="Cambria Math"/>
          </w:rPr>
          <m:t xml:space="preserve"> </m:t>
        </m:r>
        <m:sSup>
          <m:sSupPr>
            <m:ctrlPr>
              <w:rPr>
                <w:rFonts w:ascii="Cambria Math" w:hAnsi="Cambria Math"/>
                <w:i/>
              </w:rPr>
            </m:ctrlPr>
          </m:sSupPr>
          <m:e>
            <m:r>
              <w:rPr>
                <w:rFonts w:ascii="Cambria Math" w:hAnsi="Cambria Math"/>
              </w:rPr>
              <m:t>mol</m:t>
            </m:r>
          </m:e>
          <m:sup>
            <m:r>
              <w:rPr>
                <w:rFonts w:ascii="Cambria Math" w:hAnsi="Cambria Math"/>
              </w:rPr>
              <m:t>-1</m:t>
            </m:r>
          </m:sup>
        </m:sSup>
      </m:oMath>
      <w:r w:rsidR="0071100B">
        <w:t xml:space="preserve"> the universal gas constant.</w:t>
      </w:r>
      <w:r>
        <w:t xml:space="preserve"> </w:t>
      </w:r>
      <w:r w:rsidR="0071100B">
        <w:t xml:space="preserve">Furthermore, we assume a standard temperature </w:t>
      </w:r>
      <m:oMath>
        <m:r>
          <w:rPr>
            <w:rFonts w:ascii="Cambria Math" w:hAnsi="Cambria Math"/>
          </w:rPr>
          <m:t>T=298.15 K</m:t>
        </m:r>
      </m:oMath>
      <w:r w:rsidR="0071100B">
        <w:t>.</w:t>
      </w:r>
      <w:r w:rsidR="008142B6">
        <w:t xml:space="preserve"> </w:t>
      </w:r>
      <w:r w:rsidR="000E4559">
        <w:t xml:space="preserve">For </w:t>
      </w:r>
      <m:oMath>
        <m:sSub>
          <m:sSubPr>
            <m:ctrlPr>
              <w:rPr>
                <w:rFonts w:ascii="Cambria Math" w:hAnsi="Cambria Math"/>
                <w:i/>
              </w:rPr>
            </m:ctrlPr>
          </m:sSubPr>
          <m:e>
            <m:r>
              <w:rPr>
                <w:rFonts w:ascii="Cambria Math" w:hAnsi="Cambria Math"/>
              </w:rPr>
              <m:t>∆</m:t>
            </m:r>
          </m:e>
          <m:sub>
            <m:r>
              <w:rPr>
                <w:rFonts w:ascii="Cambria Math" w:hAnsi="Cambria Math"/>
              </w:rPr>
              <m:t>r</m:t>
            </m:r>
          </m:sub>
        </m:sSub>
        <m:sSubSup>
          <m:sSubSupPr>
            <m:ctrlPr>
              <w:rPr>
                <w:rFonts w:ascii="Cambria Math" w:hAnsi="Cambria Math"/>
                <w:i/>
              </w:rPr>
            </m:ctrlPr>
          </m:sSubSupPr>
          <m:e>
            <m:r>
              <w:rPr>
                <w:rFonts w:ascii="Cambria Math" w:hAnsi="Cambria Math"/>
              </w:rPr>
              <m:t>G</m:t>
            </m:r>
          </m:e>
          <m:sub>
            <m:r>
              <w:rPr>
                <w:rFonts w:ascii="Cambria Math" w:hAnsi="Cambria Math"/>
              </w:rPr>
              <m:t>max</m:t>
            </m:r>
          </m:sub>
          <m:sup>
            <m:r>
              <w:rPr>
                <w:rFonts w:ascii="Cambria Math" w:hAnsi="Cambria Math"/>
              </w:rPr>
              <m:t>'m</m:t>
            </m:r>
          </m:sup>
        </m:sSubSup>
      </m:oMath>
      <w:r w:rsidR="000E4559">
        <w:t>, minimal and maximal expected standard concentrations are used for the educt and product metabolites, respectively.</w:t>
      </w:r>
      <w:r w:rsidR="004D3F07">
        <w:t xml:space="preserve"> This is reversed for the calculation of </w:t>
      </w:r>
      <m:oMath>
        <m:sSub>
          <m:sSubPr>
            <m:ctrlPr>
              <w:rPr>
                <w:rFonts w:ascii="Cambria Math" w:hAnsi="Cambria Math"/>
                <w:i/>
              </w:rPr>
            </m:ctrlPr>
          </m:sSubPr>
          <m:e>
            <m:r>
              <w:rPr>
                <w:rFonts w:ascii="Cambria Math" w:hAnsi="Cambria Math"/>
              </w:rPr>
              <m:t>∆</m:t>
            </m:r>
          </m:e>
          <m:sub>
            <m:r>
              <w:rPr>
                <w:rFonts w:ascii="Cambria Math" w:hAnsi="Cambria Math"/>
              </w:rPr>
              <m:t>r</m:t>
            </m:r>
          </m:sub>
        </m:sSub>
        <m:sSubSup>
          <m:sSubSupPr>
            <m:ctrlPr>
              <w:rPr>
                <w:rFonts w:ascii="Cambria Math" w:hAnsi="Cambria Math"/>
                <w:i/>
              </w:rPr>
            </m:ctrlPr>
          </m:sSubSupPr>
          <m:e>
            <m:r>
              <w:rPr>
                <w:rFonts w:ascii="Cambria Math" w:hAnsi="Cambria Math"/>
              </w:rPr>
              <m:t>G</m:t>
            </m:r>
          </m:e>
          <m:sub>
            <m:r>
              <w:rPr>
                <w:rFonts w:ascii="Cambria Math" w:hAnsi="Cambria Math"/>
              </w:rPr>
              <m:t>min</m:t>
            </m:r>
          </m:sub>
          <m:sup>
            <m:r>
              <w:rPr>
                <w:rFonts w:ascii="Cambria Math" w:hAnsi="Cambria Math"/>
              </w:rPr>
              <m:t>'m</m:t>
            </m:r>
          </m:sup>
        </m:sSubSup>
      </m:oMath>
      <w:r w:rsidR="004D3F07">
        <w:t>.</w:t>
      </w:r>
    </w:p>
    <w:p w14:paraId="27036453" w14:textId="60EC5A7E" w:rsidR="00A30C27" w:rsidRDefault="00AE081A" w:rsidP="009E486D">
      <w:pPr>
        <w:pStyle w:val="MDPI31text"/>
        <w:numPr>
          <w:ilvl w:val="1"/>
          <w:numId w:val="12"/>
        </w:numPr>
        <w:spacing w:before="120"/>
      </w:pPr>
      <w:r>
        <w:t xml:space="preserve">Determine the maximal deviation from </w:t>
      </w:r>
      <m:oMath>
        <m:sSub>
          <m:sSubPr>
            <m:ctrlPr>
              <w:rPr>
                <w:rFonts w:ascii="Cambria Math" w:hAnsi="Cambria Math"/>
                <w:i/>
              </w:rPr>
            </m:ctrlPr>
          </m:sSubPr>
          <m:e>
            <m:r>
              <w:rPr>
                <w:rFonts w:ascii="Cambria Math" w:hAnsi="Cambria Math"/>
              </w:rPr>
              <m:t>∆</m:t>
            </m:r>
          </m:e>
          <m:sub>
            <m:r>
              <w:rPr>
                <w:rFonts w:ascii="Cambria Math" w:hAnsi="Cambria Math"/>
              </w:rPr>
              <m:t>r</m:t>
            </m:r>
          </m:sub>
        </m:sSub>
        <m:sSup>
          <m:sSupPr>
            <m:ctrlPr>
              <w:rPr>
                <w:rFonts w:ascii="Cambria Math" w:hAnsi="Cambria Math"/>
                <w:i/>
              </w:rPr>
            </m:ctrlPr>
          </m:sSupPr>
          <m:e>
            <m:r>
              <w:rPr>
                <w:rFonts w:ascii="Cambria Math" w:hAnsi="Cambria Math"/>
              </w:rPr>
              <m:t>G</m:t>
            </m:r>
          </m:e>
          <m:sup>
            <m:r>
              <w:rPr>
                <w:rFonts w:ascii="Cambria Math" w:hAnsi="Cambria Math"/>
              </w:rPr>
              <m:t>'m</m:t>
            </m:r>
          </m:sup>
        </m:sSup>
      </m:oMath>
      <w:r>
        <w:t xml:space="preserve">. Therefore, if </w:t>
      </w:r>
      <m:oMath>
        <m:sSub>
          <m:sSubPr>
            <m:ctrlPr>
              <w:rPr>
                <w:rFonts w:ascii="Cambria Math" w:hAnsi="Cambria Math"/>
                <w:i/>
              </w:rPr>
            </m:ctrlPr>
          </m:sSubPr>
          <m:e>
            <m:r>
              <w:rPr>
                <w:rFonts w:ascii="Cambria Math" w:hAnsi="Cambria Math"/>
              </w:rPr>
              <m:t>∆</m:t>
            </m:r>
          </m:e>
          <m:sub>
            <m:r>
              <w:rPr>
                <w:rFonts w:ascii="Cambria Math" w:hAnsi="Cambria Math"/>
              </w:rPr>
              <m:t>r</m:t>
            </m:r>
          </m:sub>
        </m:sSub>
        <m:sSup>
          <m:sSupPr>
            <m:ctrlPr>
              <w:rPr>
                <w:rFonts w:ascii="Cambria Math" w:hAnsi="Cambria Math"/>
                <w:i/>
              </w:rPr>
            </m:ctrlPr>
          </m:sSupPr>
          <m:e>
            <m:r>
              <w:rPr>
                <w:rFonts w:ascii="Cambria Math" w:hAnsi="Cambria Math"/>
              </w:rPr>
              <m:t>G</m:t>
            </m:r>
          </m:e>
          <m:sup>
            <m:r>
              <w:rPr>
                <w:rFonts w:ascii="Cambria Math" w:hAnsi="Cambria Math"/>
              </w:rPr>
              <m:t>'m</m:t>
            </m:r>
          </m:sup>
        </m:sSup>
        <m:r>
          <w:rPr>
            <w:rFonts w:ascii="Cambria Math" w:hAnsi="Cambria Math"/>
          </w:rPr>
          <m:t>&lt;0</m:t>
        </m:r>
      </m:oMath>
      <w:r>
        <w:t xml:space="preserve">, calculate a maximally expected Gibbs Free Energy of Reaction </w:t>
      </w:r>
      <m:oMath>
        <m:sSub>
          <m:sSubPr>
            <m:ctrlPr>
              <w:rPr>
                <w:rFonts w:ascii="Cambria Math" w:hAnsi="Cambria Math"/>
                <w:i/>
              </w:rPr>
            </m:ctrlPr>
          </m:sSubPr>
          <m:e>
            <m:r>
              <w:rPr>
                <w:rFonts w:ascii="Cambria Math" w:hAnsi="Cambria Math"/>
              </w:rPr>
              <m:t>∆</m:t>
            </m:r>
          </m:e>
          <m:sub>
            <m:r>
              <w:rPr>
                <w:rFonts w:ascii="Cambria Math" w:hAnsi="Cambria Math"/>
              </w:rPr>
              <m:t>r</m:t>
            </m:r>
          </m:sub>
        </m:sSub>
        <m:sSubSup>
          <m:sSubSupPr>
            <m:ctrlPr>
              <w:rPr>
                <w:rFonts w:ascii="Cambria Math" w:hAnsi="Cambria Math"/>
                <w:i/>
              </w:rPr>
            </m:ctrlPr>
          </m:sSubSupPr>
          <m:e>
            <m:r>
              <w:rPr>
                <w:rFonts w:ascii="Cambria Math" w:hAnsi="Cambria Math"/>
              </w:rPr>
              <m:t>G</m:t>
            </m:r>
          </m:e>
          <m:sub>
            <m:r>
              <w:rPr>
                <w:rFonts w:ascii="Cambria Math" w:hAnsi="Cambria Math"/>
              </w:rPr>
              <m:t>max</m:t>
            </m:r>
          </m:sub>
          <m:sup>
            <m:r>
              <w:rPr>
                <w:rFonts w:ascii="Cambria Math" w:hAnsi="Cambria Math"/>
              </w:rPr>
              <m:t>'m</m:t>
            </m:r>
          </m:sup>
        </m:sSubSup>
      </m:oMath>
      <w:r>
        <w:t xml:space="preserve"> following the descriptions in b) and Equation 1. </w:t>
      </w:r>
      <w:r w:rsidR="004F0979">
        <w:t xml:space="preserve">In this case, use a maximally expected concentration of </w:t>
      </w:r>
      <m:oMath>
        <m:r>
          <w:rPr>
            <w:rFonts w:ascii="Cambria Math" w:hAnsi="Cambria Math"/>
          </w:rPr>
          <m:t>20 mM</m:t>
        </m:r>
      </m:oMath>
      <w:r w:rsidR="004F0979">
        <w:t xml:space="preserve"> for all products and a minimally expected concentration of </w:t>
      </w:r>
      <m:oMath>
        <m:sSup>
          <m:sSupPr>
            <m:ctrlPr>
              <w:rPr>
                <w:rFonts w:ascii="Cambria Math" w:hAnsi="Cambria Math"/>
                <w:i/>
              </w:rPr>
            </m:ctrlPr>
          </m:sSupPr>
          <m:e>
            <m:r>
              <w:rPr>
                <w:rFonts w:ascii="Cambria Math" w:hAnsi="Cambria Math"/>
              </w:rPr>
              <m:t>10</m:t>
            </m:r>
          </m:e>
          <m:sup>
            <m:r>
              <w:rPr>
                <w:rFonts w:ascii="Cambria Math" w:hAnsi="Cambria Math"/>
              </w:rPr>
              <m:t>-9</m:t>
            </m:r>
          </m:sup>
        </m:sSup>
        <m:r>
          <w:rPr>
            <w:rFonts w:ascii="Cambria Math" w:hAnsi="Cambria Math"/>
          </w:rPr>
          <m:t xml:space="preserve"> mM</m:t>
        </m:r>
      </m:oMath>
      <w:r w:rsidR="004F0979">
        <w:t xml:space="preserve"> for all educts.</w:t>
      </w:r>
      <w:r w:rsidR="000909B0">
        <w:t xml:space="preserve"> </w:t>
      </w:r>
      <w:r w:rsidR="00347A68">
        <w:t>M</w:t>
      </w:r>
      <w:r w:rsidR="003B54DF">
        <w:t>aximal and minimal concentrations of</w:t>
      </w:r>
      <w:r w:rsidR="000909B0">
        <w:t xml:space="preserve"> oxygen, carbon dioxide and hydrogen </w:t>
      </w:r>
      <w:r w:rsidR="00ED041B">
        <w:t>are listed in</w:t>
      </w:r>
      <w:r w:rsidR="000909B0">
        <w:t xml:space="preserve"> Table</w:t>
      </w:r>
      <w:r w:rsidR="000A4C3B">
        <w:t> S1</w:t>
      </w:r>
      <w:r w:rsidR="000909B0">
        <w:t>.</w:t>
      </w:r>
      <w:r w:rsidR="004D59B6">
        <w:t xml:space="preserve"> Likewise, if </w:t>
      </w:r>
      <m:oMath>
        <m:sSub>
          <m:sSubPr>
            <m:ctrlPr>
              <w:rPr>
                <w:rFonts w:ascii="Cambria Math" w:hAnsi="Cambria Math"/>
                <w:i/>
              </w:rPr>
            </m:ctrlPr>
          </m:sSubPr>
          <m:e>
            <m:r>
              <w:rPr>
                <w:rFonts w:ascii="Cambria Math" w:hAnsi="Cambria Math"/>
              </w:rPr>
              <m:t>∆</m:t>
            </m:r>
          </m:e>
          <m:sub>
            <m:r>
              <w:rPr>
                <w:rFonts w:ascii="Cambria Math" w:hAnsi="Cambria Math"/>
              </w:rPr>
              <m:t>r</m:t>
            </m:r>
          </m:sub>
        </m:sSub>
        <m:sSup>
          <m:sSupPr>
            <m:ctrlPr>
              <w:rPr>
                <w:rFonts w:ascii="Cambria Math" w:hAnsi="Cambria Math"/>
                <w:i/>
              </w:rPr>
            </m:ctrlPr>
          </m:sSupPr>
          <m:e>
            <m:r>
              <w:rPr>
                <w:rFonts w:ascii="Cambria Math" w:hAnsi="Cambria Math"/>
              </w:rPr>
              <m:t>G</m:t>
            </m:r>
          </m:e>
          <m:sup>
            <m:r>
              <w:rPr>
                <w:rFonts w:ascii="Cambria Math" w:hAnsi="Cambria Math"/>
              </w:rPr>
              <m:t>'m</m:t>
            </m:r>
          </m:sup>
        </m:sSup>
        <m:r>
          <w:rPr>
            <w:rFonts w:ascii="Cambria Math" w:hAnsi="Cambria Math"/>
          </w:rPr>
          <m:t>&gt;0</m:t>
        </m:r>
      </m:oMath>
      <w:r w:rsidR="004D59B6">
        <w:t xml:space="preserve">, </w:t>
      </w:r>
      <m:oMath>
        <m:sSub>
          <m:sSubPr>
            <m:ctrlPr>
              <w:rPr>
                <w:rFonts w:ascii="Cambria Math" w:hAnsi="Cambria Math"/>
                <w:i/>
              </w:rPr>
            </m:ctrlPr>
          </m:sSubPr>
          <m:e>
            <m:r>
              <w:rPr>
                <w:rFonts w:ascii="Cambria Math" w:hAnsi="Cambria Math"/>
              </w:rPr>
              <m:t>∆</m:t>
            </m:r>
          </m:e>
          <m:sub>
            <m:r>
              <w:rPr>
                <w:rFonts w:ascii="Cambria Math" w:hAnsi="Cambria Math"/>
              </w:rPr>
              <m:t>r</m:t>
            </m:r>
          </m:sub>
        </m:sSub>
        <m:sSubSup>
          <m:sSubSupPr>
            <m:ctrlPr>
              <w:rPr>
                <w:rFonts w:ascii="Cambria Math" w:hAnsi="Cambria Math"/>
                <w:i/>
              </w:rPr>
            </m:ctrlPr>
          </m:sSubSupPr>
          <m:e>
            <m:r>
              <w:rPr>
                <w:rFonts w:ascii="Cambria Math" w:hAnsi="Cambria Math"/>
              </w:rPr>
              <m:t>G</m:t>
            </m:r>
          </m:e>
          <m:sub>
            <m:r>
              <w:rPr>
                <w:rFonts w:ascii="Cambria Math" w:hAnsi="Cambria Math"/>
              </w:rPr>
              <m:t>min</m:t>
            </m:r>
          </m:sub>
          <m:sup>
            <m:r>
              <w:rPr>
                <w:rFonts w:ascii="Cambria Math" w:hAnsi="Cambria Math"/>
              </w:rPr>
              <m:t>'m</m:t>
            </m:r>
          </m:sup>
        </m:sSubSup>
      </m:oMath>
      <w:r w:rsidR="004D59B6">
        <w:t xml:space="preserve"> is </w:t>
      </w:r>
      <w:r w:rsidR="00ED041B">
        <w:t xml:space="preserve">instead </w:t>
      </w:r>
      <w:r w:rsidR="004D59B6">
        <w:t>calculated using maximally and minimally expected concentrations for the educts and products.</w:t>
      </w:r>
    </w:p>
    <w:p w14:paraId="68C08C30" w14:textId="78C84485" w:rsidR="00AE081A" w:rsidRDefault="00AE081A" w:rsidP="00470E56">
      <w:pPr>
        <w:pStyle w:val="MDPI31text"/>
        <w:numPr>
          <w:ilvl w:val="1"/>
          <w:numId w:val="12"/>
        </w:numPr>
        <w:spacing w:before="120"/>
      </w:pPr>
      <w:r>
        <w:t xml:space="preserve">Compare </w:t>
      </w:r>
      <m:oMath>
        <m:sSub>
          <m:sSubPr>
            <m:ctrlPr>
              <w:rPr>
                <w:rFonts w:ascii="Cambria Math" w:hAnsi="Cambria Math"/>
                <w:i/>
              </w:rPr>
            </m:ctrlPr>
          </m:sSubPr>
          <m:e>
            <m:r>
              <w:rPr>
                <w:rFonts w:ascii="Cambria Math" w:hAnsi="Cambria Math"/>
              </w:rPr>
              <m:t>∆</m:t>
            </m:r>
          </m:e>
          <m:sub>
            <m:r>
              <w:rPr>
                <w:rFonts w:ascii="Cambria Math" w:hAnsi="Cambria Math"/>
              </w:rPr>
              <m:t>r</m:t>
            </m:r>
          </m:sub>
        </m:sSub>
        <m:sSubSup>
          <m:sSubSupPr>
            <m:ctrlPr>
              <w:rPr>
                <w:rFonts w:ascii="Cambria Math" w:hAnsi="Cambria Math"/>
                <w:i/>
              </w:rPr>
            </m:ctrlPr>
          </m:sSubSupPr>
          <m:e>
            <m:r>
              <w:rPr>
                <w:rFonts w:ascii="Cambria Math" w:hAnsi="Cambria Math"/>
              </w:rPr>
              <m:t>G</m:t>
            </m:r>
          </m:e>
          <m:sub>
            <m:r>
              <w:rPr>
                <w:rFonts w:ascii="Cambria Math" w:hAnsi="Cambria Math"/>
              </w:rPr>
              <m:t>max/min</m:t>
            </m:r>
          </m:sub>
          <m:sup>
            <m:r>
              <w:rPr>
                <w:rFonts w:ascii="Cambria Math" w:hAnsi="Cambria Math"/>
              </w:rPr>
              <m:t>'m</m:t>
            </m:r>
          </m:sup>
        </m:sSubSup>
      </m:oMath>
      <w:r>
        <w:t xml:space="preserve"> and </w:t>
      </w:r>
      <m:oMath>
        <m:sSub>
          <m:sSubPr>
            <m:ctrlPr>
              <w:rPr>
                <w:rFonts w:ascii="Cambria Math" w:hAnsi="Cambria Math"/>
                <w:i/>
              </w:rPr>
            </m:ctrlPr>
          </m:sSubPr>
          <m:e>
            <m:r>
              <w:rPr>
                <w:rFonts w:ascii="Cambria Math" w:hAnsi="Cambria Math"/>
              </w:rPr>
              <m:t>∆</m:t>
            </m:r>
          </m:e>
          <m:sub>
            <m:r>
              <w:rPr>
                <w:rFonts w:ascii="Cambria Math" w:hAnsi="Cambria Math"/>
              </w:rPr>
              <m:t>r</m:t>
            </m:r>
          </m:sub>
        </m:sSub>
        <m:sSup>
          <m:sSupPr>
            <m:ctrlPr>
              <w:rPr>
                <w:rFonts w:ascii="Cambria Math" w:hAnsi="Cambria Math"/>
                <w:i/>
              </w:rPr>
            </m:ctrlPr>
          </m:sSupPr>
          <m:e>
            <m:r>
              <w:rPr>
                <w:rFonts w:ascii="Cambria Math" w:hAnsi="Cambria Math"/>
              </w:rPr>
              <m:t>G</m:t>
            </m:r>
          </m:e>
          <m:sup>
            <m:r>
              <w:rPr>
                <w:rFonts w:ascii="Cambria Math" w:hAnsi="Cambria Math"/>
              </w:rPr>
              <m:t>'m</m:t>
            </m:r>
          </m:sup>
        </m:sSup>
      </m:oMath>
      <w:r>
        <w:t xml:space="preserve">. If both </w:t>
      </w:r>
      <m:oMath>
        <m:sSub>
          <m:sSubPr>
            <m:ctrlPr>
              <w:rPr>
                <w:rFonts w:ascii="Cambria Math" w:hAnsi="Cambria Math"/>
                <w:i/>
              </w:rPr>
            </m:ctrlPr>
          </m:sSubPr>
          <m:e>
            <m:r>
              <w:rPr>
                <w:rFonts w:ascii="Cambria Math" w:hAnsi="Cambria Math"/>
              </w:rPr>
              <m:t>∆</m:t>
            </m:r>
          </m:e>
          <m:sub>
            <m:r>
              <w:rPr>
                <w:rFonts w:ascii="Cambria Math" w:hAnsi="Cambria Math"/>
              </w:rPr>
              <m:t>r</m:t>
            </m:r>
          </m:sub>
        </m:sSub>
        <m:sSubSup>
          <m:sSubSupPr>
            <m:ctrlPr>
              <w:rPr>
                <w:rFonts w:ascii="Cambria Math" w:hAnsi="Cambria Math"/>
                <w:i/>
              </w:rPr>
            </m:ctrlPr>
          </m:sSubSupPr>
          <m:e>
            <m:r>
              <w:rPr>
                <w:rFonts w:ascii="Cambria Math" w:hAnsi="Cambria Math"/>
              </w:rPr>
              <m:t>G</m:t>
            </m:r>
          </m:e>
          <m:sub>
            <m:r>
              <w:rPr>
                <w:rFonts w:ascii="Cambria Math" w:hAnsi="Cambria Math"/>
              </w:rPr>
              <m:t>max/min</m:t>
            </m:r>
          </m:sub>
          <m:sup>
            <m:r>
              <w:rPr>
                <w:rFonts w:ascii="Cambria Math" w:hAnsi="Cambria Math"/>
              </w:rPr>
              <m:t>'m</m:t>
            </m:r>
          </m:sup>
        </m:sSubSup>
      </m:oMath>
      <w:r>
        <w:t xml:space="preserve"> and </w:t>
      </w:r>
      <m:oMath>
        <m:sSub>
          <m:sSubPr>
            <m:ctrlPr>
              <w:rPr>
                <w:rFonts w:ascii="Cambria Math" w:hAnsi="Cambria Math"/>
                <w:i/>
              </w:rPr>
            </m:ctrlPr>
          </m:sSubPr>
          <m:e>
            <m:r>
              <w:rPr>
                <w:rFonts w:ascii="Cambria Math" w:hAnsi="Cambria Math"/>
              </w:rPr>
              <m:t>∆</m:t>
            </m:r>
          </m:e>
          <m:sub>
            <m:r>
              <w:rPr>
                <w:rFonts w:ascii="Cambria Math" w:hAnsi="Cambria Math"/>
              </w:rPr>
              <m:t>r</m:t>
            </m:r>
          </m:sub>
        </m:sSub>
        <m:sSup>
          <m:sSupPr>
            <m:ctrlPr>
              <w:rPr>
                <w:rFonts w:ascii="Cambria Math" w:hAnsi="Cambria Math"/>
                <w:i/>
              </w:rPr>
            </m:ctrlPr>
          </m:sSupPr>
          <m:e>
            <m:r>
              <w:rPr>
                <w:rFonts w:ascii="Cambria Math" w:hAnsi="Cambria Math"/>
              </w:rPr>
              <m:t>G</m:t>
            </m:r>
          </m:e>
          <m:sup>
            <m:r>
              <w:rPr>
                <w:rFonts w:ascii="Cambria Math" w:hAnsi="Cambria Math"/>
              </w:rPr>
              <m:t>'m</m:t>
            </m:r>
          </m:sup>
        </m:sSup>
      </m:oMath>
      <w:r>
        <w:t xml:space="preserve"> have the same sign, the reaction is labelled irreversible in the direction according to the </w:t>
      </w:r>
      <w:r>
        <w:lastRenderedPageBreak/>
        <w:t xml:space="preserve">sign. </w:t>
      </w:r>
      <w:r w:rsidR="00DF1365">
        <w:t xml:space="preserve">A reaction is also treated as irreversible if </w:t>
      </w:r>
      <m:oMath>
        <m:sSub>
          <m:sSubPr>
            <m:ctrlPr>
              <w:rPr>
                <w:rFonts w:ascii="Cambria Math" w:hAnsi="Cambria Math"/>
                <w:i/>
              </w:rPr>
            </m:ctrlPr>
          </m:sSubPr>
          <m:e>
            <m:r>
              <w:rPr>
                <w:rFonts w:ascii="Cambria Math" w:hAnsi="Cambria Math"/>
              </w:rPr>
              <m:t>∆</m:t>
            </m:r>
          </m:e>
          <m:sub>
            <m:r>
              <w:rPr>
                <w:rFonts w:ascii="Cambria Math" w:hAnsi="Cambria Math"/>
              </w:rPr>
              <m:t>r</m:t>
            </m:r>
          </m:sub>
        </m:sSub>
        <m:sSubSup>
          <m:sSubSupPr>
            <m:ctrlPr>
              <w:rPr>
                <w:rFonts w:ascii="Cambria Math" w:hAnsi="Cambria Math"/>
                <w:i/>
              </w:rPr>
            </m:ctrlPr>
          </m:sSubSupPr>
          <m:e>
            <m:r>
              <w:rPr>
                <w:rFonts w:ascii="Cambria Math" w:hAnsi="Cambria Math"/>
              </w:rPr>
              <m:t>G</m:t>
            </m:r>
          </m:e>
          <m:sub>
            <m:r>
              <w:rPr>
                <w:rFonts w:ascii="Cambria Math" w:hAnsi="Cambria Math"/>
              </w:rPr>
              <m:t>max/min</m:t>
            </m:r>
          </m:sub>
          <m:sup>
            <m:r>
              <w:rPr>
                <w:rFonts w:ascii="Cambria Math" w:hAnsi="Cambria Math"/>
              </w:rPr>
              <m:t>'m</m:t>
            </m:r>
          </m:sup>
        </m:sSubSup>
      </m:oMath>
      <w:r w:rsidR="00DF1365">
        <w:t xml:space="preserve"> and </w:t>
      </w:r>
      <m:oMath>
        <m:sSub>
          <m:sSubPr>
            <m:ctrlPr>
              <w:rPr>
                <w:rFonts w:ascii="Cambria Math" w:hAnsi="Cambria Math"/>
                <w:i/>
              </w:rPr>
            </m:ctrlPr>
          </m:sSubPr>
          <m:e>
            <m:r>
              <w:rPr>
                <w:rFonts w:ascii="Cambria Math" w:hAnsi="Cambria Math"/>
              </w:rPr>
              <m:t>∆</m:t>
            </m:r>
          </m:e>
          <m:sub>
            <m:r>
              <w:rPr>
                <w:rFonts w:ascii="Cambria Math" w:hAnsi="Cambria Math"/>
              </w:rPr>
              <m:t>r</m:t>
            </m:r>
          </m:sub>
        </m:sSub>
        <m:sSup>
          <m:sSupPr>
            <m:ctrlPr>
              <w:rPr>
                <w:rFonts w:ascii="Cambria Math" w:hAnsi="Cambria Math"/>
                <w:i/>
              </w:rPr>
            </m:ctrlPr>
          </m:sSupPr>
          <m:e>
            <m:r>
              <w:rPr>
                <w:rFonts w:ascii="Cambria Math" w:hAnsi="Cambria Math"/>
              </w:rPr>
              <m:t>G</m:t>
            </m:r>
          </m:e>
          <m:sup>
            <m:r>
              <w:rPr>
                <w:rFonts w:ascii="Cambria Math" w:hAnsi="Cambria Math"/>
              </w:rPr>
              <m:t>'m</m:t>
            </m:r>
          </m:sup>
        </m:sSup>
      </m:oMath>
      <w:r w:rsidR="00DF1365">
        <w:t xml:space="preserve"> exhibit differing signs and the relation </w:t>
      </w:r>
      <m:oMath>
        <m:f>
          <m:fPr>
            <m:type m:val="skw"/>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m:t>
                    </m:r>
                  </m:sub>
                </m:sSub>
                <m:sSubSup>
                  <m:sSubSupPr>
                    <m:ctrlPr>
                      <w:rPr>
                        <w:rFonts w:ascii="Cambria Math" w:hAnsi="Cambria Math"/>
                        <w:i/>
                      </w:rPr>
                    </m:ctrlPr>
                  </m:sSubSupPr>
                  <m:e>
                    <m:r>
                      <w:rPr>
                        <w:rFonts w:ascii="Cambria Math" w:hAnsi="Cambria Math"/>
                      </w:rPr>
                      <m:t>G</m:t>
                    </m:r>
                  </m:e>
                  <m:sub>
                    <m:r>
                      <w:rPr>
                        <w:rFonts w:ascii="Cambria Math" w:hAnsi="Cambria Math"/>
                      </w:rPr>
                      <m:t>max/min</m:t>
                    </m:r>
                  </m:sub>
                  <m:sup>
                    <m:r>
                      <w:rPr>
                        <w:rFonts w:ascii="Cambria Math" w:hAnsi="Cambria Math"/>
                      </w:rPr>
                      <m:t>'m</m:t>
                    </m:r>
                  </m:sup>
                </m:sSubSup>
              </m:e>
            </m:d>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m:t>
                    </m:r>
                  </m:sub>
                </m:sSub>
                <m:sSup>
                  <m:sSupPr>
                    <m:ctrlPr>
                      <w:rPr>
                        <w:rFonts w:ascii="Cambria Math" w:hAnsi="Cambria Math"/>
                        <w:i/>
                      </w:rPr>
                    </m:ctrlPr>
                  </m:sSupPr>
                  <m:e>
                    <m:r>
                      <w:rPr>
                        <w:rFonts w:ascii="Cambria Math" w:hAnsi="Cambria Math"/>
                      </w:rPr>
                      <m:t>G</m:t>
                    </m:r>
                  </m:e>
                  <m:sup>
                    <m:r>
                      <w:rPr>
                        <w:rFonts w:ascii="Cambria Math" w:hAnsi="Cambria Math"/>
                      </w:rPr>
                      <m:t>'m</m:t>
                    </m:r>
                  </m:sup>
                </m:sSup>
              </m:e>
            </m:d>
          </m:den>
        </m:f>
      </m:oMath>
      <w:r w:rsidR="00DF1365">
        <w:t xml:space="preserve"> does not exceed a value of 0.4.</w:t>
      </w:r>
      <w:r w:rsidR="00692216">
        <w:t xml:space="preserve"> In all other cases, particularly if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m:t>
                </m:r>
              </m:sub>
            </m:sSub>
            <m:sSubSup>
              <m:sSubSupPr>
                <m:ctrlPr>
                  <w:rPr>
                    <w:rFonts w:ascii="Cambria Math" w:hAnsi="Cambria Math"/>
                    <w:i/>
                  </w:rPr>
                </m:ctrlPr>
              </m:sSubSupPr>
              <m:e>
                <m:r>
                  <w:rPr>
                    <w:rFonts w:ascii="Cambria Math" w:hAnsi="Cambria Math"/>
                  </w:rPr>
                  <m:t>G</m:t>
                </m:r>
              </m:e>
              <m:sub>
                <m:r>
                  <w:rPr>
                    <w:rFonts w:ascii="Cambria Math" w:hAnsi="Cambria Math"/>
                  </w:rPr>
                  <m:t>max/min</m:t>
                </m:r>
              </m:sub>
              <m:sup>
                <m:r>
                  <w:rPr>
                    <w:rFonts w:ascii="Cambria Math" w:hAnsi="Cambria Math"/>
                  </w:rPr>
                  <m:t>'m</m:t>
                </m:r>
              </m:sup>
            </m:sSubSup>
          </m:e>
        </m:d>
        <m:r>
          <w:rPr>
            <w:rFonts w:ascii="Cambria Math" w:hAnsi="Cambria Math"/>
          </w:rPr>
          <m:t>&gt;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m:t>
                </m:r>
              </m:sub>
            </m:sSub>
            <m:sSup>
              <m:sSupPr>
                <m:ctrlPr>
                  <w:rPr>
                    <w:rFonts w:ascii="Cambria Math" w:hAnsi="Cambria Math"/>
                    <w:i/>
                  </w:rPr>
                </m:ctrlPr>
              </m:sSupPr>
              <m:e>
                <m:r>
                  <w:rPr>
                    <w:rFonts w:ascii="Cambria Math" w:hAnsi="Cambria Math"/>
                  </w:rPr>
                  <m:t>G</m:t>
                </m:r>
              </m:e>
              <m:sup>
                <m:r>
                  <w:rPr>
                    <w:rFonts w:ascii="Cambria Math" w:hAnsi="Cambria Math"/>
                  </w:rPr>
                  <m:t>'m</m:t>
                </m:r>
              </m:sup>
            </m:sSup>
          </m:e>
        </m:d>
      </m:oMath>
      <w:r w:rsidR="00692216">
        <w:t>, a reaction is reversible.</w:t>
      </w:r>
    </w:p>
    <w:p w14:paraId="273F1C2B" w14:textId="5467DE71" w:rsidR="004B1580" w:rsidRDefault="004B1580" w:rsidP="004B1580">
      <w:pPr>
        <w:pStyle w:val="MDPI31text"/>
        <w:numPr>
          <w:ilvl w:val="0"/>
          <w:numId w:val="12"/>
        </w:numPr>
        <w:spacing w:before="120"/>
      </w:pPr>
      <w:r>
        <w:t xml:space="preserve">Check mass </w:t>
      </w:r>
      <w:r w:rsidR="00925305">
        <w:t xml:space="preserve">and charge </w:t>
      </w:r>
      <w:r>
        <w:t xml:space="preserve">balances of reactions </w:t>
      </w:r>
      <w:r w:rsidR="00716E01">
        <w:t xml:space="preserve">according to the atomic compositions of educts as well as products </w:t>
      </w:r>
      <w:r>
        <w:t>and correct for missing protons or water molecules.</w:t>
      </w:r>
    </w:p>
    <w:p w14:paraId="2FCD758F" w14:textId="6FCEAF2B" w:rsidR="004A683B" w:rsidRDefault="004A683B" w:rsidP="004A683B">
      <w:pPr>
        <w:pStyle w:val="MDPI31text"/>
      </w:pPr>
    </w:p>
    <w:p w14:paraId="6722F7DC" w14:textId="032A62D5" w:rsidR="004A683B" w:rsidRPr="004A683B" w:rsidRDefault="00EF796F" w:rsidP="00EF796F">
      <w:pPr>
        <w:pStyle w:val="MDPI31text"/>
      </w:pPr>
      <w:r>
        <w:t xml:space="preserve">The selected and curated reactions are </w:t>
      </w:r>
      <w:r w:rsidR="00881DCA">
        <w:t>integrated in a database</w:t>
      </w:r>
      <w:r>
        <w:t xml:space="preserve"> model and flux bounds are chosen according to the identified reaction directionalit</w:t>
      </w:r>
      <w:r w:rsidR="00D2716A">
        <w:t>ies</w:t>
      </w:r>
      <w:r>
        <w:t>.</w:t>
      </w:r>
    </w:p>
    <w:p w14:paraId="59B1B26A" w14:textId="08C4780B" w:rsidR="005D5F7F" w:rsidRDefault="005D5F7F" w:rsidP="00A73B69">
      <w:pPr>
        <w:pStyle w:val="MDPI31text"/>
      </w:pPr>
    </w:p>
    <w:p w14:paraId="743DE1E2" w14:textId="77777777" w:rsidR="00DE0354" w:rsidRDefault="00DE0354" w:rsidP="00A73B69">
      <w:pPr>
        <w:pStyle w:val="MDPI31text"/>
      </w:pPr>
    </w:p>
    <w:p w14:paraId="4BFE6749" w14:textId="7BB452C2" w:rsidR="00DF4D1D" w:rsidRDefault="007354DE" w:rsidP="007354DE">
      <w:pPr>
        <w:pStyle w:val="MDPI21heading1"/>
        <w:numPr>
          <w:ilvl w:val="0"/>
          <w:numId w:val="8"/>
        </w:numPr>
        <w:ind w:left="284" w:hanging="142"/>
        <w:rPr>
          <w:noProof/>
        </w:rPr>
      </w:pPr>
      <w:r>
        <w:rPr>
          <w:noProof/>
        </w:rPr>
        <w:t>Supplementary Figures and Tables</w:t>
      </w:r>
    </w:p>
    <w:p w14:paraId="4FD7CA8C" w14:textId="77777777" w:rsidR="007354DE" w:rsidRDefault="007354DE" w:rsidP="007354DE">
      <w:pPr>
        <w:pStyle w:val="MDPI21heading1"/>
        <w:ind w:left="284"/>
        <w:rPr>
          <w:noProof/>
        </w:rPr>
      </w:pPr>
    </w:p>
    <w:p w14:paraId="1080DCF3" w14:textId="77777777" w:rsidR="007354DE" w:rsidRDefault="007354DE" w:rsidP="007354DE">
      <w:pPr>
        <w:pStyle w:val="MDPI41tablecaption"/>
      </w:pPr>
      <w:r w:rsidRPr="000E136F">
        <w:rPr>
          <w:b/>
        </w:rPr>
        <w:t xml:space="preserve">Table </w:t>
      </w:r>
      <w:r>
        <w:rPr>
          <w:b/>
        </w:rPr>
        <w:t>S</w:t>
      </w:r>
      <w:r w:rsidRPr="000E136F">
        <w:rPr>
          <w:b/>
        </w:rPr>
        <w:fldChar w:fldCharType="begin"/>
      </w:r>
      <w:r w:rsidRPr="000E136F">
        <w:rPr>
          <w:b/>
        </w:rPr>
        <w:instrText xml:space="preserve"> SEQ Table \* ARABIC </w:instrText>
      </w:r>
      <w:r w:rsidRPr="000E136F">
        <w:rPr>
          <w:b/>
        </w:rPr>
        <w:fldChar w:fldCharType="separate"/>
      </w:r>
      <w:r w:rsidRPr="000E136F">
        <w:rPr>
          <w:b/>
          <w:noProof/>
        </w:rPr>
        <w:t>1</w:t>
      </w:r>
      <w:r w:rsidRPr="000E136F">
        <w:rPr>
          <w:b/>
        </w:rPr>
        <w:fldChar w:fldCharType="end"/>
      </w:r>
      <w:r>
        <w:t>: Minimally and maximally expected as well as standard intracellular concentrations of gaseous metabolites.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6"/>
        <w:gridCol w:w="2105"/>
        <w:gridCol w:w="2105"/>
        <w:gridCol w:w="2106"/>
      </w:tblGrid>
      <w:tr w:rsidR="007354DE" w14:paraId="55C7AFEF" w14:textId="77777777" w:rsidTr="007354DE">
        <w:trPr>
          <w:trHeight w:val="648"/>
          <w:jc w:val="center"/>
        </w:trPr>
        <w:tc>
          <w:tcPr>
            <w:tcW w:w="1726" w:type="dxa"/>
            <w:tcBorders>
              <w:bottom w:val="single" w:sz="4" w:space="0" w:color="auto"/>
            </w:tcBorders>
            <w:vAlign w:val="center"/>
          </w:tcPr>
          <w:p w14:paraId="3AA915AB" w14:textId="77777777" w:rsidR="007354DE" w:rsidRDefault="007354DE" w:rsidP="00FC0721">
            <w:pPr>
              <w:pStyle w:val="MDPI31text"/>
              <w:ind w:firstLine="0"/>
              <w:jc w:val="center"/>
            </w:pPr>
            <w:r>
              <w:t>Metabolite</w:t>
            </w:r>
          </w:p>
        </w:tc>
        <w:tc>
          <w:tcPr>
            <w:tcW w:w="2105" w:type="dxa"/>
            <w:tcBorders>
              <w:bottom w:val="single" w:sz="4" w:space="0" w:color="auto"/>
            </w:tcBorders>
            <w:vAlign w:val="center"/>
          </w:tcPr>
          <w:p w14:paraId="03B10E3A" w14:textId="77777777" w:rsidR="007354DE" w:rsidRDefault="007354DE" w:rsidP="00FC0721">
            <w:pPr>
              <w:pStyle w:val="MDPI31text"/>
              <w:ind w:firstLine="0"/>
              <w:jc w:val="center"/>
            </w:pPr>
            <w:r>
              <w:t>Minimally expected concentration [m</w:t>
            </w:r>
            <m:oMath>
              <m:r>
                <w:rPr>
                  <w:rFonts w:ascii="Cambria Math" w:hAnsi="Cambria Math"/>
                </w:rPr>
                <m:t>M</m:t>
              </m:r>
            </m:oMath>
            <w:r>
              <w:t>]</w:t>
            </w:r>
          </w:p>
        </w:tc>
        <w:tc>
          <w:tcPr>
            <w:tcW w:w="2105" w:type="dxa"/>
            <w:tcBorders>
              <w:bottom w:val="single" w:sz="4" w:space="0" w:color="auto"/>
            </w:tcBorders>
            <w:vAlign w:val="center"/>
          </w:tcPr>
          <w:p w14:paraId="3A7B7706" w14:textId="77777777" w:rsidR="007354DE" w:rsidRDefault="007354DE" w:rsidP="00FC0721">
            <w:pPr>
              <w:pStyle w:val="MDPI31text"/>
              <w:ind w:firstLine="0"/>
              <w:jc w:val="center"/>
            </w:pPr>
            <w:r>
              <w:t>Maximally expected concentration [</w:t>
            </w:r>
            <m:oMath>
              <m:r>
                <w:rPr>
                  <w:rFonts w:ascii="Cambria Math" w:hAnsi="Cambria Math"/>
                </w:rPr>
                <m:t>mM</m:t>
              </m:r>
            </m:oMath>
            <w:r>
              <w:t>]</w:t>
            </w:r>
          </w:p>
        </w:tc>
        <w:tc>
          <w:tcPr>
            <w:tcW w:w="2106" w:type="dxa"/>
            <w:tcBorders>
              <w:bottom w:val="single" w:sz="4" w:space="0" w:color="auto"/>
            </w:tcBorders>
            <w:vAlign w:val="center"/>
          </w:tcPr>
          <w:p w14:paraId="2D92049C" w14:textId="77777777" w:rsidR="007354DE" w:rsidRDefault="007354DE" w:rsidP="00FC0721">
            <w:pPr>
              <w:pStyle w:val="MDPI31text"/>
              <w:ind w:firstLine="0"/>
              <w:jc w:val="center"/>
            </w:pPr>
            <w:r>
              <w:t>Standard concentration [</w:t>
            </w:r>
            <m:oMath>
              <m:r>
                <w:rPr>
                  <w:rFonts w:ascii="Cambria Math" w:hAnsi="Cambria Math"/>
                </w:rPr>
                <m:t>mM</m:t>
              </m:r>
            </m:oMath>
            <w:r>
              <w:t>]</w:t>
            </w:r>
          </w:p>
        </w:tc>
      </w:tr>
      <w:tr w:rsidR="007354DE" w14:paraId="2B01AF82" w14:textId="77777777" w:rsidTr="007354DE">
        <w:trPr>
          <w:jc w:val="center"/>
        </w:trPr>
        <w:tc>
          <w:tcPr>
            <w:tcW w:w="1726" w:type="dxa"/>
            <w:tcBorders>
              <w:top w:val="single" w:sz="4" w:space="0" w:color="auto"/>
            </w:tcBorders>
            <w:vAlign w:val="center"/>
          </w:tcPr>
          <w:p w14:paraId="68B546CD" w14:textId="77777777" w:rsidR="007354DE" w:rsidRDefault="007354DE" w:rsidP="00FC0721">
            <w:pPr>
              <w:pStyle w:val="MDPI31text"/>
              <w:ind w:firstLine="0"/>
              <w:jc w:val="center"/>
            </w:pPr>
            <w:r>
              <w:t>Oxygen</w:t>
            </w:r>
          </w:p>
        </w:tc>
        <w:tc>
          <w:tcPr>
            <w:tcW w:w="2105" w:type="dxa"/>
            <w:tcBorders>
              <w:top w:val="single" w:sz="4" w:space="0" w:color="auto"/>
            </w:tcBorders>
          </w:tcPr>
          <w:p w14:paraId="0D6A24A8" w14:textId="77777777" w:rsidR="007354DE" w:rsidRPr="001B596A" w:rsidRDefault="007354DE" w:rsidP="00FC0721">
            <w:pPr>
              <w:pStyle w:val="MDPI31text"/>
              <w:ind w:firstLine="0"/>
              <w:jc w:val="center"/>
              <w:rPr>
                <w:vertAlign w:val="superscript"/>
              </w:rPr>
            </w:pPr>
            <w:r>
              <w:t>10</w:t>
            </w:r>
            <w:r>
              <w:rPr>
                <w:vertAlign w:val="superscript"/>
              </w:rPr>
              <w:t>-11</w:t>
            </w:r>
          </w:p>
        </w:tc>
        <w:tc>
          <w:tcPr>
            <w:tcW w:w="2105" w:type="dxa"/>
            <w:tcBorders>
              <w:top w:val="single" w:sz="4" w:space="0" w:color="auto"/>
            </w:tcBorders>
          </w:tcPr>
          <w:p w14:paraId="3C0CF003" w14:textId="77777777" w:rsidR="007354DE" w:rsidRDefault="007354DE" w:rsidP="00FC0721">
            <w:pPr>
              <w:pStyle w:val="MDPI31text"/>
              <w:ind w:firstLine="0"/>
              <w:jc w:val="center"/>
            </w:pPr>
            <w:r>
              <w:t>0.055</w:t>
            </w:r>
          </w:p>
        </w:tc>
        <w:tc>
          <w:tcPr>
            <w:tcW w:w="2106" w:type="dxa"/>
            <w:tcBorders>
              <w:top w:val="single" w:sz="4" w:space="0" w:color="auto"/>
            </w:tcBorders>
          </w:tcPr>
          <w:p w14:paraId="576078A8" w14:textId="77777777" w:rsidR="007354DE" w:rsidRDefault="007354DE" w:rsidP="00FC0721">
            <w:pPr>
              <w:pStyle w:val="MDPI31text"/>
              <w:ind w:firstLine="0"/>
              <w:jc w:val="center"/>
            </w:pPr>
            <w:r>
              <w:t>0.0275</w:t>
            </w:r>
          </w:p>
        </w:tc>
      </w:tr>
      <w:tr w:rsidR="007354DE" w14:paraId="300E3C93" w14:textId="77777777" w:rsidTr="007354DE">
        <w:trPr>
          <w:jc w:val="center"/>
        </w:trPr>
        <w:tc>
          <w:tcPr>
            <w:tcW w:w="1726" w:type="dxa"/>
            <w:vAlign w:val="center"/>
          </w:tcPr>
          <w:p w14:paraId="7AB6C5F8" w14:textId="77777777" w:rsidR="007354DE" w:rsidRDefault="007354DE" w:rsidP="00FC0721">
            <w:pPr>
              <w:pStyle w:val="MDPI31text"/>
              <w:ind w:firstLine="0"/>
              <w:jc w:val="center"/>
            </w:pPr>
            <w:r>
              <w:t>Carbon dioxide</w:t>
            </w:r>
          </w:p>
        </w:tc>
        <w:tc>
          <w:tcPr>
            <w:tcW w:w="2105" w:type="dxa"/>
          </w:tcPr>
          <w:p w14:paraId="50D5C0B1" w14:textId="77777777" w:rsidR="007354DE" w:rsidRDefault="007354DE" w:rsidP="00FC0721">
            <w:pPr>
              <w:pStyle w:val="MDPI31text"/>
              <w:ind w:firstLine="0"/>
              <w:jc w:val="center"/>
            </w:pPr>
            <w:r>
              <w:t>10</w:t>
            </w:r>
            <w:r>
              <w:rPr>
                <w:vertAlign w:val="superscript"/>
              </w:rPr>
              <w:t>-11</w:t>
            </w:r>
          </w:p>
        </w:tc>
        <w:tc>
          <w:tcPr>
            <w:tcW w:w="2105" w:type="dxa"/>
          </w:tcPr>
          <w:p w14:paraId="334E1B0C" w14:textId="77777777" w:rsidR="007354DE" w:rsidRDefault="007354DE" w:rsidP="00FC0721">
            <w:pPr>
              <w:pStyle w:val="MDPI31text"/>
              <w:ind w:firstLine="0"/>
              <w:jc w:val="center"/>
            </w:pPr>
            <w:r>
              <w:t>1.4</w:t>
            </w:r>
          </w:p>
        </w:tc>
        <w:tc>
          <w:tcPr>
            <w:tcW w:w="2106" w:type="dxa"/>
          </w:tcPr>
          <w:p w14:paraId="56705F8B" w14:textId="77777777" w:rsidR="007354DE" w:rsidRDefault="007354DE" w:rsidP="00FC0721">
            <w:pPr>
              <w:pStyle w:val="MDPI31text"/>
              <w:ind w:firstLine="0"/>
              <w:jc w:val="center"/>
            </w:pPr>
            <w:r>
              <w:t>0.7</w:t>
            </w:r>
          </w:p>
        </w:tc>
      </w:tr>
      <w:tr w:rsidR="007354DE" w14:paraId="1119FDAB" w14:textId="77777777" w:rsidTr="007354DE">
        <w:trPr>
          <w:jc w:val="center"/>
        </w:trPr>
        <w:tc>
          <w:tcPr>
            <w:tcW w:w="1726" w:type="dxa"/>
            <w:vAlign w:val="center"/>
          </w:tcPr>
          <w:p w14:paraId="2D36AE84" w14:textId="77777777" w:rsidR="007354DE" w:rsidRDefault="007354DE" w:rsidP="00FC0721">
            <w:pPr>
              <w:pStyle w:val="MDPI31text"/>
              <w:ind w:firstLine="0"/>
              <w:jc w:val="center"/>
            </w:pPr>
            <w:r>
              <w:t>Hydrogen</w:t>
            </w:r>
          </w:p>
        </w:tc>
        <w:tc>
          <w:tcPr>
            <w:tcW w:w="2105" w:type="dxa"/>
          </w:tcPr>
          <w:p w14:paraId="25D1D300" w14:textId="77777777" w:rsidR="007354DE" w:rsidRDefault="007354DE" w:rsidP="00FC0721">
            <w:pPr>
              <w:pStyle w:val="MDPI31text"/>
              <w:ind w:firstLine="0"/>
              <w:jc w:val="center"/>
            </w:pPr>
            <w:r>
              <w:t>10</w:t>
            </w:r>
            <w:r>
              <w:rPr>
                <w:vertAlign w:val="superscript"/>
              </w:rPr>
              <w:t>-11</w:t>
            </w:r>
          </w:p>
        </w:tc>
        <w:tc>
          <w:tcPr>
            <w:tcW w:w="2105" w:type="dxa"/>
          </w:tcPr>
          <w:p w14:paraId="7D9860B1" w14:textId="77777777" w:rsidR="007354DE" w:rsidRDefault="007354DE" w:rsidP="00FC0721">
            <w:pPr>
              <w:pStyle w:val="MDPI31text"/>
              <w:ind w:firstLine="0"/>
              <w:jc w:val="center"/>
            </w:pPr>
            <w:r>
              <w:t>0.034</w:t>
            </w:r>
          </w:p>
        </w:tc>
        <w:tc>
          <w:tcPr>
            <w:tcW w:w="2106" w:type="dxa"/>
          </w:tcPr>
          <w:p w14:paraId="59C26142" w14:textId="77777777" w:rsidR="007354DE" w:rsidRDefault="007354DE" w:rsidP="00FC0721">
            <w:pPr>
              <w:pStyle w:val="MDPI31text"/>
              <w:ind w:firstLine="0"/>
              <w:jc w:val="center"/>
            </w:pPr>
            <w:r>
              <w:t>0.017</w:t>
            </w:r>
          </w:p>
        </w:tc>
      </w:tr>
    </w:tbl>
    <w:p w14:paraId="0F2465CB" w14:textId="77777777" w:rsidR="007354DE" w:rsidRPr="007354DE" w:rsidRDefault="007354DE" w:rsidP="007354DE">
      <w:pPr>
        <w:pStyle w:val="MDPI21heading1"/>
        <w:ind w:left="284"/>
        <w:rPr>
          <w:noProof/>
        </w:rPr>
      </w:pPr>
    </w:p>
    <w:tbl>
      <w:tblPr>
        <w:tblStyle w:val="TableGrid"/>
        <w:tblpPr w:leftFromText="180" w:rightFromText="180" w:vertAnchor="text" w:horzAnchor="margin" w:tblpXSpec="center" w:tblpY="11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AA0A2D" w14:paraId="69E1E998" w14:textId="77777777" w:rsidTr="00422602">
        <w:tc>
          <w:tcPr>
            <w:tcW w:w="9060" w:type="dxa"/>
            <w:vAlign w:val="center"/>
          </w:tcPr>
          <w:p w14:paraId="4FBFA805" w14:textId="77777777" w:rsidR="00AA0A2D" w:rsidRDefault="00AA0A2D" w:rsidP="00F720AC">
            <w:pPr>
              <w:keepNext/>
              <w:adjustRightInd w:val="0"/>
              <w:snapToGrid w:val="0"/>
              <w:spacing w:line="240" w:lineRule="auto"/>
              <w:jc w:val="center"/>
            </w:pPr>
            <w:r>
              <w:rPr>
                <w:noProof/>
                <w:lang w:val="de-DE"/>
              </w:rPr>
              <w:lastRenderedPageBreak/>
              <w:drawing>
                <wp:inline distT="0" distB="0" distL="0" distR="0" wp14:anchorId="1ACB6A7A" wp14:editId="51542358">
                  <wp:extent cx="4334400" cy="6865200"/>
                  <wp:effectExtent l="0" t="0" r="952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tert\Promo\Projekte\GAMO\Paper\Plots\Figures\EX1_HaminDistance_MaxFit.jpg"/>
                          <pic:cNvPicPr>
                            <a:picLocks noChangeAspect="1" noChangeArrowheads="1"/>
                          </pic:cNvPicPr>
                        </pic:nvPicPr>
                        <pic:blipFill>
                          <a:blip r:embed="rId8"/>
                          <a:stretch>
                            <a:fillRect/>
                          </a:stretch>
                        </pic:blipFill>
                        <pic:spPr bwMode="auto">
                          <a:xfrm>
                            <a:off x="0" y="0"/>
                            <a:ext cx="4334400" cy="6865200"/>
                          </a:xfrm>
                          <a:prstGeom prst="rect">
                            <a:avLst/>
                          </a:prstGeom>
                          <a:noFill/>
                          <a:ln>
                            <a:noFill/>
                          </a:ln>
                        </pic:spPr>
                      </pic:pic>
                    </a:graphicData>
                  </a:graphic>
                </wp:inline>
              </w:drawing>
            </w:r>
          </w:p>
          <w:p w14:paraId="069DAC26" w14:textId="323528A8" w:rsidR="00AA0A2D" w:rsidRPr="00A519D9" w:rsidRDefault="00AA0A2D" w:rsidP="00F720AC">
            <w:pPr>
              <w:pStyle w:val="MDPI51figurecaption"/>
            </w:pPr>
            <w:r w:rsidRPr="00FB6505">
              <w:rPr>
                <w:b/>
              </w:rPr>
              <w:t xml:space="preserve">Figure </w:t>
            </w:r>
            <w:r w:rsidR="00422602">
              <w:rPr>
                <w:b/>
              </w:rPr>
              <w:t>S</w:t>
            </w:r>
            <w:r w:rsidRPr="00FB6505">
              <w:rPr>
                <w:b/>
              </w:rPr>
              <w:fldChar w:fldCharType="begin"/>
            </w:r>
            <w:r w:rsidRPr="00FB6505">
              <w:rPr>
                <w:b/>
              </w:rPr>
              <w:instrText xml:space="preserve"> SEQ Figure \* ARABIC </w:instrText>
            </w:r>
            <w:r w:rsidRPr="00FB6505">
              <w:rPr>
                <w:b/>
              </w:rPr>
              <w:fldChar w:fldCharType="separate"/>
            </w:r>
            <w:r w:rsidRPr="00FB6505">
              <w:rPr>
                <w:b/>
                <w:noProof/>
              </w:rPr>
              <w:t>1</w:t>
            </w:r>
            <w:r w:rsidRPr="00FB6505">
              <w:rPr>
                <w:b/>
              </w:rPr>
              <w:fldChar w:fldCharType="end"/>
            </w:r>
            <w:r>
              <w:rPr>
                <w:b/>
              </w:rPr>
              <w:t xml:space="preserve">: </w:t>
            </w:r>
            <w:r>
              <w:rPr>
                <w:noProof/>
              </w:rPr>
              <w:t>Maximal fitness</w:t>
            </w:r>
            <w:r w:rsidR="00091065">
              <w:rPr>
                <w:noProof/>
              </w:rPr>
              <w:t xml:space="preserve"> (BPCY) </w:t>
            </w:r>
            <w:r w:rsidR="009B4E99">
              <w:rPr>
                <w:noProof/>
              </w:rPr>
              <w:t>(</w:t>
            </w:r>
            <w:r w:rsidR="009B4E99" w:rsidRPr="009B4E99">
              <w:rPr>
                <w:b/>
                <w:noProof/>
              </w:rPr>
              <w:t>a</w:t>
            </w:r>
            <w:r w:rsidR="009B4E99">
              <w:rPr>
                <w:noProof/>
              </w:rPr>
              <w:t xml:space="preserve">, </w:t>
            </w:r>
            <w:r w:rsidR="009B4E99" w:rsidRPr="009B4E99">
              <w:rPr>
                <w:b/>
                <w:noProof/>
              </w:rPr>
              <w:t>c</w:t>
            </w:r>
            <w:r w:rsidR="009B4E99">
              <w:rPr>
                <w:noProof/>
              </w:rPr>
              <w:t xml:space="preserve">, </w:t>
            </w:r>
            <w:r w:rsidR="009B4E99" w:rsidRPr="009B4E99">
              <w:rPr>
                <w:b/>
                <w:noProof/>
              </w:rPr>
              <w:t>e</w:t>
            </w:r>
            <w:r w:rsidR="009B4E99">
              <w:rPr>
                <w:noProof/>
              </w:rPr>
              <w:t xml:space="preserve">) </w:t>
            </w:r>
            <w:r w:rsidR="00091065">
              <w:rPr>
                <w:noProof/>
              </w:rPr>
              <w:t xml:space="preserve">and </w:t>
            </w:r>
            <w:r w:rsidR="006F098A">
              <w:rPr>
                <w:noProof/>
              </w:rPr>
              <w:t>H</w:t>
            </w:r>
            <w:r w:rsidR="00091065">
              <w:rPr>
                <w:noProof/>
              </w:rPr>
              <w:t>amming distance</w:t>
            </w:r>
            <w:r w:rsidR="009B4E99">
              <w:rPr>
                <w:noProof/>
              </w:rPr>
              <w:t xml:space="preserve"> (</w:t>
            </w:r>
            <w:r w:rsidR="009B4E99" w:rsidRPr="009B4E99">
              <w:rPr>
                <w:b/>
                <w:noProof/>
              </w:rPr>
              <w:t>b</w:t>
            </w:r>
            <w:r w:rsidR="009B4E99">
              <w:rPr>
                <w:noProof/>
              </w:rPr>
              <w:t xml:space="preserve">, </w:t>
            </w:r>
            <w:r w:rsidR="009B4E99" w:rsidRPr="009B4E99">
              <w:rPr>
                <w:b/>
                <w:noProof/>
              </w:rPr>
              <w:t>d</w:t>
            </w:r>
            <w:r w:rsidR="009B4E99">
              <w:rPr>
                <w:noProof/>
              </w:rPr>
              <w:t xml:space="preserve">, </w:t>
            </w:r>
            <w:r w:rsidR="009B4E99" w:rsidRPr="009B4E99">
              <w:rPr>
                <w:b/>
                <w:noProof/>
              </w:rPr>
              <w:t>f</w:t>
            </w:r>
            <w:r w:rsidR="009B4E99">
              <w:rPr>
                <w:noProof/>
              </w:rPr>
              <w:t>)</w:t>
            </w:r>
            <w:r>
              <w:rPr>
                <w:noProof/>
              </w:rPr>
              <w:t xml:space="preserve"> progressions for GA runs </w:t>
            </w:r>
            <w:r w:rsidR="00091065">
              <w:rPr>
                <w:noProof/>
              </w:rPr>
              <w:t>applying five, seven and ten</w:t>
            </w:r>
            <w:r>
              <w:rPr>
                <w:noProof/>
              </w:rPr>
              <w:t xml:space="preserve"> </w:t>
            </w:r>
            <w:r w:rsidR="00091065">
              <w:rPr>
                <w:noProof/>
              </w:rPr>
              <w:t xml:space="preserve">maximal allowable reaction deletions as well as an adaptive mutation probability approach with different ranges between the minimal and maximal mutation rate, all centering around a mutation rate of 0.05. The color code denotes the factor between the minimally and maximally allowable mutation probability. </w:t>
            </w:r>
            <w:r w:rsidR="006F098A">
              <w:rPr>
                <w:noProof/>
              </w:rPr>
              <w:t xml:space="preserve">The </w:t>
            </w:r>
            <w:r>
              <w:rPr>
                <w:i/>
                <w:noProof/>
              </w:rPr>
              <w:t>E. </w:t>
            </w:r>
            <w:r w:rsidRPr="009319E4">
              <w:rPr>
                <w:i/>
                <w:noProof/>
              </w:rPr>
              <w:t>coli</w:t>
            </w:r>
            <w:r>
              <w:rPr>
                <w:noProof/>
              </w:rPr>
              <w:t xml:space="preserve"> core model and </w:t>
            </w:r>
            <w:r w:rsidR="00091065">
              <w:rPr>
                <w:noProof/>
              </w:rPr>
              <w:t>ethanol</w:t>
            </w:r>
            <w:r>
              <w:rPr>
                <w:noProof/>
              </w:rPr>
              <w:t xml:space="preserve"> BPCY as the engineering objective were employed.</w:t>
            </w:r>
          </w:p>
        </w:tc>
      </w:tr>
    </w:tbl>
    <w:p w14:paraId="39F3F165" w14:textId="08F2024D" w:rsidR="00AA0A2D" w:rsidRDefault="00AA0A2D" w:rsidP="00AA0A2D">
      <w:pPr>
        <w:pStyle w:val="MDPI22heading2"/>
        <w:ind w:left="57"/>
      </w:pPr>
    </w:p>
    <w:tbl>
      <w:tblPr>
        <w:tblStyle w:val="TableGrid"/>
        <w:tblpPr w:leftFromText="180" w:rightFromText="180" w:vertAnchor="text" w:horzAnchor="margin" w:tblpY="11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F720AC" w14:paraId="70567B69" w14:textId="77777777" w:rsidTr="00F720AC">
        <w:tc>
          <w:tcPr>
            <w:tcW w:w="9060" w:type="dxa"/>
            <w:vAlign w:val="center"/>
          </w:tcPr>
          <w:p w14:paraId="359C942C" w14:textId="77777777" w:rsidR="00F720AC" w:rsidRDefault="00F720AC" w:rsidP="00F720AC">
            <w:pPr>
              <w:keepNext/>
              <w:adjustRightInd w:val="0"/>
              <w:snapToGrid w:val="0"/>
              <w:spacing w:line="240" w:lineRule="auto"/>
              <w:jc w:val="center"/>
            </w:pPr>
            <w:r>
              <w:rPr>
                <w:noProof/>
                <w:lang w:val="de-DE"/>
              </w:rPr>
              <w:lastRenderedPageBreak/>
              <w:drawing>
                <wp:inline distT="0" distB="0" distL="0" distR="0" wp14:anchorId="40C95312" wp14:editId="45A10B6A">
                  <wp:extent cx="5374800" cy="35820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tert\Promo\Projekte\GAMO\Paper\Plots\Figures\EX1_HaminDistance_MaxFit.jpg"/>
                          <pic:cNvPicPr>
                            <a:picLocks noChangeAspect="1" noChangeArrowheads="1"/>
                          </pic:cNvPicPr>
                        </pic:nvPicPr>
                        <pic:blipFill>
                          <a:blip r:embed="rId9"/>
                          <a:stretch>
                            <a:fillRect/>
                          </a:stretch>
                        </pic:blipFill>
                        <pic:spPr bwMode="auto">
                          <a:xfrm>
                            <a:off x="0" y="0"/>
                            <a:ext cx="5374800" cy="3582000"/>
                          </a:xfrm>
                          <a:prstGeom prst="rect">
                            <a:avLst/>
                          </a:prstGeom>
                          <a:noFill/>
                          <a:ln>
                            <a:noFill/>
                          </a:ln>
                        </pic:spPr>
                      </pic:pic>
                    </a:graphicData>
                  </a:graphic>
                </wp:inline>
              </w:drawing>
            </w:r>
          </w:p>
          <w:p w14:paraId="52ED2FFA" w14:textId="12450947" w:rsidR="00F720AC" w:rsidRPr="00A519D9" w:rsidRDefault="00F720AC" w:rsidP="00F720AC">
            <w:pPr>
              <w:pStyle w:val="MDPI51figurecaption"/>
            </w:pPr>
            <w:r w:rsidRPr="00FB6505">
              <w:rPr>
                <w:b/>
              </w:rPr>
              <w:t xml:space="preserve">Figure </w:t>
            </w:r>
            <w:r w:rsidR="00422602">
              <w:rPr>
                <w:b/>
              </w:rPr>
              <w:t>S</w:t>
            </w:r>
            <w:r>
              <w:rPr>
                <w:b/>
              </w:rPr>
              <w:t xml:space="preserve">2: </w:t>
            </w:r>
            <w:r w:rsidR="00792AFC" w:rsidRPr="00792AFC">
              <w:t>Total number of fitness function evaluations</w:t>
            </w:r>
            <w:r w:rsidR="00792AFC">
              <w:t xml:space="preserve"> after 900 generations of GA runs applying population sizes between 10 and 50. </w:t>
            </w:r>
            <w:r w:rsidR="00792AFC">
              <w:rPr>
                <w:noProof/>
              </w:rPr>
              <w:t xml:space="preserve">Bars are clustered according to the employed selection rate (colored number). Error bars show the standard deviation among five replicates for each population size – selection rate pair. Asterisks denote parameter pairs with which the globally maximal fitness of </w:t>
            </w:r>
            <m:oMath>
              <m:r>
                <w:rPr>
                  <w:rFonts w:ascii="Cambria Math" w:hAnsi="Cambria Math"/>
                  <w:noProof/>
                </w:rPr>
                <m:t xml:space="preserve">0.48 mol </m:t>
              </m:r>
              <m:sSup>
                <m:sSupPr>
                  <m:ctrlPr>
                    <w:rPr>
                      <w:rFonts w:ascii="Cambria Math" w:hAnsi="Cambria Math"/>
                      <w:i/>
                      <w:noProof/>
                    </w:rPr>
                  </m:ctrlPr>
                </m:sSupPr>
                <m:e>
                  <m:r>
                    <w:rPr>
                      <w:rFonts w:ascii="Cambria Math" w:hAnsi="Cambria Math"/>
                      <w:noProof/>
                    </w:rPr>
                    <m:t>mol</m:t>
                  </m:r>
                </m:e>
                <m:sup>
                  <m:r>
                    <w:rPr>
                      <w:rFonts w:ascii="Cambria Math" w:hAnsi="Cambria Math"/>
                      <w:noProof/>
                    </w:rPr>
                    <m:t>-1</m:t>
                  </m:r>
                </m:sup>
              </m:sSup>
              <m:r>
                <w:rPr>
                  <w:rFonts w:ascii="Cambria Math" w:hAnsi="Cambria Math"/>
                  <w:noProof/>
                </w:rPr>
                <m:t xml:space="preserve"> </m:t>
              </m:r>
              <m:sSup>
                <m:sSupPr>
                  <m:ctrlPr>
                    <w:rPr>
                      <w:rFonts w:ascii="Cambria Math" w:hAnsi="Cambria Math"/>
                      <w:i/>
                      <w:noProof/>
                    </w:rPr>
                  </m:ctrlPr>
                </m:sSupPr>
                <m:e>
                  <m:r>
                    <w:rPr>
                      <w:rFonts w:ascii="Cambria Math" w:hAnsi="Cambria Math"/>
                      <w:noProof/>
                    </w:rPr>
                    <m:t>h</m:t>
                  </m:r>
                </m:e>
                <m:sup>
                  <m:r>
                    <w:rPr>
                      <w:rFonts w:ascii="Cambria Math" w:hAnsi="Cambria Math"/>
                      <w:noProof/>
                    </w:rPr>
                    <m:t>-1</m:t>
                  </m:r>
                </m:sup>
              </m:sSup>
            </m:oMath>
            <w:r w:rsidR="00792AFC">
              <w:rPr>
                <w:noProof/>
              </w:rPr>
              <w:t xml:space="preserve"> was not reached in every replicate GA run after 900 generations. Succinate BPCY was used as the engineering objective. Intervention set size was seven.</w:t>
            </w:r>
          </w:p>
        </w:tc>
      </w:tr>
    </w:tbl>
    <w:p w14:paraId="474F01DD" w14:textId="77777777" w:rsidR="00AA0A2D" w:rsidRDefault="00AA0A2D" w:rsidP="00AA0A2D">
      <w:pPr>
        <w:pStyle w:val="MDPI22heading2"/>
        <w:ind w:left="57"/>
      </w:pPr>
    </w:p>
    <w:tbl>
      <w:tblPr>
        <w:tblStyle w:val="TableGrid"/>
        <w:tblpPr w:leftFromText="180" w:rightFromText="180" w:vertAnchor="text" w:horzAnchor="margin" w:tblpY="11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306B0A" w14:paraId="596720E4" w14:textId="77777777" w:rsidTr="00092E92">
        <w:tc>
          <w:tcPr>
            <w:tcW w:w="9060" w:type="dxa"/>
            <w:vAlign w:val="center"/>
          </w:tcPr>
          <w:p w14:paraId="3C13F7AA" w14:textId="77777777" w:rsidR="00306B0A" w:rsidRDefault="00306B0A" w:rsidP="00092E92">
            <w:pPr>
              <w:keepNext/>
              <w:adjustRightInd w:val="0"/>
              <w:snapToGrid w:val="0"/>
              <w:spacing w:line="240" w:lineRule="auto"/>
              <w:jc w:val="center"/>
            </w:pPr>
            <w:r>
              <w:rPr>
                <w:noProof/>
                <w:lang w:val="de-DE"/>
              </w:rPr>
              <w:drawing>
                <wp:inline distT="0" distB="0" distL="0" distR="0" wp14:anchorId="6465BDD7" wp14:editId="493A45D7">
                  <wp:extent cx="3063600" cy="2883600"/>
                  <wp:effectExtent l="0" t="0" r="381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tert\Promo\Projekte\GAMO\Paper\Plots\Figures\EX1_HaminDistance_MaxFit.jp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3063600" cy="2883600"/>
                          </a:xfrm>
                          <a:prstGeom prst="rect">
                            <a:avLst/>
                          </a:prstGeom>
                          <a:noFill/>
                          <a:ln>
                            <a:noFill/>
                          </a:ln>
                        </pic:spPr>
                      </pic:pic>
                    </a:graphicData>
                  </a:graphic>
                </wp:inline>
              </w:drawing>
            </w:r>
          </w:p>
          <w:p w14:paraId="651107DA" w14:textId="20611F94" w:rsidR="00306B0A" w:rsidRPr="00A519D9" w:rsidRDefault="00306B0A" w:rsidP="008B10DD">
            <w:pPr>
              <w:pStyle w:val="MDPI51figurecaption"/>
            </w:pPr>
            <w:r w:rsidRPr="00FB6505">
              <w:rPr>
                <w:b/>
              </w:rPr>
              <w:t xml:space="preserve">Figure </w:t>
            </w:r>
            <w:r w:rsidR="00422602">
              <w:rPr>
                <w:b/>
              </w:rPr>
              <w:t>S</w:t>
            </w:r>
            <w:r w:rsidR="00F720AC">
              <w:rPr>
                <w:b/>
              </w:rPr>
              <w:t>3</w:t>
            </w:r>
            <w:r>
              <w:rPr>
                <w:b/>
              </w:rPr>
              <w:t xml:space="preserve">: </w:t>
            </w:r>
            <w:r>
              <w:rPr>
                <w:noProof/>
              </w:rPr>
              <w:t>Maximal fitness progressions for GA runs using various numbers of Gene-Flow-Events (GFEs) at a const</w:t>
            </w:r>
            <w:r w:rsidR="00BB749F">
              <w:rPr>
                <w:noProof/>
              </w:rPr>
              <w:t>ant</w:t>
            </w:r>
            <w:r w:rsidR="00542F3F">
              <w:rPr>
                <w:noProof/>
              </w:rPr>
              <w:t xml:space="preserve"> total</w:t>
            </w:r>
            <w:r w:rsidR="00BB749F">
              <w:rPr>
                <w:noProof/>
              </w:rPr>
              <w:t xml:space="preserve"> number of </w:t>
            </w:r>
            <w:r w:rsidR="00441BC6">
              <w:rPr>
                <w:noProof/>
              </w:rPr>
              <w:t>900</w:t>
            </w:r>
            <w:r w:rsidR="00BB749F">
              <w:rPr>
                <w:noProof/>
              </w:rPr>
              <w:t xml:space="preserve"> generations.</w:t>
            </w:r>
            <w:r w:rsidR="009319E4">
              <w:rPr>
                <w:noProof/>
              </w:rPr>
              <w:t xml:space="preserve"> </w:t>
            </w:r>
            <w:r w:rsidR="006F098A">
              <w:rPr>
                <w:noProof/>
              </w:rPr>
              <w:t xml:space="preserve">The </w:t>
            </w:r>
            <w:r w:rsidR="009319E4">
              <w:rPr>
                <w:i/>
                <w:noProof/>
              </w:rPr>
              <w:t>E. </w:t>
            </w:r>
            <w:r w:rsidR="009319E4" w:rsidRPr="009319E4">
              <w:rPr>
                <w:i/>
                <w:noProof/>
              </w:rPr>
              <w:t>coli</w:t>
            </w:r>
            <w:r w:rsidR="009319E4">
              <w:rPr>
                <w:noProof/>
              </w:rPr>
              <w:t xml:space="preserve"> core model and s</w:t>
            </w:r>
            <w:r w:rsidR="009319E4" w:rsidRPr="009319E4">
              <w:rPr>
                <w:noProof/>
              </w:rPr>
              <w:t>uccinate</w:t>
            </w:r>
            <w:r w:rsidR="009319E4">
              <w:rPr>
                <w:noProof/>
              </w:rPr>
              <w:t xml:space="preserve"> BPCY as the engineering objective </w:t>
            </w:r>
            <w:r w:rsidR="008B10DD">
              <w:rPr>
                <w:noProof/>
              </w:rPr>
              <w:t>were</w:t>
            </w:r>
            <w:r w:rsidR="00612E5D">
              <w:rPr>
                <w:noProof/>
              </w:rPr>
              <w:t xml:space="preserve"> em</w:t>
            </w:r>
            <w:r w:rsidR="009319E4">
              <w:rPr>
                <w:noProof/>
              </w:rPr>
              <w:t>p</w:t>
            </w:r>
            <w:r w:rsidR="00612E5D">
              <w:rPr>
                <w:noProof/>
              </w:rPr>
              <w:t>l</w:t>
            </w:r>
            <w:r w:rsidR="009319E4">
              <w:rPr>
                <w:noProof/>
              </w:rPr>
              <w:t>oyed.</w:t>
            </w:r>
          </w:p>
        </w:tc>
      </w:tr>
    </w:tbl>
    <w:p w14:paraId="43AC8ECE" w14:textId="74C27AE7" w:rsidR="008667F8" w:rsidRDefault="008667F8">
      <w:pPr>
        <w:spacing w:line="240" w:lineRule="auto"/>
        <w:jc w:val="left"/>
        <w:rPr>
          <w:rFonts w:ascii="Palatino Linotype" w:hAnsi="Palatino Linotype"/>
          <w:b/>
          <w:snapToGrid w:val="0"/>
          <w:sz w:val="20"/>
          <w:szCs w:val="22"/>
          <w:lang w:bidi="en-US"/>
        </w:rPr>
      </w:pPr>
    </w:p>
    <w:tbl>
      <w:tblPr>
        <w:tblStyle w:val="TableGrid"/>
        <w:tblpPr w:leftFromText="180" w:rightFromText="180" w:vertAnchor="text" w:horzAnchor="margin" w:tblpY="11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8667F8" w14:paraId="0AFA9C05" w14:textId="77777777" w:rsidTr="005618DE">
        <w:tc>
          <w:tcPr>
            <w:tcW w:w="9060" w:type="dxa"/>
            <w:vAlign w:val="center"/>
          </w:tcPr>
          <w:p w14:paraId="4DEF48FB" w14:textId="77777777" w:rsidR="008667F8" w:rsidRDefault="008667F8" w:rsidP="005618DE">
            <w:pPr>
              <w:keepNext/>
              <w:adjustRightInd w:val="0"/>
              <w:snapToGrid w:val="0"/>
              <w:spacing w:line="240" w:lineRule="auto"/>
              <w:jc w:val="center"/>
            </w:pPr>
            <w:r>
              <w:rPr>
                <w:noProof/>
                <w:lang w:val="de-DE"/>
              </w:rPr>
              <w:drawing>
                <wp:inline distT="0" distB="0" distL="0" distR="0" wp14:anchorId="4B401DA5" wp14:editId="411C0563">
                  <wp:extent cx="3589200" cy="7714800"/>
                  <wp:effectExtent l="0" t="0" r="0" b="63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tert\Promo\Projekte\GAMO\Paper\Plots\Figures\EX1_HaminDistance_MaxFit.jpg"/>
                          <pic:cNvPicPr>
                            <a:picLocks noChangeAspect="1" noChangeArrowheads="1"/>
                          </pic:cNvPicPr>
                        </pic:nvPicPr>
                        <pic:blipFill>
                          <a:blip r:embed="rId11"/>
                          <a:stretch>
                            <a:fillRect/>
                          </a:stretch>
                        </pic:blipFill>
                        <pic:spPr bwMode="auto">
                          <a:xfrm>
                            <a:off x="0" y="0"/>
                            <a:ext cx="3589200" cy="7714800"/>
                          </a:xfrm>
                          <a:prstGeom prst="rect">
                            <a:avLst/>
                          </a:prstGeom>
                          <a:noFill/>
                          <a:ln>
                            <a:noFill/>
                          </a:ln>
                        </pic:spPr>
                      </pic:pic>
                    </a:graphicData>
                  </a:graphic>
                </wp:inline>
              </w:drawing>
            </w:r>
          </w:p>
          <w:p w14:paraId="6FCF9E58" w14:textId="0E188610" w:rsidR="008667F8" w:rsidRPr="00A519D9" w:rsidRDefault="008667F8" w:rsidP="005618DE">
            <w:pPr>
              <w:pStyle w:val="MDPI51figurecaption"/>
            </w:pPr>
            <w:r w:rsidRPr="00FB6505">
              <w:rPr>
                <w:b/>
              </w:rPr>
              <w:t xml:space="preserve">Figure </w:t>
            </w:r>
            <w:r w:rsidR="00422602">
              <w:rPr>
                <w:b/>
              </w:rPr>
              <w:t>S</w:t>
            </w:r>
            <w:r w:rsidR="006C4E12">
              <w:rPr>
                <w:b/>
              </w:rPr>
              <w:t>4</w:t>
            </w:r>
            <w:r>
              <w:rPr>
                <w:b/>
              </w:rPr>
              <w:t xml:space="preserve">: </w:t>
            </w:r>
            <w:r>
              <w:rPr>
                <w:noProof/>
              </w:rPr>
              <w:t>Maximal fitness (BPCY) (</w:t>
            </w:r>
            <w:r w:rsidRPr="009B4E99">
              <w:rPr>
                <w:b/>
                <w:noProof/>
              </w:rPr>
              <w:t>a</w:t>
            </w:r>
            <w:r>
              <w:rPr>
                <w:noProof/>
              </w:rPr>
              <w:t xml:space="preserve">, </w:t>
            </w:r>
            <w:r w:rsidRPr="008667F8">
              <w:rPr>
                <w:b/>
                <w:noProof/>
              </w:rPr>
              <w:t>b, c, d</w:t>
            </w:r>
            <w:r>
              <w:rPr>
                <w:noProof/>
              </w:rPr>
              <w:t xml:space="preserve">) and </w:t>
            </w:r>
            <w:r w:rsidR="006F098A">
              <w:rPr>
                <w:noProof/>
              </w:rPr>
              <w:t>H</w:t>
            </w:r>
            <w:r>
              <w:rPr>
                <w:noProof/>
              </w:rPr>
              <w:t>amming distance (</w:t>
            </w:r>
            <w:r>
              <w:rPr>
                <w:b/>
                <w:noProof/>
              </w:rPr>
              <w:t>e, f, g, h</w:t>
            </w:r>
            <w:r>
              <w:rPr>
                <w:noProof/>
              </w:rPr>
              <w:t>) progressions for GA runs applying three, five, seven and nine maximal allowable reaction deletions for optimizing overproduction of succinate, ethanol, lactate and glutamate.</w:t>
            </w:r>
            <w:r w:rsidR="006F098A">
              <w:rPr>
                <w:noProof/>
              </w:rPr>
              <w:t xml:space="preserve"> The</w:t>
            </w:r>
            <w:r>
              <w:rPr>
                <w:noProof/>
              </w:rPr>
              <w:t xml:space="preserve"> </w:t>
            </w:r>
            <w:r>
              <w:rPr>
                <w:i/>
                <w:noProof/>
              </w:rPr>
              <w:t>E. </w:t>
            </w:r>
            <w:r w:rsidRPr="009319E4">
              <w:rPr>
                <w:i/>
                <w:noProof/>
              </w:rPr>
              <w:t>coli</w:t>
            </w:r>
            <w:r>
              <w:rPr>
                <w:noProof/>
              </w:rPr>
              <w:t xml:space="preserve"> core model and target product BPCY as the engineering objective were employed.</w:t>
            </w:r>
          </w:p>
        </w:tc>
      </w:tr>
      <w:tr w:rsidR="006C4E12" w14:paraId="696D36BC" w14:textId="77777777" w:rsidTr="005618DE">
        <w:tc>
          <w:tcPr>
            <w:tcW w:w="9060" w:type="dxa"/>
            <w:vAlign w:val="center"/>
          </w:tcPr>
          <w:p w14:paraId="36401917" w14:textId="77777777" w:rsidR="006C4E12" w:rsidRDefault="006C4E12" w:rsidP="005618DE">
            <w:pPr>
              <w:keepNext/>
              <w:adjustRightInd w:val="0"/>
              <w:snapToGrid w:val="0"/>
              <w:spacing w:line="240" w:lineRule="auto"/>
              <w:jc w:val="center"/>
            </w:pPr>
            <w:r>
              <w:rPr>
                <w:noProof/>
                <w:lang w:val="de-DE"/>
              </w:rPr>
              <w:lastRenderedPageBreak/>
              <w:drawing>
                <wp:inline distT="0" distB="0" distL="0" distR="0" wp14:anchorId="1DD9C28F" wp14:editId="3E6DD0DD">
                  <wp:extent cx="3587404" cy="7714800"/>
                  <wp:effectExtent l="0" t="0" r="0" b="63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tert\Promo\Projekte\GAMO\Paper\Plots\Figures\EX1_HaminDistance_MaxFit.jpg"/>
                          <pic:cNvPicPr>
                            <a:picLocks noChangeAspect="1" noChangeArrowheads="1"/>
                          </pic:cNvPicPr>
                        </pic:nvPicPr>
                        <pic:blipFill>
                          <a:blip r:embed="rId12"/>
                          <a:stretch>
                            <a:fillRect/>
                          </a:stretch>
                        </pic:blipFill>
                        <pic:spPr bwMode="auto">
                          <a:xfrm>
                            <a:off x="0" y="0"/>
                            <a:ext cx="3587404" cy="7714800"/>
                          </a:xfrm>
                          <a:prstGeom prst="rect">
                            <a:avLst/>
                          </a:prstGeom>
                          <a:noFill/>
                          <a:ln>
                            <a:noFill/>
                          </a:ln>
                        </pic:spPr>
                      </pic:pic>
                    </a:graphicData>
                  </a:graphic>
                </wp:inline>
              </w:drawing>
            </w:r>
          </w:p>
          <w:p w14:paraId="540F48EB" w14:textId="51481708" w:rsidR="006C4E12" w:rsidRPr="00A519D9" w:rsidRDefault="006C4E12" w:rsidP="005618DE">
            <w:pPr>
              <w:pStyle w:val="MDPI51figurecaption"/>
            </w:pPr>
            <w:r w:rsidRPr="00FB6505">
              <w:rPr>
                <w:b/>
              </w:rPr>
              <w:t xml:space="preserve">Figure </w:t>
            </w:r>
            <w:r w:rsidR="00422602">
              <w:rPr>
                <w:b/>
              </w:rPr>
              <w:t>S</w:t>
            </w:r>
            <w:r w:rsidR="00605AE2">
              <w:rPr>
                <w:b/>
              </w:rPr>
              <w:t>5</w:t>
            </w:r>
            <w:r>
              <w:rPr>
                <w:b/>
              </w:rPr>
              <w:t xml:space="preserve">: </w:t>
            </w:r>
            <w:r>
              <w:rPr>
                <w:noProof/>
              </w:rPr>
              <w:t>Maximal fitness (BPCY) (</w:t>
            </w:r>
            <w:r w:rsidRPr="009B4E99">
              <w:rPr>
                <w:b/>
                <w:noProof/>
              </w:rPr>
              <w:t>a</w:t>
            </w:r>
            <w:r>
              <w:rPr>
                <w:noProof/>
              </w:rPr>
              <w:t xml:space="preserve">, </w:t>
            </w:r>
            <w:r w:rsidRPr="008667F8">
              <w:rPr>
                <w:b/>
                <w:noProof/>
              </w:rPr>
              <w:t>b, c, d</w:t>
            </w:r>
            <w:r>
              <w:rPr>
                <w:noProof/>
              </w:rPr>
              <w:t xml:space="preserve">) and </w:t>
            </w:r>
            <w:r w:rsidR="001779A4">
              <w:rPr>
                <w:noProof/>
              </w:rPr>
              <w:t>H</w:t>
            </w:r>
            <w:r>
              <w:rPr>
                <w:noProof/>
              </w:rPr>
              <w:t>amming distance (</w:t>
            </w:r>
            <w:r>
              <w:rPr>
                <w:b/>
                <w:noProof/>
              </w:rPr>
              <w:t>e, f, g, h</w:t>
            </w:r>
            <w:r>
              <w:rPr>
                <w:noProof/>
              </w:rPr>
              <w:t>) progressions for GA runs applying three, five, seven and nine maximal allowable gene deletions for optimizing overproduction of succinate, ethanol, lactate and glutamate.</w:t>
            </w:r>
            <w:r w:rsidR="001779A4">
              <w:rPr>
                <w:noProof/>
              </w:rPr>
              <w:t xml:space="preserve"> The</w:t>
            </w:r>
            <w:r>
              <w:rPr>
                <w:noProof/>
              </w:rPr>
              <w:t xml:space="preserve"> </w:t>
            </w:r>
            <w:r>
              <w:rPr>
                <w:i/>
                <w:noProof/>
              </w:rPr>
              <w:t>E. </w:t>
            </w:r>
            <w:r w:rsidRPr="009319E4">
              <w:rPr>
                <w:i/>
                <w:noProof/>
              </w:rPr>
              <w:t>coli</w:t>
            </w:r>
            <w:r>
              <w:rPr>
                <w:noProof/>
              </w:rPr>
              <w:t xml:space="preserve"> core model and target product BPCY as the engineering objective were employed.</w:t>
            </w:r>
          </w:p>
        </w:tc>
      </w:tr>
    </w:tbl>
    <w:p w14:paraId="68C0A7F5" w14:textId="6A907A31" w:rsidR="007A3A15" w:rsidRDefault="007A3A15">
      <w:pPr>
        <w:spacing w:line="240" w:lineRule="auto"/>
        <w:jc w:val="left"/>
        <w:rPr>
          <w:rFonts w:ascii="Palatino Linotype" w:hAnsi="Palatino Linotype"/>
          <w:b/>
          <w:snapToGrid w:val="0"/>
          <w:sz w:val="20"/>
          <w:szCs w:val="22"/>
          <w:lang w:bidi="en-US"/>
        </w:rPr>
      </w:pPr>
    </w:p>
    <w:tbl>
      <w:tblPr>
        <w:tblStyle w:val="TableGrid"/>
        <w:tblpPr w:leftFromText="180" w:rightFromText="180" w:vertAnchor="text" w:horzAnchor="margin" w:tblpY="11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710208" w14:paraId="75FAB143" w14:textId="77777777" w:rsidTr="005618DE">
        <w:tc>
          <w:tcPr>
            <w:tcW w:w="9060" w:type="dxa"/>
            <w:vAlign w:val="center"/>
          </w:tcPr>
          <w:p w14:paraId="2B1EFE6A" w14:textId="77777777" w:rsidR="00710208" w:rsidRDefault="00710208" w:rsidP="005618DE">
            <w:pPr>
              <w:keepNext/>
              <w:adjustRightInd w:val="0"/>
              <w:snapToGrid w:val="0"/>
              <w:spacing w:line="240" w:lineRule="auto"/>
              <w:jc w:val="center"/>
            </w:pPr>
            <w:r>
              <w:rPr>
                <w:noProof/>
                <w:lang w:val="de-DE"/>
              </w:rPr>
              <w:lastRenderedPageBreak/>
              <w:drawing>
                <wp:inline distT="0" distB="0" distL="0" distR="0" wp14:anchorId="2D6F4AA8" wp14:editId="76679A10">
                  <wp:extent cx="4654800" cy="2685600"/>
                  <wp:effectExtent l="0" t="0" r="0" b="63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tert\Promo\Projekte\GAMO\Paper\Plots\Figures\EX1_HaminDistance_MaxFit.jpg"/>
                          <pic:cNvPicPr>
                            <a:picLocks noChangeAspect="1" noChangeArrowheads="1"/>
                          </pic:cNvPicPr>
                        </pic:nvPicPr>
                        <pic:blipFill>
                          <a:blip r:embed="rId13"/>
                          <a:stretch>
                            <a:fillRect/>
                          </a:stretch>
                        </pic:blipFill>
                        <pic:spPr bwMode="auto">
                          <a:xfrm>
                            <a:off x="0" y="0"/>
                            <a:ext cx="4654800" cy="2685600"/>
                          </a:xfrm>
                          <a:prstGeom prst="rect">
                            <a:avLst/>
                          </a:prstGeom>
                          <a:noFill/>
                          <a:ln>
                            <a:noFill/>
                          </a:ln>
                        </pic:spPr>
                      </pic:pic>
                    </a:graphicData>
                  </a:graphic>
                </wp:inline>
              </w:drawing>
            </w:r>
          </w:p>
          <w:p w14:paraId="5F12F981" w14:textId="6676A325" w:rsidR="00710208" w:rsidRPr="00A519D9" w:rsidRDefault="00710208" w:rsidP="005618DE">
            <w:pPr>
              <w:pStyle w:val="MDPI51figurecaption"/>
            </w:pPr>
            <w:r w:rsidRPr="00FB6505">
              <w:rPr>
                <w:b/>
              </w:rPr>
              <w:t xml:space="preserve">Figure </w:t>
            </w:r>
            <w:r w:rsidR="00422602">
              <w:rPr>
                <w:b/>
              </w:rPr>
              <w:t>S</w:t>
            </w:r>
            <w:r>
              <w:rPr>
                <w:b/>
              </w:rPr>
              <w:t xml:space="preserve">6: </w:t>
            </w:r>
            <w:r>
              <w:rPr>
                <w:noProof/>
              </w:rPr>
              <w:t xml:space="preserve"> Maximal fitness (</w:t>
            </w:r>
            <w:r w:rsidRPr="00F156B7">
              <w:rPr>
                <w:b/>
                <w:noProof/>
              </w:rPr>
              <w:t>a</w:t>
            </w:r>
            <w:r>
              <w:rPr>
                <w:noProof/>
              </w:rPr>
              <w:t>) and hamming distance (</w:t>
            </w:r>
            <w:r w:rsidRPr="00F156B7">
              <w:rPr>
                <w:b/>
                <w:noProof/>
              </w:rPr>
              <w:t>b</w:t>
            </w:r>
            <w:r>
              <w:rPr>
                <w:noProof/>
              </w:rPr>
              <w:t>) progressions for GA runs using</w:t>
            </w:r>
            <w:r>
              <w:t xml:space="preserve"> fitness-intervention size relation factors of 0, 0.01, 0.015, 0.025 and 0.04 aiming to minimize the final intervention set size</w:t>
            </w:r>
            <w:r>
              <w:rPr>
                <w:noProof/>
              </w:rPr>
              <w:t xml:space="preserve">. </w:t>
            </w:r>
            <w:r>
              <w:rPr>
                <w:i/>
                <w:noProof/>
              </w:rPr>
              <w:t>E. </w:t>
            </w:r>
            <w:r w:rsidRPr="009319E4">
              <w:rPr>
                <w:i/>
                <w:noProof/>
              </w:rPr>
              <w:t>coli</w:t>
            </w:r>
            <w:r>
              <w:rPr>
                <w:noProof/>
              </w:rPr>
              <w:t xml:space="preserve"> core model and ethanol BPCY as the engineering objective, were employed. The maximally allowable intervention set size was set to nine for each simulation.</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2747C0" w14:paraId="3336586C" w14:textId="77777777" w:rsidTr="002747C0">
        <w:trPr>
          <w:cantSplit/>
          <w:trHeight w:val="7651"/>
        </w:trPr>
        <w:tc>
          <w:tcPr>
            <w:tcW w:w="9060" w:type="dxa"/>
            <w:vAlign w:val="center"/>
          </w:tcPr>
          <w:p w14:paraId="2D4EE5D1" w14:textId="77777777" w:rsidR="002747C0" w:rsidRDefault="002747C0" w:rsidP="002747C0">
            <w:pPr>
              <w:keepNext/>
              <w:adjustRightInd w:val="0"/>
              <w:snapToGrid w:val="0"/>
              <w:spacing w:line="240" w:lineRule="auto"/>
              <w:jc w:val="center"/>
            </w:pPr>
            <w:r>
              <w:rPr>
                <w:noProof/>
                <w:lang w:val="de-DE"/>
              </w:rPr>
              <w:drawing>
                <wp:inline distT="0" distB="0" distL="0" distR="0" wp14:anchorId="46EAFC0E" wp14:editId="3FD4703D">
                  <wp:extent cx="3585600" cy="43056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tert\Promo\Projekte\GAMO\Paper\Plots\Figures\EX1_HaminDistance_MaxFit.jpg"/>
                          <pic:cNvPicPr>
                            <a:picLocks noChangeAspect="1" noChangeArrowheads="1"/>
                          </pic:cNvPicPr>
                        </pic:nvPicPr>
                        <pic:blipFill>
                          <a:blip r:embed="rId14"/>
                          <a:stretch>
                            <a:fillRect/>
                          </a:stretch>
                        </pic:blipFill>
                        <pic:spPr bwMode="auto">
                          <a:xfrm>
                            <a:off x="0" y="0"/>
                            <a:ext cx="3585600" cy="4305600"/>
                          </a:xfrm>
                          <a:prstGeom prst="rect">
                            <a:avLst/>
                          </a:prstGeom>
                          <a:noFill/>
                          <a:ln>
                            <a:noFill/>
                          </a:ln>
                        </pic:spPr>
                      </pic:pic>
                    </a:graphicData>
                  </a:graphic>
                </wp:inline>
              </w:drawing>
            </w:r>
          </w:p>
          <w:p w14:paraId="46D34CCE" w14:textId="38E441C3" w:rsidR="002747C0" w:rsidRPr="00A519D9" w:rsidRDefault="002747C0" w:rsidP="002747C0">
            <w:pPr>
              <w:pStyle w:val="MDPI51figurecaption"/>
            </w:pPr>
            <w:r w:rsidRPr="00FB6505">
              <w:rPr>
                <w:b/>
              </w:rPr>
              <w:t xml:space="preserve">Figure </w:t>
            </w:r>
            <w:r>
              <w:rPr>
                <w:b/>
              </w:rPr>
              <w:t xml:space="preserve">S7: </w:t>
            </w:r>
            <w:r>
              <w:rPr>
                <w:noProof/>
              </w:rPr>
              <w:t xml:space="preserve"> Hamming distance progressions for GA runs applying three, five, seven and nine maximal allowable reaction deletions for optimizing overproduction of succinate (</w:t>
            </w:r>
            <w:r w:rsidRPr="001B2CE0">
              <w:rPr>
                <w:b/>
                <w:noProof/>
              </w:rPr>
              <w:t>a</w:t>
            </w:r>
            <w:r>
              <w:rPr>
                <w:noProof/>
              </w:rPr>
              <w:t>), ethanol (</w:t>
            </w:r>
            <w:r w:rsidRPr="001B2CE0">
              <w:rPr>
                <w:b/>
                <w:noProof/>
              </w:rPr>
              <w:t>b</w:t>
            </w:r>
            <w:r>
              <w:rPr>
                <w:noProof/>
              </w:rPr>
              <w:t>), lactate (</w:t>
            </w:r>
            <w:r w:rsidRPr="001B2CE0">
              <w:rPr>
                <w:b/>
                <w:noProof/>
              </w:rPr>
              <w:t>c</w:t>
            </w:r>
            <w:r>
              <w:rPr>
                <w:noProof/>
              </w:rPr>
              <w:t>) and glutamate (</w:t>
            </w:r>
            <w:r w:rsidRPr="001B2CE0">
              <w:rPr>
                <w:b/>
                <w:noProof/>
              </w:rPr>
              <w:t>d</w:t>
            </w:r>
            <w:r>
              <w:rPr>
                <w:noProof/>
              </w:rPr>
              <w:t>).</w:t>
            </w:r>
            <w:r w:rsidR="00A138B3">
              <w:rPr>
                <w:noProof/>
              </w:rPr>
              <w:t xml:space="preserve"> The</w:t>
            </w:r>
            <w:r>
              <w:rPr>
                <w:noProof/>
              </w:rPr>
              <w:t xml:space="preserve"> </w:t>
            </w:r>
            <w:r>
              <w:rPr>
                <w:i/>
                <w:noProof/>
              </w:rPr>
              <w:t>E. </w:t>
            </w:r>
            <w:r w:rsidRPr="009319E4">
              <w:rPr>
                <w:i/>
                <w:noProof/>
              </w:rPr>
              <w:t>coli</w:t>
            </w:r>
            <w:r>
              <w:rPr>
                <w:noProof/>
              </w:rPr>
              <w:t xml:space="preserve"> core model and multiple objective function approach as the engineering objective, including target product BPCY, growth-coupling strength and target production rate at maximal growth, were employed.</w:t>
            </w:r>
          </w:p>
        </w:tc>
      </w:tr>
    </w:tbl>
    <w:p w14:paraId="05EB2864" w14:textId="77777777" w:rsidR="00F156B7" w:rsidRDefault="00F156B7">
      <w:pPr>
        <w:spacing w:line="240" w:lineRule="auto"/>
        <w:jc w:val="left"/>
      </w:pPr>
    </w:p>
    <w:tbl>
      <w:tblPr>
        <w:tblStyle w:val="TableGrid"/>
        <w:tblpPr w:leftFromText="180" w:rightFromText="180" w:vertAnchor="text" w:horzAnchor="margin" w:tblpY="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6D3116" w14:paraId="706F1308" w14:textId="77777777" w:rsidTr="000947F9">
        <w:trPr>
          <w:trHeight w:val="7651"/>
        </w:trPr>
        <w:tc>
          <w:tcPr>
            <w:tcW w:w="9060" w:type="dxa"/>
            <w:vAlign w:val="center"/>
          </w:tcPr>
          <w:p w14:paraId="5B52F1D8" w14:textId="77777777" w:rsidR="006D3116" w:rsidRDefault="006D3116" w:rsidP="000947F9">
            <w:pPr>
              <w:keepNext/>
              <w:adjustRightInd w:val="0"/>
              <w:snapToGrid w:val="0"/>
              <w:spacing w:line="240" w:lineRule="auto"/>
              <w:jc w:val="center"/>
            </w:pPr>
            <w:r>
              <w:rPr>
                <w:noProof/>
                <w:lang w:val="de-DE"/>
              </w:rPr>
              <w:drawing>
                <wp:inline distT="0" distB="0" distL="0" distR="0" wp14:anchorId="703A0F8B" wp14:editId="7E73283A">
                  <wp:extent cx="5050309" cy="23436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tert\Promo\Projekte\GAMO\Paper\Plots\Figures\EX1_HaminDistance_MaxFit.jpg"/>
                          <pic:cNvPicPr>
                            <a:picLocks noChangeAspect="1" noChangeArrowheads="1"/>
                          </pic:cNvPicPr>
                        </pic:nvPicPr>
                        <pic:blipFill>
                          <a:blip r:embed="rId15"/>
                          <a:stretch>
                            <a:fillRect/>
                          </a:stretch>
                        </pic:blipFill>
                        <pic:spPr bwMode="auto">
                          <a:xfrm>
                            <a:off x="0" y="0"/>
                            <a:ext cx="5050309" cy="2343600"/>
                          </a:xfrm>
                          <a:prstGeom prst="rect">
                            <a:avLst/>
                          </a:prstGeom>
                          <a:noFill/>
                          <a:ln>
                            <a:noFill/>
                          </a:ln>
                        </pic:spPr>
                      </pic:pic>
                    </a:graphicData>
                  </a:graphic>
                </wp:inline>
              </w:drawing>
            </w:r>
          </w:p>
          <w:p w14:paraId="1814C8FB" w14:textId="4CD4D4CE" w:rsidR="006D3116" w:rsidRPr="00082E67" w:rsidRDefault="006D3116" w:rsidP="000947F9">
            <w:pPr>
              <w:pStyle w:val="MDPI51figurecaption"/>
            </w:pPr>
            <w:r w:rsidRPr="00FB6505">
              <w:rPr>
                <w:b/>
              </w:rPr>
              <w:t xml:space="preserve">Figure </w:t>
            </w:r>
            <w:r w:rsidR="00422602">
              <w:rPr>
                <w:b/>
              </w:rPr>
              <w:t>S</w:t>
            </w:r>
            <w:r>
              <w:rPr>
                <w:b/>
              </w:rPr>
              <w:t xml:space="preserve">8: </w:t>
            </w:r>
            <w:r>
              <w:rPr>
                <w:noProof/>
              </w:rPr>
              <w:t xml:space="preserve"> Maximal fitness and objective fitness (</w:t>
            </w:r>
            <w:r w:rsidRPr="00F156B7">
              <w:rPr>
                <w:b/>
                <w:noProof/>
              </w:rPr>
              <w:t>a</w:t>
            </w:r>
            <w:r>
              <w:rPr>
                <w:noProof/>
              </w:rPr>
              <w:t>) as well as hamming distance (</w:t>
            </w:r>
            <w:r w:rsidRPr="00F156B7">
              <w:rPr>
                <w:b/>
                <w:noProof/>
              </w:rPr>
              <w:t>b</w:t>
            </w:r>
            <w:r>
              <w:rPr>
                <w:noProof/>
              </w:rPr>
              <w:t xml:space="preserve">) progressions for GA runs using the </w:t>
            </w:r>
            <w:r>
              <w:rPr>
                <w:i/>
                <w:noProof/>
              </w:rPr>
              <w:t>E. coli</w:t>
            </w:r>
            <w:r>
              <w:rPr>
                <w:noProof/>
              </w:rPr>
              <w:t xml:space="preserve"> GEM </w:t>
            </w:r>
            <w:r>
              <w:rPr>
                <w:i/>
                <w:noProof/>
              </w:rPr>
              <w:t>i</w:t>
            </w:r>
            <w:r>
              <w:rPr>
                <w:noProof/>
              </w:rPr>
              <w:t xml:space="preserve">JO1366 and different numbers of maximally allowable gene deletions and novel reaction insertions. A multiple objective function approach combining the optimization of succinate BPCY, GCS and succinate production rate at maximal growth was employed. Simultaneously, the intervention set size was minimized using a fitness-intervention size factor </w:t>
            </w:r>
            <w:r>
              <w:rPr>
                <w:i/>
                <w:noProof/>
              </w:rPr>
              <w:t>y</w:t>
            </w:r>
            <w:r>
              <w:rPr>
                <w:noProof/>
              </w:rPr>
              <w:t xml:space="preserve"> of 0.1.</w:t>
            </w:r>
          </w:p>
        </w:tc>
      </w:tr>
    </w:tbl>
    <w:p w14:paraId="26E5CAAA" w14:textId="77777777" w:rsidR="008667F8" w:rsidRDefault="008667F8">
      <w:pPr>
        <w:spacing w:line="240" w:lineRule="auto"/>
        <w:jc w:val="left"/>
      </w:pPr>
    </w:p>
    <w:p w14:paraId="138986C8" w14:textId="50659549" w:rsidR="008667F8" w:rsidRDefault="008667F8">
      <w:pPr>
        <w:spacing w:line="240" w:lineRule="auto"/>
        <w:jc w:val="left"/>
        <w:rPr>
          <w:rFonts w:ascii="Palatino Linotype" w:hAnsi="Palatino Linotype"/>
          <w:b/>
          <w:snapToGrid w:val="0"/>
          <w:sz w:val="20"/>
          <w:szCs w:val="22"/>
          <w:lang w:bidi="en-US"/>
        </w:rPr>
      </w:pPr>
      <w:r>
        <w:br w:type="page"/>
      </w:r>
    </w:p>
    <w:p w14:paraId="5E999187" w14:textId="2F074077" w:rsidR="009B3566" w:rsidRDefault="00D86257" w:rsidP="009B3566">
      <w:pPr>
        <w:pStyle w:val="MDPI21heading1"/>
      </w:pPr>
      <w:r>
        <w:lastRenderedPageBreak/>
        <w:t>References</w:t>
      </w:r>
    </w:p>
    <w:p w14:paraId="579AF7CF" w14:textId="47E66B50" w:rsidR="0041020E" w:rsidRPr="0041020E" w:rsidRDefault="009B3566" w:rsidP="0041020E">
      <w:pPr>
        <w:widowControl w:val="0"/>
        <w:autoSpaceDE w:val="0"/>
        <w:autoSpaceDN w:val="0"/>
        <w:adjustRightInd w:val="0"/>
        <w:spacing w:line="240" w:lineRule="atLeast"/>
        <w:ind w:left="640" w:hanging="640"/>
        <w:rPr>
          <w:rFonts w:ascii="Palatino Linotype" w:hAnsi="Palatino Linotype"/>
          <w:noProof/>
          <w:sz w:val="20"/>
          <w:szCs w:val="24"/>
        </w:rPr>
      </w:pPr>
      <w:r>
        <w:fldChar w:fldCharType="begin" w:fldLock="1"/>
      </w:r>
      <w:r>
        <w:instrText xml:space="preserve">ADDIN Mendeley Bibliography CSL_BIBLIOGRAPHY </w:instrText>
      </w:r>
      <w:r>
        <w:fldChar w:fldCharType="separate"/>
      </w:r>
      <w:r w:rsidR="0041020E" w:rsidRPr="0041020E">
        <w:rPr>
          <w:rFonts w:ascii="Palatino Linotype" w:hAnsi="Palatino Linotype"/>
          <w:noProof/>
          <w:sz w:val="20"/>
          <w:szCs w:val="24"/>
        </w:rPr>
        <w:t xml:space="preserve">1. </w:t>
      </w:r>
      <w:r w:rsidR="0041020E" w:rsidRPr="0041020E">
        <w:rPr>
          <w:rFonts w:ascii="Palatino Linotype" w:hAnsi="Palatino Linotype"/>
          <w:noProof/>
          <w:sz w:val="20"/>
          <w:szCs w:val="24"/>
        </w:rPr>
        <w:tab/>
        <w:t xml:space="preserve">Long, M. R.; Reed, J. L. Improving flux predictions by integrating data from multiple strains. </w:t>
      </w:r>
      <w:r w:rsidR="0041020E" w:rsidRPr="0041020E">
        <w:rPr>
          <w:rFonts w:ascii="Palatino Linotype" w:hAnsi="Palatino Linotype"/>
          <w:i/>
          <w:iCs/>
          <w:noProof/>
          <w:sz w:val="20"/>
          <w:szCs w:val="24"/>
        </w:rPr>
        <w:t>Bioinformatics</w:t>
      </w:r>
      <w:r w:rsidR="0041020E" w:rsidRPr="0041020E">
        <w:rPr>
          <w:rFonts w:ascii="Palatino Linotype" w:hAnsi="Palatino Linotype"/>
          <w:noProof/>
          <w:sz w:val="20"/>
          <w:szCs w:val="24"/>
        </w:rPr>
        <w:t xml:space="preserve"> </w:t>
      </w:r>
      <w:r w:rsidR="0041020E" w:rsidRPr="0041020E">
        <w:rPr>
          <w:rFonts w:ascii="Palatino Linotype" w:hAnsi="Palatino Linotype"/>
          <w:b/>
          <w:bCs/>
          <w:noProof/>
          <w:sz w:val="20"/>
          <w:szCs w:val="24"/>
        </w:rPr>
        <w:t>2016</w:t>
      </w:r>
      <w:r w:rsidR="0041020E" w:rsidRPr="0041020E">
        <w:rPr>
          <w:rFonts w:ascii="Palatino Linotype" w:hAnsi="Palatino Linotype"/>
          <w:noProof/>
          <w:sz w:val="20"/>
          <w:szCs w:val="24"/>
        </w:rPr>
        <w:t xml:space="preserve">, </w:t>
      </w:r>
      <w:r w:rsidR="0041020E" w:rsidRPr="0041020E">
        <w:rPr>
          <w:rFonts w:ascii="Palatino Linotype" w:hAnsi="Palatino Linotype"/>
          <w:i/>
          <w:iCs/>
          <w:noProof/>
          <w:sz w:val="20"/>
          <w:szCs w:val="24"/>
        </w:rPr>
        <w:t>33</w:t>
      </w:r>
      <w:r w:rsidR="0041020E" w:rsidRPr="0041020E">
        <w:rPr>
          <w:rFonts w:ascii="Palatino Linotype" w:hAnsi="Palatino Linotype"/>
          <w:noProof/>
          <w:sz w:val="20"/>
          <w:szCs w:val="24"/>
        </w:rPr>
        <w:t>, btw706, doi:10.1093/bioinformatics/btw706.</w:t>
      </w:r>
    </w:p>
    <w:p w14:paraId="6F2192C5" w14:textId="1A2A2ECE" w:rsidR="0041020E" w:rsidRPr="0041020E" w:rsidRDefault="0041020E" w:rsidP="0041020E">
      <w:pPr>
        <w:widowControl w:val="0"/>
        <w:autoSpaceDE w:val="0"/>
        <w:autoSpaceDN w:val="0"/>
        <w:adjustRightInd w:val="0"/>
        <w:spacing w:line="240" w:lineRule="atLeast"/>
        <w:ind w:left="640" w:hanging="640"/>
        <w:rPr>
          <w:rFonts w:ascii="Palatino Linotype" w:hAnsi="Palatino Linotype"/>
          <w:noProof/>
          <w:sz w:val="20"/>
          <w:szCs w:val="24"/>
        </w:rPr>
      </w:pPr>
      <w:r w:rsidRPr="0041020E">
        <w:rPr>
          <w:rFonts w:ascii="Palatino Linotype" w:hAnsi="Palatino Linotype"/>
          <w:noProof/>
          <w:sz w:val="20"/>
          <w:szCs w:val="24"/>
        </w:rPr>
        <w:t xml:space="preserve">2. </w:t>
      </w:r>
      <w:r w:rsidRPr="0041020E">
        <w:rPr>
          <w:rFonts w:ascii="Palatino Linotype" w:hAnsi="Palatino Linotype"/>
          <w:noProof/>
          <w:sz w:val="20"/>
          <w:szCs w:val="24"/>
        </w:rPr>
        <w:tab/>
        <w:t xml:space="preserve">Ishii, N.; Nakahigashi, K.; Baba, T.; Robert, M.; Soga, T.; Kanai, A.; Hirasawa, T.; Naba, M.; Hirai, K.; Hoque, A.; Ho, P. Y.; Kakazu, Y.; Sugawara, K.; Igarashi, S.; Harada, S.; Masuda, T.; Sugiyama, N.; Togashi, T.; Hasegawa, M.; Takai, Y.; Yugi, K.; Arakawa, K.; Iwata, N.; Toya, Y.; Nakayama, Y.; Nishioka, T.; Shimizu, K.; Mori, H.; Tomita, M. Multiple </w:t>
      </w:r>
      <w:r w:rsidR="00503980">
        <w:rPr>
          <w:rFonts w:ascii="Palatino Linotype" w:hAnsi="Palatino Linotype"/>
          <w:noProof/>
          <w:sz w:val="20"/>
          <w:szCs w:val="24"/>
        </w:rPr>
        <w:t>h</w:t>
      </w:r>
      <w:r w:rsidRPr="0041020E">
        <w:rPr>
          <w:rFonts w:ascii="Palatino Linotype" w:hAnsi="Palatino Linotype"/>
          <w:noProof/>
          <w:sz w:val="20"/>
          <w:szCs w:val="24"/>
        </w:rPr>
        <w:t>igh-</w:t>
      </w:r>
      <w:r w:rsidR="00503980">
        <w:rPr>
          <w:rFonts w:ascii="Palatino Linotype" w:hAnsi="Palatino Linotype"/>
          <w:noProof/>
          <w:sz w:val="20"/>
          <w:szCs w:val="24"/>
        </w:rPr>
        <w:t>t</w:t>
      </w:r>
      <w:r w:rsidRPr="0041020E">
        <w:rPr>
          <w:rFonts w:ascii="Palatino Linotype" w:hAnsi="Palatino Linotype"/>
          <w:noProof/>
          <w:sz w:val="20"/>
          <w:szCs w:val="24"/>
        </w:rPr>
        <w:t xml:space="preserve">hroughput </w:t>
      </w:r>
      <w:r w:rsidR="00503980">
        <w:rPr>
          <w:rFonts w:ascii="Palatino Linotype" w:hAnsi="Palatino Linotype"/>
          <w:noProof/>
          <w:sz w:val="20"/>
          <w:szCs w:val="24"/>
        </w:rPr>
        <w:t>a</w:t>
      </w:r>
      <w:r w:rsidRPr="0041020E">
        <w:rPr>
          <w:rFonts w:ascii="Palatino Linotype" w:hAnsi="Palatino Linotype"/>
          <w:noProof/>
          <w:sz w:val="20"/>
          <w:szCs w:val="24"/>
        </w:rPr>
        <w:t xml:space="preserve">nalyses </w:t>
      </w:r>
      <w:r w:rsidR="00503980">
        <w:rPr>
          <w:rFonts w:ascii="Palatino Linotype" w:hAnsi="Palatino Linotype"/>
          <w:noProof/>
          <w:sz w:val="20"/>
          <w:szCs w:val="24"/>
        </w:rPr>
        <w:t>m</w:t>
      </w:r>
      <w:r w:rsidRPr="0041020E">
        <w:rPr>
          <w:rFonts w:ascii="Palatino Linotype" w:hAnsi="Palatino Linotype"/>
          <w:noProof/>
          <w:sz w:val="20"/>
          <w:szCs w:val="24"/>
        </w:rPr>
        <w:t xml:space="preserve">onitor the </w:t>
      </w:r>
      <w:r w:rsidR="00503980">
        <w:rPr>
          <w:rFonts w:ascii="Palatino Linotype" w:hAnsi="Palatino Linotype"/>
          <w:noProof/>
          <w:sz w:val="20"/>
          <w:szCs w:val="24"/>
        </w:rPr>
        <w:t>r</w:t>
      </w:r>
      <w:r w:rsidRPr="0041020E">
        <w:rPr>
          <w:rFonts w:ascii="Palatino Linotype" w:hAnsi="Palatino Linotype"/>
          <w:noProof/>
          <w:sz w:val="20"/>
          <w:szCs w:val="24"/>
        </w:rPr>
        <w:t xml:space="preserve">esponse of </w:t>
      </w:r>
      <w:r w:rsidRPr="008E79F6">
        <w:rPr>
          <w:rFonts w:ascii="Palatino Linotype" w:hAnsi="Palatino Linotype"/>
          <w:i/>
          <w:noProof/>
          <w:sz w:val="20"/>
          <w:szCs w:val="24"/>
        </w:rPr>
        <w:t>E. coli</w:t>
      </w:r>
      <w:r w:rsidRPr="0041020E">
        <w:rPr>
          <w:rFonts w:ascii="Palatino Linotype" w:hAnsi="Palatino Linotype"/>
          <w:noProof/>
          <w:sz w:val="20"/>
          <w:szCs w:val="24"/>
        </w:rPr>
        <w:t xml:space="preserve"> to </w:t>
      </w:r>
      <w:r w:rsidR="00503980">
        <w:rPr>
          <w:rFonts w:ascii="Palatino Linotype" w:hAnsi="Palatino Linotype"/>
          <w:noProof/>
          <w:sz w:val="20"/>
          <w:szCs w:val="24"/>
        </w:rPr>
        <w:t>p</w:t>
      </w:r>
      <w:r w:rsidRPr="0041020E">
        <w:rPr>
          <w:rFonts w:ascii="Palatino Linotype" w:hAnsi="Palatino Linotype"/>
          <w:noProof/>
          <w:sz w:val="20"/>
          <w:szCs w:val="24"/>
        </w:rPr>
        <w:t xml:space="preserve">erturbations. </w:t>
      </w:r>
      <w:r w:rsidRPr="0041020E">
        <w:rPr>
          <w:rFonts w:ascii="Palatino Linotype" w:hAnsi="Palatino Linotype"/>
          <w:i/>
          <w:iCs/>
          <w:noProof/>
          <w:sz w:val="20"/>
          <w:szCs w:val="24"/>
        </w:rPr>
        <w:t>Science (80-. ).</w:t>
      </w:r>
      <w:r w:rsidRPr="0041020E">
        <w:rPr>
          <w:rFonts w:ascii="Palatino Linotype" w:hAnsi="Palatino Linotype"/>
          <w:noProof/>
          <w:sz w:val="20"/>
          <w:szCs w:val="24"/>
        </w:rPr>
        <w:t xml:space="preserve"> </w:t>
      </w:r>
      <w:r w:rsidRPr="0041020E">
        <w:rPr>
          <w:rFonts w:ascii="Palatino Linotype" w:hAnsi="Palatino Linotype"/>
          <w:b/>
          <w:bCs/>
          <w:noProof/>
          <w:sz w:val="20"/>
          <w:szCs w:val="24"/>
        </w:rPr>
        <w:t>2007</w:t>
      </w:r>
      <w:r w:rsidRPr="0041020E">
        <w:rPr>
          <w:rFonts w:ascii="Palatino Linotype" w:hAnsi="Palatino Linotype"/>
          <w:noProof/>
          <w:sz w:val="20"/>
          <w:szCs w:val="24"/>
        </w:rPr>
        <w:t xml:space="preserve">, </w:t>
      </w:r>
      <w:r w:rsidRPr="0041020E">
        <w:rPr>
          <w:rFonts w:ascii="Palatino Linotype" w:hAnsi="Palatino Linotype"/>
          <w:i/>
          <w:iCs/>
          <w:noProof/>
          <w:sz w:val="20"/>
          <w:szCs w:val="24"/>
        </w:rPr>
        <w:t>316</w:t>
      </w:r>
      <w:r w:rsidRPr="0041020E">
        <w:rPr>
          <w:rFonts w:ascii="Palatino Linotype" w:hAnsi="Palatino Linotype"/>
          <w:noProof/>
          <w:sz w:val="20"/>
          <w:szCs w:val="24"/>
        </w:rPr>
        <w:t>, 593–597, doi:10.1126/science.1132067.</w:t>
      </w:r>
    </w:p>
    <w:p w14:paraId="76086FD9" w14:textId="77777777" w:rsidR="0041020E" w:rsidRPr="0041020E" w:rsidRDefault="0041020E" w:rsidP="0041020E">
      <w:pPr>
        <w:widowControl w:val="0"/>
        <w:autoSpaceDE w:val="0"/>
        <w:autoSpaceDN w:val="0"/>
        <w:adjustRightInd w:val="0"/>
        <w:spacing w:line="240" w:lineRule="atLeast"/>
        <w:ind w:left="640" w:hanging="640"/>
        <w:rPr>
          <w:rFonts w:ascii="Palatino Linotype" w:hAnsi="Palatino Linotype"/>
          <w:noProof/>
          <w:sz w:val="20"/>
          <w:szCs w:val="24"/>
        </w:rPr>
      </w:pPr>
      <w:r w:rsidRPr="0041020E">
        <w:rPr>
          <w:rFonts w:ascii="Palatino Linotype" w:hAnsi="Palatino Linotype"/>
          <w:noProof/>
          <w:sz w:val="20"/>
          <w:szCs w:val="24"/>
        </w:rPr>
        <w:t xml:space="preserve">3. </w:t>
      </w:r>
      <w:r w:rsidRPr="0041020E">
        <w:rPr>
          <w:rFonts w:ascii="Palatino Linotype" w:hAnsi="Palatino Linotype"/>
          <w:noProof/>
          <w:sz w:val="20"/>
          <w:szCs w:val="24"/>
        </w:rPr>
        <w:tab/>
        <w:t xml:space="preserve">Pharkya, P.; Burgard, A. P.; Maranas, C. D. OptStrain : A computational framework for redesign of microbial production systems. </w:t>
      </w:r>
      <w:r w:rsidRPr="0041020E">
        <w:rPr>
          <w:rFonts w:ascii="Palatino Linotype" w:hAnsi="Palatino Linotype"/>
          <w:i/>
          <w:iCs/>
          <w:noProof/>
          <w:sz w:val="20"/>
          <w:szCs w:val="24"/>
        </w:rPr>
        <w:t>Genome Res.</w:t>
      </w:r>
      <w:r w:rsidRPr="0041020E">
        <w:rPr>
          <w:rFonts w:ascii="Palatino Linotype" w:hAnsi="Palatino Linotype"/>
          <w:noProof/>
          <w:sz w:val="20"/>
          <w:szCs w:val="24"/>
        </w:rPr>
        <w:t xml:space="preserve"> </w:t>
      </w:r>
      <w:r w:rsidRPr="0041020E">
        <w:rPr>
          <w:rFonts w:ascii="Palatino Linotype" w:hAnsi="Palatino Linotype"/>
          <w:b/>
          <w:bCs/>
          <w:noProof/>
          <w:sz w:val="20"/>
          <w:szCs w:val="24"/>
        </w:rPr>
        <w:t>2004</w:t>
      </w:r>
      <w:r w:rsidRPr="0041020E">
        <w:rPr>
          <w:rFonts w:ascii="Palatino Linotype" w:hAnsi="Palatino Linotype"/>
          <w:noProof/>
          <w:sz w:val="20"/>
          <w:szCs w:val="24"/>
        </w:rPr>
        <w:t>, 2367–2376, doi:10.1101/gr.2872004.</w:t>
      </w:r>
    </w:p>
    <w:p w14:paraId="3CB7C168" w14:textId="52B19DDF" w:rsidR="0041020E" w:rsidRPr="0041020E" w:rsidRDefault="0041020E" w:rsidP="0041020E">
      <w:pPr>
        <w:widowControl w:val="0"/>
        <w:autoSpaceDE w:val="0"/>
        <w:autoSpaceDN w:val="0"/>
        <w:adjustRightInd w:val="0"/>
        <w:spacing w:line="240" w:lineRule="atLeast"/>
        <w:ind w:left="640" w:hanging="640"/>
        <w:rPr>
          <w:rFonts w:ascii="Palatino Linotype" w:hAnsi="Palatino Linotype"/>
          <w:noProof/>
          <w:sz w:val="20"/>
          <w:szCs w:val="24"/>
        </w:rPr>
      </w:pPr>
      <w:r w:rsidRPr="0041020E">
        <w:rPr>
          <w:rFonts w:ascii="Palatino Linotype" w:hAnsi="Palatino Linotype"/>
          <w:noProof/>
          <w:sz w:val="20"/>
          <w:szCs w:val="24"/>
        </w:rPr>
        <w:t xml:space="preserve">4. </w:t>
      </w:r>
      <w:r w:rsidRPr="0041020E">
        <w:rPr>
          <w:rFonts w:ascii="Palatino Linotype" w:hAnsi="Palatino Linotype"/>
          <w:noProof/>
          <w:sz w:val="20"/>
          <w:szCs w:val="24"/>
        </w:rPr>
        <w:tab/>
        <w:t>Kim, J.; Reed, J. L.; Maravelias, C. T. Large-scale bi-</w:t>
      </w:r>
      <w:r w:rsidR="00503980">
        <w:rPr>
          <w:rFonts w:ascii="Palatino Linotype" w:hAnsi="Palatino Linotype"/>
          <w:noProof/>
          <w:sz w:val="20"/>
          <w:szCs w:val="24"/>
        </w:rPr>
        <w:t>l</w:t>
      </w:r>
      <w:bookmarkStart w:id="1" w:name="_GoBack"/>
      <w:bookmarkEnd w:id="1"/>
      <w:r w:rsidRPr="0041020E">
        <w:rPr>
          <w:rFonts w:ascii="Palatino Linotype" w:hAnsi="Palatino Linotype"/>
          <w:noProof/>
          <w:sz w:val="20"/>
          <w:szCs w:val="24"/>
        </w:rPr>
        <w:t xml:space="preserve">evel strain design approaches and mixed-integer programming solution techniques. </w:t>
      </w:r>
      <w:r w:rsidRPr="0041020E">
        <w:rPr>
          <w:rFonts w:ascii="Palatino Linotype" w:hAnsi="Palatino Linotype"/>
          <w:i/>
          <w:iCs/>
          <w:noProof/>
          <w:sz w:val="20"/>
          <w:szCs w:val="24"/>
        </w:rPr>
        <w:t>PLoS One</w:t>
      </w:r>
      <w:r w:rsidRPr="0041020E">
        <w:rPr>
          <w:rFonts w:ascii="Palatino Linotype" w:hAnsi="Palatino Linotype"/>
          <w:noProof/>
          <w:sz w:val="20"/>
          <w:szCs w:val="24"/>
        </w:rPr>
        <w:t xml:space="preserve"> </w:t>
      </w:r>
      <w:r w:rsidRPr="0041020E">
        <w:rPr>
          <w:rFonts w:ascii="Palatino Linotype" w:hAnsi="Palatino Linotype"/>
          <w:b/>
          <w:bCs/>
          <w:noProof/>
          <w:sz w:val="20"/>
          <w:szCs w:val="24"/>
        </w:rPr>
        <w:t>2011</w:t>
      </w:r>
      <w:r w:rsidRPr="0041020E">
        <w:rPr>
          <w:rFonts w:ascii="Palatino Linotype" w:hAnsi="Palatino Linotype"/>
          <w:noProof/>
          <w:sz w:val="20"/>
          <w:szCs w:val="24"/>
        </w:rPr>
        <w:t xml:space="preserve">, </w:t>
      </w:r>
      <w:r w:rsidRPr="0041020E">
        <w:rPr>
          <w:rFonts w:ascii="Palatino Linotype" w:hAnsi="Palatino Linotype"/>
          <w:i/>
          <w:iCs/>
          <w:noProof/>
          <w:sz w:val="20"/>
          <w:szCs w:val="24"/>
        </w:rPr>
        <w:t>6</w:t>
      </w:r>
      <w:r w:rsidRPr="0041020E">
        <w:rPr>
          <w:rFonts w:ascii="Palatino Linotype" w:hAnsi="Palatino Linotype"/>
          <w:noProof/>
          <w:sz w:val="20"/>
          <w:szCs w:val="24"/>
        </w:rPr>
        <w:t>, doi:10.1371/journal.pone.0024162.</w:t>
      </w:r>
    </w:p>
    <w:p w14:paraId="70838A12" w14:textId="77777777" w:rsidR="0041020E" w:rsidRPr="0041020E" w:rsidRDefault="0041020E" w:rsidP="0041020E">
      <w:pPr>
        <w:widowControl w:val="0"/>
        <w:autoSpaceDE w:val="0"/>
        <w:autoSpaceDN w:val="0"/>
        <w:adjustRightInd w:val="0"/>
        <w:spacing w:line="240" w:lineRule="atLeast"/>
        <w:ind w:left="640" w:hanging="640"/>
        <w:rPr>
          <w:rFonts w:ascii="Palatino Linotype" w:hAnsi="Palatino Linotype"/>
          <w:noProof/>
          <w:sz w:val="20"/>
          <w:szCs w:val="24"/>
        </w:rPr>
      </w:pPr>
      <w:r w:rsidRPr="0041020E">
        <w:rPr>
          <w:rFonts w:ascii="Palatino Linotype" w:hAnsi="Palatino Linotype"/>
          <w:noProof/>
          <w:sz w:val="20"/>
          <w:szCs w:val="24"/>
        </w:rPr>
        <w:t xml:space="preserve">5. </w:t>
      </w:r>
      <w:r w:rsidRPr="0041020E">
        <w:rPr>
          <w:rFonts w:ascii="Palatino Linotype" w:hAnsi="Palatino Linotype"/>
          <w:noProof/>
          <w:sz w:val="20"/>
          <w:szCs w:val="24"/>
        </w:rPr>
        <w:tab/>
        <w:t xml:space="preserve">Moretti, S.; Martin, O.; Van Du Tran, T.; Bridge, A.; Morgat, A.; Pagni, M. MetaNetX/MNXref - Reconciliation of metabolites and biochemical reactions to bring together genome-scale metabolic networks. </w:t>
      </w:r>
      <w:r w:rsidRPr="0041020E">
        <w:rPr>
          <w:rFonts w:ascii="Palatino Linotype" w:hAnsi="Palatino Linotype"/>
          <w:i/>
          <w:iCs/>
          <w:noProof/>
          <w:sz w:val="20"/>
          <w:szCs w:val="24"/>
        </w:rPr>
        <w:t>Nucleic Acids Res.</w:t>
      </w:r>
      <w:r w:rsidRPr="0041020E">
        <w:rPr>
          <w:rFonts w:ascii="Palatino Linotype" w:hAnsi="Palatino Linotype"/>
          <w:noProof/>
          <w:sz w:val="20"/>
          <w:szCs w:val="24"/>
        </w:rPr>
        <w:t xml:space="preserve"> </w:t>
      </w:r>
      <w:r w:rsidRPr="0041020E">
        <w:rPr>
          <w:rFonts w:ascii="Palatino Linotype" w:hAnsi="Palatino Linotype"/>
          <w:b/>
          <w:bCs/>
          <w:noProof/>
          <w:sz w:val="20"/>
          <w:szCs w:val="24"/>
        </w:rPr>
        <w:t>2016</w:t>
      </w:r>
      <w:r w:rsidRPr="0041020E">
        <w:rPr>
          <w:rFonts w:ascii="Palatino Linotype" w:hAnsi="Palatino Linotype"/>
          <w:noProof/>
          <w:sz w:val="20"/>
          <w:szCs w:val="24"/>
        </w:rPr>
        <w:t xml:space="preserve">, </w:t>
      </w:r>
      <w:r w:rsidRPr="0041020E">
        <w:rPr>
          <w:rFonts w:ascii="Palatino Linotype" w:hAnsi="Palatino Linotype"/>
          <w:i/>
          <w:iCs/>
          <w:noProof/>
          <w:sz w:val="20"/>
          <w:szCs w:val="24"/>
        </w:rPr>
        <w:t>44</w:t>
      </w:r>
      <w:r w:rsidRPr="0041020E">
        <w:rPr>
          <w:rFonts w:ascii="Palatino Linotype" w:hAnsi="Palatino Linotype"/>
          <w:noProof/>
          <w:sz w:val="20"/>
          <w:szCs w:val="24"/>
        </w:rPr>
        <w:t>, D523–D526, doi:10.1093/nar/gkv1117.</w:t>
      </w:r>
    </w:p>
    <w:p w14:paraId="0154C5D6" w14:textId="77777777" w:rsidR="0041020E" w:rsidRPr="0041020E" w:rsidRDefault="0041020E" w:rsidP="0041020E">
      <w:pPr>
        <w:widowControl w:val="0"/>
        <w:autoSpaceDE w:val="0"/>
        <w:autoSpaceDN w:val="0"/>
        <w:adjustRightInd w:val="0"/>
        <w:spacing w:line="240" w:lineRule="atLeast"/>
        <w:ind w:left="640" w:hanging="640"/>
        <w:rPr>
          <w:rFonts w:ascii="Palatino Linotype" w:hAnsi="Palatino Linotype"/>
          <w:noProof/>
          <w:sz w:val="20"/>
          <w:szCs w:val="24"/>
        </w:rPr>
      </w:pPr>
      <w:r w:rsidRPr="0041020E">
        <w:rPr>
          <w:rFonts w:ascii="Palatino Linotype" w:hAnsi="Palatino Linotype"/>
          <w:noProof/>
          <w:sz w:val="20"/>
          <w:szCs w:val="24"/>
        </w:rPr>
        <w:t xml:space="preserve">6. </w:t>
      </w:r>
      <w:r w:rsidRPr="0041020E">
        <w:rPr>
          <w:rFonts w:ascii="Palatino Linotype" w:hAnsi="Palatino Linotype"/>
          <w:noProof/>
          <w:sz w:val="20"/>
          <w:szCs w:val="24"/>
        </w:rPr>
        <w:tab/>
        <w:t xml:space="preserve">Schellenberger, J.; Park, J. O.; Conrad, T. M.; Palsson, B. T. BiGG: A Biochemical Genetic and Genomic knowledgebase of large scale metabolic reconstructions. </w:t>
      </w:r>
      <w:r w:rsidRPr="0041020E">
        <w:rPr>
          <w:rFonts w:ascii="Palatino Linotype" w:hAnsi="Palatino Linotype"/>
          <w:i/>
          <w:iCs/>
          <w:noProof/>
          <w:sz w:val="20"/>
          <w:szCs w:val="24"/>
        </w:rPr>
        <w:t>BMC Bioinformatics</w:t>
      </w:r>
      <w:r w:rsidRPr="0041020E">
        <w:rPr>
          <w:rFonts w:ascii="Palatino Linotype" w:hAnsi="Palatino Linotype"/>
          <w:noProof/>
          <w:sz w:val="20"/>
          <w:szCs w:val="24"/>
        </w:rPr>
        <w:t xml:space="preserve"> </w:t>
      </w:r>
      <w:r w:rsidRPr="0041020E">
        <w:rPr>
          <w:rFonts w:ascii="Palatino Linotype" w:hAnsi="Palatino Linotype"/>
          <w:b/>
          <w:bCs/>
          <w:noProof/>
          <w:sz w:val="20"/>
          <w:szCs w:val="24"/>
        </w:rPr>
        <w:t>2010</w:t>
      </w:r>
      <w:r w:rsidRPr="0041020E">
        <w:rPr>
          <w:rFonts w:ascii="Palatino Linotype" w:hAnsi="Palatino Linotype"/>
          <w:noProof/>
          <w:sz w:val="20"/>
          <w:szCs w:val="24"/>
        </w:rPr>
        <w:t xml:space="preserve">, </w:t>
      </w:r>
      <w:r w:rsidRPr="0041020E">
        <w:rPr>
          <w:rFonts w:ascii="Palatino Linotype" w:hAnsi="Palatino Linotype"/>
          <w:i/>
          <w:iCs/>
          <w:noProof/>
          <w:sz w:val="20"/>
          <w:szCs w:val="24"/>
        </w:rPr>
        <w:t>11</w:t>
      </w:r>
      <w:r w:rsidRPr="0041020E">
        <w:rPr>
          <w:rFonts w:ascii="Palatino Linotype" w:hAnsi="Palatino Linotype"/>
          <w:noProof/>
          <w:sz w:val="20"/>
          <w:szCs w:val="24"/>
        </w:rPr>
        <w:t>, doi:10.1186/1471-2105-11-213.</w:t>
      </w:r>
    </w:p>
    <w:p w14:paraId="2C36486F" w14:textId="77777777" w:rsidR="0041020E" w:rsidRPr="0041020E" w:rsidRDefault="0041020E" w:rsidP="0041020E">
      <w:pPr>
        <w:widowControl w:val="0"/>
        <w:autoSpaceDE w:val="0"/>
        <w:autoSpaceDN w:val="0"/>
        <w:adjustRightInd w:val="0"/>
        <w:spacing w:line="240" w:lineRule="atLeast"/>
        <w:ind w:left="640" w:hanging="640"/>
        <w:rPr>
          <w:rFonts w:ascii="Palatino Linotype" w:hAnsi="Palatino Linotype"/>
          <w:noProof/>
          <w:sz w:val="20"/>
          <w:szCs w:val="24"/>
        </w:rPr>
      </w:pPr>
      <w:r w:rsidRPr="0041020E">
        <w:rPr>
          <w:rFonts w:ascii="Palatino Linotype" w:hAnsi="Palatino Linotype"/>
          <w:noProof/>
          <w:sz w:val="20"/>
          <w:szCs w:val="24"/>
        </w:rPr>
        <w:t xml:space="preserve">7. </w:t>
      </w:r>
      <w:r w:rsidRPr="0041020E">
        <w:rPr>
          <w:rFonts w:ascii="Palatino Linotype" w:hAnsi="Palatino Linotype"/>
          <w:noProof/>
          <w:sz w:val="20"/>
          <w:szCs w:val="24"/>
        </w:rPr>
        <w:tab/>
        <w:t xml:space="preserve">Kanehisa, M.; Furumichi, M.; Tanabe, M.; Sato, Y.; Morishima, K. KEGG: New perspectives on genomes, pathways, diseases and drugs. </w:t>
      </w:r>
      <w:r w:rsidRPr="0041020E">
        <w:rPr>
          <w:rFonts w:ascii="Palatino Linotype" w:hAnsi="Palatino Linotype"/>
          <w:i/>
          <w:iCs/>
          <w:noProof/>
          <w:sz w:val="20"/>
          <w:szCs w:val="24"/>
        </w:rPr>
        <w:t>Nucleic Acids Res.</w:t>
      </w:r>
      <w:r w:rsidRPr="0041020E">
        <w:rPr>
          <w:rFonts w:ascii="Palatino Linotype" w:hAnsi="Palatino Linotype"/>
          <w:noProof/>
          <w:sz w:val="20"/>
          <w:szCs w:val="24"/>
        </w:rPr>
        <w:t xml:space="preserve"> </w:t>
      </w:r>
      <w:r w:rsidRPr="0041020E">
        <w:rPr>
          <w:rFonts w:ascii="Palatino Linotype" w:hAnsi="Palatino Linotype"/>
          <w:b/>
          <w:bCs/>
          <w:noProof/>
          <w:sz w:val="20"/>
          <w:szCs w:val="24"/>
        </w:rPr>
        <w:t>2017</w:t>
      </w:r>
      <w:r w:rsidRPr="0041020E">
        <w:rPr>
          <w:rFonts w:ascii="Palatino Linotype" w:hAnsi="Palatino Linotype"/>
          <w:noProof/>
          <w:sz w:val="20"/>
          <w:szCs w:val="24"/>
        </w:rPr>
        <w:t xml:space="preserve">, </w:t>
      </w:r>
      <w:r w:rsidRPr="0041020E">
        <w:rPr>
          <w:rFonts w:ascii="Palatino Linotype" w:hAnsi="Palatino Linotype"/>
          <w:i/>
          <w:iCs/>
          <w:noProof/>
          <w:sz w:val="20"/>
          <w:szCs w:val="24"/>
        </w:rPr>
        <w:t>45</w:t>
      </w:r>
      <w:r w:rsidRPr="0041020E">
        <w:rPr>
          <w:rFonts w:ascii="Palatino Linotype" w:hAnsi="Palatino Linotype"/>
          <w:noProof/>
          <w:sz w:val="20"/>
          <w:szCs w:val="24"/>
        </w:rPr>
        <w:t>, D353–D361, doi:10.1093/nar/gkw1092.</w:t>
      </w:r>
    </w:p>
    <w:p w14:paraId="39858BD0" w14:textId="77777777" w:rsidR="0041020E" w:rsidRPr="0041020E" w:rsidRDefault="0041020E" w:rsidP="0041020E">
      <w:pPr>
        <w:widowControl w:val="0"/>
        <w:autoSpaceDE w:val="0"/>
        <w:autoSpaceDN w:val="0"/>
        <w:adjustRightInd w:val="0"/>
        <w:spacing w:line="240" w:lineRule="atLeast"/>
        <w:ind w:left="640" w:hanging="640"/>
        <w:rPr>
          <w:rFonts w:ascii="Palatino Linotype" w:hAnsi="Palatino Linotype"/>
          <w:noProof/>
          <w:sz w:val="20"/>
        </w:rPr>
      </w:pPr>
      <w:r w:rsidRPr="0041020E">
        <w:rPr>
          <w:rFonts w:ascii="Palatino Linotype" w:hAnsi="Palatino Linotype"/>
          <w:noProof/>
          <w:sz w:val="20"/>
          <w:szCs w:val="24"/>
        </w:rPr>
        <w:t xml:space="preserve">8. </w:t>
      </w:r>
      <w:r w:rsidRPr="0041020E">
        <w:rPr>
          <w:rFonts w:ascii="Palatino Linotype" w:hAnsi="Palatino Linotype"/>
          <w:noProof/>
          <w:sz w:val="20"/>
          <w:szCs w:val="24"/>
        </w:rPr>
        <w:tab/>
        <w:t xml:space="preserve">Flamholz, A.; Noor, E.; Bar-Even, A.; Milo, R. EQuilibrator - The biochemical thermodynamics calculator. </w:t>
      </w:r>
      <w:r w:rsidRPr="0041020E">
        <w:rPr>
          <w:rFonts w:ascii="Palatino Linotype" w:hAnsi="Palatino Linotype"/>
          <w:i/>
          <w:iCs/>
          <w:noProof/>
          <w:sz w:val="20"/>
          <w:szCs w:val="24"/>
        </w:rPr>
        <w:t>Nucleic Acids Res.</w:t>
      </w:r>
      <w:r w:rsidRPr="0041020E">
        <w:rPr>
          <w:rFonts w:ascii="Palatino Linotype" w:hAnsi="Palatino Linotype"/>
          <w:noProof/>
          <w:sz w:val="20"/>
          <w:szCs w:val="24"/>
        </w:rPr>
        <w:t xml:space="preserve"> </w:t>
      </w:r>
      <w:r w:rsidRPr="0041020E">
        <w:rPr>
          <w:rFonts w:ascii="Palatino Linotype" w:hAnsi="Palatino Linotype"/>
          <w:b/>
          <w:bCs/>
          <w:noProof/>
          <w:sz w:val="20"/>
          <w:szCs w:val="24"/>
        </w:rPr>
        <w:t>2012</w:t>
      </w:r>
      <w:r w:rsidRPr="0041020E">
        <w:rPr>
          <w:rFonts w:ascii="Palatino Linotype" w:hAnsi="Palatino Linotype"/>
          <w:noProof/>
          <w:sz w:val="20"/>
          <w:szCs w:val="24"/>
        </w:rPr>
        <w:t xml:space="preserve">, </w:t>
      </w:r>
      <w:r w:rsidRPr="0041020E">
        <w:rPr>
          <w:rFonts w:ascii="Palatino Linotype" w:hAnsi="Palatino Linotype"/>
          <w:i/>
          <w:iCs/>
          <w:noProof/>
          <w:sz w:val="20"/>
          <w:szCs w:val="24"/>
        </w:rPr>
        <w:t>40</w:t>
      </w:r>
      <w:r w:rsidRPr="0041020E">
        <w:rPr>
          <w:rFonts w:ascii="Palatino Linotype" w:hAnsi="Palatino Linotype"/>
          <w:noProof/>
          <w:sz w:val="20"/>
          <w:szCs w:val="24"/>
        </w:rPr>
        <w:t>, 770–775, doi:10.1093/nar/gkr874.</w:t>
      </w:r>
    </w:p>
    <w:p w14:paraId="367E07D3" w14:textId="5D124FE8" w:rsidR="009B3566" w:rsidRPr="00D2712D" w:rsidRDefault="009B3566" w:rsidP="00A73B69">
      <w:pPr>
        <w:widowControl w:val="0"/>
        <w:autoSpaceDE w:val="0"/>
        <w:autoSpaceDN w:val="0"/>
        <w:adjustRightInd w:val="0"/>
        <w:spacing w:line="240" w:lineRule="atLeast"/>
        <w:ind w:left="640" w:hanging="640"/>
      </w:pPr>
      <w:r>
        <w:fldChar w:fldCharType="end"/>
      </w:r>
    </w:p>
    <w:p w14:paraId="5E36D5A0" w14:textId="7C72A479" w:rsidR="000F276B" w:rsidRDefault="000F276B" w:rsidP="00EC15C3">
      <w:pPr>
        <w:widowControl w:val="0"/>
        <w:autoSpaceDE w:val="0"/>
        <w:autoSpaceDN w:val="0"/>
        <w:adjustRightInd w:val="0"/>
        <w:spacing w:line="240" w:lineRule="atLeast"/>
        <w:ind w:left="640" w:hanging="640"/>
      </w:pPr>
    </w:p>
    <w:p w14:paraId="78AE50AF" w14:textId="77777777" w:rsidR="000F276B" w:rsidRPr="00C207B2" w:rsidRDefault="000F276B" w:rsidP="00544F22">
      <w:pPr>
        <w:pStyle w:val="MDPI21heading1"/>
      </w:pPr>
    </w:p>
    <w:p w14:paraId="525A498D" w14:textId="53FB5DB4" w:rsidR="00A01504" w:rsidRPr="00F57846" w:rsidRDefault="00A424B1" w:rsidP="00544F22">
      <w:pPr>
        <w:adjustRightInd w:val="0"/>
        <w:snapToGrid w:val="0"/>
        <w:spacing w:before="240" w:line="260" w:lineRule="atLeast"/>
        <w:rPr>
          <w:rFonts w:ascii="Palatino Linotype" w:eastAsiaTheme="minorEastAsia" w:hAnsi="Palatino Linotype"/>
          <w:sz w:val="18"/>
        </w:rPr>
      </w:pPr>
      <w:bookmarkStart w:id="2" w:name="OLE_LINK3"/>
      <w:r w:rsidRPr="00C207B2">
        <w:rPr>
          <w:rFonts w:ascii="Palatino Linotype" w:hAnsi="Palatino Linotype"/>
          <w:noProof/>
          <w:snapToGrid w:val="0"/>
          <w:sz w:val="18"/>
          <w:szCs w:val="18"/>
          <w:lang w:val="de-DE"/>
        </w:rPr>
        <w:drawing>
          <wp:anchor distT="0" distB="0" distL="114300" distR="114300" simplePos="0" relativeHeight="251659264" behindDoc="1" locked="0" layoutInCell="1" allowOverlap="1" wp14:anchorId="7B6BC764" wp14:editId="70CD5397">
            <wp:simplePos x="0" y="0"/>
            <wp:positionH relativeFrom="margin">
              <wp:align>left</wp:align>
            </wp:positionH>
            <wp:positionV relativeFrom="paragraph">
              <wp:posOffset>206187</wp:posOffset>
            </wp:positionV>
            <wp:extent cx="1000800" cy="360000"/>
            <wp:effectExtent l="0" t="0" r="0" b="2540"/>
            <wp:wrapTight wrapText="bothSides">
              <wp:wrapPolygon edited="0">
                <wp:start x="0" y="0"/>
                <wp:lineTo x="0" y="20608"/>
                <wp:lineTo x="20970" y="20608"/>
                <wp:lineTo x="20970" y="0"/>
                <wp:lineTo x="0" y="0"/>
              </wp:wrapPolygon>
            </wp:wrapTight>
            <wp:docPr id="4" name="Picture 6" descr="H:\documents\layout\new template June 2014\figures\CC-BY logo original v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ocuments\layout\new template June 2014\figures\CC-BY logo original v1.wmf"/>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530" r="1488"/>
                    <a:stretch/>
                  </pic:blipFill>
                  <pic:spPr bwMode="auto">
                    <a:xfrm>
                      <a:off x="0" y="0"/>
                      <a:ext cx="1000800" cy="360000"/>
                    </a:xfrm>
                    <a:prstGeom prst="rect">
                      <a:avLst/>
                    </a:prstGeom>
                    <a:noFill/>
                    <a:ln>
                      <a:noFill/>
                    </a:ln>
                    <a:extLst>
                      <a:ext uri="{53640926-AAD7-44D8-BBD7-CCE9431645EC}">
                        <a14:shadowObscured xmlns:a14="http://schemas.microsoft.com/office/drawing/2010/main"/>
                      </a:ext>
                    </a:extLst>
                  </pic:spPr>
                </pic:pic>
              </a:graphicData>
            </a:graphic>
          </wp:anchor>
        </w:drawing>
      </w:r>
      <w:r w:rsidRPr="00C207B2">
        <w:rPr>
          <w:rFonts w:ascii="Palatino Linotype" w:hAnsi="Palatino Linotype"/>
          <w:snapToGrid w:val="0"/>
          <w:sz w:val="18"/>
          <w:szCs w:val="18"/>
          <w:lang w:bidi="en-US"/>
        </w:rPr>
        <w:t xml:space="preserve">© </w:t>
      </w:r>
      <w:r w:rsidR="00B37C9B">
        <w:rPr>
          <w:rFonts w:ascii="Palatino Linotype" w:hAnsi="Palatino Linotype"/>
          <w:snapToGrid w:val="0"/>
          <w:sz w:val="18"/>
          <w:szCs w:val="18"/>
          <w:lang w:bidi="en-US"/>
        </w:rPr>
        <w:t>201</w:t>
      </w:r>
      <w:r w:rsidR="000947F9">
        <w:rPr>
          <w:rFonts w:ascii="Palatino Linotype" w:hAnsi="Palatino Linotype"/>
          <w:snapToGrid w:val="0"/>
          <w:sz w:val="18"/>
          <w:szCs w:val="18"/>
          <w:lang w:bidi="en-US"/>
        </w:rPr>
        <w:t>8</w:t>
      </w:r>
      <w:r w:rsidRPr="00C207B2">
        <w:rPr>
          <w:rFonts w:ascii="Palatino Linotype" w:hAnsi="Palatino Linotype"/>
          <w:snapToGrid w:val="0"/>
          <w:sz w:val="18"/>
          <w:szCs w:val="18"/>
          <w:lang w:bidi="en-US"/>
        </w:rPr>
        <w:t xml:space="preserve"> by the authors. Submitted for possible open access publication under the </w:t>
      </w:r>
      <w:r w:rsidRPr="00C207B2">
        <w:rPr>
          <w:rFonts w:ascii="Palatino Linotype" w:hAnsi="Palatino Linotype"/>
          <w:snapToGrid w:val="0"/>
          <w:sz w:val="18"/>
          <w:szCs w:val="18"/>
          <w:lang w:bidi="en-US"/>
        </w:rPr>
        <w:br/>
        <w:t>terms and conditions of the Creative Commons Attribution (</w:t>
      </w:r>
      <w:r w:rsidR="008A3B3A">
        <w:rPr>
          <w:rFonts w:ascii="Palatino Linotype" w:hAnsi="Palatino Linotype"/>
          <w:snapToGrid w:val="0"/>
          <w:sz w:val="18"/>
          <w:szCs w:val="18"/>
          <w:lang w:bidi="en-US"/>
        </w:rPr>
        <w:t>CC BY</w:t>
      </w:r>
      <w:r w:rsidRPr="00C207B2">
        <w:rPr>
          <w:rFonts w:ascii="Palatino Linotype" w:hAnsi="Palatino Linotype"/>
          <w:snapToGrid w:val="0"/>
          <w:sz w:val="18"/>
          <w:szCs w:val="18"/>
          <w:lang w:bidi="en-US"/>
        </w:rPr>
        <w:t>) license (http://creativecommons.org/licenses/by/4.0/).</w:t>
      </w:r>
      <w:bookmarkEnd w:id="2"/>
    </w:p>
    <w:sectPr w:rsidR="00A01504" w:rsidRPr="00F57846" w:rsidSect="00A04759">
      <w:headerReference w:type="even" r:id="rId17"/>
      <w:headerReference w:type="default" r:id="rId18"/>
      <w:footerReference w:type="default" r:id="rId19"/>
      <w:headerReference w:type="first" r:id="rId20"/>
      <w:footerReference w:type="first" r:id="rId21"/>
      <w:type w:val="continuous"/>
      <w:pgSz w:w="14060" w:h="16838" w:code="9"/>
      <w:pgMar w:top="1417" w:right="3685" w:bottom="851" w:left="1531" w:header="1020" w:footer="850" w:gutter="0"/>
      <w:lnNumType w:countBy="1" w:restart="continuous"/>
      <w:pgNumType w:start="1"/>
      <w:cols w:space="425"/>
      <w:titlePg/>
      <w:docGrid w:type="lines" w:linePitch="326"/>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6ECF5EA" w16cid:durableId="1E3ECED5"/>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38B93F" w14:textId="77777777" w:rsidR="003F7425" w:rsidRDefault="003F7425" w:rsidP="00C1340D">
      <w:r>
        <w:separator/>
      </w:r>
    </w:p>
  </w:endnote>
  <w:endnote w:type="continuationSeparator" w:id="0">
    <w:p w14:paraId="6C9BFC57" w14:textId="77777777" w:rsidR="003F7425" w:rsidRDefault="003F7425" w:rsidP="00C13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Minion Pro">
    <w:altName w:val="Times New Roman"/>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301650" w14:textId="77777777" w:rsidR="006D3116" w:rsidRPr="001D6C97" w:rsidRDefault="006D3116" w:rsidP="001D6C97">
    <w:pPr>
      <w:pStyle w:val="Footer"/>
      <w:spacing w:line="240" w:lineRule="auto"/>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Palatino Linotype" w:hAnsi="Palatino Linotype"/>
        <w:i/>
        <w:sz w:val="20"/>
      </w:rPr>
      <w:id w:val="-345871613"/>
      <w:docPartObj>
        <w:docPartGallery w:val="Page Numbers (Top of Page)"/>
        <w:docPartUnique/>
      </w:docPartObj>
    </w:sdtPr>
    <w:sdtEndPr>
      <w:rPr>
        <w:i w:val="0"/>
        <w:sz w:val="16"/>
        <w:szCs w:val="16"/>
      </w:rPr>
    </w:sdtEndPr>
    <w:sdtContent>
      <w:p w14:paraId="5F65606B" w14:textId="5C139AB3" w:rsidR="006D3116" w:rsidRPr="00372FCD" w:rsidRDefault="006D3116" w:rsidP="00B65510">
        <w:pPr>
          <w:adjustRightInd w:val="0"/>
          <w:snapToGrid w:val="0"/>
          <w:spacing w:before="120" w:line="240" w:lineRule="auto"/>
          <w:rPr>
            <w:rFonts w:ascii="Palatino Linotype" w:hAnsi="Palatino Linotype"/>
            <w:sz w:val="16"/>
            <w:szCs w:val="16"/>
            <w:lang w:val="fr-CH"/>
          </w:rPr>
        </w:pPr>
        <w:r w:rsidRPr="00D613C7">
          <w:rPr>
            <w:rFonts w:ascii="Palatino Linotype" w:hAnsi="Palatino Linotype"/>
            <w:i/>
            <w:sz w:val="16"/>
            <w:szCs w:val="16"/>
          </w:rPr>
          <w:t>Metabolites</w:t>
        </w:r>
        <w:r>
          <w:rPr>
            <w:rFonts w:ascii="Palatino Linotype" w:hAnsi="Palatino Linotype"/>
            <w:i/>
            <w:sz w:val="16"/>
            <w:szCs w:val="16"/>
          </w:rPr>
          <w:t xml:space="preserve"> </w:t>
        </w:r>
        <w:r w:rsidRPr="00B65510">
          <w:rPr>
            <w:rFonts w:ascii="Palatino Linotype" w:hAnsi="Palatino Linotype"/>
            <w:b/>
            <w:bCs/>
            <w:iCs/>
            <w:sz w:val="16"/>
            <w:szCs w:val="16"/>
          </w:rPr>
          <w:t>201</w:t>
        </w:r>
        <w:r w:rsidR="000947F9">
          <w:rPr>
            <w:rFonts w:ascii="Palatino Linotype" w:hAnsi="Palatino Linotype"/>
            <w:b/>
            <w:bCs/>
            <w:iCs/>
            <w:sz w:val="16"/>
            <w:szCs w:val="16"/>
          </w:rPr>
          <w:t>8</w:t>
        </w:r>
        <w:r w:rsidRPr="00B65510">
          <w:rPr>
            <w:rFonts w:ascii="Palatino Linotype" w:hAnsi="Palatino Linotype"/>
            <w:iCs/>
            <w:sz w:val="16"/>
            <w:szCs w:val="16"/>
          </w:rPr>
          <w:t xml:space="preserve">, </w:t>
        </w:r>
        <w:r w:rsidR="000947F9">
          <w:rPr>
            <w:rFonts w:ascii="Palatino Linotype" w:hAnsi="Palatino Linotype"/>
            <w:iCs/>
            <w:sz w:val="16"/>
            <w:szCs w:val="16"/>
          </w:rPr>
          <w:t>8</w:t>
        </w:r>
        <w:r w:rsidRPr="00B65510">
          <w:rPr>
            <w:rFonts w:ascii="Palatino Linotype" w:hAnsi="Palatino Linotype"/>
            <w:iCs/>
            <w:sz w:val="16"/>
            <w:szCs w:val="16"/>
          </w:rPr>
          <w:t>,</w:t>
        </w:r>
        <w:r w:rsidRPr="00B65510">
          <w:rPr>
            <w:rFonts w:ascii="Palatino Linotype" w:eastAsia="SimSun" w:hAnsi="Palatino Linotype"/>
            <w:sz w:val="16"/>
            <w:szCs w:val="16"/>
            <w:lang w:eastAsia="zh-CN"/>
          </w:rPr>
          <w:t xml:space="preserve"> </w:t>
        </w:r>
        <w:r>
          <w:rPr>
            <w:rFonts w:ascii="Palatino Linotype" w:hAnsi="Palatino Linotype"/>
            <w:sz w:val="16"/>
            <w:szCs w:val="16"/>
          </w:rPr>
          <w:t>x</w:t>
        </w:r>
        <w:r w:rsidRPr="00B65510">
          <w:rPr>
            <w:rFonts w:ascii="Palatino Linotype" w:hAnsi="Palatino Linotype"/>
            <w:sz w:val="16"/>
            <w:szCs w:val="16"/>
            <w:lang w:val="fr-CH"/>
          </w:rPr>
          <w:t>; doi:</w:t>
        </w:r>
        <w:r w:rsidRPr="00465C37">
          <w:rPr>
            <w:rFonts w:ascii="Palatino Linotype" w:hAnsi="Palatino Linotype"/>
            <w:sz w:val="16"/>
            <w:szCs w:val="16"/>
            <w:lang w:val="en-GB"/>
          </w:rPr>
          <w:t xml:space="preserve"> </w:t>
        </w:r>
        <w:r>
          <w:rPr>
            <w:rFonts w:ascii="Palatino Linotype" w:hAnsi="Palatino Linotype"/>
            <w:sz w:val="16"/>
            <w:szCs w:val="16"/>
            <w:lang w:val="en-GB"/>
          </w:rPr>
          <w:t xml:space="preserve">FOR PEER REVIEW </w:t>
        </w:r>
        <w:r>
          <w:rPr>
            <w:rFonts w:ascii="Palatino Linotype" w:hAnsi="Palatino Linotype"/>
            <w:sz w:val="20"/>
            <w:lang w:val="fr-CH"/>
          </w:rPr>
          <w:ptab w:relativeTo="margin" w:alignment="right" w:leader="none"/>
        </w:r>
        <w:r w:rsidRPr="00372FCD">
          <w:rPr>
            <w:rFonts w:ascii="Palatino Linotype" w:hAnsi="Palatino Linotype"/>
            <w:sz w:val="16"/>
            <w:szCs w:val="16"/>
            <w:lang w:val="fr-CH"/>
          </w:rPr>
          <w:t>www.mdpi.com/journal/</w:t>
        </w:r>
        <w:r w:rsidRPr="00D613C7">
          <w:rPr>
            <w:rFonts w:ascii="Palatino Linotype" w:hAnsi="Palatino Linotype"/>
            <w:sz w:val="16"/>
            <w:szCs w:val="16"/>
          </w:rPr>
          <w:t>metabolites</w:t>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5E40A6" w14:textId="77777777" w:rsidR="003F7425" w:rsidRDefault="003F7425" w:rsidP="00C1340D">
      <w:r>
        <w:separator/>
      </w:r>
    </w:p>
  </w:footnote>
  <w:footnote w:type="continuationSeparator" w:id="0">
    <w:p w14:paraId="00742C34" w14:textId="77777777" w:rsidR="003F7425" w:rsidRDefault="003F7425" w:rsidP="00C1340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9FFD03" w14:textId="77777777" w:rsidR="006D3116" w:rsidRDefault="006D3116" w:rsidP="00225F3F">
    <w:pPr>
      <w:pStyle w:val="Header"/>
      <w:pBdr>
        <w:bottom w:val="none" w:sz="0" w:space="0" w:color="auto"/>
      </w:pBd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1C1207" w14:textId="2FC8B6E3" w:rsidR="006D3116" w:rsidRPr="00B55AF3" w:rsidRDefault="006D3116" w:rsidP="00B55AF3">
    <w:pPr>
      <w:adjustRightInd w:val="0"/>
      <w:snapToGrid w:val="0"/>
      <w:spacing w:after="240" w:line="240" w:lineRule="auto"/>
      <w:rPr>
        <w:rFonts w:ascii="Palatino Linotype" w:hAnsi="Palatino Linotype"/>
        <w:sz w:val="16"/>
      </w:rPr>
    </w:pPr>
    <w:r>
      <w:rPr>
        <w:rFonts w:ascii="Palatino Linotype" w:hAnsi="Palatino Linotype"/>
        <w:i/>
        <w:sz w:val="16"/>
      </w:rPr>
      <w:t xml:space="preserve">Metabolites </w:t>
    </w:r>
    <w:r>
      <w:rPr>
        <w:rFonts w:ascii="Palatino Linotype" w:hAnsi="Palatino Linotype"/>
        <w:b/>
        <w:sz w:val="16"/>
      </w:rPr>
      <w:t>2018</w:t>
    </w:r>
    <w:r>
      <w:rPr>
        <w:rFonts w:ascii="Palatino Linotype" w:hAnsi="Palatino Linotype"/>
        <w:sz w:val="16"/>
      </w:rPr>
      <w:t xml:space="preserve">, 8, x FOR PEER REVIEW </w:t>
    </w:r>
    <w:r>
      <w:rPr>
        <w:rFonts w:ascii="Palatino Linotype" w:hAnsi="Palatino Linotype"/>
        <w:sz w:val="16"/>
      </w:rPr>
      <w:ptab w:relativeTo="margin" w:alignment="right" w:leader="none"/>
    </w:r>
    <w:r>
      <w:rPr>
        <w:rFonts w:ascii="Palatino Linotype" w:hAnsi="Palatino Linotype"/>
        <w:sz w:val="16"/>
      </w:rPr>
      <w:fldChar w:fldCharType="begin"/>
    </w:r>
    <w:r>
      <w:rPr>
        <w:rFonts w:ascii="Palatino Linotype" w:hAnsi="Palatino Linotype"/>
        <w:sz w:val="16"/>
      </w:rPr>
      <w:instrText xml:space="preserve"> PAGE  </w:instrText>
    </w:r>
    <w:r>
      <w:rPr>
        <w:rFonts w:ascii="Palatino Linotype" w:hAnsi="Palatino Linotype"/>
        <w:sz w:val="16"/>
      </w:rPr>
      <w:fldChar w:fldCharType="separate"/>
    </w:r>
    <w:r w:rsidR="00503980">
      <w:rPr>
        <w:rFonts w:ascii="Palatino Linotype" w:hAnsi="Palatino Linotype"/>
        <w:noProof/>
        <w:sz w:val="16"/>
      </w:rPr>
      <w:t>10</w:t>
    </w:r>
    <w:r>
      <w:rPr>
        <w:rFonts w:ascii="Palatino Linotype" w:hAnsi="Palatino Linotype"/>
        <w:sz w:val="16"/>
      </w:rPr>
      <w:fldChar w:fldCharType="end"/>
    </w:r>
    <w:r>
      <w:rPr>
        <w:rFonts w:ascii="Palatino Linotype" w:hAnsi="Palatino Linotype"/>
        <w:sz w:val="16"/>
      </w:rPr>
      <w:t xml:space="preserve"> of </w:t>
    </w:r>
    <w:r>
      <w:rPr>
        <w:rFonts w:ascii="Palatino Linotype" w:hAnsi="Palatino Linotype"/>
        <w:sz w:val="16"/>
      </w:rPr>
      <w:fldChar w:fldCharType="begin"/>
    </w:r>
    <w:r>
      <w:rPr>
        <w:rFonts w:ascii="Palatino Linotype" w:hAnsi="Palatino Linotype"/>
        <w:sz w:val="16"/>
      </w:rPr>
      <w:instrText xml:space="preserve"> NUMPAGES  </w:instrText>
    </w:r>
    <w:r>
      <w:rPr>
        <w:rFonts w:ascii="Palatino Linotype" w:hAnsi="Palatino Linotype"/>
        <w:sz w:val="16"/>
      </w:rPr>
      <w:fldChar w:fldCharType="separate"/>
    </w:r>
    <w:r w:rsidR="00503980">
      <w:rPr>
        <w:rFonts w:ascii="Palatino Linotype" w:hAnsi="Palatino Linotype"/>
        <w:noProof/>
        <w:sz w:val="16"/>
      </w:rPr>
      <w:t>10</w:t>
    </w:r>
    <w:r>
      <w:rPr>
        <w:rFonts w:ascii="Palatino Linotype" w:hAnsi="Palatino Linotype"/>
        <w:sz w:val="16"/>
      </w:rPr>
      <w:fldChar w:fldCharType="end"/>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C0A58D" w14:textId="77777777" w:rsidR="006D3116" w:rsidRDefault="006D3116" w:rsidP="008810B3">
    <w:pPr>
      <w:pStyle w:val="MDPIheaderjournallogo"/>
    </w:pPr>
    <w:r>
      <w:rPr>
        <w:i w:val="0"/>
        <w:noProof/>
        <w:szCs w:val="16"/>
        <w:lang w:val="de-DE" w:eastAsia="de-DE"/>
      </w:rPr>
      <mc:AlternateContent>
        <mc:Choice Requires="wps">
          <w:drawing>
            <wp:anchor distT="45720" distB="45720" distL="114300" distR="114300" simplePos="0" relativeHeight="251661824" behindDoc="1" locked="0" layoutInCell="1" allowOverlap="1" wp14:anchorId="36E34A93" wp14:editId="48B0C557">
              <wp:simplePos x="0" y="0"/>
              <wp:positionH relativeFrom="rightMargin">
                <wp:posOffset>-558165</wp:posOffset>
              </wp:positionH>
              <wp:positionV relativeFrom="paragraph">
                <wp:posOffset>0</wp:posOffset>
              </wp:positionV>
              <wp:extent cx="571500" cy="709295"/>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709295"/>
                      </a:xfrm>
                      <a:prstGeom prst="rect">
                        <a:avLst/>
                      </a:prstGeom>
                      <a:solidFill>
                        <a:srgbClr val="FFFFFF"/>
                      </a:solidFill>
                      <a:ln w="9525">
                        <a:noFill/>
                        <a:miter lim="800000"/>
                        <a:headEnd/>
                        <a:tailEnd/>
                      </a:ln>
                    </wps:spPr>
                    <wps:txbx>
                      <w:txbxContent>
                        <w:p w14:paraId="0A9C417E" w14:textId="77777777" w:rsidR="006D3116" w:rsidRDefault="006D3116" w:rsidP="00B240C4">
                          <w:pPr>
                            <w:pStyle w:val="MDPIheaderjournallogo"/>
                            <w:jc w:val="center"/>
                            <w:textboxTightWrap w:val="allLines"/>
                            <w:rPr>
                              <w:i w:val="0"/>
                              <w:szCs w:val="16"/>
                            </w:rPr>
                          </w:pPr>
                          <w:r w:rsidRPr="00330353">
                            <w:rPr>
                              <w:i w:val="0"/>
                              <w:noProof/>
                              <w:szCs w:val="16"/>
                              <w:lang w:val="de-DE" w:eastAsia="de-DE"/>
                            </w:rPr>
                            <w:drawing>
                              <wp:inline distT="0" distB="0" distL="0" distR="0" wp14:anchorId="31337DA0" wp14:editId="1F673D57">
                                <wp:extent cx="546216" cy="360000"/>
                                <wp:effectExtent l="19050" t="0" r="6234" b="0"/>
                                <wp:docPr id="234"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esktop\logos\ori\png\logo-md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6216" cy="360000"/>
                                        </a:xfrm>
                                        <a:prstGeom prst="rect">
                                          <a:avLst/>
                                        </a:prstGeom>
                                        <a:noFill/>
                                        <a:ln>
                                          <a:noFill/>
                                        </a:ln>
                                      </pic:spPr>
                                    </pic:pic>
                                  </a:graphicData>
                                </a:graphic>
                              </wp:inline>
                            </w:drawing>
                          </w: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6E34A93" id="_x0000_t202" coordsize="21600,21600" o:spt="202" path="m,l,21600r21600,l21600,xe">
              <v:stroke joinstyle="miter"/>
              <v:path gradientshapeok="t" o:connecttype="rect"/>
            </v:shapetype>
            <v:shape id="Text Box 2" o:spid="_x0000_s1026" type="#_x0000_t202" style="position:absolute;margin-left:-43.95pt;margin-top:0;width:45pt;height:55.85pt;z-index:-251654656;visibility:visible;mso-wrap-style:non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" stroked="f">
              <v:textbox inset="0,0,0,0">
                <w:txbxContent>
                  <w:p w14:paraId="0A9C417E" w14:textId="77777777" w:rsidR="006D3116" w:rsidRDefault="006D3116" w:rsidP="00B240C4">
                    <w:pPr>
                      <w:pStyle w:val="MDPIheaderjournallogo"/>
                      <w:jc w:val="center"/>
                      <w:textboxTightWrap w:val="allLines"/>
                      <w:rPr>
                        <w:i w:val="0"/>
                        <w:szCs w:val="16"/>
                      </w:rPr>
                    </w:pPr>
                    <w:r w:rsidRPr="00330353">
                      <w:rPr>
                        <w:i w:val="0"/>
                        <w:noProof/>
                        <w:szCs w:val="16"/>
                        <w:lang w:val="de-DE" w:eastAsia="de-DE"/>
                      </w:rPr>
                      <w:drawing>
                        <wp:inline distT="0" distB="0" distL="0" distR="0" wp14:anchorId="31337DA0" wp14:editId="1F673D57">
                          <wp:extent cx="546216" cy="360000"/>
                          <wp:effectExtent l="19050" t="0" r="6234" b="0"/>
                          <wp:docPr id="234"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esktop\logos\ori\png\logo-md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6216" cy="360000"/>
                                  </a:xfrm>
                                  <a:prstGeom prst="rect">
                                    <a:avLst/>
                                  </a:prstGeom>
                                  <a:noFill/>
                                  <a:ln>
                                    <a:noFill/>
                                  </a:ln>
                                </pic:spPr>
                              </pic:pic>
                            </a:graphicData>
                          </a:graphic>
                        </wp:inline>
                      </w:drawing>
                    </w:r>
                  </w:p>
                </w:txbxContent>
              </v:textbox>
              <w10:wrap anchorx="margin"/>
            </v:shape>
          </w:pict>
        </mc:Fallback>
      </mc:AlternateContent>
    </w:r>
    <w:r>
      <w:rPr>
        <w:noProof/>
        <w:lang w:val="de-DE" w:eastAsia="de-DE"/>
      </w:rPr>
      <w:drawing>
        <wp:inline distT="0" distB="0" distL="0" distR="0" wp14:anchorId="408F6F93" wp14:editId="59B8337E">
          <wp:extent cx="1659890" cy="433705"/>
          <wp:effectExtent l="0" t="0" r="0" b="4445"/>
          <wp:docPr id="233" name="Picture 3" descr="C:\Users\home\AppData\Local\Temp\HZ$D.082.3351\metabolites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AppData\Local\Temp\HZ$D.082.3351\metabolites_logo.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59890" cy="43370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ED732D"/>
    <w:multiLevelType w:val="multilevel"/>
    <w:tmpl w:val="1140249C"/>
    <w:lvl w:ilvl="0">
      <w:start w:val="1"/>
      <w:numFmt w:val="decimal"/>
      <w:suff w:val="space"/>
      <w:lvlText w:val="%1."/>
      <w:lvlJc w:val="left"/>
      <w:pPr>
        <w:ind w:left="57" w:hanging="57"/>
      </w:pPr>
      <w:rPr>
        <w:rFonts w:hint="default"/>
      </w:rPr>
    </w:lvl>
    <w:lvl w:ilvl="1">
      <w:start w:val="1"/>
      <w:numFmt w:val="decimal"/>
      <w:suff w:val="space"/>
      <w:lvlText w:val="%1.%2"/>
      <w:lvlJc w:val="left"/>
      <w:pPr>
        <w:ind w:left="57" w:hanging="57"/>
      </w:pPr>
      <w:rPr>
        <w:rFonts w:hint="default"/>
      </w:rPr>
    </w:lvl>
    <w:lvl w:ilvl="2">
      <w:start w:val="1"/>
      <w:numFmt w:val="decimal"/>
      <w:suff w:val="space"/>
      <w:lvlText w:val="%1.%2.%3"/>
      <w:lvlJc w:val="left"/>
      <w:pPr>
        <w:ind w:left="57" w:hanging="57"/>
      </w:pPr>
      <w:rPr>
        <w:rFonts w:hint="default"/>
      </w:rPr>
    </w:lvl>
    <w:lvl w:ilvl="3">
      <w:start w:val="1"/>
      <w:numFmt w:val="decimal"/>
      <w:lvlText w:val="%1.%2.%3.%4."/>
      <w:lvlJc w:val="left"/>
      <w:pPr>
        <w:ind w:left="57" w:hanging="57"/>
      </w:pPr>
      <w:rPr>
        <w:rFonts w:hint="default"/>
      </w:rPr>
    </w:lvl>
    <w:lvl w:ilvl="4">
      <w:start w:val="1"/>
      <w:numFmt w:val="decimal"/>
      <w:lvlText w:val="%1.%2.%3.%4.%5."/>
      <w:lvlJc w:val="left"/>
      <w:pPr>
        <w:ind w:left="57" w:hanging="57"/>
      </w:pPr>
      <w:rPr>
        <w:rFonts w:hint="default"/>
      </w:rPr>
    </w:lvl>
    <w:lvl w:ilvl="5">
      <w:start w:val="1"/>
      <w:numFmt w:val="decimal"/>
      <w:lvlText w:val="%1.%2.%3.%4.%5.%6."/>
      <w:lvlJc w:val="left"/>
      <w:pPr>
        <w:ind w:left="57" w:hanging="57"/>
      </w:pPr>
      <w:rPr>
        <w:rFonts w:hint="default"/>
      </w:rPr>
    </w:lvl>
    <w:lvl w:ilvl="6">
      <w:start w:val="1"/>
      <w:numFmt w:val="decimal"/>
      <w:lvlText w:val="%1.%2.%3.%4.%5.%6.%7."/>
      <w:lvlJc w:val="left"/>
      <w:pPr>
        <w:ind w:left="57" w:hanging="57"/>
      </w:pPr>
      <w:rPr>
        <w:rFonts w:hint="default"/>
      </w:rPr>
    </w:lvl>
    <w:lvl w:ilvl="7">
      <w:start w:val="1"/>
      <w:numFmt w:val="decimal"/>
      <w:lvlText w:val="%1.%2.%3.%4.%5.%6.%7.%8."/>
      <w:lvlJc w:val="left"/>
      <w:pPr>
        <w:ind w:left="57" w:hanging="57"/>
      </w:pPr>
      <w:rPr>
        <w:rFonts w:hint="default"/>
      </w:rPr>
    </w:lvl>
    <w:lvl w:ilvl="8">
      <w:start w:val="1"/>
      <w:numFmt w:val="decimal"/>
      <w:lvlText w:val="%1.%2.%3.%4.%5.%6.%7.%8.%9."/>
      <w:lvlJc w:val="left"/>
      <w:pPr>
        <w:ind w:left="57" w:hanging="57"/>
      </w:pPr>
      <w:rPr>
        <w:rFonts w:hint="default"/>
      </w:rPr>
    </w:lvl>
  </w:abstractNum>
  <w:abstractNum w:abstractNumId="1" w15:restartNumberingAfterBreak="0">
    <w:nsid w:val="0B5C6AD1"/>
    <w:multiLevelType w:val="multilevel"/>
    <w:tmpl w:val="2D2ECB52"/>
    <w:lvl w:ilvl="0">
      <w:start w:val="1"/>
      <w:numFmt w:val="upperRoman"/>
      <w:lvlText w:val="%1."/>
      <w:lvlJc w:val="right"/>
      <w:pPr>
        <w:ind w:left="57" w:hanging="57"/>
      </w:pPr>
      <w:rPr>
        <w:rFonts w:hint="default"/>
      </w:rPr>
    </w:lvl>
    <w:lvl w:ilvl="1">
      <w:start w:val="1"/>
      <w:numFmt w:val="decimal"/>
      <w:suff w:val="space"/>
      <w:lvlText w:val="%1.%2"/>
      <w:lvlJc w:val="left"/>
      <w:pPr>
        <w:ind w:left="57" w:hanging="57"/>
      </w:pPr>
      <w:rPr>
        <w:rFonts w:hint="default"/>
      </w:rPr>
    </w:lvl>
    <w:lvl w:ilvl="2">
      <w:start w:val="1"/>
      <w:numFmt w:val="decimal"/>
      <w:suff w:val="space"/>
      <w:lvlText w:val="%1.%2.%3"/>
      <w:lvlJc w:val="left"/>
      <w:pPr>
        <w:ind w:left="57" w:hanging="57"/>
      </w:pPr>
      <w:rPr>
        <w:rFonts w:hint="default"/>
      </w:rPr>
    </w:lvl>
    <w:lvl w:ilvl="3">
      <w:start w:val="1"/>
      <w:numFmt w:val="decimal"/>
      <w:lvlText w:val="%1.%2.%3.%4."/>
      <w:lvlJc w:val="left"/>
      <w:pPr>
        <w:ind w:left="57" w:hanging="57"/>
      </w:pPr>
      <w:rPr>
        <w:rFonts w:hint="default"/>
      </w:rPr>
    </w:lvl>
    <w:lvl w:ilvl="4">
      <w:start w:val="1"/>
      <w:numFmt w:val="decimal"/>
      <w:lvlText w:val="%1.%2.%3.%4.%5."/>
      <w:lvlJc w:val="left"/>
      <w:pPr>
        <w:ind w:left="57" w:hanging="57"/>
      </w:pPr>
      <w:rPr>
        <w:rFonts w:hint="default"/>
      </w:rPr>
    </w:lvl>
    <w:lvl w:ilvl="5">
      <w:start w:val="1"/>
      <w:numFmt w:val="decimal"/>
      <w:lvlText w:val="%1.%2.%3.%4.%5.%6."/>
      <w:lvlJc w:val="left"/>
      <w:pPr>
        <w:ind w:left="57" w:hanging="57"/>
      </w:pPr>
      <w:rPr>
        <w:rFonts w:hint="default"/>
      </w:rPr>
    </w:lvl>
    <w:lvl w:ilvl="6">
      <w:start w:val="1"/>
      <w:numFmt w:val="decimal"/>
      <w:lvlText w:val="%1.%2.%3.%4.%5.%6.%7."/>
      <w:lvlJc w:val="left"/>
      <w:pPr>
        <w:ind w:left="57" w:hanging="57"/>
      </w:pPr>
      <w:rPr>
        <w:rFonts w:hint="default"/>
      </w:rPr>
    </w:lvl>
    <w:lvl w:ilvl="7">
      <w:start w:val="1"/>
      <w:numFmt w:val="decimal"/>
      <w:lvlText w:val="%1.%2.%3.%4.%5.%6.%7.%8."/>
      <w:lvlJc w:val="left"/>
      <w:pPr>
        <w:ind w:left="57" w:hanging="57"/>
      </w:pPr>
      <w:rPr>
        <w:rFonts w:hint="default"/>
      </w:rPr>
    </w:lvl>
    <w:lvl w:ilvl="8">
      <w:start w:val="1"/>
      <w:numFmt w:val="decimal"/>
      <w:lvlText w:val="%1.%2.%3.%4.%5.%6.%7.%8.%9."/>
      <w:lvlJc w:val="left"/>
      <w:pPr>
        <w:ind w:left="57" w:hanging="57"/>
      </w:pPr>
      <w:rPr>
        <w:rFonts w:hint="default"/>
      </w:rPr>
    </w:lvl>
  </w:abstractNum>
  <w:abstractNum w:abstractNumId="2" w15:restartNumberingAfterBreak="0">
    <w:nsid w:val="0C6C384A"/>
    <w:multiLevelType w:val="hybridMultilevel"/>
    <w:tmpl w:val="6C78A7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B73ED1"/>
    <w:multiLevelType w:val="multilevel"/>
    <w:tmpl w:val="1140249C"/>
    <w:lvl w:ilvl="0">
      <w:start w:val="1"/>
      <w:numFmt w:val="decimal"/>
      <w:suff w:val="space"/>
      <w:lvlText w:val="%1."/>
      <w:lvlJc w:val="left"/>
      <w:pPr>
        <w:ind w:left="57" w:hanging="57"/>
      </w:pPr>
      <w:rPr>
        <w:rFonts w:hint="default"/>
      </w:rPr>
    </w:lvl>
    <w:lvl w:ilvl="1">
      <w:start w:val="1"/>
      <w:numFmt w:val="decimal"/>
      <w:suff w:val="space"/>
      <w:lvlText w:val="%1.%2"/>
      <w:lvlJc w:val="left"/>
      <w:pPr>
        <w:ind w:left="57" w:hanging="57"/>
      </w:pPr>
      <w:rPr>
        <w:rFonts w:hint="default"/>
      </w:rPr>
    </w:lvl>
    <w:lvl w:ilvl="2">
      <w:start w:val="1"/>
      <w:numFmt w:val="decimal"/>
      <w:suff w:val="space"/>
      <w:lvlText w:val="%1.%2.%3"/>
      <w:lvlJc w:val="left"/>
      <w:pPr>
        <w:ind w:left="57" w:hanging="57"/>
      </w:pPr>
      <w:rPr>
        <w:rFonts w:hint="default"/>
      </w:rPr>
    </w:lvl>
    <w:lvl w:ilvl="3">
      <w:start w:val="1"/>
      <w:numFmt w:val="decimal"/>
      <w:lvlText w:val="%1.%2.%3.%4."/>
      <w:lvlJc w:val="left"/>
      <w:pPr>
        <w:ind w:left="57" w:hanging="57"/>
      </w:pPr>
      <w:rPr>
        <w:rFonts w:hint="default"/>
      </w:rPr>
    </w:lvl>
    <w:lvl w:ilvl="4">
      <w:start w:val="1"/>
      <w:numFmt w:val="decimal"/>
      <w:lvlText w:val="%1.%2.%3.%4.%5."/>
      <w:lvlJc w:val="left"/>
      <w:pPr>
        <w:ind w:left="57" w:hanging="57"/>
      </w:pPr>
      <w:rPr>
        <w:rFonts w:hint="default"/>
      </w:rPr>
    </w:lvl>
    <w:lvl w:ilvl="5">
      <w:start w:val="1"/>
      <w:numFmt w:val="decimal"/>
      <w:lvlText w:val="%1.%2.%3.%4.%5.%6."/>
      <w:lvlJc w:val="left"/>
      <w:pPr>
        <w:ind w:left="57" w:hanging="57"/>
      </w:pPr>
      <w:rPr>
        <w:rFonts w:hint="default"/>
      </w:rPr>
    </w:lvl>
    <w:lvl w:ilvl="6">
      <w:start w:val="1"/>
      <w:numFmt w:val="decimal"/>
      <w:lvlText w:val="%1.%2.%3.%4.%5.%6.%7."/>
      <w:lvlJc w:val="left"/>
      <w:pPr>
        <w:ind w:left="57" w:hanging="57"/>
      </w:pPr>
      <w:rPr>
        <w:rFonts w:hint="default"/>
      </w:rPr>
    </w:lvl>
    <w:lvl w:ilvl="7">
      <w:start w:val="1"/>
      <w:numFmt w:val="decimal"/>
      <w:lvlText w:val="%1.%2.%3.%4.%5.%6.%7.%8."/>
      <w:lvlJc w:val="left"/>
      <w:pPr>
        <w:ind w:left="57" w:hanging="57"/>
      </w:pPr>
      <w:rPr>
        <w:rFonts w:hint="default"/>
      </w:rPr>
    </w:lvl>
    <w:lvl w:ilvl="8">
      <w:start w:val="1"/>
      <w:numFmt w:val="decimal"/>
      <w:lvlText w:val="%1.%2.%3.%4.%5.%6.%7.%8.%9."/>
      <w:lvlJc w:val="left"/>
      <w:pPr>
        <w:ind w:left="57" w:hanging="57"/>
      </w:pPr>
      <w:rPr>
        <w:rFonts w:hint="default"/>
      </w:rPr>
    </w:lvl>
  </w:abstractNum>
  <w:abstractNum w:abstractNumId="4" w15:restartNumberingAfterBreak="0">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6" w15:restartNumberingAfterBreak="0">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7" w15:restartNumberingAfterBreak="0">
    <w:nsid w:val="430B505B"/>
    <w:multiLevelType w:val="hybridMultilevel"/>
    <w:tmpl w:val="78AA790A"/>
    <w:lvl w:ilvl="0" w:tplc="3BA0C004">
      <w:start w:val="1"/>
      <w:numFmt w:val="decimal"/>
      <w:pStyle w:val="Mdeck8references"/>
      <w:lvlText w:val="%1."/>
      <w:lvlJc w:val="left"/>
      <w:pPr>
        <w:ind w:left="782" w:hanging="425"/>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EE0223F"/>
    <w:multiLevelType w:val="multilevel"/>
    <w:tmpl w:val="2D2ECB52"/>
    <w:lvl w:ilvl="0">
      <w:start w:val="1"/>
      <w:numFmt w:val="upperRoman"/>
      <w:lvlText w:val="%1."/>
      <w:lvlJc w:val="right"/>
      <w:pPr>
        <w:ind w:left="57" w:hanging="57"/>
      </w:pPr>
      <w:rPr>
        <w:rFonts w:hint="default"/>
      </w:rPr>
    </w:lvl>
    <w:lvl w:ilvl="1">
      <w:start w:val="1"/>
      <w:numFmt w:val="decimal"/>
      <w:suff w:val="space"/>
      <w:lvlText w:val="%1.%2"/>
      <w:lvlJc w:val="left"/>
      <w:pPr>
        <w:ind w:left="57" w:hanging="57"/>
      </w:pPr>
      <w:rPr>
        <w:rFonts w:hint="default"/>
      </w:rPr>
    </w:lvl>
    <w:lvl w:ilvl="2">
      <w:start w:val="1"/>
      <w:numFmt w:val="decimal"/>
      <w:suff w:val="space"/>
      <w:lvlText w:val="%1.%2.%3"/>
      <w:lvlJc w:val="left"/>
      <w:pPr>
        <w:ind w:left="57" w:hanging="57"/>
      </w:pPr>
      <w:rPr>
        <w:rFonts w:hint="default"/>
      </w:rPr>
    </w:lvl>
    <w:lvl w:ilvl="3">
      <w:start w:val="1"/>
      <w:numFmt w:val="decimal"/>
      <w:lvlText w:val="%1.%2.%3.%4."/>
      <w:lvlJc w:val="left"/>
      <w:pPr>
        <w:ind w:left="57" w:hanging="57"/>
      </w:pPr>
      <w:rPr>
        <w:rFonts w:hint="default"/>
      </w:rPr>
    </w:lvl>
    <w:lvl w:ilvl="4">
      <w:start w:val="1"/>
      <w:numFmt w:val="decimal"/>
      <w:lvlText w:val="%1.%2.%3.%4.%5."/>
      <w:lvlJc w:val="left"/>
      <w:pPr>
        <w:ind w:left="57" w:hanging="57"/>
      </w:pPr>
      <w:rPr>
        <w:rFonts w:hint="default"/>
      </w:rPr>
    </w:lvl>
    <w:lvl w:ilvl="5">
      <w:start w:val="1"/>
      <w:numFmt w:val="decimal"/>
      <w:lvlText w:val="%1.%2.%3.%4.%5.%6."/>
      <w:lvlJc w:val="left"/>
      <w:pPr>
        <w:ind w:left="57" w:hanging="57"/>
      </w:pPr>
      <w:rPr>
        <w:rFonts w:hint="default"/>
      </w:rPr>
    </w:lvl>
    <w:lvl w:ilvl="6">
      <w:start w:val="1"/>
      <w:numFmt w:val="decimal"/>
      <w:lvlText w:val="%1.%2.%3.%4.%5.%6.%7."/>
      <w:lvlJc w:val="left"/>
      <w:pPr>
        <w:ind w:left="57" w:hanging="57"/>
      </w:pPr>
      <w:rPr>
        <w:rFonts w:hint="default"/>
      </w:rPr>
    </w:lvl>
    <w:lvl w:ilvl="7">
      <w:start w:val="1"/>
      <w:numFmt w:val="decimal"/>
      <w:lvlText w:val="%1.%2.%3.%4.%5.%6.%7.%8."/>
      <w:lvlJc w:val="left"/>
      <w:pPr>
        <w:ind w:left="57" w:hanging="57"/>
      </w:pPr>
      <w:rPr>
        <w:rFonts w:hint="default"/>
      </w:rPr>
    </w:lvl>
    <w:lvl w:ilvl="8">
      <w:start w:val="1"/>
      <w:numFmt w:val="decimal"/>
      <w:lvlText w:val="%1.%2.%3.%4.%5.%6.%7.%8.%9."/>
      <w:lvlJc w:val="left"/>
      <w:pPr>
        <w:ind w:left="57" w:hanging="57"/>
      </w:pPr>
      <w:rPr>
        <w:rFonts w:hint="default"/>
      </w:rPr>
    </w:lvl>
  </w:abstractNum>
  <w:abstractNum w:abstractNumId="9" w15:restartNumberingAfterBreak="0">
    <w:nsid w:val="673C370A"/>
    <w:multiLevelType w:val="hybridMultilevel"/>
    <w:tmpl w:val="DED8C25E"/>
    <w:lvl w:ilvl="0" w:tplc="9668B0B2">
      <w:start w:val="1"/>
      <w:numFmt w:val="bullet"/>
      <w:pStyle w:val="Mdeck4textbulletlist"/>
      <w:lvlText w:val=""/>
      <w:lvlJc w:val="left"/>
      <w:pPr>
        <w:ind w:left="1429" w:hanging="357"/>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10" w15:restartNumberingAfterBreak="0">
    <w:nsid w:val="6DB20A64"/>
    <w:multiLevelType w:val="hybridMultilevel"/>
    <w:tmpl w:val="3BB4DF5C"/>
    <w:lvl w:ilvl="0" w:tplc="10ACE5BA">
      <w:start w:val="1"/>
      <w:numFmt w:val="decimal"/>
      <w:pStyle w:val="Mdeck4textnumberedlist"/>
      <w:lvlText w:val="%1."/>
      <w:lvlJc w:val="left"/>
      <w:pPr>
        <w:ind w:left="1429" w:hanging="357"/>
      </w:pPr>
      <w:rPr>
        <w:rFonts w:hint="eastAsia"/>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11" w15:restartNumberingAfterBreak="0">
    <w:nsid w:val="73560C85"/>
    <w:multiLevelType w:val="hybridMultilevel"/>
    <w:tmpl w:val="EE6E88D6"/>
    <w:lvl w:ilvl="0" w:tplc="0409000F">
      <w:start w:val="1"/>
      <w:numFmt w:val="decimal"/>
      <w:lvlText w:val="%1."/>
      <w:lvlJc w:val="left"/>
      <w:pPr>
        <w:ind w:left="1145" w:hanging="360"/>
      </w:p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12" w15:restartNumberingAfterBreak="0">
    <w:nsid w:val="788C5FEA"/>
    <w:multiLevelType w:val="hybridMultilevel"/>
    <w:tmpl w:val="D9401F2E"/>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num w:numId="1">
    <w:abstractNumId w:val="5"/>
  </w:num>
  <w:num w:numId="2">
    <w:abstractNumId w:val="6"/>
  </w:num>
  <w:num w:numId="3">
    <w:abstractNumId w:val="4"/>
  </w:num>
  <w:num w:numId="4">
    <w:abstractNumId w:val="9"/>
  </w:num>
  <w:num w:numId="5">
    <w:abstractNumId w:val="10"/>
  </w:num>
  <w:num w:numId="6">
    <w:abstractNumId w:val="7"/>
  </w:num>
  <w:num w:numId="7">
    <w:abstractNumId w:val="11"/>
  </w:num>
  <w:num w:numId="8">
    <w:abstractNumId w:val="1"/>
  </w:num>
  <w:num w:numId="9">
    <w:abstractNumId w:val="3"/>
  </w:num>
  <w:num w:numId="10">
    <w:abstractNumId w:val="0"/>
  </w:num>
  <w:num w:numId="11">
    <w:abstractNumId w:val="8"/>
  </w:num>
  <w:num w:numId="12">
    <w:abstractNumId w:val="12"/>
  </w:num>
  <w:num w:numId="13">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bordersDoNotSurroundHeader/>
  <w:bordersDoNotSurroundFooter/>
  <w:attachedTemplate r:id="rId1"/>
  <w:defaultTabStop w:val="420"/>
  <w:hyphenationZone w:val="425"/>
  <w:drawingGridHorizontalSpacing w:val="120"/>
  <w:drawingGridVerticalSpacing w:val="163"/>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2E73"/>
    <w:rsid w:val="000003EA"/>
    <w:rsid w:val="00000637"/>
    <w:rsid w:val="000006F8"/>
    <w:rsid w:val="00000F79"/>
    <w:rsid w:val="00001D0E"/>
    <w:rsid w:val="000042D4"/>
    <w:rsid w:val="000046B6"/>
    <w:rsid w:val="00004BA7"/>
    <w:rsid w:val="000054F7"/>
    <w:rsid w:val="00005FC2"/>
    <w:rsid w:val="00006E8F"/>
    <w:rsid w:val="0000777E"/>
    <w:rsid w:val="00007A99"/>
    <w:rsid w:val="00007D9C"/>
    <w:rsid w:val="00011BC3"/>
    <w:rsid w:val="0001283B"/>
    <w:rsid w:val="0001462F"/>
    <w:rsid w:val="000149FC"/>
    <w:rsid w:val="000158AA"/>
    <w:rsid w:val="000173E0"/>
    <w:rsid w:val="00017913"/>
    <w:rsid w:val="0002090C"/>
    <w:rsid w:val="00022E05"/>
    <w:rsid w:val="000233C2"/>
    <w:rsid w:val="00023A28"/>
    <w:rsid w:val="00024621"/>
    <w:rsid w:val="0002467B"/>
    <w:rsid w:val="00025A91"/>
    <w:rsid w:val="00025C56"/>
    <w:rsid w:val="0002639B"/>
    <w:rsid w:val="00026FE5"/>
    <w:rsid w:val="000319B8"/>
    <w:rsid w:val="00032908"/>
    <w:rsid w:val="0003351A"/>
    <w:rsid w:val="00033CEF"/>
    <w:rsid w:val="00033D63"/>
    <w:rsid w:val="00034840"/>
    <w:rsid w:val="00034BF8"/>
    <w:rsid w:val="000361F7"/>
    <w:rsid w:val="0003706E"/>
    <w:rsid w:val="00037269"/>
    <w:rsid w:val="00037EAD"/>
    <w:rsid w:val="00037F00"/>
    <w:rsid w:val="00041A10"/>
    <w:rsid w:val="0004245C"/>
    <w:rsid w:val="00042C12"/>
    <w:rsid w:val="00042ED2"/>
    <w:rsid w:val="000439F3"/>
    <w:rsid w:val="00043F91"/>
    <w:rsid w:val="00044417"/>
    <w:rsid w:val="0004473F"/>
    <w:rsid w:val="00044B8E"/>
    <w:rsid w:val="00044C80"/>
    <w:rsid w:val="00045898"/>
    <w:rsid w:val="00046825"/>
    <w:rsid w:val="000470E9"/>
    <w:rsid w:val="00050716"/>
    <w:rsid w:val="0005079E"/>
    <w:rsid w:val="00050AC4"/>
    <w:rsid w:val="00050C65"/>
    <w:rsid w:val="00050C8F"/>
    <w:rsid w:val="00050ED6"/>
    <w:rsid w:val="00050EDC"/>
    <w:rsid w:val="00051C21"/>
    <w:rsid w:val="000520E3"/>
    <w:rsid w:val="00052920"/>
    <w:rsid w:val="00052AE5"/>
    <w:rsid w:val="000544B4"/>
    <w:rsid w:val="000551E0"/>
    <w:rsid w:val="000562B9"/>
    <w:rsid w:val="000569E0"/>
    <w:rsid w:val="00056DBB"/>
    <w:rsid w:val="000572B5"/>
    <w:rsid w:val="000578BD"/>
    <w:rsid w:val="00057BE1"/>
    <w:rsid w:val="000602E4"/>
    <w:rsid w:val="000605CD"/>
    <w:rsid w:val="00061A56"/>
    <w:rsid w:val="00062EEE"/>
    <w:rsid w:val="0006309B"/>
    <w:rsid w:val="00063A6A"/>
    <w:rsid w:val="00063CFE"/>
    <w:rsid w:val="0006467F"/>
    <w:rsid w:val="00064EFD"/>
    <w:rsid w:val="00070729"/>
    <w:rsid w:val="00071011"/>
    <w:rsid w:val="00071C04"/>
    <w:rsid w:val="00071D03"/>
    <w:rsid w:val="00071F0A"/>
    <w:rsid w:val="00072A0B"/>
    <w:rsid w:val="00072F0D"/>
    <w:rsid w:val="00073085"/>
    <w:rsid w:val="00073419"/>
    <w:rsid w:val="000738D5"/>
    <w:rsid w:val="00073BD9"/>
    <w:rsid w:val="00073F2B"/>
    <w:rsid w:val="000746E8"/>
    <w:rsid w:val="00077A9D"/>
    <w:rsid w:val="00081CCD"/>
    <w:rsid w:val="000820B1"/>
    <w:rsid w:val="00082C0C"/>
    <w:rsid w:val="00082D78"/>
    <w:rsid w:val="00082E67"/>
    <w:rsid w:val="000830A2"/>
    <w:rsid w:val="000833FA"/>
    <w:rsid w:val="000843EC"/>
    <w:rsid w:val="000848F9"/>
    <w:rsid w:val="00084CB7"/>
    <w:rsid w:val="0008580A"/>
    <w:rsid w:val="00085C8C"/>
    <w:rsid w:val="0008737E"/>
    <w:rsid w:val="000909B0"/>
    <w:rsid w:val="00090E75"/>
    <w:rsid w:val="00091065"/>
    <w:rsid w:val="000914E2"/>
    <w:rsid w:val="0009240F"/>
    <w:rsid w:val="00092626"/>
    <w:rsid w:val="00092E92"/>
    <w:rsid w:val="0009318E"/>
    <w:rsid w:val="00094176"/>
    <w:rsid w:val="000946B4"/>
    <w:rsid w:val="000947F9"/>
    <w:rsid w:val="00096BC7"/>
    <w:rsid w:val="000A0E49"/>
    <w:rsid w:val="000A0F29"/>
    <w:rsid w:val="000A1E3D"/>
    <w:rsid w:val="000A26B5"/>
    <w:rsid w:val="000A2E30"/>
    <w:rsid w:val="000A3155"/>
    <w:rsid w:val="000A34F8"/>
    <w:rsid w:val="000A411D"/>
    <w:rsid w:val="000A44DE"/>
    <w:rsid w:val="000A45A9"/>
    <w:rsid w:val="000A4C3B"/>
    <w:rsid w:val="000A517F"/>
    <w:rsid w:val="000A5FAE"/>
    <w:rsid w:val="000B05D0"/>
    <w:rsid w:val="000B1CB5"/>
    <w:rsid w:val="000B21AE"/>
    <w:rsid w:val="000B23F3"/>
    <w:rsid w:val="000B28A7"/>
    <w:rsid w:val="000B35AF"/>
    <w:rsid w:val="000B38AC"/>
    <w:rsid w:val="000B529D"/>
    <w:rsid w:val="000B5482"/>
    <w:rsid w:val="000B7776"/>
    <w:rsid w:val="000B7C23"/>
    <w:rsid w:val="000B7EF6"/>
    <w:rsid w:val="000C2528"/>
    <w:rsid w:val="000C299D"/>
    <w:rsid w:val="000C3DC7"/>
    <w:rsid w:val="000C3DFF"/>
    <w:rsid w:val="000C4A82"/>
    <w:rsid w:val="000C4B5D"/>
    <w:rsid w:val="000C4FB6"/>
    <w:rsid w:val="000C522D"/>
    <w:rsid w:val="000C5A93"/>
    <w:rsid w:val="000C758B"/>
    <w:rsid w:val="000C7D34"/>
    <w:rsid w:val="000D0305"/>
    <w:rsid w:val="000D0745"/>
    <w:rsid w:val="000D0874"/>
    <w:rsid w:val="000D093A"/>
    <w:rsid w:val="000D166F"/>
    <w:rsid w:val="000D2842"/>
    <w:rsid w:val="000D2F06"/>
    <w:rsid w:val="000D3689"/>
    <w:rsid w:val="000D475B"/>
    <w:rsid w:val="000D5554"/>
    <w:rsid w:val="000E08FD"/>
    <w:rsid w:val="000E12EC"/>
    <w:rsid w:val="000E136F"/>
    <w:rsid w:val="000E1B05"/>
    <w:rsid w:val="000E2A0A"/>
    <w:rsid w:val="000E35FE"/>
    <w:rsid w:val="000E37D1"/>
    <w:rsid w:val="000E4559"/>
    <w:rsid w:val="000E58B8"/>
    <w:rsid w:val="000E59CC"/>
    <w:rsid w:val="000E75B5"/>
    <w:rsid w:val="000E790C"/>
    <w:rsid w:val="000E7A5D"/>
    <w:rsid w:val="000E7D1B"/>
    <w:rsid w:val="000F0E85"/>
    <w:rsid w:val="000F0F9F"/>
    <w:rsid w:val="000F1242"/>
    <w:rsid w:val="000F276B"/>
    <w:rsid w:val="000F3510"/>
    <w:rsid w:val="000F4E02"/>
    <w:rsid w:val="000F4E0E"/>
    <w:rsid w:val="000F5E72"/>
    <w:rsid w:val="00100B2F"/>
    <w:rsid w:val="00100FE2"/>
    <w:rsid w:val="00101997"/>
    <w:rsid w:val="00103634"/>
    <w:rsid w:val="00103F25"/>
    <w:rsid w:val="00104294"/>
    <w:rsid w:val="00107320"/>
    <w:rsid w:val="001103D1"/>
    <w:rsid w:val="00110AE0"/>
    <w:rsid w:val="00111224"/>
    <w:rsid w:val="00111C6F"/>
    <w:rsid w:val="00112451"/>
    <w:rsid w:val="001145B2"/>
    <w:rsid w:val="001152AF"/>
    <w:rsid w:val="0011593C"/>
    <w:rsid w:val="00115C6C"/>
    <w:rsid w:val="001160C1"/>
    <w:rsid w:val="0011658D"/>
    <w:rsid w:val="001170CF"/>
    <w:rsid w:val="0011779E"/>
    <w:rsid w:val="00117EA3"/>
    <w:rsid w:val="0012125D"/>
    <w:rsid w:val="00122CB6"/>
    <w:rsid w:val="00124285"/>
    <w:rsid w:val="0012462F"/>
    <w:rsid w:val="00125D07"/>
    <w:rsid w:val="001268A0"/>
    <w:rsid w:val="00127B58"/>
    <w:rsid w:val="00130902"/>
    <w:rsid w:val="00130F88"/>
    <w:rsid w:val="00131F3D"/>
    <w:rsid w:val="00133F8D"/>
    <w:rsid w:val="001352B6"/>
    <w:rsid w:val="00135806"/>
    <w:rsid w:val="00135C14"/>
    <w:rsid w:val="001368E3"/>
    <w:rsid w:val="00137E80"/>
    <w:rsid w:val="00140A39"/>
    <w:rsid w:val="0014158B"/>
    <w:rsid w:val="001419BD"/>
    <w:rsid w:val="00142460"/>
    <w:rsid w:val="001430CF"/>
    <w:rsid w:val="00143181"/>
    <w:rsid w:val="001439A3"/>
    <w:rsid w:val="00144660"/>
    <w:rsid w:val="00144DC5"/>
    <w:rsid w:val="00144E54"/>
    <w:rsid w:val="001459D6"/>
    <w:rsid w:val="00145F5A"/>
    <w:rsid w:val="00145FB0"/>
    <w:rsid w:val="0014743C"/>
    <w:rsid w:val="00147E0F"/>
    <w:rsid w:val="001502D0"/>
    <w:rsid w:val="00150342"/>
    <w:rsid w:val="00150477"/>
    <w:rsid w:val="00151E48"/>
    <w:rsid w:val="00151E99"/>
    <w:rsid w:val="00152F85"/>
    <w:rsid w:val="001534F1"/>
    <w:rsid w:val="00153816"/>
    <w:rsid w:val="0015431C"/>
    <w:rsid w:val="001544BF"/>
    <w:rsid w:val="00155401"/>
    <w:rsid w:val="00156006"/>
    <w:rsid w:val="001561FB"/>
    <w:rsid w:val="00156D22"/>
    <w:rsid w:val="00157413"/>
    <w:rsid w:val="00160C50"/>
    <w:rsid w:val="001610E6"/>
    <w:rsid w:val="00161D1C"/>
    <w:rsid w:val="0016263E"/>
    <w:rsid w:val="001632F9"/>
    <w:rsid w:val="00163372"/>
    <w:rsid w:val="001644F1"/>
    <w:rsid w:val="00165A01"/>
    <w:rsid w:val="001665A2"/>
    <w:rsid w:val="00166928"/>
    <w:rsid w:val="0016702F"/>
    <w:rsid w:val="00167FA6"/>
    <w:rsid w:val="001729CD"/>
    <w:rsid w:val="001732EE"/>
    <w:rsid w:val="001739FB"/>
    <w:rsid w:val="00173FC0"/>
    <w:rsid w:val="00175246"/>
    <w:rsid w:val="001754E6"/>
    <w:rsid w:val="00175B6E"/>
    <w:rsid w:val="001763AE"/>
    <w:rsid w:val="00176BBA"/>
    <w:rsid w:val="00176C97"/>
    <w:rsid w:val="00176DC5"/>
    <w:rsid w:val="00176E73"/>
    <w:rsid w:val="0017709E"/>
    <w:rsid w:val="001779A4"/>
    <w:rsid w:val="001805D1"/>
    <w:rsid w:val="001812DE"/>
    <w:rsid w:val="00181E56"/>
    <w:rsid w:val="001823BE"/>
    <w:rsid w:val="00183F2C"/>
    <w:rsid w:val="001843F9"/>
    <w:rsid w:val="00184B65"/>
    <w:rsid w:val="00184ECF"/>
    <w:rsid w:val="001854A7"/>
    <w:rsid w:val="001860DD"/>
    <w:rsid w:val="00191BF5"/>
    <w:rsid w:val="00192141"/>
    <w:rsid w:val="00192292"/>
    <w:rsid w:val="001929BE"/>
    <w:rsid w:val="00193EBD"/>
    <w:rsid w:val="00194DCB"/>
    <w:rsid w:val="00195355"/>
    <w:rsid w:val="00195446"/>
    <w:rsid w:val="00196E3A"/>
    <w:rsid w:val="00197583"/>
    <w:rsid w:val="001A003F"/>
    <w:rsid w:val="001A0D5B"/>
    <w:rsid w:val="001A103B"/>
    <w:rsid w:val="001A1097"/>
    <w:rsid w:val="001A1D6F"/>
    <w:rsid w:val="001A2D5C"/>
    <w:rsid w:val="001A34B3"/>
    <w:rsid w:val="001A3926"/>
    <w:rsid w:val="001A4A0E"/>
    <w:rsid w:val="001A6CD8"/>
    <w:rsid w:val="001A7D08"/>
    <w:rsid w:val="001B09F9"/>
    <w:rsid w:val="001B0A2E"/>
    <w:rsid w:val="001B22D3"/>
    <w:rsid w:val="001B29A1"/>
    <w:rsid w:val="001B2CE0"/>
    <w:rsid w:val="001B2E32"/>
    <w:rsid w:val="001B396D"/>
    <w:rsid w:val="001B3A0F"/>
    <w:rsid w:val="001B446E"/>
    <w:rsid w:val="001B596A"/>
    <w:rsid w:val="001C0136"/>
    <w:rsid w:val="001C0A1F"/>
    <w:rsid w:val="001C1552"/>
    <w:rsid w:val="001C1754"/>
    <w:rsid w:val="001C2760"/>
    <w:rsid w:val="001C2A2E"/>
    <w:rsid w:val="001C2B6B"/>
    <w:rsid w:val="001C3B86"/>
    <w:rsid w:val="001C4555"/>
    <w:rsid w:val="001C5350"/>
    <w:rsid w:val="001C6374"/>
    <w:rsid w:val="001C6EF0"/>
    <w:rsid w:val="001D0613"/>
    <w:rsid w:val="001D0A2E"/>
    <w:rsid w:val="001D0BD8"/>
    <w:rsid w:val="001D4C88"/>
    <w:rsid w:val="001D4CBF"/>
    <w:rsid w:val="001D5949"/>
    <w:rsid w:val="001D5C83"/>
    <w:rsid w:val="001D5CB0"/>
    <w:rsid w:val="001D6C97"/>
    <w:rsid w:val="001D7118"/>
    <w:rsid w:val="001D7351"/>
    <w:rsid w:val="001E0BFA"/>
    <w:rsid w:val="001E26BA"/>
    <w:rsid w:val="001E350F"/>
    <w:rsid w:val="001E3C65"/>
    <w:rsid w:val="001E3DBC"/>
    <w:rsid w:val="001E49C0"/>
    <w:rsid w:val="001E66E3"/>
    <w:rsid w:val="001E72FF"/>
    <w:rsid w:val="001F0BE1"/>
    <w:rsid w:val="001F2913"/>
    <w:rsid w:val="001F45A9"/>
    <w:rsid w:val="001F50B9"/>
    <w:rsid w:val="001F55DC"/>
    <w:rsid w:val="001F5A4A"/>
    <w:rsid w:val="001F605B"/>
    <w:rsid w:val="001F69EC"/>
    <w:rsid w:val="001F7586"/>
    <w:rsid w:val="0020147D"/>
    <w:rsid w:val="00201C34"/>
    <w:rsid w:val="00201CDB"/>
    <w:rsid w:val="002021CF"/>
    <w:rsid w:val="002021FF"/>
    <w:rsid w:val="002026F5"/>
    <w:rsid w:val="00203C36"/>
    <w:rsid w:val="002045F8"/>
    <w:rsid w:val="00206B4D"/>
    <w:rsid w:val="002072C4"/>
    <w:rsid w:val="002113E6"/>
    <w:rsid w:val="0021202D"/>
    <w:rsid w:val="00212AFD"/>
    <w:rsid w:val="002133F0"/>
    <w:rsid w:val="00213608"/>
    <w:rsid w:val="00214190"/>
    <w:rsid w:val="002144E9"/>
    <w:rsid w:val="00216D49"/>
    <w:rsid w:val="00216FA9"/>
    <w:rsid w:val="002173FC"/>
    <w:rsid w:val="00217467"/>
    <w:rsid w:val="00220209"/>
    <w:rsid w:val="002220D5"/>
    <w:rsid w:val="002223A5"/>
    <w:rsid w:val="00222A54"/>
    <w:rsid w:val="00223A64"/>
    <w:rsid w:val="00224687"/>
    <w:rsid w:val="00225217"/>
    <w:rsid w:val="00225F3F"/>
    <w:rsid w:val="00226251"/>
    <w:rsid w:val="00226AB1"/>
    <w:rsid w:val="00226B50"/>
    <w:rsid w:val="00226CD9"/>
    <w:rsid w:val="00227035"/>
    <w:rsid w:val="00227696"/>
    <w:rsid w:val="00234505"/>
    <w:rsid w:val="00234A36"/>
    <w:rsid w:val="00235077"/>
    <w:rsid w:val="00235807"/>
    <w:rsid w:val="00235973"/>
    <w:rsid w:val="00236969"/>
    <w:rsid w:val="00236A9E"/>
    <w:rsid w:val="00236C0D"/>
    <w:rsid w:val="00236D35"/>
    <w:rsid w:val="00236F94"/>
    <w:rsid w:val="00237EDD"/>
    <w:rsid w:val="00240501"/>
    <w:rsid w:val="0024084D"/>
    <w:rsid w:val="00240C8C"/>
    <w:rsid w:val="00241C14"/>
    <w:rsid w:val="002434C9"/>
    <w:rsid w:val="00243EEC"/>
    <w:rsid w:val="0024499A"/>
    <w:rsid w:val="00245A18"/>
    <w:rsid w:val="002464ED"/>
    <w:rsid w:val="00246CE0"/>
    <w:rsid w:val="00247396"/>
    <w:rsid w:val="0025127B"/>
    <w:rsid w:val="00251811"/>
    <w:rsid w:val="0025232D"/>
    <w:rsid w:val="00252515"/>
    <w:rsid w:val="0025259B"/>
    <w:rsid w:val="00252BD9"/>
    <w:rsid w:val="00253193"/>
    <w:rsid w:val="00255B5C"/>
    <w:rsid w:val="00257403"/>
    <w:rsid w:val="0025777F"/>
    <w:rsid w:val="0026155E"/>
    <w:rsid w:val="00261B77"/>
    <w:rsid w:val="00263890"/>
    <w:rsid w:val="00263CC7"/>
    <w:rsid w:val="00264174"/>
    <w:rsid w:val="00264403"/>
    <w:rsid w:val="0026479E"/>
    <w:rsid w:val="002655CD"/>
    <w:rsid w:val="002665A2"/>
    <w:rsid w:val="00267DA6"/>
    <w:rsid w:val="0027156F"/>
    <w:rsid w:val="002715F4"/>
    <w:rsid w:val="00271978"/>
    <w:rsid w:val="00272574"/>
    <w:rsid w:val="00272C4A"/>
    <w:rsid w:val="00273440"/>
    <w:rsid w:val="002747C0"/>
    <w:rsid w:val="0027513B"/>
    <w:rsid w:val="00275818"/>
    <w:rsid w:val="0027593D"/>
    <w:rsid w:val="00275F7E"/>
    <w:rsid w:val="00276B71"/>
    <w:rsid w:val="0027713B"/>
    <w:rsid w:val="002813F6"/>
    <w:rsid w:val="0028335A"/>
    <w:rsid w:val="00283CB1"/>
    <w:rsid w:val="00284A5D"/>
    <w:rsid w:val="00285954"/>
    <w:rsid w:val="00285A67"/>
    <w:rsid w:val="00286066"/>
    <w:rsid w:val="0028727D"/>
    <w:rsid w:val="002903A7"/>
    <w:rsid w:val="00290872"/>
    <w:rsid w:val="002912B5"/>
    <w:rsid w:val="002915B6"/>
    <w:rsid w:val="00291880"/>
    <w:rsid w:val="002918F6"/>
    <w:rsid w:val="0029287A"/>
    <w:rsid w:val="002933CF"/>
    <w:rsid w:val="00293851"/>
    <w:rsid w:val="00294C2F"/>
    <w:rsid w:val="0029628E"/>
    <w:rsid w:val="00296EB7"/>
    <w:rsid w:val="002A2056"/>
    <w:rsid w:val="002A31E4"/>
    <w:rsid w:val="002A4231"/>
    <w:rsid w:val="002A66E9"/>
    <w:rsid w:val="002A7F61"/>
    <w:rsid w:val="002B03D9"/>
    <w:rsid w:val="002B0693"/>
    <w:rsid w:val="002B0BCA"/>
    <w:rsid w:val="002B37F5"/>
    <w:rsid w:val="002B4849"/>
    <w:rsid w:val="002B4981"/>
    <w:rsid w:val="002B6EEB"/>
    <w:rsid w:val="002B75A2"/>
    <w:rsid w:val="002B7893"/>
    <w:rsid w:val="002C0E6A"/>
    <w:rsid w:val="002C160A"/>
    <w:rsid w:val="002C176C"/>
    <w:rsid w:val="002C28DD"/>
    <w:rsid w:val="002C300A"/>
    <w:rsid w:val="002C5045"/>
    <w:rsid w:val="002C5C51"/>
    <w:rsid w:val="002C6C5F"/>
    <w:rsid w:val="002C7423"/>
    <w:rsid w:val="002C7CEB"/>
    <w:rsid w:val="002D0834"/>
    <w:rsid w:val="002D2055"/>
    <w:rsid w:val="002D2284"/>
    <w:rsid w:val="002D3D08"/>
    <w:rsid w:val="002D43C8"/>
    <w:rsid w:val="002D476D"/>
    <w:rsid w:val="002D4F9D"/>
    <w:rsid w:val="002D7EB2"/>
    <w:rsid w:val="002E0765"/>
    <w:rsid w:val="002E0B8D"/>
    <w:rsid w:val="002E11AF"/>
    <w:rsid w:val="002E13C7"/>
    <w:rsid w:val="002E1F9C"/>
    <w:rsid w:val="002E1FC0"/>
    <w:rsid w:val="002E24CC"/>
    <w:rsid w:val="002E2696"/>
    <w:rsid w:val="002E45FF"/>
    <w:rsid w:val="002E4AE9"/>
    <w:rsid w:val="002E5387"/>
    <w:rsid w:val="002E5404"/>
    <w:rsid w:val="002E59FA"/>
    <w:rsid w:val="002E674E"/>
    <w:rsid w:val="002E699F"/>
    <w:rsid w:val="002F0022"/>
    <w:rsid w:val="002F18DE"/>
    <w:rsid w:val="002F19E4"/>
    <w:rsid w:val="002F1F90"/>
    <w:rsid w:val="002F30E0"/>
    <w:rsid w:val="002F37BA"/>
    <w:rsid w:val="002F3A40"/>
    <w:rsid w:val="002F4D28"/>
    <w:rsid w:val="002F52CE"/>
    <w:rsid w:val="002F6006"/>
    <w:rsid w:val="002F667B"/>
    <w:rsid w:val="002F6728"/>
    <w:rsid w:val="002F6FC8"/>
    <w:rsid w:val="002F7FD2"/>
    <w:rsid w:val="00300F39"/>
    <w:rsid w:val="00301409"/>
    <w:rsid w:val="0030282D"/>
    <w:rsid w:val="0030286C"/>
    <w:rsid w:val="0030379B"/>
    <w:rsid w:val="003053D7"/>
    <w:rsid w:val="00305639"/>
    <w:rsid w:val="00305668"/>
    <w:rsid w:val="003066AC"/>
    <w:rsid w:val="00306771"/>
    <w:rsid w:val="00306B0A"/>
    <w:rsid w:val="0030792C"/>
    <w:rsid w:val="00307DAD"/>
    <w:rsid w:val="003106D1"/>
    <w:rsid w:val="00312F5B"/>
    <w:rsid w:val="0031308C"/>
    <w:rsid w:val="0031371E"/>
    <w:rsid w:val="0031392A"/>
    <w:rsid w:val="00314A24"/>
    <w:rsid w:val="00315770"/>
    <w:rsid w:val="003167AC"/>
    <w:rsid w:val="0031755A"/>
    <w:rsid w:val="00320250"/>
    <w:rsid w:val="0032250E"/>
    <w:rsid w:val="00322580"/>
    <w:rsid w:val="003229FD"/>
    <w:rsid w:val="00322CCA"/>
    <w:rsid w:val="00323420"/>
    <w:rsid w:val="00323CAE"/>
    <w:rsid w:val="003246E2"/>
    <w:rsid w:val="0032589B"/>
    <w:rsid w:val="003260DD"/>
    <w:rsid w:val="00326758"/>
    <w:rsid w:val="00326E51"/>
    <w:rsid w:val="00330353"/>
    <w:rsid w:val="0033124F"/>
    <w:rsid w:val="0033164F"/>
    <w:rsid w:val="00332D98"/>
    <w:rsid w:val="00333C2D"/>
    <w:rsid w:val="003345EB"/>
    <w:rsid w:val="003352F1"/>
    <w:rsid w:val="00336080"/>
    <w:rsid w:val="00336960"/>
    <w:rsid w:val="00336BEA"/>
    <w:rsid w:val="003374B6"/>
    <w:rsid w:val="00337815"/>
    <w:rsid w:val="003379F5"/>
    <w:rsid w:val="003403C5"/>
    <w:rsid w:val="00340477"/>
    <w:rsid w:val="00341638"/>
    <w:rsid w:val="00341815"/>
    <w:rsid w:val="00341BEB"/>
    <w:rsid w:val="00344684"/>
    <w:rsid w:val="00344DFE"/>
    <w:rsid w:val="00345950"/>
    <w:rsid w:val="00346A68"/>
    <w:rsid w:val="00346AC4"/>
    <w:rsid w:val="00346B1B"/>
    <w:rsid w:val="00347596"/>
    <w:rsid w:val="00347A68"/>
    <w:rsid w:val="00347C98"/>
    <w:rsid w:val="0035064B"/>
    <w:rsid w:val="00351BC2"/>
    <w:rsid w:val="003523F1"/>
    <w:rsid w:val="00352D55"/>
    <w:rsid w:val="00352E62"/>
    <w:rsid w:val="0035313A"/>
    <w:rsid w:val="0035340A"/>
    <w:rsid w:val="00353B41"/>
    <w:rsid w:val="0035469E"/>
    <w:rsid w:val="0035521D"/>
    <w:rsid w:val="00356CAB"/>
    <w:rsid w:val="00357207"/>
    <w:rsid w:val="00357CC6"/>
    <w:rsid w:val="003618A3"/>
    <w:rsid w:val="00361D52"/>
    <w:rsid w:val="00362002"/>
    <w:rsid w:val="00363B00"/>
    <w:rsid w:val="00363D81"/>
    <w:rsid w:val="0036514D"/>
    <w:rsid w:val="00365EDE"/>
    <w:rsid w:val="00367166"/>
    <w:rsid w:val="00367343"/>
    <w:rsid w:val="003675B2"/>
    <w:rsid w:val="00367C05"/>
    <w:rsid w:val="00370121"/>
    <w:rsid w:val="00370569"/>
    <w:rsid w:val="003709EC"/>
    <w:rsid w:val="003727C6"/>
    <w:rsid w:val="00372CF5"/>
    <w:rsid w:val="00372FCD"/>
    <w:rsid w:val="00373D16"/>
    <w:rsid w:val="00373F32"/>
    <w:rsid w:val="00374898"/>
    <w:rsid w:val="00374CAD"/>
    <w:rsid w:val="00376FA1"/>
    <w:rsid w:val="00377E13"/>
    <w:rsid w:val="00381C2D"/>
    <w:rsid w:val="00381D89"/>
    <w:rsid w:val="00381FC4"/>
    <w:rsid w:val="00382E18"/>
    <w:rsid w:val="00383563"/>
    <w:rsid w:val="003835CE"/>
    <w:rsid w:val="003837EA"/>
    <w:rsid w:val="0038413A"/>
    <w:rsid w:val="00384F91"/>
    <w:rsid w:val="003855CF"/>
    <w:rsid w:val="003902E6"/>
    <w:rsid w:val="00391035"/>
    <w:rsid w:val="003911F6"/>
    <w:rsid w:val="00391D87"/>
    <w:rsid w:val="00391F71"/>
    <w:rsid w:val="003938E0"/>
    <w:rsid w:val="00394742"/>
    <w:rsid w:val="00394C14"/>
    <w:rsid w:val="00395639"/>
    <w:rsid w:val="00395E7D"/>
    <w:rsid w:val="00396D01"/>
    <w:rsid w:val="00397533"/>
    <w:rsid w:val="003A00D5"/>
    <w:rsid w:val="003A0FDD"/>
    <w:rsid w:val="003A116E"/>
    <w:rsid w:val="003A1FCC"/>
    <w:rsid w:val="003A2168"/>
    <w:rsid w:val="003A226F"/>
    <w:rsid w:val="003A3131"/>
    <w:rsid w:val="003A3671"/>
    <w:rsid w:val="003A3968"/>
    <w:rsid w:val="003A3F7E"/>
    <w:rsid w:val="003A445F"/>
    <w:rsid w:val="003A4FD3"/>
    <w:rsid w:val="003A5E59"/>
    <w:rsid w:val="003B159C"/>
    <w:rsid w:val="003B24B6"/>
    <w:rsid w:val="003B2A22"/>
    <w:rsid w:val="003B3A7C"/>
    <w:rsid w:val="003B4E63"/>
    <w:rsid w:val="003B54DF"/>
    <w:rsid w:val="003B559A"/>
    <w:rsid w:val="003B65E3"/>
    <w:rsid w:val="003B79B0"/>
    <w:rsid w:val="003C014C"/>
    <w:rsid w:val="003C0E00"/>
    <w:rsid w:val="003C131B"/>
    <w:rsid w:val="003C245C"/>
    <w:rsid w:val="003C2C26"/>
    <w:rsid w:val="003C4538"/>
    <w:rsid w:val="003C4A20"/>
    <w:rsid w:val="003C4AAF"/>
    <w:rsid w:val="003C6DE6"/>
    <w:rsid w:val="003C78C4"/>
    <w:rsid w:val="003C7C01"/>
    <w:rsid w:val="003C7F56"/>
    <w:rsid w:val="003D008F"/>
    <w:rsid w:val="003D12A7"/>
    <w:rsid w:val="003D1BCF"/>
    <w:rsid w:val="003D2888"/>
    <w:rsid w:val="003D2BC8"/>
    <w:rsid w:val="003D4BF7"/>
    <w:rsid w:val="003D5D0C"/>
    <w:rsid w:val="003D613C"/>
    <w:rsid w:val="003D6836"/>
    <w:rsid w:val="003D6DF8"/>
    <w:rsid w:val="003D740F"/>
    <w:rsid w:val="003E0382"/>
    <w:rsid w:val="003E08EB"/>
    <w:rsid w:val="003E0C56"/>
    <w:rsid w:val="003E14E1"/>
    <w:rsid w:val="003E1FC7"/>
    <w:rsid w:val="003E23CF"/>
    <w:rsid w:val="003E2B81"/>
    <w:rsid w:val="003E5F91"/>
    <w:rsid w:val="003E6120"/>
    <w:rsid w:val="003E68A1"/>
    <w:rsid w:val="003F0471"/>
    <w:rsid w:val="003F16E2"/>
    <w:rsid w:val="003F1A28"/>
    <w:rsid w:val="003F21C8"/>
    <w:rsid w:val="003F2492"/>
    <w:rsid w:val="003F2876"/>
    <w:rsid w:val="003F2A09"/>
    <w:rsid w:val="003F2A2D"/>
    <w:rsid w:val="003F35A6"/>
    <w:rsid w:val="003F368E"/>
    <w:rsid w:val="003F4816"/>
    <w:rsid w:val="003F4AE6"/>
    <w:rsid w:val="003F6004"/>
    <w:rsid w:val="003F6722"/>
    <w:rsid w:val="003F6831"/>
    <w:rsid w:val="003F693E"/>
    <w:rsid w:val="003F7425"/>
    <w:rsid w:val="003F7E0C"/>
    <w:rsid w:val="00401EA0"/>
    <w:rsid w:val="00403463"/>
    <w:rsid w:val="00403E05"/>
    <w:rsid w:val="00405EFF"/>
    <w:rsid w:val="0040655F"/>
    <w:rsid w:val="0040668E"/>
    <w:rsid w:val="00407752"/>
    <w:rsid w:val="00407B20"/>
    <w:rsid w:val="0041020E"/>
    <w:rsid w:val="00411667"/>
    <w:rsid w:val="004123C0"/>
    <w:rsid w:val="00412F36"/>
    <w:rsid w:val="00412FD3"/>
    <w:rsid w:val="004137AF"/>
    <w:rsid w:val="00415FB0"/>
    <w:rsid w:val="004160F8"/>
    <w:rsid w:val="00416645"/>
    <w:rsid w:val="00416B98"/>
    <w:rsid w:val="004171F4"/>
    <w:rsid w:val="00417A0D"/>
    <w:rsid w:val="00422602"/>
    <w:rsid w:val="00422E0D"/>
    <w:rsid w:val="0042336A"/>
    <w:rsid w:val="00423410"/>
    <w:rsid w:val="00423429"/>
    <w:rsid w:val="00423AE7"/>
    <w:rsid w:val="00423CB6"/>
    <w:rsid w:val="00424882"/>
    <w:rsid w:val="00425AEA"/>
    <w:rsid w:val="0042627E"/>
    <w:rsid w:val="004262FE"/>
    <w:rsid w:val="004278E2"/>
    <w:rsid w:val="00427902"/>
    <w:rsid w:val="00427E05"/>
    <w:rsid w:val="0043115A"/>
    <w:rsid w:val="00431361"/>
    <w:rsid w:val="00432800"/>
    <w:rsid w:val="004329A0"/>
    <w:rsid w:val="00433837"/>
    <w:rsid w:val="00434423"/>
    <w:rsid w:val="0043534F"/>
    <w:rsid w:val="0043670D"/>
    <w:rsid w:val="00436981"/>
    <w:rsid w:val="00436BA8"/>
    <w:rsid w:val="0043705A"/>
    <w:rsid w:val="0043748F"/>
    <w:rsid w:val="004378B1"/>
    <w:rsid w:val="00440009"/>
    <w:rsid w:val="0044006E"/>
    <w:rsid w:val="0044012F"/>
    <w:rsid w:val="00441209"/>
    <w:rsid w:val="00441AF9"/>
    <w:rsid w:val="00441BC6"/>
    <w:rsid w:val="00441FA3"/>
    <w:rsid w:val="004442EF"/>
    <w:rsid w:val="004466AA"/>
    <w:rsid w:val="004466F5"/>
    <w:rsid w:val="00446CA3"/>
    <w:rsid w:val="00446DC8"/>
    <w:rsid w:val="00446FBE"/>
    <w:rsid w:val="0044729D"/>
    <w:rsid w:val="0045011E"/>
    <w:rsid w:val="0045101B"/>
    <w:rsid w:val="004539D4"/>
    <w:rsid w:val="00453CFB"/>
    <w:rsid w:val="00453D99"/>
    <w:rsid w:val="0045405C"/>
    <w:rsid w:val="00455021"/>
    <w:rsid w:val="00455055"/>
    <w:rsid w:val="00456BA6"/>
    <w:rsid w:val="00461413"/>
    <w:rsid w:val="004614D9"/>
    <w:rsid w:val="00461DA2"/>
    <w:rsid w:val="00462789"/>
    <w:rsid w:val="00462F89"/>
    <w:rsid w:val="0046318E"/>
    <w:rsid w:val="00465BCB"/>
    <w:rsid w:val="00465C37"/>
    <w:rsid w:val="00466511"/>
    <w:rsid w:val="0046653A"/>
    <w:rsid w:val="00467F33"/>
    <w:rsid w:val="0047011A"/>
    <w:rsid w:val="00470C28"/>
    <w:rsid w:val="00470E56"/>
    <w:rsid w:val="00471859"/>
    <w:rsid w:val="00474F04"/>
    <w:rsid w:val="00475F95"/>
    <w:rsid w:val="00476172"/>
    <w:rsid w:val="00477487"/>
    <w:rsid w:val="0048098C"/>
    <w:rsid w:val="00480A37"/>
    <w:rsid w:val="00480BAE"/>
    <w:rsid w:val="00481931"/>
    <w:rsid w:val="00481ADA"/>
    <w:rsid w:val="00481CAB"/>
    <w:rsid w:val="00482266"/>
    <w:rsid w:val="00482287"/>
    <w:rsid w:val="00483436"/>
    <w:rsid w:val="0048380B"/>
    <w:rsid w:val="0048395F"/>
    <w:rsid w:val="00483A4C"/>
    <w:rsid w:val="00484518"/>
    <w:rsid w:val="00484615"/>
    <w:rsid w:val="00484BAE"/>
    <w:rsid w:val="00484FEC"/>
    <w:rsid w:val="004864F0"/>
    <w:rsid w:val="004869B2"/>
    <w:rsid w:val="00487A05"/>
    <w:rsid w:val="00491787"/>
    <w:rsid w:val="0049220B"/>
    <w:rsid w:val="00492418"/>
    <w:rsid w:val="00492DD6"/>
    <w:rsid w:val="004938FB"/>
    <w:rsid w:val="0049503D"/>
    <w:rsid w:val="00495448"/>
    <w:rsid w:val="004971EB"/>
    <w:rsid w:val="004975CF"/>
    <w:rsid w:val="004A070F"/>
    <w:rsid w:val="004A322D"/>
    <w:rsid w:val="004A3D67"/>
    <w:rsid w:val="004A3EEB"/>
    <w:rsid w:val="004A44AE"/>
    <w:rsid w:val="004A485C"/>
    <w:rsid w:val="004A683B"/>
    <w:rsid w:val="004A6B4E"/>
    <w:rsid w:val="004A6E3D"/>
    <w:rsid w:val="004A7930"/>
    <w:rsid w:val="004A7C02"/>
    <w:rsid w:val="004B0F58"/>
    <w:rsid w:val="004B1337"/>
    <w:rsid w:val="004B1516"/>
    <w:rsid w:val="004B1580"/>
    <w:rsid w:val="004B2147"/>
    <w:rsid w:val="004B637A"/>
    <w:rsid w:val="004B6431"/>
    <w:rsid w:val="004B664F"/>
    <w:rsid w:val="004C09AC"/>
    <w:rsid w:val="004C16C9"/>
    <w:rsid w:val="004C1961"/>
    <w:rsid w:val="004C1A82"/>
    <w:rsid w:val="004C1AB7"/>
    <w:rsid w:val="004C1B70"/>
    <w:rsid w:val="004C3D4B"/>
    <w:rsid w:val="004C3FB5"/>
    <w:rsid w:val="004C4A7B"/>
    <w:rsid w:val="004C5DBC"/>
    <w:rsid w:val="004C6EE2"/>
    <w:rsid w:val="004C71C5"/>
    <w:rsid w:val="004D0408"/>
    <w:rsid w:val="004D15D8"/>
    <w:rsid w:val="004D297A"/>
    <w:rsid w:val="004D2ACD"/>
    <w:rsid w:val="004D3D30"/>
    <w:rsid w:val="004D3F07"/>
    <w:rsid w:val="004D464D"/>
    <w:rsid w:val="004D50E0"/>
    <w:rsid w:val="004D59B6"/>
    <w:rsid w:val="004D5F7F"/>
    <w:rsid w:val="004D6828"/>
    <w:rsid w:val="004E0AC4"/>
    <w:rsid w:val="004E0B61"/>
    <w:rsid w:val="004E11F4"/>
    <w:rsid w:val="004E16F5"/>
    <w:rsid w:val="004E4177"/>
    <w:rsid w:val="004E4734"/>
    <w:rsid w:val="004E60F0"/>
    <w:rsid w:val="004E65C4"/>
    <w:rsid w:val="004E70CE"/>
    <w:rsid w:val="004F0979"/>
    <w:rsid w:val="004F1511"/>
    <w:rsid w:val="004F1D33"/>
    <w:rsid w:val="004F36BA"/>
    <w:rsid w:val="004F3D05"/>
    <w:rsid w:val="004F41A3"/>
    <w:rsid w:val="004F49A4"/>
    <w:rsid w:val="004F71DB"/>
    <w:rsid w:val="004F7B5B"/>
    <w:rsid w:val="005012A8"/>
    <w:rsid w:val="0050205A"/>
    <w:rsid w:val="0050255E"/>
    <w:rsid w:val="00502757"/>
    <w:rsid w:val="005032C7"/>
    <w:rsid w:val="00503352"/>
    <w:rsid w:val="00503357"/>
    <w:rsid w:val="00503980"/>
    <w:rsid w:val="00505235"/>
    <w:rsid w:val="005052F4"/>
    <w:rsid w:val="005055B1"/>
    <w:rsid w:val="0050609E"/>
    <w:rsid w:val="0050618C"/>
    <w:rsid w:val="00506217"/>
    <w:rsid w:val="0051092E"/>
    <w:rsid w:val="00514D19"/>
    <w:rsid w:val="00515334"/>
    <w:rsid w:val="00516325"/>
    <w:rsid w:val="00516FD5"/>
    <w:rsid w:val="005173DA"/>
    <w:rsid w:val="005206D8"/>
    <w:rsid w:val="00520B02"/>
    <w:rsid w:val="00520C33"/>
    <w:rsid w:val="00521BDD"/>
    <w:rsid w:val="005239B9"/>
    <w:rsid w:val="00523C06"/>
    <w:rsid w:val="00523C2B"/>
    <w:rsid w:val="00524E78"/>
    <w:rsid w:val="00525CC6"/>
    <w:rsid w:val="00527BF5"/>
    <w:rsid w:val="00527F84"/>
    <w:rsid w:val="00530D02"/>
    <w:rsid w:val="00531F04"/>
    <w:rsid w:val="00532B9C"/>
    <w:rsid w:val="00532D5C"/>
    <w:rsid w:val="005332DD"/>
    <w:rsid w:val="00533883"/>
    <w:rsid w:val="00534135"/>
    <w:rsid w:val="005400CD"/>
    <w:rsid w:val="00540AD3"/>
    <w:rsid w:val="00541D9E"/>
    <w:rsid w:val="00541DC6"/>
    <w:rsid w:val="005423EA"/>
    <w:rsid w:val="005423F7"/>
    <w:rsid w:val="00542B48"/>
    <w:rsid w:val="00542EA8"/>
    <w:rsid w:val="00542F3F"/>
    <w:rsid w:val="005432B4"/>
    <w:rsid w:val="00544960"/>
    <w:rsid w:val="00544F22"/>
    <w:rsid w:val="00546853"/>
    <w:rsid w:val="00546A9B"/>
    <w:rsid w:val="005477D0"/>
    <w:rsid w:val="00547A73"/>
    <w:rsid w:val="00550577"/>
    <w:rsid w:val="00550622"/>
    <w:rsid w:val="00550E34"/>
    <w:rsid w:val="005518BE"/>
    <w:rsid w:val="0055193B"/>
    <w:rsid w:val="005519F1"/>
    <w:rsid w:val="00552210"/>
    <w:rsid w:val="00552CF9"/>
    <w:rsid w:val="00552D93"/>
    <w:rsid w:val="00554334"/>
    <w:rsid w:val="0055450E"/>
    <w:rsid w:val="005546DE"/>
    <w:rsid w:val="00554D7C"/>
    <w:rsid w:val="00555342"/>
    <w:rsid w:val="00555928"/>
    <w:rsid w:val="005560CB"/>
    <w:rsid w:val="005569C6"/>
    <w:rsid w:val="00556FA7"/>
    <w:rsid w:val="005574FA"/>
    <w:rsid w:val="005579F5"/>
    <w:rsid w:val="005604B7"/>
    <w:rsid w:val="00560933"/>
    <w:rsid w:val="005618DE"/>
    <w:rsid w:val="0056211E"/>
    <w:rsid w:val="00563BFD"/>
    <w:rsid w:val="00564310"/>
    <w:rsid w:val="0056451B"/>
    <w:rsid w:val="0056514D"/>
    <w:rsid w:val="00565398"/>
    <w:rsid w:val="00565C27"/>
    <w:rsid w:val="00565FCA"/>
    <w:rsid w:val="005665B7"/>
    <w:rsid w:val="0056676E"/>
    <w:rsid w:val="00566825"/>
    <w:rsid w:val="00566C4A"/>
    <w:rsid w:val="0056718A"/>
    <w:rsid w:val="00567455"/>
    <w:rsid w:val="00567ADD"/>
    <w:rsid w:val="00570518"/>
    <w:rsid w:val="00570BCA"/>
    <w:rsid w:val="00571422"/>
    <w:rsid w:val="00574A80"/>
    <w:rsid w:val="005774D1"/>
    <w:rsid w:val="00580739"/>
    <w:rsid w:val="005818B8"/>
    <w:rsid w:val="0058292F"/>
    <w:rsid w:val="005832F9"/>
    <w:rsid w:val="00583BB6"/>
    <w:rsid w:val="005846D9"/>
    <w:rsid w:val="00584702"/>
    <w:rsid w:val="00586001"/>
    <w:rsid w:val="00587918"/>
    <w:rsid w:val="005879FB"/>
    <w:rsid w:val="005904F3"/>
    <w:rsid w:val="005905E1"/>
    <w:rsid w:val="005908FF"/>
    <w:rsid w:val="00591118"/>
    <w:rsid w:val="00591245"/>
    <w:rsid w:val="0059175D"/>
    <w:rsid w:val="005920B3"/>
    <w:rsid w:val="005920D2"/>
    <w:rsid w:val="00592174"/>
    <w:rsid w:val="005923C8"/>
    <w:rsid w:val="005934C0"/>
    <w:rsid w:val="005967E7"/>
    <w:rsid w:val="0059706B"/>
    <w:rsid w:val="0059738E"/>
    <w:rsid w:val="005974A3"/>
    <w:rsid w:val="005A0528"/>
    <w:rsid w:val="005A1A79"/>
    <w:rsid w:val="005A33FF"/>
    <w:rsid w:val="005A42BD"/>
    <w:rsid w:val="005A4ACE"/>
    <w:rsid w:val="005A6846"/>
    <w:rsid w:val="005A791C"/>
    <w:rsid w:val="005B0B0C"/>
    <w:rsid w:val="005B0B5B"/>
    <w:rsid w:val="005B25EC"/>
    <w:rsid w:val="005B2E31"/>
    <w:rsid w:val="005B35F2"/>
    <w:rsid w:val="005B372B"/>
    <w:rsid w:val="005B4C16"/>
    <w:rsid w:val="005B5311"/>
    <w:rsid w:val="005B7171"/>
    <w:rsid w:val="005C001C"/>
    <w:rsid w:val="005C1C6F"/>
    <w:rsid w:val="005C2A6C"/>
    <w:rsid w:val="005C372E"/>
    <w:rsid w:val="005C41C6"/>
    <w:rsid w:val="005C46D1"/>
    <w:rsid w:val="005C556D"/>
    <w:rsid w:val="005C5730"/>
    <w:rsid w:val="005C7CB6"/>
    <w:rsid w:val="005D0173"/>
    <w:rsid w:val="005D196D"/>
    <w:rsid w:val="005D19D4"/>
    <w:rsid w:val="005D2650"/>
    <w:rsid w:val="005D35BB"/>
    <w:rsid w:val="005D3819"/>
    <w:rsid w:val="005D5F7F"/>
    <w:rsid w:val="005D7A56"/>
    <w:rsid w:val="005D7F81"/>
    <w:rsid w:val="005E09EF"/>
    <w:rsid w:val="005E1274"/>
    <w:rsid w:val="005E13E0"/>
    <w:rsid w:val="005E1A54"/>
    <w:rsid w:val="005E22F9"/>
    <w:rsid w:val="005E2B44"/>
    <w:rsid w:val="005E36A0"/>
    <w:rsid w:val="005E4EC3"/>
    <w:rsid w:val="005E64B5"/>
    <w:rsid w:val="005E7457"/>
    <w:rsid w:val="005E74D7"/>
    <w:rsid w:val="005E790B"/>
    <w:rsid w:val="005F092A"/>
    <w:rsid w:val="005F1258"/>
    <w:rsid w:val="005F1A41"/>
    <w:rsid w:val="005F20D9"/>
    <w:rsid w:val="005F21A6"/>
    <w:rsid w:val="005F3117"/>
    <w:rsid w:val="005F641E"/>
    <w:rsid w:val="005F69DB"/>
    <w:rsid w:val="0060191C"/>
    <w:rsid w:val="00603D46"/>
    <w:rsid w:val="0060502A"/>
    <w:rsid w:val="006054D8"/>
    <w:rsid w:val="00605AE2"/>
    <w:rsid w:val="00607C65"/>
    <w:rsid w:val="00610143"/>
    <w:rsid w:val="00610187"/>
    <w:rsid w:val="006101B1"/>
    <w:rsid w:val="00610C2F"/>
    <w:rsid w:val="006118C4"/>
    <w:rsid w:val="00612021"/>
    <w:rsid w:val="006121DF"/>
    <w:rsid w:val="00612526"/>
    <w:rsid w:val="00612E5D"/>
    <w:rsid w:val="00612FD7"/>
    <w:rsid w:val="0061379E"/>
    <w:rsid w:val="0061451E"/>
    <w:rsid w:val="00614AE8"/>
    <w:rsid w:val="00614E01"/>
    <w:rsid w:val="0061522B"/>
    <w:rsid w:val="0061539D"/>
    <w:rsid w:val="0061583B"/>
    <w:rsid w:val="006159F1"/>
    <w:rsid w:val="00615B18"/>
    <w:rsid w:val="00621703"/>
    <w:rsid w:val="00621836"/>
    <w:rsid w:val="00621BAE"/>
    <w:rsid w:val="00621CAB"/>
    <w:rsid w:val="00621F58"/>
    <w:rsid w:val="00622178"/>
    <w:rsid w:val="00622325"/>
    <w:rsid w:val="00622348"/>
    <w:rsid w:val="00622BC4"/>
    <w:rsid w:val="0062399A"/>
    <w:rsid w:val="0062551A"/>
    <w:rsid w:val="00625F2E"/>
    <w:rsid w:val="00626100"/>
    <w:rsid w:val="00626476"/>
    <w:rsid w:val="00626AF7"/>
    <w:rsid w:val="00627115"/>
    <w:rsid w:val="00627AF1"/>
    <w:rsid w:val="0063017E"/>
    <w:rsid w:val="006310D8"/>
    <w:rsid w:val="00631BF9"/>
    <w:rsid w:val="00632FFF"/>
    <w:rsid w:val="0063341D"/>
    <w:rsid w:val="0063376F"/>
    <w:rsid w:val="0063450A"/>
    <w:rsid w:val="006349FA"/>
    <w:rsid w:val="00634CBF"/>
    <w:rsid w:val="0063605C"/>
    <w:rsid w:val="00636DFB"/>
    <w:rsid w:val="006378A2"/>
    <w:rsid w:val="00637E6E"/>
    <w:rsid w:val="006402BD"/>
    <w:rsid w:val="0064055F"/>
    <w:rsid w:val="0064061F"/>
    <w:rsid w:val="006408F0"/>
    <w:rsid w:val="006410D6"/>
    <w:rsid w:val="006411A5"/>
    <w:rsid w:val="00641221"/>
    <w:rsid w:val="0064177C"/>
    <w:rsid w:val="00641C8A"/>
    <w:rsid w:val="00641E83"/>
    <w:rsid w:val="00642736"/>
    <w:rsid w:val="00642B45"/>
    <w:rsid w:val="00642DF6"/>
    <w:rsid w:val="0064371D"/>
    <w:rsid w:val="006441D5"/>
    <w:rsid w:val="00645862"/>
    <w:rsid w:val="006458D8"/>
    <w:rsid w:val="00647191"/>
    <w:rsid w:val="00650DA7"/>
    <w:rsid w:val="0065221D"/>
    <w:rsid w:val="0065234B"/>
    <w:rsid w:val="00652887"/>
    <w:rsid w:val="00652E73"/>
    <w:rsid w:val="0065382D"/>
    <w:rsid w:val="00653B88"/>
    <w:rsid w:val="00654659"/>
    <w:rsid w:val="0065477A"/>
    <w:rsid w:val="00654786"/>
    <w:rsid w:val="00655087"/>
    <w:rsid w:val="006555A2"/>
    <w:rsid w:val="00655F4C"/>
    <w:rsid w:val="006560B9"/>
    <w:rsid w:val="0065777B"/>
    <w:rsid w:val="00657811"/>
    <w:rsid w:val="00661780"/>
    <w:rsid w:val="00662928"/>
    <w:rsid w:val="00662A89"/>
    <w:rsid w:val="00663D7F"/>
    <w:rsid w:val="00663FED"/>
    <w:rsid w:val="006645C5"/>
    <w:rsid w:val="00664C94"/>
    <w:rsid w:val="00667F99"/>
    <w:rsid w:val="006719DE"/>
    <w:rsid w:val="00672603"/>
    <w:rsid w:val="0067263F"/>
    <w:rsid w:val="00672C5E"/>
    <w:rsid w:val="00673C97"/>
    <w:rsid w:val="00673E15"/>
    <w:rsid w:val="00673F30"/>
    <w:rsid w:val="00674201"/>
    <w:rsid w:val="00674566"/>
    <w:rsid w:val="006746B1"/>
    <w:rsid w:val="00676BEF"/>
    <w:rsid w:val="006773DC"/>
    <w:rsid w:val="006808E8"/>
    <w:rsid w:val="00682FE2"/>
    <w:rsid w:val="00684284"/>
    <w:rsid w:val="00684579"/>
    <w:rsid w:val="00685C62"/>
    <w:rsid w:val="00686750"/>
    <w:rsid w:val="00686CBD"/>
    <w:rsid w:val="00686CC5"/>
    <w:rsid w:val="0068700B"/>
    <w:rsid w:val="006905E5"/>
    <w:rsid w:val="00692216"/>
    <w:rsid w:val="0069268C"/>
    <w:rsid w:val="006931C9"/>
    <w:rsid w:val="0069559D"/>
    <w:rsid w:val="006956DC"/>
    <w:rsid w:val="00695A9D"/>
    <w:rsid w:val="00695D67"/>
    <w:rsid w:val="00696F8C"/>
    <w:rsid w:val="0069700C"/>
    <w:rsid w:val="00697037"/>
    <w:rsid w:val="006975C1"/>
    <w:rsid w:val="00697680"/>
    <w:rsid w:val="00697687"/>
    <w:rsid w:val="00697801"/>
    <w:rsid w:val="00697BE9"/>
    <w:rsid w:val="00697C6C"/>
    <w:rsid w:val="006A0552"/>
    <w:rsid w:val="006A061D"/>
    <w:rsid w:val="006A074F"/>
    <w:rsid w:val="006A0A2C"/>
    <w:rsid w:val="006A31B4"/>
    <w:rsid w:val="006A4884"/>
    <w:rsid w:val="006A498A"/>
    <w:rsid w:val="006A54E3"/>
    <w:rsid w:val="006A55D7"/>
    <w:rsid w:val="006A6FDB"/>
    <w:rsid w:val="006A7AD1"/>
    <w:rsid w:val="006B1428"/>
    <w:rsid w:val="006B1B5F"/>
    <w:rsid w:val="006B20CA"/>
    <w:rsid w:val="006B244E"/>
    <w:rsid w:val="006B3CBA"/>
    <w:rsid w:val="006B40EB"/>
    <w:rsid w:val="006B440B"/>
    <w:rsid w:val="006B49D7"/>
    <w:rsid w:val="006B5189"/>
    <w:rsid w:val="006B7FA3"/>
    <w:rsid w:val="006C09DE"/>
    <w:rsid w:val="006C1055"/>
    <w:rsid w:val="006C3E9D"/>
    <w:rsid w:val="006C44B9"/>
    <w:rsid w:val="006C4E12"/>
    <w:rsid w:val="006C4FA4"/>
    <w:rsid w:val="006C51D6"/>
    <w:rsid w:val="006C5273"/>
    <w:rsid w:val="006C6552"/>
    <w:rsid w:val="006C67DC"/>
    <w:rsid w:val="006C7D91"/>
    <w:rsid w:val="006C7FED"/>
    <w:rsid w:val="006D0C85"/>
    <w:rsid w:val="006D17BD"/>
    <w:rsid w:val="006D1E5E"/>
    <w:rsid w:val="006D2301"/>
    <w:rsid w:val="006D2ED9"/>
    <w:rsid w:val="006D3116"/>
    <w:rsid w:val="006D4052"/>
    <w:rsid w:val="006D425B"/>
    <w:rsid w:val="006D5F12"/>
    <w:rsid w:val="006D5F42"/>
    <w:rsid w:val="006D6BB8"/>
    <w:rsid w:val="006D6F56"/>
    <w:rsid w:val="006D7D80"/>
    <w:rsid w:val="006E009B"/>
    <w:rsid w:val="006E0AA5"/>
    <w:rsid w:val="006E17AC"/>
    <w:rsid w:val="006E24C6"/>
    <w:rsid w:val="006E32F6"/>
    <w:rsid w:val="006E5187"/>
    <w:rsid w:val="006E60D8"/>
    <w:rsid w:val="006E60E5"/>
    <w:rsid w:val="006E6F95"/>
    <w:rsid w:val="006F098A"/>
    <w:rsid w:val="006F0B83"/>
    <w:rsid w:val="006F2475"/>
    <w:rsid w:val="006F41FD"/>
    <w:rsid w:val="006F4E80"/>
    <w:rsid w:val="006F5860"/>
    <w:rsid w:val="006F735E"/>
    <w:rsid w:val="00701836"/>
    <w:rsid w:val="00701987"/>
    <w:rsid w:val="00701F70"/>
    <w:rsid w:val="00702650"/>
    <w:rsid w:val="00702CEE"/>
    <w:rsid w:val="00702E4B"/>
    <w:rsid w:val="0070480D"/>
    <w:rsid w:val="0070519E"/>
    <w:rsid w:val="00705E50"/>
    <w:rsid w:val="007062E3"/>
    <w:rsid w:val="00706936"/>
    <w:rsid w:val="0070769C"/>
    <w:rsid w:val="00707C0C"/>
    <w:rsid w:val="00710208"/>
    <w:rsid w:val="007108F9"/>
    <w:rsid w:val="007109AD"/>
    <w:rsid w:val="00710E06"/>
    <w:rsid w:val="00710E6C"/>
    <w:rsid w:val="0071100B"/>
    <w:rsid w:val="00712721"/>
    <w:rsid w:val="00712BF1"/>
    <w:rsid w:val="0071525F"/>
    <w:rsid w:val="00715914"/>
    <w:rsid w:val="00716194"/>
    <w:rsid w:val="00716A49"/>
    <w:rsid w:val="00716CC2"/>
    <w:rsid w:val="00716E01"/>
    <w:rsid w:val="0071759D"/>
    <w:rsid w:val="00720449"/>
    <w:rsid w:val="00720549"/>
    <w:rsid w:val="0072079B"/>
    <w:rsid w:val="00720E07"/>
    <w:rsid w:val="0072166A"/>
    <w:rsid w:val="00722184"/>
    <w:rsid w:val="007229D7"/>
    <w:rsid w:val="00722B67"/>
    <w:rsid w:val="0072401B"/>
    <w:rsid w:val="00724474"/>
    <w:rsid w:val="007269A0"/>
    <w:rsid w:val="00726EF0"/>
    <w:rsid w:val="00730268"/>
    <w:rsid w:val="00730362"/>
    <w:rsid w:val="00730EDD"/>
    <w:rsid w:val="007332F9"/>
    <w:rsid w:val="00733944"/>
    <w:rsid w:val="00734125"/>
    <w:rsid w:val="00734C7C"/>
    <w:rsid w:val="0073535F"/>
    <w:rsid w:val="007354DE"/>
    <w:rsid w:val="00735A85"/>
    <w:rsid w:val="007365DE"/>
    <w:rsid w:val="00736E2F"/>
    <w:rsid w:val="00736FD6"/>
    <w:rsid w:val="0073714D"/>
    <w:rsid w:val="007372B9"/>
    <w:rsid w:val="00737F17"/>
    <w:rsid w:val="0074068F"/>
    <w:rsid w:val="0074103A"/>
    <w:rsid w:val="0074264B"/>
    <w:rsid w:val="00742778"/>
    <w:rsid w:val="0074318B"/>
    <w:rsid w:val="0074415C"/>
    <w:rsid w:val="00744E97"/>
    <w:rsid w:val="00746510"/>
    <w:rsid w:val="00746790"/>
    <w:rsid w:val="0074696F"/>
    <w:rsid w:val="00746DFC"/>
    <w:rsid w:val="00746E29"/>
    <w:rsid w:val="00747060"/>
    <w:rsid w:val="00747BD5"/>
    <w:rsid w:val="0075019B"/>
    <w:rsid w:val="0075052A"/>
    <w:rsid w:val="00751144"/>
    <w:rsid w:val="007512D0"/>
    <w:rsid w:val="0075223F"/>
    <w:rsid w:val="00752DCE"/>
    <w:rsid w:val="00752F39"/>
    <w:rsid w:val="00753727"/>
    <w:rsid w:val="00753D28"/>
    <w:rsid w:val="00755404"/>
    <w:rsid w:val="00755676"/>
    <w:rsid w:val="00755BE7"/>
    <w:rsid w:val="00760E65"/>
    <w:rsid w:val="00763B07"/>
    <w:rsid w:val="00763D41"/>
    <w:rsid w:val="00764CDA"/>
    <w:rsid w:val="00766CD4"/>
    <w:rsid w:val="00766DA8"/>
    <w:rsid w:val="0077122E"/>
    <w:rsid w:val="0077147D"/>
    <w:rsid w:val="007736D7"/>
    <w:rsid w:val="00777C04"/>
    <w:rsid w:val="007814A1"/>
    <w:rsid w:val="0078165F"/>
    <w:rsid w:val="00782CB2"/>
    <w:rsid w:val="00785D09"/>
    <w:rsid w:val="00786C6C"/>
    <w:rsid w:val="007871E0"/>
    <w:rsid w:val="00790072"/>
    <w:rsid w:val="00791FB2"/>
    <w:rsid w:val="00792569"/>
    <w:rsid w:val="0079293C"/>
    <w:rsid w:val="00792AFC"/>
    <w:rsid w:val="007935A6"/>
    <w:rsid w:val="007936E5"/>
    <w:rsid w:val="00793A96"/>
    <w:rsid w:val="007954A3"/>
    <w:rsid w:val="007958F9"/>
    <w:rsid w:val="00796231"/>
    <w:rsid w:val="007A13BA"/>
    <w:rsid w:val="007A2335"/>
    <w:rsid w:val="007A29C5"/>
    <w:rsid w:val="007A3A15"/>
    <w:rsid w:val="007A3DCC"/>
    <w:rsid w:val="007A5050"/>
    <w:rsid w:val="007A54C4"/>
    <w:rsid w:val="007A6BC9"/>
    <w:rsid w:val="007B0185"/>
    <w:rsid w:val="007B0908"/>
    <w:rsid w:val="007B0A56"/>
    <w:rsid w:val="007B0B62"/>
    <w:rsid w:val="007B1652"/>
    <w:rsid w:val="007B1948"/>
    <w:rsid w:val="007B2B23"/>
    <w:rsid w:val="007B37AF"/>
    <w:rsid w:val="007B4B9B"/>
    <w:rsid w:val="007B525A"/>
    <w:rsid w:val="007B7493"/>
    <w:rsid w:val="007C159C"/>
    <w:rsid w:val="007C285A"/>
    <w:rsid w:val="007C3F76"/>
    <w:rsid w:val="007C425D"/>
    <w:rsid w:val="007C431E"/>
    <w:rsid w:val="007C58EE"/>
    <w:rsid w:val="007C667F"/>
    <w:rsid w:val="007C7E77"/>
    <w:rsid w:val="007D0FA3"/>
    <w:rsid w:val="007D23EC"/>
    <w:rsid w:val="007D3668"/>
    <w:rsid w:val="007D3CF3"/>
    <w:rsid w:val="007D40E6"/>
    <w:rsid w:val="007D585D"/>
    <w:rsid w:val="007D6401"/>
    <w:rsid w:val="007D69B2"/>
    <w:rsid w:val="007D76D3"/>
    <w:rsid w:val="007D7ECD"/>
    <w:rsid w:val="007E0897"/>
    <w:rsid w:val="007E0DEA"/>
    <w:rsid w:val="007E1C66"/>
    <w:rsid w:val="007E2147"/>
    <w:rsid w:val="007E250D"/>
    <w:rsid w:val="007E25C6"/>
    <w:rsid w:val="007E3C59"/>
    <w:rsid w:val="007E3F1E"/>
    <w:rsid w:val="007E52C3"/>
    <w:rsid w:val="007E5822"/>
    <w:rsid w:val="007E596F"/>
    <w:rsid w:val="007E70AC"/>
    <w:rsid w:val="007E7329"/>
    <w:rsid w:val="007E735C"/>
    <w:rsid w:val="007E796B"/>
    <w:rsid w:val="007E7A85"/>
    <w:rsid w:val="007F0197"/>
    <w:rsid w:val="007F0281"/>
    <w:rsid w:val="007F0870"/>
    <w:rsid w:val="007F1923"/>
    <w:rsid w:val="007F1FB0"/>
    <w:rsid w:val="007F263B"/>
    <w:rsid w:val="007F2D03"/>
    <w:rsid w:val="007F2DC8"/>
    <w:rsid w:val="007F311C"/>
    <w:rsid w:val="007F428A"/>
    <w:rsid w:val="007F5437"/>
    <w:rsid w:val="007F5BE2"/>
    <w:rsid w:val="007F681B"/>
    <w:rsid w:val="007F6EA8"/>
    <w:rsid w:val="007F7723"/>
    <w:rsid w:val="007F7A9A"/>
    <w:rsid w:val="007F7E3C"/>
    <w:rsid w:val="0080057F"/>
    <w:rsid w:val="008005B3"/>
    <w:rsid w:val="0080262B"/>
    <w:rsid w:val="0080381D"/>
    <w:rsid w:val="00803BBF"/>
    <w:rsid w:val="00804302"/>
    <w:rsid w:val="008045A7"/>
    <w:rsid w:val="00804F2A"/>
    <w:rsid w:val="00805133"/>
    <w:rsid w:val="00806680"/>
    <w:rsid w:val="00806DBA"/>
    <w:rsid w:val="00806F80"/>
    <w:rsid w:val="008073B4"/>
    <w:rsid w:val="00807903"/>
    <w:rsid w:val="008079DB"/>
    <w:rsid w:val="008111C0"/>
    <w:rsid w:val="00811217"/>
    <w:rsid w:val="00811BBF"/>
    <w:rsid w:val="00811C66"/>
    <w:rsid w:val="0081270A"/>
    <w:rsid w:val="008142B6"/>
    <w:rsid w:val="008144E5"/>
    <w:rsid w:val="008149BD"/>
    <w:rsid w:val="00814E34"/>
    <w:rsid w:val="008156EB"/>
    <w:rsid w:val="008158EE"/>
    <w:rsid w:val="0081603E"/>
    <w:rsid w:val="00816EB3"/>
    <w:rsid w:val="0082289B"/>
    <w:rsid w:val="008228F8"/>
    <w:rsid w:val="00823642"/>
    <w:rsid w:val="008244D7"/>
    <w:rsid w:val="008252B3"/>
    <w:rsid w:val="00825356"/>
    <w:rsid w:val="0082580C"/>
    <w:rsid w:val="00826339"/>
    <w:rsid w:val="00826661"/>
    <w:rsid w:val="008277BB"/>
    <w:rsid w:val="00831CDA"/>
    <w:rsid w:val="00831D40"/>
    <w:rsid w:val="00832530"/>
    <w:rsid w:val="008329A3"/>
    <w:rsid w:val="00833449"/>
    <w:rsid w:val="00833850"/>
    <w:rsid w:val="0083491C"/>
    <w:rsid w:val="00834DFD"/>
    <w:rsid w:val="00835FE7"/>
    <w:rsid w:val="0083696C"/>
    <w:rsid w:val="00837484"/>
    <w:rsid w:val="00837B94"/>
    <w:rsid w:val="00837BC3"/>
    <w:rsid w:val="008404B1"/>
    <w:rsid w:val="00840C66"/>
    <w:rsid w:val="008417D5"/>
    <w:rsid w:val="008417F4"/>
    <w:rsid w:val="008418F1"/>
    <w:rsid w:val="008434A1"/>
    <w:rsid w:val="00844A58"/>
    <w:rsid w:val="00845733"/>
    <w:rsid w:val="00846751"/>
    <w:rsid w:val="008471DD"/>
    <w:rsid w:val="0084766E"/>
    <w:rsid w:val="00847CCA"/>
    <w:rsid w:val="00847E3B"/>
    <w:rsid w:val="00851C43"/>
    <w:rsid w:val="00851EA5"/>
    <w:rsid w:val="00852350"/>
    <w:rsid w:val="00852591"/>
    <w:rsid w:val="008547C1"/>
    <w:rsid w:val="00854804"/>
    <w:rsid w:val="00855877"/>
    <w:rsid w:val="00855BC2"/>
    <w:rsid w:val="00856761"/>
    <w:rsid w:val="00857347"/>
    <w:rsid w:val="008573D5"/>
    <w:rsid w:val="00861C0C"/>
    <w:rsid w:val="00862394"/>
    <w:rsid w:val="008625BD"/>
    <w:rsid w:val="00864050"/>
    <w:rsid w:val="008640E5"/>
    <w:rsid w:val="008644BF"/>
    <w:rsid w:val="00865499"/>
    <w:rsid w:val="008667F8"/>
    <w:rsid w:val="00866B89"/>
    <w:rsid w:val="008670AA"/>
    <w:rsid w:val="0086721C"/>
    <w:rsid w:val="00870443"/>
    <w:rsid w:val="00870E00"/>
    <w:rsid w:val="00870E0E"/>
    <w:rsid w:val="00871C11"/>
    <w:rsid w:val="00873D7F"/>
    <w:rsid w:val="00875482"/>
    <w:rsid w:val="00875AC5"/>
    <w:rsid w:val="00876A6B"/>
    <w:rsid w:val="008777D3"/>
    <w:rsid w:val="00880CA5"/>
    <w:rsid w:val="008810B3"/>
    <w:rsid w:val="00881DCA"/>
    <w:rsid w:val="00883B03"/>
    <w:rsid w:val="0088505F"/>
    <w:rsid w:val="0088519A"/>
    <w:rsid w:val="00890C8F"/>
    <w:rsid w:val="00891F22"/>
    <w:rsid w:val="0089338F"/>
    <w:rsid w:val="008937D9"/>
    <w:rsid w:val="0089410E"/>
    <w:rsid w:val="00894C94"/>
    <w:rsid w:val="00894D12"/>
    <w:rsid w:val="00894E26"/>
    <w:rsid w:val="00895D2A"/>
    <w:rsid w:val="00896C4C"/>
    <w:rsid w:val="00896FD8"/>
    <w:rsid w:val="008979BE"/>
    <w:rsid w:val="008A180E"/>
    <w:rsid w:val="008A1923"/>
    <w:rsid w:val="008A20CD"/>
    <w:rsid w:val="008A20DA"/>
    <w:rsid w:val="008A26BC"/>
    <w:rsid w:val="008A26D8"/>
    <w:rsid w:val="008A37CD"/>
    <w:rsid w:val="008A3B3A"/>
    <w:rsid w:val="008A5B8F"/>
    <w:rsid w:val="008A5D20"/>
    <w:rsid w:val="008A5EC4"/>
    <w:rsid w:val="008A6BDF"/>
    <w:rsid w:val="008A716B"/>
    <w:rsid w:val="008B01AA"/>
    <w:rsid w:val="008B02CC"/>
    <w:rsid w:val="008B0BE3"/>
    <w:rsid w:val="008B0E73"/>
    <w:rsid w:val="008B10DD"/>
    <w:rsid w:val="008B1A14"/>
    <w:rsid w:val="008B1DDF"/>
    <w:rsid w:val="008B2257"/>
    <w:rsid w:val="008B2AEE"/>
    <w:rsid w:val="008B5B4F"/>
    <w:rsid w:val="008B7538"/>
    <w:rsid w:val="008B789E"/>
    <w:rsid w:val="008B7EFF"/>
    <w:rsid w:val="008C0E13"/>
    <w:rsid w:val="008C2CAB"/>
    <w:rsid w:val="008C3CC7"/>
    <w:rsid w:val="008C5757"/>
    <w:rsid w:val="008C5A60"/>
    <w:rsid w:val="008C7FBE"/>
    <w:rsid w:val="008D2721"/>
    <w:rsid w:val="008D4222"/>
    <w:rsid w:val="008D448D"/>
    <w:rsid w:val="008D4641"/>
    <w:rsid w:val="008D48DD"/>
    <w:rsid w:val="008D5555"/>
    <w:rsid w:val="008D56A6"/>
    <w:rsid w:val="008D5B12"/>
    <w:rsid w:val="008D5E3B"/>
    <w:rsid w:val="008E114F"/>
    <w:rsid w:val="008E79F6"/>
    <w:rsid w:val="008E7A56"/>
    <w:rsid w:val="008E7C63"/>
    <w:rsid w:val="008F1A68"/>
    <w:rsid w:val="008F1B79"/>
    <w:rsid w:val="008F1D44"/>
    <w:rsid w:val="008F24C0"/>
    <w:rsid w:val="008F2908"/>
    <w:rsid w:val="008F2DEE"/>
    <w:rsid w:val="008F33FE"/>
    <w:rsid w:val="008F3A92"/>
    <w:rsid w:val="008F43DC"/>
    <w:rsid w:val="008F4C5B"/>
    <w:rsid w:val="008F56AE"/>
    <w:rsid w:val="008F71EA"/>
    <w:rsid w:val="00900E61"/>
    <w:rsid w:val="00900F5C"/>
    <w:rsid w:val="0090169C"/>
    <w:rsid w:val="0090207B"/>
    <w:rsid w:val="0090278A"/>
    <w:rsid w:val="009029A5"/>
    <w:rsid w:val="00902FB3"/>
    <w:rsid w:val="0090309F"/>
    <w:rsid w:val="00903C83"/>
    <w:rsid w:val="00905920"/>
    <w:rsid w:val="0090737A"/>
    <w:rsid w:val="00910A12"/>
    <w:rsid w:val="00910BEF"/>
    <w:rsid w:val="009136F9"/>
    <w:rsid w:val="00913C5B"/>
    <w:rsid w:val="00915095"/>
    <w:rsid w:val="00915F06"/>
    <w:rsid w:val="00916274"/>
    <w:rsid w:val="00917AB1"/>
    <w:rsid w:val="0092016B"/>
    <w:rsid w:val="009203F6"/>
    <w:rsid w:val="0092078E"/>
    <w:rsid w:val="00921161"/>
    <w:rsid w:val="00921575"/>
    <w:rsid w:val="00921A54"/>
    <w:rsid w:val="00922F79"/>
    <w:rsid w:val="009233E7"/>
    <w:rsid w:val="009238D1"/>
    <w:rsid w:val="00923D04"/>
    <w:rsid w:val="00923E29"/>
    <w:rsid w:val="00924154"/>
    <w:rsid w:val="00924749"/>
    <w:rsid w:val="00925305"/>
    <w:rsid w:val="0092599A"/>
    <w:rsid w:val="009259A6"/>
    <w:rsid w:val="00925C39"/>
    <w:rsid w:val="00926435"/>
    <w:rsid w:val="00927853"/>
    <w:rsid w:val="009301C8"/>
    <w:rsid w:val="0093066A"/>
    <w:rsid w:val="00930A8A"/>
    <w:rsid w:val="00930D40"/>
    <w:rsid w:val="0093135B"/>
    <w:rsid w:val="0093172E"/>
    <w:rsid w:val="00931745"/>
    <w:rsid w:val="009319E4"/>
    <w:rsid w:val="009320BE"/>
    <w:rsid w:val="0093245D"/>
    <w:rsid w:val="00932DF7"/>
    <w:rsid w:val="00933C68"/>
    <w:rsid w:val="00933F3E"/>
    <w:rsid w:val="00934A1D"/>
    <w:rsid w:val="00935FFF"/>
    <w:rsid w:val="00936346"/>
    <w:rsid w:val="00936873"/>
    <w:rsid w:val="00937630"/>
    <w:rsid w:val="00937EE0"/>
    <w:rsid w:val="00941A38"/>
    <w:rsid w:val="00942BBB"/>
    <w:rsid w:val="00942CEB"/>
    <w:rsid w:val="00943317"/>
    <w:rsid w:val="0094343A"/>
    <w:rsid w:val="00943DB0"/>
    <w:rsid w:val="009445C2"/>
    <w:rsid w:val="00945ABF"/>
    <w:rsid w:val="00946C5F"/>
    <w:rsid w:val="009479BC"/>
    <w:rsid w:val="009479CD"/>
    <w:rsid w:val="009502B2"/>
    <w:rsid w:val="00951903"/>
    <w:rsid w:val="00953BF5"/>
    <w:rsid w:val="0095432D"/>
    <w:rsid w:val="009549CE"/>
    <w:rsid w:val="00954F6E"/>
    <w:rsid w:val="0095532D"/>
    <w:rsid w:val="00955846"/>
    <w:rsid w:val="00955E45"/>
    <w:rsid w:val="009564D7"/>
    <w:rsid w:val="00956ED1"/>
    <w:rsid w:val="0095730D"/>
    <w:rsid w:val="009573AE"/>
    <w:rsid w:val="009577FF"/>
    <w:rsid w:val="00957A7B"/>
    <w:rsid w:val="00957C7E"/>
    <w:rsid w:val="00960DFF"/>
    <w:rsid w:val="0096160F"/>
    <w:rsid w:val="009636E0"/>
    <w:rsid w:val="00964B00"/>
    <w:rsid w:val="00964C56"/>
    <w:rsid w:val="00965D9A"/>
    <w:rsid w:val="00966E1A"/>
    <w:rsid w:val="009701A7"/>
    <w:rsid w:val="00971480"/>
    <w:rsid w:val="00971857"/>
    <w:rsid w:val="0097200B"/>
    <w:rsid w:val="0097248F"/>
    <w:rsid w:val="0097299C"/>
    <w:rsid w:val="00972BC9"/>
    <w:rsid w:val="00974714"/>
    <w:rsid w:val="00974BDC"/>
    <w:rsid w:val="00974FDB"/>
    <w:rsid w:val="0097717F"/>
    <w:rsid w:val="009801B6"/>
    <w:rsid w:val="0098119E"/>
    <w:rsid w:val="0098163F"/>
    <w:rsid w:val="009836DF"/>
    <w:rsid w:val="009840BA"/>
    <w:rsid w:val="00984638"/>
    <w:rsid w:val="00984E8B"/>
    <w:rsid w:val="009867EF"/>
    <w:rsid w:val="00986BB9"/>
    <w:rsid w:val="0098796E"/>
    <w:rsid w:val="0099115A"/>
    <w:rsid w:val="00991441"/>
    <w:rsid w:val="0099295B"/>
    <w:rsid w:val="00992BF6"/>
    <w:rsid w:val="00992FA0"/>
    <w:rsid w:val="00994116"/>
    <w:rsid w:val="0099449B"/>
    <w:rsid w:val="009947DB"/>
    <w:rsid w:val="00994D7E"/>
    <w:rsid w:val="00994E48"/>
    <w:rsid w:val="0099537A"/>
    <w:rsid w:val="0099601C"/>
    <w:rsid w:val="009971EA"/>
    <w:rsid w:val="00997702"/>
    <w:rsid w:val="009978D8"/>
    <w:rsid w:val="009A08F7"/>
    <w:rsid w:val="009A18B1"/>
    <w:rsid w:val="009A1FF1"/>
    <w:rsid w:val="009A21C5"/>
    <w:rsid w:val="009A281C"/>
    <w:rsid w:val="009A2D1C"/>
    <w:rsid w:val="009A428D"/>
    <w:rsid w:val="009A453D"/>
    <w:rsid w:val="009A46B6"/>
    <w:rsid w:val="009A656B"/>
    <w:rsid w:val="009A73A9"/>
    <w:rsid w:val="009A7443"/>
    <w:rsid w:val="009A7C43"/>
    <w:rsid w:val="009A7DE1"/>
    <w:rsid w:val="009B1383"/>
    <w:rsid w:val="009B2BEB"/>
    <w:rsid w:val="009B2D2B"/>
    <w:rsid w:val="009B3472"/>
    <w:rsid w:val="009B3566"/>
    <w:rsid w:val="009B4E99"/>
    <w:rsid w:val="009B5486"/>
    <w:rsid w:val="009B5AA0"/>
    <w:rsid w:val="009B75D1"/>
    <w:rsid w:val="009B7602"/>
    <w:rsid w:val="009C00B6"/>
    <w:rsid w:val="009C0CB4"/>
    <w:rsid w:val="009C1050"/>
    <w:rsid w:val="009C1EA0"/>
    <w:rsid w:val="009C27E4"/>
    <w:rsid w:val="009C303A"/>
    <w:rsid w:val="009C3A17"/>
    <w:rsid w:val="009C3F35"/>
    <w:rsid w:val="009C47DE"/>
    <w:rsid w:val="009C4D38"/>
    <w:rsid w:val="009C4F08"/>
    <w:rsid w:val="009C501E"/>
    <w:rsid w:val="009C50FC"/>
    <w:rsid w:val="009C63AE"/>
    <w:rsid w:val="009C7A17"/>
    <w:rsid w:val="009D0302"/>
    <w:rsid w:val="009D0479"/>
    <w:rsid w:val="009D06BF"/>
    <w:rsid w:val="009D0924"/>
    <w:rsid w:val="009D34D2"/>
    <w:rsid w:val="009D490D"/>
    <w:rsid w:val="009D55DE"/>
    <w:rsid w:val="009D56B4"/>
    <w:rsid w:val="009D5D3C"/>
    <w:rsid w:val="009E0C50"/>
    <w:rsid w:val="009E2755"/>
    <w:rsid w:val="009E2AC6"/>
    <w:rsid w:val="009E2E81"/>
    <w:rsid w:val="009E3694"/>
    <w:rsid w:val="009E4155"/>
    <w:rsid w:val="009E43C3"/>
    <w:rsid w:val="009E46C5"/>
    <w:rsid w:val="009E486D"/>
    <w:rsid w:val="009E4CCF"/>
    <w:rsid w:val="009E50FD"/>
    <w:rsid w:val="009E5D13"/>
    <w:rsid w:val="009E5FB2"/>
    <w:rsid w:val="009E61C0"/>
    <w:rsid w:val="009E6948"/>
    <w:rsid w:val="009E6D09"/>
    <w:rsid w:val="009E6DD4"/>
    <w:rsid w:val="009E7648"/>
    <w:rsid w:val="009F017C"/>
    <w:rsid w:val="009F0727"/>
    <w:rsid w:val="009F1081"/>
    <w:rsid w:val="009F1B35"/>
    <w:rsid w:val="009F245B"/>
    <w:rsid w:val="009F3629"/>
    <w:rsid w:val="009F3C30"/>
    <w:rsid w:val="009F48B4"/>
    <w:rsid w:val="009F6F14"/>
    <w:rsid w:val="009F6F44"/>
    <w:rsid w:val="009F70DB"/>
    <w:rsid w:val="00A00529"/>
    <w:rsid w:val="00A005E6"/>
    <w:rsid w:val="00A01504"/>
    <w:rsid w:val="00A01773"/>
    <w:rsid w:val="00A04394"/>
    <w:rsid w:val="00A04759"/>
    <w:rsid w:val="00A06558"/>
    <w:rsid w:val="00A06614"/>
    <w:rsid w:val="00A0665E"/>
    <w:rsid w:val="00A0689F"/>
    <w:rsid w:val="00A077D6"/>
    <w:rsid w:val="00A10B4B"/>
    <w:rsid w:val="00A11124"/>
    <w:rsid w:val="00A114DD"/>
    <w:rsid w:val="00A11B7F"/>
    <w:rsid w:val="00A12039"/>
    <w:rsid w:val="00A138B3"/>
    <w:rsid w:val="00A14C60"/>
    <w:rsid w:val="00A15B50"/>
    <w:rsid w:val="00A16296"/>
    <w:rsid w:val="00A16B99"/>
    <w:rsid w:val="00A16F74"/>
    <w:rsid w:val="00A17663"/>
    <w:rsid w:val="00A17DF4"/>
    <w:rsid w:val="00A202CE"/>
    <w:rsid w:val="00A21B5A"/>
    <w:rsid w:val="00A253F8"/>
    <w:rsid w:val="00A25F67"/>
    <w:rsid w:val="00A2661C"/>
    <w:rsid w:val="00A26CD7"/>
    <w:rsid w:val="00A30C27"/>
    <w:rsid w:val="00A30E40"/>
    <w:rsid w:val="00A3162C"/>
    <w:rsid w:val="00A31AFC"/>
    <w:rsid w:val="00A32422"/>
    <w:rsid w:val="00A32B05"/>
    <w:rsid w:val="00A32E38"/>
    <w:rsid w:val="00A34A3A"/>
    <w:rsid w:val="00A34AC3"/>
    <w:rsid w:val="00A3536A"/>
    <w:rsid w:val="00A36B59"/>
    <w:rsid w:val="00A378A7"/>
    <w:rsid w:val="00A37CE5"/>
    <w:rsid w:val="00A404B1"/>
    <w:rsid w:val="00A408F2"/>
    <w:rsid w:val="00A424B1"/>
    <w:rsid w:val="00A434D9"/>
    <w:rsid w:val="00A435E5"/>
    <w:rsid w:val="00A44129"/>
    <w:rsid w:val="00A44FB7"/>
    <w:rsid w:val="00A46093"/>
    <w:rsid w:val="00A46784"/>
    <w:rsid w:val="00A46EC6"/>
    <w:rsid w:val="00A46FB9"/>
    <w:rsid w:val="00A47071"/>
    <w:rsid w:val="00A47DA4"/>
    <w:rsid w:val="00A50698"/>
    <w:rsid w:val="00A51E43"/>
    <w:rsid w:val="00A54B18"/>
    <w:rsid w:val="00A55A64"/>
    <w:rsid w:val="00A61DE2"/>
    <w:rsid w:val="00A63970"/>
    <w:rsid w:val="00A652B8"/>
    <w:rsid w:val="00A65B73"/>
    <w:rsid w:val="00A67058"/>
    <w:rsid w:val="00A6737F"/>
    <w:rsid w:val="00A67762"/>
    <w:rsid w:val="00A71371"/>
    <w:rsid w:val="00A71696"/>
    <w:rsid w:val="00A7295D"/>
    <w:rsid w:val="00A72B12"/>
    <w:rsid w:val="00A73B69"/>
    <w:rsid w:val="00A73CD5"/>
    <w:rsid w:val="00A73D05"/>
    <w:rsid w:val="00A74E96"/>
    <w:rsid w:val="00A753C9"/>
    <w:rsid w:val="00A759D9"/>
    <w:rsid w:val="00A75FF2"/>
    <w:rsid w:val="00A808AC"/>
    <w:rsid w:val="00A81C2D"/>
    <w:rsid w:val="00A82ADF"/>
    <w:rsid w:val="00A835F2"/>
    <w:rsid w:val="00A83611"/>
    <w:rsid w:val="00A84657"/>
    <w:rsid w:val="00A84F67"/>
    <w:rsid w:val="00A8598D"/>
    <w:rsid w:val="00A861F6"/>
    <w:rsid w:val="00A8795E"/>
    <w:rsid w:val="00A902DE"/>
    <w:rsid w:val="00A9156B"/>
    <w:rsid w:val="00A91FB2"/>
    <w:rsid w:val="00A92291"/>
    <w:rsid w:val="00A92DC1"/>
    <w:rsid w:val="00A9444D"/>
    <w:rsid w:val="00A95E52"/>
    <w:rsid w:val="00A96386"/>
    <w:rsid w:val="00A96AAA"/>
    <w:rsid w:val="00A96DC0"/>
    <w:rsid w:val="00A96FFD"/>
    <w:rsid w:val="00A973BA"/>
    <w:rsid w:val="00AA08BB"/>
    <w:rsid w:val="00AA0A2D"/>
    <w:rsid w:val="00AA19D6"/>
    <w:rsid w:val="00AA20C9"/>
    <w:rsid w:val="00AA2CBC"/>
    <w:rsid w:val="00AA33B4"/>
    <w:rsid w:val="00AA3FF2"/>
    <w:rsid w:val="00AA4CDC"/>
    <w:rsid w:val="00AA534C"/>
    <w:rsid w:val="00AA543F"/>
    <w:rsid w:val="00AA67E3"/>
    <w:rsid w:val="00AA6AB5"/>
    <w:rsid w:val="00AA6D33"/>
    <w:rsid w:val="00AA6D42"/>
    <w:rsid w:val="00AA7D47"/>
    <w:rsid w:val="00AB0762"/>
    <w:rsid w:val="00AB0F8B"/>
    <w:rsid w:val="00AB118B"/>
    <w:rsid w:val="00AB19E5"/>
    <w:rsid w:val="00AB2EB5"/>
    <w:rsid w:val="00AB386E"/>
    <w:rsid w:val="00AB3B2F"/>
    <w:rsid w:val="00AB3ECD"/>
    <w:rsid w:val="00AB4374"/>
    <w:rsid w:val="00AB53BD"/>
    <w:rsid w:val="00AB6827"/>
    <w:rsid w:val="00AB7823"/>
    <w:rsid w:val="00AC0413"/>
    <w:rsid w:val="00AC07F2"/>
    <w:rsid w:val="00AC0EA5"/>
    <w:rsid w:val="00AC0F37"/>
    <w:rsid w:val="00AC106B"/>
    <w:rsid w:val="00AC1337"/>
    <w:rsid w:val="00AC139A"/>
    <w:rsid w:val="00AC1CB6"/>
    <w:rsid w:val="00AC2140"/>
    <w:rsid w:val="00AC2E74"/>
    <w:rsid w:val="00AC37B2"/>
    <w:rsid w:val="00AC4C9A"/>
    <w:rsid w:val="00AC7234"/>
    <w:rsid w:val="00AC73FE"/>
    <w:rsid w:val="00AD0759"/>
    <w:rsid w:val="00AD0D1B"/>
    <w:rsid w:val="00AD11BD"/>
    <w:rsid w:val="00AD1980"/>
    <w:rsid w:val="00AD323F"/>
    <w:rsid w:val="00AD414A"/>
    <w:rsid w:val="00AD419B"/>
    <w:rsid w:val="00AD452E"/>
    <w:rsid w:val="00AD4F8C"/>
    <w:rsid w:val="00AD5370"/>
    <w:rsid w:val="00AD58F4"/>
    <w:rsid w:val="00AD595E"/>
    <w:rsid w:val="00AD5DDA"/>
    <w:rsid w:val="00AD6CC1"/>
    <w:rsid w:val="00AE081A"/>
    <w:rsid w:val="00AE1FC9"/>
    <w:rsid w:val="00AE26B0"/>
    <w:rsid w:val="00AE3ED9"/>
    <w:rsid w:val="00AE481D"/>
    <w:rsid w:val="00AE636C"/>
    <w:rsid w:val="00AE737B"/>
    <w:rsid w:val="00AF053A"/>
    <w:rsid w:val="00AF0582"/>
    <w:rsid w:val="00AF319E"/>
    <w:rsid w:val="00AF3647"/>
    <w:rsid w:val="00AF38C1"/>
    <w:rsid w:val="00AF38C5"/>
    <w:rsid w:val="00AF69A6"/>
    <w:rsid w:val="00AF6B00"/>
    <w:rsid w:val="00AF6F96"/>
    <w:rsid w:val="00AF75FB"/>
    <w:rsid w:val="00AF7C23"/>
    <w:rsid w:val="00AF7C3D"/>
    <w:rsid w:val="00AF7D31"/>
    <w:rsid w:val="00B00435"/>
    <w:rsid w:val="00B00829"/>
    <w:rsid w:val="00B0158D"/>
    <w:rsid w:val="00B0384D"/>
    <w:rsid w:val="00B045C0"/>
    <w:rsid w:val="00B04A30"/>
    <w:rsid w:val="00B04AB7"/>
    <w:rsid w:val="00B04E9F"/>
    <w:rsid w:val="00B053C1"/>
    <w:rsid w:val="00B062AD"/>
    <w:rsid w:val="00B06C8B"/>
    <w:rsid w:val="00B075B0"/>
    <w:rsid w:val="00B1062B"/>
    <w:rsid w:val="00B110B4"/>
    <w:rsid w:val="00B11910"/>
    <w:rsid w:val="00B12606"/>
    <w:rsid w:val="00B171BC"/>
    <w:rsid w:val="00B175A1"/>
    <w:rsid w:val="00B20407"/>
    <w:rsid w:val="00B2055D"/>
    <w:rsid w:val="00B2142B"/>
    <w:rsid w:val="00B215C9"/>
    <w:rsid w:val="00B21A85"/>
    <w:rsid w:val="00B21C2D"/>
    <w:rsid w:val="00B225D6"/>
    <w:rsid w:val="00B23DA4"/>
    <w:rsid w:val="00B240C4"/>
    <w:rsid w:val="00B243FE"/>
    <w:rsid w:val="00B24904"/>
    <w:rsid w:val="00B24CBA"/>
    <w:rsid w:val="00B24FAD"/>
    <w:rsid w:val="00B2666F"/>
    <w:rsid w:val="00B26EBC"/>
    <w:rsid w:val="00B26F93"/>
    <w:rsid w:val="00B27459"/>
    <w:rsid w:val="00B27BFC"/>
    <w:rsid w:val="00B306A5"/>
    <w:rsid w:val="00B3096E"/>
    <w:rsid w:val="00B3205D"/>
    <w:rsid w:val="00B32A73"/>
    <w:rsid w:val="00B345D3"/>
    <w:rsid w:val="00B34925"/>
    <w:rsid w:val="00B34E3A"/>
    <w:rsid w:val="00B35C9F"/>
    <w:rsid w:val="00B36516"/>
    <w:rsid w:val="00B36FA1"/>
    <w:rsid w:val="00B37511"/>
    <w:rsid w:val="00B37C9B"/>
    <w:rsid w:val="00B37CC9"/>
    <w:rsid w:val="00B37D50"/>
    <w:rsid w:val="00B37F13"/>
    <w:rsid w:val="00B406D9"/>
    <w:rsid w:val="00B40F52"/>
    <w:rsid w:val="00B41473"/>
    <w:rsid w:val="00B42008"/>
    <w:rsid w:val="00B43157"/>
    <w:rsid w:val="00B451AE"/>
    <w:rsid w:val="00B50971"/>
    <w:rsid w:val="00B52092"/>
    <w:rsid w:val="00B52973"/>
    <w:rsid w:val="00B52EB1"/>
    <w:rsid w:val="00B5455D"/>
    <w:rsid w:val="00B55AF3"/>
    <w:rsid w:val="00B56B51"/>
    <w:rsid w:val="00B6121E"/>
    <w:rsid w:val="00B61433"/>
    <w:rsid w:val="00B61A5C"/>
    <w:rsid w:val="00B62B2E"/>
    <w:rsid w:val="00B637D3"/>
    <w:rsid w:val="00B645EF"/>
    <w:rsid w:val="00B64FB2"/>
    <w:rsid w:val="00B65510"/>
    <w:rsid w:val="00B65A10"/>
    <w:rsid w:val="00B663E6"/>
    <w:rsid w:val="00B66F4D"/>
    <w:rsid w:val="00B6705A"/>
    <w:rsid w:val="00B67979"/>
    <w:rsid w:val="00B70E7D"/>
    <w:rsid w:val="00B71B3A"/>
    <w:rsid w:val="00B7339E"/>
    <w:rsid w:val="00B73486"/>
    <w:rsid w:val="00B737CB"/>
    <w:rsid w:val="00B74578"/>
    <w:rsid w:val="00B74786"/>
    <w:rsid w:val="00B74AC5"/>
    <w:rsid w:val="00B7562E"/>
    <w:rsid w:val="00B757FD"/>
    <w:rsid w:val="00B76094"/>
    <w:rsid w:val="00B770CF"/>
    <w:rsid w:val="00B77DE0"/>
    <w:rsid w:val="00B8035F"/>
    <w:rsid w:val="00B808AE"/>
    <w:rsid w:val="00B80F65"/>
    <w:rsid w:val="00B81556"/>
    <w:rsid w:val="00B821A3"/>
    <w:rsid w:val="00B82878"/>
    <w:rsid w:val="00B83289"/>
    <w:rsid w:val="00B832AE"/>
    <w:rsid w:val="00B836A5"/>
    <w:rsid w:val="00B83B50"/>
    <w:rsid w:val="00B85C83"/>
    <w:rsid w:val="00B85E72"/>
    <w:rsid w:val="00B87075"/>
    <w:rsid w:val="00B8761E"/>
    <w:rsid w:val="00B8797E"/>
    <w:rsid w:val="00B90965"/>
    <w:rsid w:val="00B91F61"/>
    <w:rsid w:val="00B92E82"/>
    <w:rsid w:val="00B93F30"/>
    <w:rsid w:val="00B94B25"/>
    <w:rsid w:val="00B94D85"/>
    <w:rsid w:val="00B958A6"/>
    <w:rsid w:val="00B96FBF"/>
    <w:rsid w:val="00B97746"/>
    <w:rsid w:val="00B977EB"/>
    <w:rsid w:val="00B97E0E"/>
    <w:rsid w:val="00BA1537"/>
    <w:rsid w:val="00BA2636"/>
    <w:rsid w:val="00BA5189"/>
    <w:rsid w:val="00BA5358"/>
    <w:rsid w:val="00BA5A75"/>
    <w:rsid w:val="00BA6074"/>
    <w:rsid w:val="00BA66D1"/>
    <w:rsid w:val="00BA6755"/>
    <w:rsid w:val="00BA734E"/>
    <w:rsid w:val="00BA785A"/>
    <w:rsid w:val="00BB08D7"/>
    <w:rsid w:val="00BB3408"/>
    <w:rsid w:val="00BB349D"/>
    <w:rsid w:val="00BB37D6"/>
    <w:rsid w:val="00BB3AED"/>
    <w:rsid w:val="00BB5110"/>
    <w:rsid w:val="00BB514E"/>
    <w:rsid w:val="00BB749F"/>
    <w:rsid w:val="00BC0793"/>
    <w:rsid w:val="00BC092A"/>
    <w:rsid w:val="00BC2E11"/>
    <w:rsid w:val="00BC33F8"/>
    <w:rsid w:val="00BC4458"/>
    <w:rsid w:val="00BC598E"/>
    <w:rsid w:val="00BC61FC"/>
    <w:rsid w:val="00BD01B8"/>
    <w:rsid w:val="00BD1DCC"/>
    <w:rsid w:val="00BD2E47"/>
    <w:rsid w:val="00BD30B2"/>
    <w:rsid w:val="00BD3F58"/>
    <w:rsid w:val="00BD583E"/>
    <w:rsid w:val="00BD5BCF"/>
    <w:rsid w:val="00BD5C29"/>
    <w:rsid w:val="00BE0ADB"/>
    <w:rsid w:val="00BE0EB9"/>
    <w:rsid w:val="00BE10C7"/>
    <w:rsid w:val="00BE21C8"/>
    <w:rsid w:val="00BE21D8"/>
    <w:rsid w:val="00BE419B"/>
    <w:rsid w:val="00BE6469"/>
    <w:rsid w:val="00BE6CC0"/>
    <w:rsid w:val="00BE7A85"/>
    <w:rsid w:val="00BE7D4C"/>
    <w:rsid w:val="00BF038A"/>
    <w:rsid w:val="00BF0911"/>
    <w:rsid w:val="00BF1568"/>
    <w:rsid w:val="00BF1589"/>
    <w:rsid w:val="00BF22AC"/>
    <w:rsid w:val="00BF321E"/>
    <w:rsid w:val="00BF4516"/>
    <w:rsid w:val="00BF4E44"/>
    <w:rsid w:val="00BF5473"/>
    <w:rsid w:val="00BF602D"/>
    <w:rsid w:val="00BF6117"/>
    <w:rsid w:val="00BF701F"/>
    <w:rsid w:val="00BF7B4F"/>
    <w:rsid w:val="00BF7F10"/>
    <w:rsid w:val="00C00218"/>
    <w:rsid w:val="00C01050"/>
    <w:rsid w:val="00C01305"/>
    <w:rsid w:val="00C0183B"/>
    <w:rsid w:val="00C01849"/>
    <w:rsid w:val="00C0532A"/>
    <w:rsid w:val="00C05F9F"/>
    <w:rsid w:val="00C06444"/>
    <w:rsid w:val="00C06CF0"/>
    <w:rsid w:val="00C07AB8"/>
    <w:rsid w:val="00C07C32"/>
    <w:rsid w:val="00C07D01"/>
    <w:rsid w:val="00C10E3F"/>
    <w:rsid w:val="00C10F82"/>
    <w:rsid w:val="00C118AA"/>
    <w:rsid w:val="00C11FEA"/>
    <w:rsid w:val="00C124C6"/>
    <w:rsid w:val="00C1340D"/>
    <w:rsid w:val="00C14AF9"/>
    <w:rsid w:val="00C14FA3"/>
    <w:rsid w:val="00C152AD"/>
    <w:rsid w:val="00C159F9"/>
    <w:rsid w:val="00C16D18"/>
    <w:rsid w:val="00C17354"/>
    <w:rsid w:val="00C207B2"/>
    <w:rsid w:val="00C221B1"/>
    <w:rsid w:val="00C232C0"/>
    <w:rsid w:val="00C236E0"/>
    <w:rsid w:val="00C23CA1"/>
    <w:rsid w:val="00C23F3D"/>
    <w:rsid w:val="00C24483"/>
    <w:rsid w:val="00C258E4"/>
    <w:rsid w:val="00C25FEE"/>
    <w:rsid w:val="00C26A34"/>
    <w:rsid w:val="00C31793"/>
    <w:rsid w:val="00C32756"/>
    <w:rsid w:val="00C32AC9"/>
    <w:rsid w:val="00C331A9"/>
    <w:rsid w:val="00C373FE"/>
    <w:rsid w:val="00C37CF4"/>
    <w:rsid w:val="00C41E1A"/>
    <w:rsid w:val="00C421FE"/>
    <w:rsid w:val="00C4329A"/>
    <w:rsid w:val="00C43D7E"/>
    <w:rsid w:val="00C44064"/>
    <w:rsid w:val="00C440FB"/>
    <w:rsid w:val="00C452D4"/>
    <w:rsid w:val="00C45687"/>
    <w:rsid w:val="00C45730"/>
    <w:rsid w:val="00C45A45"/>
    <w:rsid w:val="00C46753"/>
    <w:rsid w:val="00C47CCD"/>
    <w:rsid w:val="00C50174"/>
    <w:rsid w:val="00C504B1"/>
    <w:rsid w:val="00C50A99"/>
    <w:rsid w:val="00C50F4C"/>
    <w:rsid w:val="00C51B8F"/>
    <w:rsid w:val="00C51C24"/>
    <w:rsid w:val="00C51D00"/>
    <w:rsid w:val="00C5213B"/>
    <w:rsid w:val="00C526BF"/>
    <w:rsid w:val="00C52AF1"/>
    <w:rsid w:val="00C532E1"/>
    <w:rsid w:val="00C53638"/>
    <w:rsid w:val="00C5376E"/>
    <w:rsid w:val="00C541C4"/>
    <w:rsid w:val="00C54255"/>
    <w:rsid w:val="00C543CA"/>
    <w:rsid w:val="00C547EE"/>
    <w:rsid w:val="00C54F1E"/>
    <w:rsid w:val="00C55BA4"/>
    <w:rsid w:val="00C5654C"/>
    <w:rsid w:val="00C56A81"/>
    <w:rsid w:val="00C57E9A"/>
    <w:rsid w:val="00C60309"/>
    <w:rsid w:val="00C617F8"/>
    <w:rsid w:val="00C620CD"/>
    <w:rsid w:val="00C62503"/>
    <w:rsid w:val="00C62E0E"/>
    <w:rsid w:val="00C64137"/>
    <w:rsid w:val="00C64ACC"/>
    <w:rsid w:val="00C650EF"/>
    <w:rsid w:val="00C6573A"/>
    <w:rsid w:val="00C667B7"/>
    <w:rsid w:val="00C66C99"/>
    <w:rsid w:val="00C66CC4"/>
    <w:rsid w:val="00C700CC"/>
    <w:rsid w:val="00C70D7F"/>
    <w:rsid w:val="00C715CB"/>
    <w:rsid w:val="00C71997"/>
    <w:rsid w:val="00C7209A"/>
    <w:rsid w:val="00C721BC"/>
    <w:rsid w:val="00C73CB7"/>
    <w:rsid w:val="00C74BEA"/>
    <w:rsid w:val="00C751DF"/>
    <w:rsid w:val="00C75BA1"/>
    <w:rsid w:val="00C76EF0"/>
    <w:rsid w:val="00C77BDE"/>
    <w:rsid w:val="00C77C78"/>
    <w:rsid w:val="00C80029"/>
    <w:rsid w:val="00C804DA"/>
    <w:rsid w:val="00C805DA"/>
    <w:rsid w:val="00C80CA9"/>
    <w:rsid w:val="00C80FCB"/>
    <w:rsid w:val="00C814C8"/>
    <w:rsid w:val="00C81966"/>
    <w:rsid w:val="00C819D0"/>
    <w:rsid w:val="00C81B6C"/>
    <w:rsid w:val="00C8206B"/>
    <w:rsid w:val="00C83EDB"/>
    <w:rsid w:val="00C86511"/>
    <w:rsid w:val="00C874D2"/>
    <w:rsid w:val="00C87671"/>
    <w:rsid w:val="00C9029C"/>
    <w:rsid w:val="00C9168E"/>
    <w:rsid w:val="00C930E0"/>
    <w:rsid w:val="00C937F4"/>
    <w:rsid w:val="00C93855"/>
    <w:rsid w:val="00C938D8"/>
    <w:rsid w:val="00C939E6"/>
    <w:rsid w:val="00C94A18"/>
    <w:rsid w:val="00C94ADE"/>
    <w:rsid w:val="00C96464"/>
    <w:rsid w:val="00C9745D"/>
    <w:rsid w:val="00CA0B2D"/>
    <w:rsid w:val="00CA11C1"/>
    <w:rsid w:val="00CA1682"/>
    <w:rsid w:val="00CA3962"/>
    <w:rsid w:val="00CA41F3"/>
    <w:rsid w:val="00CA464D"/>
    <w:rsid w:val="00CA4CE1"/>
    <w:rsid w:val="00CA538C"/>
    <w:rsid w:val="00CA54B4"/>
    <w:rsid w:val="00CA65E3"/>
    <w:rsid w:val="00CA70EC"/>
    <w:rsid w:val="00CB1F1A"/>
    <w:rsid w:val="00CB2606"/>
    <w:rsid w:val="00CB275A"/>
    <w:rsid w:val="00CB2FA0"/>
    <w:rsid w:val="00CB549E"/>
    <w:rsid w:val="00CB54B5"/>
    <w:rsid w:val="00CB5825"/>
    <w:rsid w:val="00CB5C91"/>
    <w:rsid w:val="00CB622C"/>
    <w:rsid w:val="00CB6330"/>
    <w:rsid w:val="00CC0829"/>
    <w:rsid w:val="00CC0DF0"/>
    <w:rsid w:val="00CC1B4D"/>
    <w:rsid w:val="00CC2405"/>
    <w:rsid w:val="00CC25DF"/>
    <w:rsid w:val="00CC275F"/>
    <w:rsid w:val="00CC28F1"/>
    <w:rsid w:val="00CC7174"/>
    <w:rsid w:val="00CC7B2B"/>
    <w:rsid w:val="00CD024A"/>
    <w:rsid w:val="00CD0639"/>
    <w:rsid w:val="00CD0F34"/>
    <w:rsid w:val="00CD145E"/>
    <w:rsid w:val="00CD25DB"/>
    <w:rsid w:val="00CD28D1"/>
    <w:rsid w:val="00CD2D10"/>
    <w:rsid w:val="00CD3424"/>
    <w:rsid w:val="00CD43A6"/>
    <w:rsid w:val="00CD4785"/>
    <w:rsid w:val="00CD67CD"/>
    <w:rsid w:val="00CD7780"/>
    <w:rsid w:val="00CD7C65"/>
    <w:rsid w:val="00CD7D29"/>
    <w:rsid w:val="00CE072C"/>
    <w:rsid w:val="00CE091A"/>
    <w:rsid w:val="00CE0E7A"/>
    <w:rsid w:val="00CE0F6C"/>
    <w:rsid w:val="00CE10A1"/>
    <w:rsid w:val="00CE19F7"/>
    <w:rsid w:val="00CE1AE4"/>
    <w:rsid w:val="00CE2A1C"/>
    <w:rsid w:val="00CE2A5A"/>
    <w:rsid w:val="00CE2BCA"/>
    <w:rsid w:val="00CE4940"/>
    <w:rsid w:val="00CE7E35"/>
    <w:rsid w:val="00CF01EB"/>
    <w:rsid w:val="00CF06CF"/>
    <w:rsid w:val="00CF0C76"/>
    <w:rsid w:val="00CF0CE2"/>
    <w:rsid w:val="00CF0E88"/>
    <w:rsid w:val="00CF1444"/>
    <w:rsid w:val="00CF1A7E"/>
    <w:rsid w:val="00CF1BC0"/>
    <w:rsid w:val="00CF28B7"/>
    <w:rsid w:val="00CF39CC"/>
    <w:rsid w:val="00CF3B0F"/>
    <w:rsid w:val="00CF3F75"/>
    <w:rsid w:val="00CF422F"/>
    <w:rsid w:val="00CF4F1F"/>
    <w:rsid w:val="00CF5340"/>
    <w:rsid w:val="00CF563E"/>
    <w:rsid w:val="00CF64E5"/>
    <w:rsid w:val="00CF7633"/>
    <w:rsid w:val="00CF7FB7"/>
    <w:rsid w:val="00D02989"/>
    <w:rsid w:val="00D02E83"/>
    <w:rsid w:val="00D055F1"/>
    <w:rsid w:val="00D05F55"/>
    <w:rsid w:val="00D0620E"/>
    <w:rsid w:val="00D062B4"/>
    <w:rsid w:val="00D06A8F"/>
    <w:rsid w:val="00D070AB"/>
    <w:rsid w:val="00D1289B"/>
    <w:rsid w:val="00D12A40"/>
    <w:rsid w:val="00D12CA8"/>
    <w:rsid w:val="00D13105"/>
    <w:rsid w:val="00D13D95"/>
    <w:rsid w:val="00D1406F"/>
    <w:rsid w:val="00D1638F"/>
    <w:rsid w:val="00D1653A"/>
    <w:rsid w:val="00D17DF2"/>
    <w:rsid w:val="00D21550"/>
    <w:rsid w:val="00D222AD"/>
    <w:rsid w:val="00D22343"/>
    <w:rsid w:val="00D229CB"/>
    <w:rsid w:val="00D22B5B"/>
    <w:rsid w:val="00D22C3A"/>
    <w:rsid w:val="00D22DDA"/>
    <w:rsid w:val="00D22E1E"/>
    <w:rsid w:val="00D24178"/>
    <w:rsid w:val="00D24A1C"/>
    <w:rsid w:val="00D24B7A"/>
    <w:rsid w:val="00D24C29"/>
    <w:rsid w:val="00D2504A"/>
    <w:rsid w:val="00D250E6"/>
    <w:rsid w:val="00D251A2"/>
    <w:rsid w:val="00D2712D"/>
    <w:rsid w:val="00D2716A"/>
    <w:rsid w:val="00D31166"/>
    <w:rsid w:val="00D32ECC"/>
    <w:rsid w:val="00D330E4"/>
    <w:rsid w:val="00D332DE"/>
    <w:rsid w:val="00D37FF1"/>
    <w:rsid w:val="00D4012B"/>
    <w:rsid w:val="00D4065E"/>
    <w:rsid w:val="00D427F0"/>
    <w:rsid w:val="00D430CD"/>
    <w:rsid w:val="00D43C23"/>
    <w:rsid w:val="00D461FD"/>
    <w:rsid w:val="00D4756A"/>
    <w:rsid w:val="00D525A8"/>
    <w:rsid w:val="00D52ACF"/>
    <w:rsid w:val="00D53787"/>
    <w:rsid w:val="00D539AF"/>
    <w:rsid w:val="00D5468C"/>
    <w:rsid w:val="00D558C8"/>
    <w:rsid w:val="00D56B3B"/>
    <w:rsid w:val="00D56DA9"/>
    <w:rsid w:val="00D60129"/>
    <w:rsid w:val="00D60E90"/>
    <w:rsid w:val="00D60EFF"/>
    <w:rsid w:val="00D613C7"/>
    <w:rsid w:val="00D61926"/>
    <w:rsid w:val="00D62160"/>
    <w:rsid w:val="00D624EC"/>
    <w:rsid w:val="00D62569"/>
    <w:rsid w:val="00D625D4"/>
    <w:rsid w:val="00D64261"/>
    <w:rsid w:val="00D65038"/>
    <w:rsid w:val="00D6520A"/>
    <w:rsid w:val="00D66692"/>
    <w:rsid w:val="00D671C4"/>
    <w:rsid w:val="00D70AE3"/>
    <w:rsid w:val="00D713E4"/>
    <w:rsid w:val="00D73B65"/>
    <w:rsid w:val="00D73B8E"/>
    <w:rsid w:val="00D73D41"/>
    <w:rsid w:val="00D751EB"/>
    <w:rsid w:val="00D75A89"/>
    <w:rsid w:val="00D771E4"/>
    <w:rsid w:val="00D77608"/>
    <w:rsid w:val="00D776D4"/>
    <w:rsid w:val="00D77EB9"/>
    <w:rsid w:val="00D807CB"/>
    <w:rsid w:val="00D81F67"/>
    <w:rsid w:val="00D8201F"/>
    <w:rsid w:val="00D826DA"/>
    <w:rsid w:val="00D82A79"/>
    <w:rsid w:val="00D82F26"/>
    <w:rsid w:val="00D84033"/>
    <w:rsid w:val="00D8426C"/>
    <w:rsid w:val="00D853A4"/>
    <w:rsid w:val="00D85C61"/>
    <w:rsid w:val="00D86257"/>
    <w:rsid w:val="00D879DC"/>
    <w:rsid w:val="00D90392"/>
    <w:rsid w:val="00D9121A"/>
    <w:rsid w:val="00D914A3"/>
    <w:rsid w:val="00D91AB4"/>
    <w:rsid w:val="00D91E98"/>
    <w:rsid w:val="00D92142"/>
    <w:rsid w:val="00D92A92"/>
    <w:rsid w:val="00D946C1"/>
    <w:rsid w:val="00D9548A"/>
    <w:rsid w:val="00DA179D"/>
    <w:rsid w:val="00DA1E4B"/>
    <w:rsid w:val="00DA2A02"/>
    <w:rsid w:val="00DA2D13"/>
    <w:rsid w:val="00DA3338"/>
    <w:rsid w:val="00DA3EA4"/>
    <w:rsid w:val="00DA413D"/>
    <w:rsid w:val="00DA4517"/>
    <w:rsid w:val="00DA4684"/>
    <w:rsid w:val="00DA4D25"/>
    <w:rsid w:val="00DA514C"/>
    <w:rsid w:val="00DA52A7"/>
    <w:rsid w:val="00DA58E8"/>
    <w:rsid w:val="00DA5E9D"/>
    <w:rsid w:val="00DA67D8"/>
    <w:rsid w:val="00DA6CE0"/>
    <w:rsid w:val="00DA6E1F"/>
    <w:rsid w:val="00DA7759"/>
    <w:rsid w:val="00DA7F13"/>
    <w:rsid w:val="00DB0ED0"/>
    <w:rsid w:val="00DB1636"/>
    <w:rsid w:val="00DB21ED"/>
    <w:rsid w:val="00DB2438"/>
    <w:rsid w:val="00DB25FE"/>
    <w:rsid w:val="00DB263F"/>
    <w:rsid w:val="00DB2BC1"/>
    <w:rsid w:val="00DB3C69"/>
    <w:rsid w:val="00DB3E85"/>
    <w:rsid w:val="00DB4349"/>
    <w:rsid w:val="00DB6C33"/>
    <w:rsid w:val="00DB75FF"/>
    <w:rsid w:val="00DC026E"/>
    <w:rsid w:val="00DC03AE"/>
    <w:rsid w:val="00DC2AAE"/>
    <w:rsid w:val="00DC2CB7"/>
    <w:rsid w:val="00DC3888"/>
    <w:rsid w:val="00DC431B"/>
    <w:rsid w:val="00DC440B"/>
    <w:rsid w:val="00DC4A24"/>
    <w:rsid w:val="00DC5401"/>
    <w:rsid w:val="00DC7EF5"/>
    <w:rsid w:val="00DC7F92"/>
    <w:rsid w:val="00DD10A4"/>
    <w:rsid w:val="00DD196C"/>
    <w:rsid w:val="00DD268D"/>
    <w:rsid w:val="00DD2D97"/>
    <w:rsid w:val="00DD33B8"/>
    <w:rsid w:val="00DD3E4C"/>
    <w:rsid w:val="00DD502C"/>
    <w:rsid w:val="00DD5D99"/>
    <w:rsid w:val="00DD5FC4"/>
    <w:rsid w:val="00DD7120"/>
    <w:rsid w:val="00DD7C63"/>
    <w:rsid w:val="00DE0354"/>
    <w:rsid w:val="00DE0A7E"/>
    <w:rsid w:val="00DE0C52"/>
    <w:rsid w:val="00DE1835"/>
    <w:rsid w:val="00DE453C"/>
    <w:rsid w:val="00DE457D"/>
    <w:rsid w:val="00DE5A20"/>
    <w:rsid w:val="00DE691C"/>
    <w:rsid w:val="00DE7D72"/>
    <w:rsid w:val="00DF0811"/>
    <w:rsid w:val="00DF0886"/>
    <w:rsid w:val="00DF0FE2"/>
    <w:rsid w:val="00DF1365"/>
    <w:rsid w:val="00DF201F"/>
    <w:rsid w:val="00DF2A12"/>
    <w:rsid w:val="00DF4D1D"/>
    <w:rsid w:val="00DF4DFC"/>
    <w:rsid w:val="00DF5153"/>
    <w:rsid w:val="00DF51EC"/>
    <w:rsid w:val="00DF6E6A"/>
    <w:rsid w:val="00DF7497"/>
    <w:rsid w:val="00DF7BE7"/>
    <w:rsid w:val="00E00EE7"/>
    <w:rsid w:val="00E01097"/>
    <w:rsid w:val="00E014CB"/>
    <w:rsid w:val="00E06B6C"/>
    <w:rsid w:val="00E0700C"/>
    <w:rsid w:val="00E07F9D"/>
    <w:rsid w:val="00E10046"/>
    <w:rsid w:val="00E1004D"/>
    <w:rsid w:val="00E104D3"/>
    <w:rsid w:val="00E112B0"/>
    <w:rsid w:val="00E125E4"/>
    <w:rsid w:val="00E126E8"/>
    <w:rsid w:val="00E12963"/>
    <w:rsid w:val="00E13FF8"/>
    <w:rsid w:val="00E1428A"/>
    <w:rsid w:val="00E145C4"/>
    <w:rsid w:val="00E14BB3"/>
    <w:rsid w:val="00E14C8D"/>
    <w:rsid w:val="00E15B73"/>
    <w:rsid w:val="00E15BE6"/>
    <w:rsid w:val="00E16445"/>
    <w:rsid w:val="00E169AA"/>
    <w:rsid w:val="00E16D8E"/>
    <w:rsid w:val="00E17D3E"/>
    <w:rsid w:val="00E20C0F"/>
    <w:rsid w:val="00E20C3A"/>
    <w:rsid w:val="00E217E3"/>
    <w:rsid w:val="00E2458B"/>
    <w:rsid w:val="00E2468A"/>
    <w:rsid w:val="00E26990"/>
    <w:rsid w:val="00E31719"/>
    <w:rsid w:val="00E32DAA"/>
    <w:rsid w:val="00E335C7"/>
    <w:rsid w:val="00E33D63"/>
    <w:rsid w:val="00E367E2"/>
    <w:rsid w:val="00E36AE7"/>
    <w:rsid w:val="00E36E4C"/>
    <w:rsid w:val="00E37402"/>
    <w:rsid w:val="00E3769D"/>
    <w:rsid w:val="00E4022E"/>
    <w:rsid w:val="00E41B7B"/>
    <w:rsid w:val="00E42E96"/>
    <w:rsid w:val="00E4488A"/>
    <w:rsid w:val="00E47CC2"/>
    <w:rsid w:val="00E47FC4"/>
    <w:rsid w:val="00E5008E"/>
    <w:rsid w:val="00E54519"/>
    <w:rsid w:val="00E54EAF"/>
    <w:rsid w:val="00E558E4"/>
    <w:rsid w:val="00E563E8"/>
    <w:rsid w:val="00E56549"/>
    <w:rsid w:val="00E56680"/>
    <w:rsid w:val="00E576D2"/>
    <w:rsid w:val="00E576D8"/>
    <w:rsid w:val="00E60136"/>
    <w:rsid w:val="00E6022B"/>
    <w:rsid w:val="00E60409"/>
    <w:rsid w:val="00E60504"/>
    <w:rsid w:val="00E6275B"/>
    <w:rsid w:val="00E6287D"/>
    <w:rsid w:val="00E62DEE"/>
    <w:rsid w:val="00E62E28"/>
    <w:rsid w:val="00E62F39"/>
    <w:rsid w:val="00E63751"/>
    <w:rsid w:val="00E647C0"/>
    <w:rsid w:val="00E648C4"/>
    <w:rsid w:val="00E67044"/>
    <w:rsid w:val="00E676E5"/>
    <w:rsid w:val="00E677BF"/>
    <w:rsid w:val="00E714EE"/>
    <w:rsid w:val="00E717D9"/>
    <w:rsid w:val="00E71C76"/>
    <w:rsid w:val="00E723A2"/>
    <w:rsid w:val="00E73976"/>
    <w:rsid w:val="00E73C28"/>
    <w:rsid w:val="00E7442D"/>
    <w:rsid w:val="00E74DF7"/>
    <w:rsid w:val="00E75A3D"/>
    <w:rsid w:val="00E762C6"/>
    <w:rsid w:val="00E7766F"/>
    <w:rsid w:val="00E77ABB"/>
    <w:rsid w:val="00E801A3"/>
    <w:rsid w:val="00E8218E"/>
    <w:rsid w:val="00E824DD"/>
    <w:rsid w:val="00E82EA8"/>
    <w:rsid w:val="00E83912"/>
    <w:rsid w:val="00E846CA"/>
    <w:rsid w:val="00E85B45"/>
    <w:rsid w:val="00E86AAD"/>
    <w:rsid w:val="00E902C1"/>
    <w:rsid w:val="00E903DB"/>
    <w:rsid w:val="00E90EAE"/>
    <w:rsid w:val="00E9196B"/>
    <w:rsid w:val="00E92812"/>
    <w:rsid w:val="00E939FE"/>
    <w:rsid w:val="00E943BD"/>
    <w:rsid w:val="00E954F5"/>
    <w:rsid w:val="00E97D5A"/>
    <w:rsid w:val="00EA0875"/>
    <w:rsid w:val="00EA13AD"/>
    <w:rsid w:val="00EA186E"/>
    <w:rsid w:val="00EA283D"/>
    <w:rsid w:val="00EA3352"/>
    <w:rsid w:val="00EA5EA4"/>
    <w:rsid w:val="00EA5F8F"/>
    <w:rsid w:val="00EA6423"/>
    <w:rsid w:val="00EA64A1"/>
    <w:rsid w:val="00EB1ADF"/>
    <w:rsid w:val="00EB214B"/>
    <w:rsid w:val="00EB30B4"/>
    <w:rsid w:val="00EB583C"/>
    <w:rsid w:val="00EB6AC4"/>
    <w:rsid w:val="00EB7428"/>
    <w:rsid w:val="00EB769A"/>
    <w:rsid w:val="00EC0025"/>
    <w:rsid w:val="00EC072A"/>
    <w:rsid w:val="00EC1380"/>
    <w:rsid w:val="00EC1463"/>
    <w:rsid w:val="00EC15C3"/>
    <w:rsid w:val="00EC2593"/>
    <w:rsid w:val="00EC27D8"/>
    <w:rsid w:val="00EC3E6A"/>
    <w:rsid w:val="00EC456D"/>
    <w:rsid w:val="00EC4B34"/>
    <w:rsid w:val="00EC5027"/>
    <w:rsid w:val="00EC5667"/>
    <w:rsid w:val="00EC5E32"/>
    <w:rsid w:val="00EC7ADC"/>
    <w:rsid w:val="00ED041B"/>
    <w:rsid w:val="00ED0A9A"/>
    <w:rsid w:val="00ED2D8B"/>
    <w:rsid w:val="00ED3981"/>
    <w:rsid w:val="00ED40B7"/>
    <w:rsid w:val="00ED42A7"/>
    <w:rsid w:val="00ED51FC"/>
    <w:rsid w:val="00ED5534"/>
    <w:rsid w:val="00ED5E55"/>
    <w:rsid w:val="00ED619E"/>
    <w:rsid w:val="00ED66A7"/>
    <w:rsid w:val="00ED7F7F"/>
    <w:rsid w:val="00EE0626"/>
    <w:rsid w:val="00EE067E"/>
    <w:rsid w:val="00EE120F"/>
    <w:rsid w:val="00EE2550"/>
    <w:rsid w:val="00EE3527"/>
    <w:rsid w:val="00EE6673"/>
    <w:rsid w:val="00EE6D64"/>
    <w:rsid w:val="00EE6F66"/>
    <w:rsid w:val="00EE7F29"/>
    <w:rsid w:val="00EF0C73"/>
    <w:rsid w:val="00EF36CB"/>
    <w:rsid w:val="00EF3769"/>
    <w:rsid w:val="00EF37D4"/>
    <w:rsid w:val="00EF3FD3"/>
    <w:rsid w:val="00EF464E"/>
    <w:rsid w:val="00EF5129"/>
    <w:rsid w:val="00EF56B2"/>
    <w:rsid w:val="00EF5F2E"/>
    <w:rsid w:val="00EF6195"/>
    <w:rsid w:val="00EF62CD"/>
    <w:rsid w:val="00EF6350"/>
    <w:rsid w:val="00EF6CA0"/>
    <w:rsid w:val="00EF740F"/>
    <w:rsid w:val="00EF796F"/>
    <w:rsid w:val="00EF79A7"/>
    <w:rsid w:val="00EF7BF2"/>
    <w:rsid w:val="00F00B16"/>
    <w:rsid w:val="00F010A9"/>
    <w:rsid w:val="00F01228"/>
    <w:rsid w:val="00F03152"/>
    <w:rsid w:val="00F0347B"/>
    <w:rsid w:val="00F043B2"/>
    <w:rsid w:val="00F071AF"/>
    <w:rsid w:val="00F119E2"/>
    <w:rsid w:val="00F11AA2"/>
    <w:rsid w:val="00F13393"/>
    <w:rsid w:val="00F144F4"/>
    <w:rsid w:val="00F14A4D"/>
    <w:rsid w:val="00F156AC"/>
    <w:rsid w:val="00F156B7"/>
    <w:rsid w:val="00F16089"/>
    <w:rsid w:val="00F17C1E"/>
    <w:rsid w:val="00F2116B"/>
    <w:rsid w:val="00F21CAD"/>
    <w:rsid w:val="00F228FA"/>
    <w:rsid w:val="00F22B53"/>
    <w:rsid w:val="00F23369"/>
    <w:rsid w:val="00F23BCE"/>
    <w:rsid w:val="00F2460C"/>
    <w:rsid w:val="00F2598F"/>
    <w:rsid w:val="00F30E5A"/>
    <w:rsid w:val="00F31901"/>
    <w:rsid w:val="00F31CA9"/>
    <w:rsid w:val="00F31F7D"/>
    <w:rsid w:val="00F3278E"/>
    <w:rsid w:val="00F33C00"/>
    <w:rsid w:val="00F33FA8"/>
    <w:rsid w:val="00F34AC0"/>
    <w:rsid w:val="00F35D88"/>
    <w:rsid w:val="00F37431"/>
    <w:rsid w:val="00F42D71"/>
    <w:rsid w:val="00F430ED"/>
    <w:rsid w:val="00F43D25"/>
    <w:rsid w:val="00F444FD"/>
    <w:rsid w:val="00F45223"/>
    <w:rsid w:val="00F45AAC"/>
    <w:rsid w:val="00F46624"/>
    <w:rsid w:val="00F469D9"/>
    <w:rsid w:val="00F46D96"/>
    <w:rsid w:val="00F47ACD"/>
    <w:rsid w:val="00F50543"/>
    <w:rsid w:val="00F507BE"/>
    <w:rsid w:val="00F51037"/>
    <w:rsid w:val="00F5220A"/>
    <w:rsid w:val="00F52CC0"/>
    <w:rsid w:val="00F5561E"/>
    <w:rsid w:val="00F56674"/>
    <w:rsid w:val="00F5672D"/>
    <w:rsid w:val="00F5687D"/>
    <w:rsid w:val="00F5715D"/>
    <w:rsid w:val="00F57252"/>
    <w:rsid w:val="00F57454"/>
    <w:rsid w:val="00F575D4"/>
    <w:rsid w:val="00F57846"/>
    <w:rsid w:val="00F57A80"/>
    <w:rsid w:val="00F57BA7"/>
    <w:rsid w:val="00F57D61"/>
    <w:rsid w:val="00F617B6"/>
    <w:rsid w:val="00F61B11"/>
    <w:rsid w:val="00F62781"/>
    <w:rsid w:val="00F63347"/>
    <w:rsid w:val="00F63D61"/>
    <w:rsid w:val="00F653FE"/>
    <w:rsid w:val="00F65579"/>
    <w:rsid w:val="00F720AC"/>
    <w:rsid w:val="00F721EB"/>
    <w:rsid w:val="00F723C9"/>
    <w:rsid w:val="00F72AD8"/>
    <w:rsid w:val="00F72B7B"/>
    <w:rsid w:val="00F73710"/>
    <w:rsid w:val="00F74EFD"/>
    <w:rsid w:val="00F75858"/>
    <w:rsid w:val="00F76488"/>
    <w:rsid w:val="00F769D3"/>
    <w:rsid w:val="00F77A08"/>
    <w:rsid w:val="00F80519"/>
    <w:rsid w:val="00F838F7"/>
    <w:rsid w:val="00F83B5F"/>
    <w:rsid w:val="00F83FA9"/>
    <w:rsid w:val="00F8504B"/>
    <w:rsid w:val="00F851DF"/>
    <w:rsid w:val="00F860B3"/>
    <w:rsid w:val="00F87A76"/>
    <w:rsid w:val="00F90137"/>
    <w:rsid w:val="00F90667"/>
    <w:rsid w:val="00F90ADA"/>
    <w:rsid w:val="00F90E34"/>
    <w:rsid w:val="00F940EB"/>
    <w:rsid w:val="00F94154"/>
    <w:rsid w:val="00F950DC"/>
    <w:rsid w:val="00F952C3"/>
    <w:rsid w:val="00F96829"/>
    <w:rsid w:val="00F97D82"/>
    <w:rsid w:val="00FA06CC"/>
    <w:rsid w:val="00FA18CD"/>
    <w:rsid w:val="00FA1A57"/>
    <w:rsid w:val="00FA1E62"/>
    <w:rsid w:val="00FA2089"/>
    <w:rsid w:val="00FA2380"/>
    <w:rsid w:val="00FA37C3"/>
    <w:rsid w:val="00FA3B97"/>
    <w:rsid w:val="00FA3E35"/>
    <w:rsid w:val="00FA3F21"/>
    <w:rsid w:val="00FA4839"/>
    <w:rsid w:val="00FA5F42"/>
    <w:rsid w:val="00FA6901"/>
    <w:rsid w:val="00FA6BAD"/>
    <w:rsid w:val="00FA71BA"/>
    <w:rsid w:val="00FB19CA"/>
    <w:rsid w:val="00FB2FF5"/>
    <w:rsid w:val="00FB3E9E"/>
    <w:rsid w:val="00FB52C1"/>
    <w:rsid w:val="00FB5756"/>
    <w:rsid w:val="00FB6CBF"/>
    <w:rsid w:val="00FB6FA7"/>
    <w:rsid w:val="00FC08C6"/>
    <w:rsid w:val="00FC0BFC"/>
    <w:rsid w:val="00FC1608"/>
    <w:rsid w:val="00FC1823"/>
    <w:rsid w:val="00FC2BEC"/>
    <w:rsid w:val="00FC2C5F"/>
    <w:rsid w:val="00FC3FE6"/>
    <w:rsid w:val="00FC5786"/>
    <w:rsid w:val="00FC5DA4"/>
    <w:rsid w:val="00FC5DBC"/>
    <w:rsid w:val="00FC6429"/>
    <w:rsid w:val="00FC7178"/>
    <w:rsid w:val="00FC7BC3"/>
    <w:rsid w:val="00FD0A9E"/>
    <w:rsid w:val="00FD1368"/>
    <w:rsid w:val="00FD325C"/>
    <w:rsid w:val="00FD3AAB"/>
    <w:rsid w:val="00FD4174"/>
    <w:rsid w:val="00FD438B"/>
    <w:rsid w:val="00FD5BF8"/>
    <w:rsid w:val="00FD722D"/>
    <w:rsid w:val="00FE02DD"/>
    <w:rsid w:val="00FE07B4"/>
    <w:rsid w:val="00FE0CFF"/>
    <w:rsid w:val="00FE0FC4"/>
    <w:rsid w:val="00FE14FC"/>
    <w:rsid w:val="00FE1660"/>
    <w:rsid w:val="00FE1979"/>
    <w:rsid w:val="00FE1F09"/>
    <w:rsid w:val="00FE359C"/>
    <w:rsid w:val="00FE39FA"/>
    <w:rsid w:val="00FE43F1"/>
    <w:rsid w:val="00FE44E3"/>
    <w:rsid w:val="00FE4FAA"/>
    <w:rsid w:val="00FE65DA"/>
    <w:rsid w:val="00FF038A"/>
    <w:rsid w:val="00FF0A08"/>
    <w:rsid w:val="00FF0F6D"/>
    <w:rsid w:val="00FF1B9C"/>
    <w:rsid w:val="00FF1EB5"/>
    <w:rsid w:val="00FF2DBD"/>
    <w:rsid w:val="00FF32B5"/>
    <w:rsid w:val="00FF5B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2C8ED743"/>
  <w15:docId w15:val="{710587D6-1D93-480F-B9DE-100F6A5AAF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heme="minorBidi"/>
        <w:kern w:val="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C71C5"/>
    <w:pPr>
      <w:spacing w:line="340" w:lineRule="atLeast"/>
      <w:jc w:val="both"/>
    </w:pPr>
    <w:rPr>
      <w:rFonts w:eastAsia="Times New Roman" w:cs="Times New Roman"/>
      <w:color w:val="000000"/>
      <w:kern w:val="0"/>
      <w:sz w:val="24"/>
      <w:lang w:eastAsia="de-DE"/>
    </w:rPr>
  </w:style>
  <w:style w:type="paragraph" w:styleId="Heading1">
    <w:name w:val="heading 1"/>
    <w:aliases w:val="x"/>
    <w:basedOn w:val="Normal"/>
    <w:next w:val="Normal"/>
    <w:link w:val="Heading1Char"/>
    <w:qFormat/>
    <w:rsid w:val="00F87A76"/>
    <w:pPr>
      <w:spacing w:before="240"/>
      <w:outlineLvl w:val="0"/>
    </w:pPr>
    <w:rPr>
      <w:rFonts w:ascii="Arial" w:hAnsi="Arial"/>
      <w:b/>
      <w:u w:val="single"/>
    </w:rPr>
  </w:style>
  <w:style w:type="paragraph" w:styleId="Heading2">
    <w:name w:val="heading 2"/>
    <w:basedOn w:val="Normal"/>
    <w:next w:val="Normal"/>
    <w:link w:val="Heading2Char"/>
    <w:qFormat/>
    <w:rsid w:val="00F87A76"/>
    <w:pPr>
      <w:spacing w:before="120"/>
      <w:outlineLvl w:val="1"/>
    </w:pPr>
    <w:rPr>
      <w:rFonts w:ascii="Arial" w:hAnsi="Arial" w:cstheme="majorBidi"/>
      <w:b/>
    </w:rPr>
  </w:style>
  <w:style w:type="paragraph" w:styleId="Heading3">
    <w:name w:val="heading 3"/>
    <w:basedOn w:val="Normal"/>
    <w:next w:val="Normal"/>
    <w:link w:val="Heading3Char"/>
    <w:qFormat/>
    <w:rsid w:val="00F87A76"/>
    <w:pPr>
      <w:ind w:left="360"/>
      <w:outlineLvl w:val="2"/>
    </w:pPr>
    <w:rPr>
      <w:b/>
    </w:rPr>
  </w:style>
  <w:style w:type="paragraph" w:styleId="Heading4">
    <w:name w:val="heading 4"/>
    <w:basedOn w:val="Normal"/>
    <w:next w:val="Normal"/>
    <w:link w:val="Heading4Char"/>
    <w:qFormat/>
    <w:rsid w:val="00F87A76"/>
    <w:pPr>
      <w:keepNext/>
      <w:keepLines/>
      <w:spacing w:before="240" w:line="480" w:lineRule="atLeast"/>
      <w:ind w:left="907" w:hanging="907"/>
      <w:outlineLvl w:val="3"/>
    </w:pPr>
    <w:rPr>
      <w:rFonts w:ascii="Arial" w:hAnsi="Arial" w:cstheme="majorBidi"/>
      <w:b/>
    </w:rPr>
  </w:style>
  <w:style w:type="paragraph" w:styleId="Heading5">
    <w:name w:val="heading 5"/>
    <w:basedOn w:val="Normal"/>
    <w:next w:val="Normal"/>
    <w:link w:val="Heading5Char"/>
    <w:qFormat/>
    <w:rsid w:val="00F87A76"/>
    <w:pPr>
      <w:ind w:left="706"/>
      <w:outlineLvl w:val="4"/>
    </w:pPr>
    <w:rPr>
      <w:b/>
    </w:rPr>
  </w:style>
  <w:style w:type="paragraph" w:styleId="Heading6">
    <w:name w:val="heading 6"/>
    <w:basedOn w:val="Normal"/>
    <w:next w:val="Normal"/>
    <w:link w:val="Heading6Char"/>
    <w:qFormat/>
    <w:rsid w:val="00F87A76"/>
    <w:pPr>
      <w:ind w:left="706"/>
      <w:outlineLvl w:val="5"/>
    </w:pPr>
    <w:rPr>
      <w:rFonts w:cstheme="majorBidi"/>
      <w:u w:val="single"/>
    </w:rPr>
  </w:style>
  <w:style w:type="paragraph" w:styleId="Heading7">
    <w:name w:val="heading 7"/>
    <w:basedOn w:val="Normal"/>
    <w:next w:val="Normal"/>
    <w:link w:val="Heading7Char"/>
    <w:qFormat/>
    <w:rsid w:val="00F87A76"/>
    <w:pPr>
      <w:ind w:left="706"/>
      <w:outlineLvl w:val="6"/>
    </w:pPr>
    <w:rPr>
      <w:i/>
    </w:rPr>
  </w:style>
  <w:style w:type="paragraph" w:styleId="Heading8">
    <w:name w:val="heading 8"/>
    <w:basedOn w:val="Normal"/>
    <w:next w:val="Normal"/>
    <w:link w:val="Heading8Char"/>
    <w:qFormat/>
    <w:rsid w:val="00F87A76"/>
    <w:pPr>
      <w:ind w:left="706"/>
      <w:outlineLvl w:val="7"/>
    </w:pPr>
    <w:rPr>
      <w:rFonts w:cstheme="majorBidi"/>
      <w:i/>
    </w:rPr>
  </w:style>
  <w:style w:type="paragraph" w:styleId="Heading9">
    <w:name w:val="heading 9"/>
    <w:basedOn w:val="Normal"/>
    <w:next w:val="Normal"/>
    <w:link w:val="Heading9Char"/>
    <w:qFormat/>
    <w:rsid w:val="00F87A76"/>
    <w:pPr>
      <w:ind w:left="706"/>
      <w:outlineLvl w:val="8"/>
    </w:pPr>
    <w:rPr>
      <w:rFonts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F87A76"/>
  </w:style>
  <w:style w:type="paragraph" w:customStyle="1" w:styleId="MDPI11articletype">
    <w:name w:val="MDPI_1.1_article_type"/>
    <w:basedOn w:val="MDPI31text"/>
    <w:next w:val="MDPI12title"/>
    <w:qFormat/>
    <w:rsid w:val="00135C14"/>
    <w:pPr>
      <w:spacing w:before="240" w:line="240" w:lineRule="auto"/>
      <w:ind w:firstLine="0"/>
      <w:jc w:val="left"/>
    </w:pPr>
    <w:rPr>
      <w:i/>
    </w:rPr>
  </w:style>
  <w:style w:type="paragraph" w:customStyle="1" w:styleId="MDPI12title">
    <w:name w:val="MDPI_1.2_title"/>
    <w:next w:val="MDPI13authornames"/>
    <w:qFormat/>
    <w:rsid w:val="003B4E63"/>
    <w:pPr>
      <w:adjustRightInd w:val="0"/>
      <w:snapToGrid w:val="0"/>
      <w:spacing w:after="240" w:line="400" w:lineRule="exact"/>
    </w:pPr>
    <w:rPr>
      <w:rFonts w:ascii="Palatino Linotype" w:eastAsia="Times New Roman" w:hAnsi="Palatino Linotype" w:cs="Times New Roman"/>
      <w:b/>
      <w:snapToGrid w:val="0"/>
      <w:color w:val="000000"/>
      <w:kern w:val="0"/>
      <w:sz w:val="36"/>
      <w:lang w:eastAsia="de-DE" w:bidi="en-US"/>
    </w:rPr>
  </w:style>
  <w:style w:type="paragraph" w:customStyle="1" w:styleId="MDPI13authornames">
    <w:name w:val="MDPI_1.3_authornames"/>
    <w:basedOn w:val="MDPI31text"/>
    <w:next w:val="MDPI14history"/>
    <w:qFormat/>
    <w:rsid w:val="0012125D"/>
    <w:pPr>
      <w:spacing w:after="120"/>
      <w:ind w:firstLine="0"/>
      <w:jc w:val="left"/>
    </w:pPr>
    <w:rPr>
      <w:b/>
      <w:snapToGrid/>
    </w:rPr>
  </w:style>
  <w:style w:type="paragraph" w:customStyle="1" w:styleId="MDPI14history">
    <w:name w:val="MDPI_1.4_history"/>
    <w:basedOn w:val="MDPI62Acknowledgments"/>
    <w:next w:val="MDPI15academiceditor"/>
    <w:qFormat/>
    <w:rsid w:val="003B4E63"/>
    <w:pPr>
      <w:ind w:left="113"/>
      <w:jc w:val="left"/>
    </w:pPr>
    <w:rPr>
      <w:snapToGrid/>
    </w:rPr>
  </w:style>
  <w:style w:type="paragraph" w:customStyle="1" w:styleId="MDPI15academiceditor">
    <w:name w:val="MDPI_1.5_academic_editor"/>
    <w:basedOn w:val="MDPI62Acknowledgments"/>
    <w:qFormat/>
    <w:rsid w:val="003B4E63"/>
    <w:pPr>
      <w:spacing w:before="0" w:after="120"/>
      <w:ind w:left="113"/>
      <w:jc w:val="left"/>
    </w:pPr>
    <w:rPr>
      <w:snapToGrid/>
      <w:szCs w:val="22"/>
    </w:rPr>
  </w:style>
  <w:style w:type="paragraph" w:customStyle="1" w:styleId="MDPI16affiliation">
    <w:name w:val="MDPI_1.6_affiliation"/>
    <w:basedOn w:val="MDPI62Acknowledgments"/>
    <w:qFormat/>
    <w:rsid w:val="00F3278E"/>
    <w:pPr>
      <w:spacing w:before="0"/>
      <w:ind w:left="311" w:hanging="198"/>
      <w:jc w:val="left"/>
    </w:pPr>
    <w:rPr>
      <w:snapToGrid/>
      <w:szCs w:val="18"/>
    </w:rPr>
  </w:style>
  <w:style w:type="paragraph" w:customStyle="1" w:styleId="MDPI17abstract">
    <w:name w:val="MDPI_1.7_abstract"/>
    <w:basedOn w:val="MDPI31text"/>
    <w:next w:val="MDPI18keywords"/>
    <w:qFormat/>
    <w:rsid w:val="003B4E63"/>
    <w:pPr>
      <w:spacing w:before="240"/>
      <w:ind w:left="113" w:firstLine="0"/>
    </w:pPr>
    <w:rPr>
      <w:snapToGrid/>
    </w:rPr>
  </w:style>
  <w:style w:type="paragraph" w:customStyle="1" w:styleId="MDPI18keywords">
    <w:name w:val="MDPI_1.8_keywords"/>
    <w:basedOn w:val="MDPI31text"/>
    <w:next w:val="MDPI19classification"/>
    <w:qFormat/>
    <w:rsid w:val="003B4E63"/>
    <w:pPr>
      <w:spacing w:before="240"/>
      <w:ind w:left="113" w:firstLine="0"/>
    </w:pPr>
  </w:style>
  <w:style w:type="paragraph" w:customStyle="1" w:styleId="MDPI19classification">
    <w:name w:val="MDPI_1.9_classification"/>
    <w:basedOn w:val="MDPI31text"/>
    <w:qFormat/>
    <w:rsid w:val="003B4E63"/>
    <w:pPr>
      <w:spacing w:before="240"/>
      <w:ind w:left="113" w:firstLine="0"/>
    </w:pPr>
    <w:rPr>
      <w:b/>
      <w:snapToGrid/>
    </w:rPr>
  </w:style>
  <w:style w:type="paragraph" w:customStyle="1" w:styleId="MDPI19line">
    <w:name w:val="MDPI_1.9_line"/>
    <w:basedOn w:val="MDPI31text"/>
    <w:qFormat/>
    <w:rsid w:val="003B4E63"/>
    <w:pPr>
      <w:pBdr>
        <w:bottom w:val="single" w:sz="6" w:space="1" w:color="auto"/>
      </w:pBdr>
      <w:ind w:firstLine="0"/>
    </w:pPr>
    <w:rPr>
      <w:rFonts w:cstheme="minorBidi"/>
      <w:snapToGrid/>
      <w:szCs w:val="24"/>
    </w:rPr>
  </w:style>
  <w:style w:type="paragraph" w:customStyle="1" w:styleId="M1stheader">
    <w:name w:val="M_1stheader"/>
    <w:basedOn w:val="Normal"/>
    <w:rsid w:val="00F87A76"/>
    <w:pPr>
      <w:tabs>
        <w:tab w:val="center" w:pos="4320"/>
        <w:tab w:val="right" w:pos="8640"/>
      </w:tabs>
      <w:ind w:right="360"/>
      <w:outlineLvl w:val="0"/>
    </w:pPr>
    <w:rPr>
      <w:i/>
    </w:rPr>
  </w:style>
  <w:style w:type="paragraph" w:customStyle="1" w:styleId="Mabstract">
    <w:name w:val="M_abstract"/>
    <w:basedOn w:val="Mdeck4text"/>
    <w:next w:val="Mdeck3keywords"/>
    <w:rsid w:val="00F87A76"/>
    <w:pPr>
      <w:spacing w:before="240"/>
      <w:ind w:left="113" w:right="505" w:firstLine="0"/>
    </w:pPr>
  </w:style>
  <w:style w:type="paragraph" w:customStyle="1" w:styleId="MAcknow">
    <w:name w:val="M_Acknow"/>
    <w:basedOn w:val="Normal"/>
    <w:rsid w:val="00F87A76"/>
    <w:pPr>
      <w:spacing w:before="120" w:line="240" w:lineRule="atLeast"/>
    </w:pPr>
    <w:rPr>
      <w:rFonts w:ascii="Minion Pro" w:hAnsi="Minion Pro"/>
      <w:color w:val="000000" w:themeColor="text1"/>
    </w:rPr>
  </w:style>
  <w:style w:type="paragraph" w:customStyle="1" w:styleId="Maddress">
    <w:name w:val="M_address"/>
    <w:basedOn w:val="Normal"/>
    <w:rsid w:val="00F87A76"/>
    <w:pPr>
      <w:spacing w:before="240"/>
    </w:pPr>
  </w:style>
  <w:style w:type="paragraph" w:customStyle="1" w:styleId="Mauthor">
    <w:name w:val="M_author"/>
    <w:basedOn w:val="Normal"/>
    <w:rsid w:val="00F87A76"/>
    <w:pPr>
      <w:spacing w:before="240" w:after="240" w:line="340" w:lineRule="exact"/>
    </w:pPr>
    <w:rPr>
      <w:b/>
      <w:lang w:val="it-IT"/>
    </w:rPr>
  </w:style>
  <w:style w:type="paragraph" w:customStyle="1" w:styleId="MCaption">
    <w:name w:val="M_Caption"/>
    <w:basedOn w:val="Normal"/>
    <w:rsid w:val="00F87A76"/>
    <w:pPr>
      <w:spacing w:before="240" w:after="240"/>
      <w:jc w:val="center"/>
    </w:pPr>
  </w:style>
  <w:style w:type="paragraph" w:customStyle="1" w:styleId="MCopyright">
    <w:name w:val="M_Copyright"/>
    <w:basedOn w:val="Mdeck8references"/>
    <w:qFormat/>
    <w:rsid w:val="00F87A76"/>
    <w:pPr>
      <w:tabs>
        <w:tab w:val="center" w:pos="4536"/>
        <w:tab w:val="right" w:pos="9072"/>
      </w:tabs>
      <w:spacing w:before="400"/>
      <w:ind w:left="0" w:firstLine="0"/>
    </w:pPr>
  </w:style>
  <w:style w:type="paragraph" w:customStyle="1" w:styleId="Mdeck1articletitle">
    <w:name w:val="M_deck_1_article_title"/>
    <w:next w:val="Mdeck2authorname"/>
    <w:qFormat/>
    <w:rsid w:val="008810B3"/>
    <w:pPr>
      <w:kinsoku w:val="0"/>
      <w:overflowPunct w:val="0"/>
      <w:autoSpaceDE w:val="0"/>
      <w:autoSpaceDN w:val="0"/>
      <w:adjustRightInd w:val="0"/>
      <w:snapToGrid w:val="0"/>
      <w:spacing w:after="240" w:line="400" w:lineRule="exact"/>
    </w:pPr>
    <w:rPr>
      <w:rFonts w:ascii="Minion Pro" w:eastAsia="Times New Roman" w:hAnsi="Minion Pro"/>
      <w:b/>
      <w:snapToGrid w:val="0"/>
      <w:color w:val="000000"/>
      <w:kern w:val="0"/>
      <w:sz w:val="36"/>
      <w:lang w:eastAsia="de-DE" w:bidi="en-US"/>
    </w:rPr>
  </w:style>
  <w:style w:type="paragraph" w:customStyle="1" w:styleId="Mdeck1articletype">
    <w:name w:val="M_deck_1_article_type"/>
    <w:basedOn w:val="Mdeck4text"/>
    <w:next w:val="Mdeck1articletitle"/>
    <w:qFormat/>
    <w:rsid w:val="008810B3"/>
    <w:pPr>
      <w:widowControl w:val="0"/>
      <w:spacing w:before="120" w:after="120" w:line="240" w:lineRule="auto"/>
      <w:ind w:firstLine="0"/>
      <w:jc w:val="left"/>
    </w:pPr>
    <w:rPr>
      <w:rFonts w:cs="Times New Roman"/>
      <w:i/>
      <w:sz w:val="20"/>
      <w:szCs w:val="24"/>
    </w:rPr>
  </w:style>
  <w:style w:type="paragraph" w:customStyle="1" w:styleId="Mdeck2authoraffiliation">
    <w:name w:val="M_deck_2_author_affiliation"/>
    <w:qFormat/>
    <w:rsid w:val="008810B3"/>
    <w:pPr>
      <w:widowControl w:val="0"/>
      <w:kinsoku w:val="0"/>
      <w:overflowPunct w:val="0"/>
      <w:autoSpaceDE w:val="0"/>
      <w:autoSpaceDN w:val="0"/>
      <w:adjustRightInd w:val="0"/>
      <w:snapToGrid w:val="0"/>
      <w:spacing w:line="340" w:lineRule="atLeast"/>
      <w:ind w:left="311" w:hanging="198"/>
    </w:pPr>
    <w:rPr>
      <w:rFonts w:eastAsia="Times New Roman"/>
      <w:snapToGrid w:val="0"/>
      <w:color w:val="000000"/>
      <w:kern w:val="0"/>
      <w:sz w:val="24"/>
      <w:lang w:eastAsia="de-DE" w:bidi="en-US"/>
    </w:rPr>
  </w:style>
  <w:style w:type="paragraph" w:customStyle="1" w:styleId="Mdeck2authorcorrespondence">
    <w:name w:val="M_deck_2_author_correspondence"/>
    <w:qFormat/>
    <w:rsid w:val="008810B3"/>
    <w:pPr>
      <w:kinsoku w:val="0"/>
      <w:overflowPunct w:val="0"/>
      <w:autoSpaceDE w:val="0"/>
      <w:autoSpaceDN w:val="0"/>
      <w:adjustRightInd w:val="0"/>
      <w:snapToGrid w:val="0"/>
      <w:spacing w:line="200" w:lineRule="atLeast"/>
      <w:ind w:left="311" w:hanging="198"/>
    </w:pPr>
    <w:rPr>
      <w:rFonts w:ascii="Palatino Linotype" w:eastAsia="Times New Roman" w:hAnsi="Palatino Linotype"/>
      <w:snapToGrid w:val="0"/>
      <w:color w:val="000000"/>
      <w:kern w:val="0"/>
      <w:sz w:val="18"/>
      <w:lang w:eastAsia="de-DE" w:bidi="en-US"/>
    </w:rPr>
  </w:style>
  <w:style w:type="paragraph" w:customStyle="1" w:styleId="Mdeck2authorname">
    <w:name w:val="M_deck_2_author_name"/>
    <w:next w:val="Mdeck3publcationhistory"/>
    <w:qFormat/>
    <w:rsid w:val="008810B3"/>
    <w:pPr>
      <w:kinsoku w:val="0"/>
      <w:overflowPunct w:val="0"/>
      <w:autoSpaceDE w:val="0"/>
      <w:autoSpaceDN w:val="0"/>
      <w:adjustRightInd w:val="0"/>
      <w:snapToGrid w:val="0"/>
      <w:spacing w:before="240" w:after="120" w:line="320" w:lineRule="atLeast"/>
    </w:pPr>
    <w:rPr>
      <w:rFonts w:eastAsia="Times New Roman"/>
      <w:b/>
      <w:snapToGrid w:val="0"/>
      <w:color w:val="000000"/>
      <w:kern w:val="0"/>
      <w:sz w:val="22"/>
      <w:lang w:eastAsia="de-DE" w:bidi="en-US"/>
    </w:rPr>
  </w:style>
  <w:style w:type="paragraph" w:customStyle="1" w:styleId="Mdeck3abstract">
    <w:name w:val="M_deck_3_abstract"/>
    <w:basedOn w:val="Mdeck4text"/>
    <w:next w:val="Mdeck3keywords"/>
    <w:qFormat/>
    <w:rsid w:val="008810B3"/>
    <w:pPr>
      <w:widowControl w:val="0"/>
      <w:spacing w:before="240" w:after="240"/>
      <w:ind w:left="113" w:right="567"/>
    </w:pPr>
    <w:rPr>
      <w:snapToGrid/>
    </w:rPr>
  </w:style>
  <w:style w:type="paragraph" w:customStyle="1" w:styleId="Mdeck3keywords">
    <w:name w:val="M_deck_3_keywords"/>
    <w:basedOn w:val="Mdeck4text"/>
    <w:next w:val="Normal"/>
    <w:qFormat/>
    <w:rsid w:val="008810B3"/>
    <w:pPr>
      <w:spacing w:before="240"/>
      <w:ind w:left="113" w:firstLine="0"/>
    </w:pPr>
  </w:style>
  <w:style w:type="paragraph" w:customStyle="1" w:styleId="Mdeck3publcationhistory">
    <w:name w:val="M_deck_3_publcation_history"/>
    <w:next w:val="Normal"/>
    <w:qFormat/>
    <w:rsid w:val="008810B3"/>
    <w:pPr>
      <w:widowControl w:val="0"/>
      <w:kinsoku w:val="0"/>
      <w:overflowPunct w:val="0"/>
      <w:autoSpaceDE w:val="0"/>
      <w:autoSpaceDN w:val="0"/>
      <w:adjustRightInd w:val="0"/>
      <w:snapToGrid w:val="0"/>
      <w:spacing w:before="240" w:line="340" w:lineRule="atLeast"/>
      <w:ind w:left="113"/>
    </w:pPr>
    <w:rPr>
      <w:rFonts w:eastAsia="Times New Roman"/>
      <w:i/>
      <w:snapToGrid w:val="0"/>
      <w:color w:val="000000"/>
      <w:kern w:val="0"/>
      <w:sz w:val="24"/>
      <w:lang w:eastAsia="de-DE" w:bidi="en-US"/>
    </w:rPr>
  </w:style>
  <w:style w:type="paragraph" w:customStyle="1" w:styleId="Mdeck4heading1">
    <w:name w:val="M_deck_4_heading_1"/>
    <w:basedOn w:val="MHeading3"/>
    <w:next w:val="Normal"/>
    <w:qFormat/>
    <w:rsid w:val="008810B3"/>
    <w:pPr>
      <w:outlineLvl w:val="0"/>
    </w:pPr>
    <w:rPr>
      <w:b/>
      <w:snapToGrid/>
    </w:rPr>
  </w:style>
  <w:style w:type="paragraph" w:customStyle="1" w:styleId="Mdeck4heading2">
    <w:name w:val="M_deck_4_heading_2"/>
    <w:basedOn w:val="MHeading3"/>
    <w:next w:val="Normal"/>
    <w:qFormat/>
    <w:rsid w:val="008810B3"/>
    <w:pPr>
      <w:outlineLvl w:val="1"/>
    </w:pPr>
    <w:rPr>
      <w:i/>
      <w:snapToGrid/>
    </w:rPr>
  </w:style>
  <w:style w:type="paragraph" w:customStyle="1" w:styleId="Mdeck4heading3">
    <w:name w:val="M_deck_4_heading_3"/>
    <w:basedOn w:val="Mdeck4text"/>
    <w:next w:val="Normal"/>
    <w:qFormat/>
    <w:rsid w:val="008810B3"/>
    <w:pPr>
      <w:spacing w:before="240" w:after="120"/>
      <w:ind w:firstLineChars="50" w:firstLine="50"/>
      <w:outlineLvl w:val="2"/>
    </w:pPr>
    <w:rPr>
      <w:snapToGrid/>
    </w:rPr>
  </w:style>
  <w:style w:type="paragraph" w:customStyle="1" w:styleId="Mdeck4text">
    <w:name w:val="M_deck_4_text"/>
    <w:qFormat/>
    <w:rsid w:val="008810B3"/>
    <w:pPr>
      <w:kinsoku w:val="0"/>
      <w:overflowPunct w:val="0"/>
      <w:autoSpaceDE w:val="0"/>
      <w:autoSpaceDN w:val="0"/>
      <w:adjustRightInd w:val="0"/>
      <w:snapToGrid w:val="0"/>
      <w:spacing w:line="320" w:lineRule="atLeast"/>
      <w:ind w:firstLine="425"/>
      <w:jc w:val="both"/>
    </w:pPr>
    <w:rPr>
      <w:rFonts w:ascii="Minion Pro" w:eastAsia="Times New Roman" w:hAnsi="Minion Pro"/>
      <w:snapToGrid w:val="0"/>
      <w:color w:val="000000"/>
      <w:kern w:val="0"/>
      <w:sz w:val="24"/>
      <w:lang w:eastAsia="de-DE" w:bidi="en-US"/>
    </w:rPr>
  </w:style>
  <w:style w:type="paragraph" w:customStyle="1" w:styleId="Mdeck4textbulletlist">
    <w:name w:val="M_deck_4_text_bullet_list"/>
    <w:basedOn w:val="Mdeck4text"/>
    <w:qFormat/>
    <w:rsid w:val="008810B3"/>
    <w:pPr>
      <w:numPr>
        <w:numId w:val="4"/>
      </w:numPr>
      <w:spacing w:before="120" w:after="120" w:line="340" w:lineRule="atLeast"/>
    </w:pPr>
    <w:rPr>
      <w:snapToGrid/>
    </w:rPr>
  </w:style>
  <w:style w:type="paragraph" w:customStyle="1" w:styleId="Mdeck4textfirstlinezero">
    <w:name w:val="M_deck_4_text_firstline_zero"/>
    <w:basedOn w:val="Mdeck4text"/>
    <w:next w:val="Mdeck4text"/>
    <w:qFormat/>
    <w:rsid w:val="008810B3"/>
    <w:pPr>
      <w:ind w:firstLine="0"/>
    </w:pPr>
    <w:rPr>
      <w:szCs w:val="24"/>
    </w:rPr>
  </w:style>
  <w:style w:type="paragraph" w:customStyle="1" w:styleId="MFigure">
    <w:name w:val="M_Figure"/>
    <w:qFormat/>
    <w:rsid w:val="00F87A76"/>
    <w:pPr>
      <w:jc w:val="center"/>
    </w:pPr>
    <w:rPr>
      <w:rFonts w:ascii="Minion Pro" w:eastAsia="Times New Roman" w:hAnsi="Minion Pro"/>
      <w:color w:val="000000" w:themeColor="text1"/>
      <w:sz w:val="24"/>
    </w:rPr>
  </w:style>
  <w:style w:type="paragraph" w:customStyle="1" w:styleId="Mdeck4textlist">
    <w:name w:val="M_deck_4_text_list"/>
    <w:basedOn w:val="MFigure"/>
    <w:qFormat/>
    <w:rsid w:val="008810B3"/>
    <w:rPr>
      <w:i/>
    </w:rPr>
  </w:style>
  <w:style w:type="paragraph" w:customStyle="1" w:styleId="Mdeck4textlrindent">
    <w:name w:val="M_deck_4_text_lr_indent"/>
    <w:basedOn w:val="Mdeck4text"/>
    <w:qFormat/>
    <w:rsid w:val="008810B3"/>
    <w:pPr>
      <w:spacing w:line="260" w:lineRule="atLeast"/>
      <w:ind w:left="567" w:right="567" w:firstLine="0"/>
    </w:pPr>
  </w:style>
  <w:style w:type="paragraph" w:customStyle="1" w:styleId="Mdeck4textnumberedlist">
    <w:name w:val="M_deck_4_text_numbered_list"/>
    <w:basedOn w:val="Mdeck4text"/>
    <w:qFormat/>
    <w:rsid w:val="008810B3"/>
    <w:pPr>
      <w:numPr>
        <w:numId w:val="5"/>
      </w:numPr>
      <w:spacing w:before="120" w:after="120" w:line="340" w:lineRule="atLeast"/>
    </w:pPr>
    <w:rPr>
      <w:snapToGrid/>
    </w:rPr>
  </w:style>
  <w:style w:type="paragraph" w:customStyle="1" w:styleId="Mdeck5tablebody">
    <w:name w:val="M_deck_5_table_body"/>
    <w:qFormat/>
    <w:rsid w:val="008810B3"/>
    <w:pPr>
      <w:kinsoku w:val="0"/>
      <w:overflowPunct w:val="0"/>
      <w:autoSpaceDE w:val="0"/>
      <w:autoSpaceDN w:val="0"/>
      <w:adjustRightInd w:val="0"/>
      <w:snapToGrid w:val="0"/>
      <w:jc w:val="center"/>
    </w:pPr>
    <w:rPr>
      <w:rFonts w:ascii="Minion Pro" w:eastAsia="Times New Roman" w:hAnsi="Minion Pro"/>
      <w:snapToGrid w:val="0"/>
      <w:color w:val="000000"/>
      <w:kern w:val="0"/>
      <w:lang w:eastAsia="de-DE" w:bidi="en-US"/>
    </w:rPr>
  </w:style>
  <w:style w:type="table" w:customStyle="1" w:styleId="Mdeck5tablebodythreelines">
    <w:name w:val="M_deck_5_table_body_three_lines"/>
    <w:basedOn w:val="TableNormal"/>
    <w:uiPriority w:val="99"/>
    <w:rsid w:val="008810B3"/>
    <w:pPr>
      <w:adjustRightInd w:val="0"/>
      <w:snapToGrid w:val="0"/>
      <w:spacing w:line="300" w:lineRule="exact"/>
      <w:jc w:val="center"/>
    </w:pPr>
    <w:rPr>
      <w:rFonts w:cs="Times New Roman"/>
      <w:kern w:val="0"/>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paragraph" w:customStyle="1" w:styleId="Mdeck5tablecaption">
    <w:name w:val="M_deck_5_table_caption"/>
    <w:qFormat/>
    <w:rsid w:val="008810B3"/>
    <w:pPr>
      <w:kinsoku w:val="0"/>
      <w:overflowPunct w:val="0"/>
      <w:autoSpaceDE w:val="0"/>
      <w:autoSpaceDN w:val="0"/>
      <w:adjustRightInd w:val="0"/>
      <w:snapToGrid w:val="0"/>
      <w:spacing w:after="120" w:line="260" w:lineRule="atLeast"/>
      <w:jc w:val="both"/>
    </w:pPr>
    <w:rPr>
      <w:rFonts w:ascii="Palatino Linotype" w:eastAsia="Times New Roman" w:hAnsi="Palatino Linotype"/>
      <w:snapToGrid w:val="0"/>
      <w:color w:val="000000"/>
      <w:kern w:val="0"/>
      <w:sz w:val="18"/>
      <w:lang w:eastAsia="de-DE" w:bidi="en-US"/>
    </w:rPr>
  </w:style>
  <w:style w:type="paragraph" w:customStyle="1" w:styleId="Mdeck5tablefooter">
    <w:name w:val="M_deck_5_table_footer"/>
    <w:basedOn w:val="Mdeck5tablecaption"/>
    <w:next w:val="Mdeck4text"/>
    <w:qFormat/>
    <w:rsid w:val="008810B3"/>
    <w:pPr>
      <w:spacing w:line="300" w:lineRule="exact"/>
    </w:pPr>
  </w:style>
  <w:style w:type="paragraph" w:customStyle="1" w:styleId="Mdeck5tableheader">
    <w:name w:val="M_deck_5_table_header"/>
    <w:basedOn w:val="Mdeck5tablefooter"/>
    <w:rsid w:val="008810B3"/>
  </w:style>
  <w:style w:type="paragraph" w:customStyle="1" w:styleId="Mdeck6figurebody">
    <w:name w:val="M_deck_6_figure_body"/>
    <w:qFormat/>
    <w:rsid w:val="008810B3"/>
    <w:pPr>
      <w:widowControl w:val="0"/>
      <w:kinsoku w:val="0"/>
      <w:overflowPunct w:val="0"/>
      <w:autoSpaceDE w:val="0"/>
      <w:autoSpaceDN w:val="0"/>
      <w:adjustRightInd w:val="0"/>
      <w:snapToGrid w:val="0"/>
      <w:spacing w:line="340" w:lineRule="atLeast"/>
      <w:jc w:val="center"/>
    </w:pPr>
    <w:rPr>
      <w:rFonts w:eastAsia="Times New Roman"/>
      <w:snapToGrid w:val="0"/>
      <w:color w:val="000000"/>
      <w:kern w:val="0"/>
      <w:sz w:val="24"/>
      <w:lang w:eastAsia="de-DE" w:bidi="en-US"/>
    </w:rPr>
  </w:style>
  <w:style w:type="paragraph" w:customStyle="1" w:styleId="Mdeck6figurecaption">
    <w:name w:val="M_deck_6_figure_caption"/>
    <w:next w:val="Mdeck4text"/>
    <w:qFormat/>
    <w:rsid w:val="008810B3"/>
    <w:pPr>
      <w:adjustRightInd w:val="0"/>
      <w:snapToGrid w:val="0"/>
      <w:spacing w:before="120" w:line="260" w:lineRule="atLeast"/>
    </w:pPr>
    <w:rPr>
      <w:rFonts w:ascii="Palatino Linotype" w:eastAsia="Times New Roman" w:hAnsi="Palatino Linotype"/>
      <w:snapToGrid w:val="0"/>
      <w:color w:val="000000"/>
      <w:kern w:val="0"/>
      <w:sz w:val="18"/>
      <w:lang w:eastAsia="de-DE" w:bidi="en-US"/>
    </w:rPr>
  </w:style>
  <w:style w:type="paragraph" w:customStyle="1" w:styleId="Mdeck7equation">
    <w:name w:val="M_deck_7_equation"/>
    <w:basedOn w:val="Mdeck4text"/>
    <w:qFormat/>
    <w:rsid w:val="008810B3"/>
    <w:pPr>
      <w:spacing w:before="120" w:after="120"/>
      <w:ind w:left="709" w:firstLine="0"/>
      <w:jc w:val="center"/>
    </w:pPr>
    <w:rPr>
      <w:i/>
      <w:snapToGrid/>
      <w:szCs w:val="24"/>
      <w:lang w:eastAsia="en-US"/>
    </w:rPr>
  </w:style>
  <w:style w:type="paragraph" w:customStyle="1" w:styleId="Mdeck8references">
    <w:name w:val="M_deck_8_references"/>
    <w:qFormat/>
    <w:rsid w:val="008810B3"/>
    <w:pPr>
      <w:numPr>
        <w:numId w:val="6"/>
      </w:numPr>
      <w:kinsoku w:val="0"/>
      <w:overflowPunct w:val="0"/>
      <w:autoSpaceDE w:val="0"/>
      <w:autoSpaceDN w:val="0"/>
      <w:adjustRightInd w:val="0"/>
      <w:snapToGrid w:val="0"/>
      <w:spacing w:line="260" w:lineRule="atLeast"/>
      <w:jc w:val="both"/>
    </w:pPr>
    <w:rPr>
      <w:rFonts w:eastAsia="Times New Roman"/>
      <w:snapToGrid w:val="0"/>
      <w:color w:val="000000"/>
      <w:kern w:val="0"/>
      <w:sz w:val="24"/>
      <w:lang w:eastAsia="de-DE" w:bidi="en-US"/>
    </w:rPr>
  </w:style>
  <w:style w:type="paragraph" w:customStyle="1" w:styleId="MHeader">
    <w:name w:val="M_Header"/>
    <w:basedOn w:val="Normal"/>
    <w:rsid w:val="00F87A76"/>
    <w:pPr>
      <w:spacing w:after="240"/>
      <w:ind w:left="425"/>
    </w:pPr>
    <w:rPr>
      <w:rFonts w:ascii="Minion Pro" w:hAnsi="Minion Pro"/>
    </w:rPr>
  </w:style>
  <w:style w:type="paragraph" w:customStyle="1" w:styleId="MHeading1">
    <w:name w:val="M_Heading1"/>
    <w:basedOn w:val="MHeading3"/>
    <w:qFormat/>
    <w:rsid w:val="00F87A76"/>
    <w:rPr>
      <w:b/>
    </w:rPr>
  </w:style>
  <w:style w:type="paragraph" w:customStyle="1" w:styleId="MHeading2">
    <w:name w:val="M_Heading2"/>
    <w:basedOn w:val="MHeading3"/>
    <w:qFormat/>
    <w:rsid w:val="00F87A76"/>
    <w:rPr>
      <w:i/>
    </w:rPr>
  </w:style>
  <w:style w:type="paragraph" w:customStyle="1" w:styleId="MHeading3">
    <w:name w:val="M_Heading3"/>
    <w:basedOn w:val="Mdeck4text"/>
    <w:qFormat/>
    <w:rsid w:val="00F87A76"/>
    <w:pPr>
      <w:spacing w:before="240" w:after="120"/>
    </w:pPr>
  </w:style>
  <w:style w:type="paragraph" w:customStyle="1" w:styleId="MISSN">
    <w:name w:val="M_ISSN"/>
    <w:basedOn w:val="Normal"/>
    <w:rsid w:val="00F87A76"/>
    <w:pPr>
      <w:spacing w:after="520"/>
      <w:jc w:val="right"/>
    </w:pPr>
  </w:style>
  <w:style w:type="paragraph" w:customStyle="1" w:styleId="Mline2">
    <w:name w:val="M_line2"/>
    <w:basedOn w:val="Mdeck4text"/>
    <w:qFormat/>
    <w:rsid w:val="00F87A76"/>
    <w:pPr>
      <w:pBdr>
        <w:bottom w:val="single" w:sz="6" w:space="1" w:color="auto"/>
      </w:pBdr>
      <w:spacing w:after="480"/>
    </w:pPr>
  </w:style>
  <w:style w:type="paragraph" w:customStyle="1" w:styleId="Mline1">
    <w:name w:val="M_line1"/>
    <w:basedOn w:val="Mdeck4text"/>
    <w:next w:val="Mline2"/>
    <w:qFormat/>
    <w:rsid w:val="00F87A76"/>
    <w:pPr>
      <w:ind w:firstLine="0"/>
    </w:pPr>
  </w:style>
  <w:style w:type="paragraph" w:customStyle="1" w:styleId="MLogo">
    <w:name w:val="M_Logo"/>
    <w:basedOn w:val="Normal"/>
    <w:rsid w:val="00F87A76"/>
    <w:pPr>
      <w:spacing w:before="140"/>
      <w:jc w:val="right"/>
    </w:pPr>
    <w:rPr>
      <w:b/>
      <w:i/>
      <w:sz w:val="64"/>
    </w:rPr>
  </w:style>
  <w:style w:type="paragraph" w:customStyle="1" w:styleId="Mreceived">
    <w:name w:val="M_received"/>
    <w:basedOn w:val="Maddress"/>
    <w:rsid w:val="00F87A76"/>
    <w:rPr>
      <w:i/>
    </w:rPr>
  </w:style>
  <w:style w:type="paragraph" w:customStyle="1" w:styleId="MRefer">
    <w:name w:val="M_Refer"/>
    <w:basedOn w:val="Normal"/>
    <w:rsid w:val="00F87A76"/>
    <w:pPr>
      <w:ind w:left="461" w:hanging="461"/>
    </w:pPr>
  </w:style>
  <w:style w:type="paragraph" w:customStyle="1" w:styleId="Mtable">
    <w:name w:val="M_table"/>
    <w:basedOn w:val="Normal"/>
    <w:rsid w:val="00F87A76"/>
    <w:pPr>
      <w:keepNext/>
      <w:tabs>
        <w:tab w:val="left" w:pos="284"/>
      </w:tabs>
    </w:pPr>
  </w:style>
  <w:style w:type="paragraph" w:customStyle="1" w:styleId="MTablecaption">
    <w:name w:val="M_Tablecaption"/>
    <w:basedOn w:val="MCaption"/>
    <w:rsid w:val="00F87A76"/>
    <w:pPr>
      <w:spacing w:after="0"/>
    </w:pPr>
  </w:style>
  <w:style w:type="paragraph" w:customStyle="1" w:styleId="MText">
    <w:name w:val="M_Text"/>
    <w:basedOn w:val="Normal"/>
    <w:rsid w:val="00F87A76"/>
    <w:pPr>
      <w:ind w:firstLine="288"/>
    </w:pPr>
  </w:style>
  <w:style w:type="paragraph" w:customStyle="1" w:styleId="MTitel">
    <w:name w:val="M_Titel"/>
    <w:basedOn w:val="Normal"/>
    <w:rsid w:val="00F87A76"/>
    <w:pPr>
      <w:spacing w:before="240"/>
    </w:pPr>
    <w:rPr>
      <w:b/>
      <w:sz w:val="36"/>
      <w:lang w:val="en-GB"/>
    </w:rPr>
  </w:style>
  <w:style w:type="paragraph" w:customStyle="1" w:styleId="MDPIheader">
    <w:name w:val="MDPI_header"/>
    <w:qFormat/>
    <w:rsid w:val="003B4E63"/>
    <w:pPr>
      <w:adjustRightInd w:val="0"/>
      <w:snapToGrid w:val="0"/>
      <w:spacing w:after="240"/>
    </w:pPr>
    <w:rPr>
      <w:rFonts w:ascii="Palatino Linotype" w:eastAsia="Times New Roman" w:hAnsi="Palatino Linotype" w:cs="Times New Roman"/>
      <w:iCs/>
      <w:kern w:val="0"/>
      <w:sz w:val="16"/>
      <w:lang w:eastAsia="de-DE"/>
    </w:rPr>
  </w:style>
  <w:style w:type="paragraph" w:customStyle="1" w:styleId="Mheaderjournallogo">
    <w:name w:val="M_header_journal_logo"/>
    <w:qFormat/>
    <w:rsid w:val="00F87A76"/>
    <w:rPr>
      <w:rFonts w:ascii="Minion Pro" w:eastAsiaTheme="minorEastAsia" w:hAnsi="Minion Pro" w:cs="Times New Roman"/>
      <w:color w:val="000000"/>
      <w:kern w:val="0"/>
      <w:sz w:val="24"/>
      <w:lang w:val="de-DE"/>
    </w:rPr>
  </w:style>
  <w:style w:type="paragraph" w:customStyle="1" w:styleId="TextBericht">
    <w:name w:val="Text_Bericht"/>
    <w:basedOn w:val="Normal"/>
    <w:uiPriority w:val="99"/>
    <w:rsid w:val="00F87A76"/>
    <w:pPr>
      <w:spacing w:after="120" w:line="276" w:lineRule="auto"/>
    </w:pPr>
    <w:rPr>
      <w:rFonts w:ascii="Arial" w:hAnsi="Arial"/>
      <w:lang w:val="de-DE"/>
    </w:rPr>
  </w:style>
  <w:style w:type="character" w:customStyle="1" w:styleId="Heading2Char">
    <w:name w:val="Heading 2 Char"/>
    <w:basedOn w:val="DefaultParagraphFont"/>
    <w:link w:val="Heading2"/>
    <w:rsid w:val="00F87A76"/>
    <w:rPr>
      <w:rFonts w:ascii="Arial" w:eastAsia="Times New Roman" w:hAnsi="Arial" w:cstheme="majorBidi"/>
      <w:b/>
      <w:color w:val="000000"/>
      <w:kern w:val="0"/>
      <w:sz w:val="24"/>
      <w:lang w:eastAsia="de-DE"/>
    </w:rPr>
  </w:style>
  <w:style w:type="paragraph" w:customStyle="1" w:styleId="berschrift3">
    <w:name w:val="Überschrift3"/>
    <w:basedOn w:val="Heading2"/>
    <w:uiPriority w:val="99"/>
    <w:rsid w:val="00F87A76"/>
    <w:pPr>
      <w:keepNext/>
      <w:tabs>
        <w:tab w:val="num" w:pos="360"/>
      </w:tabs>
      <w:spacing w:before="0"/>
      <w:ind w:left="576" w:hanging="576"/>
    </w:pPr>
    <w:rPr>
      <w:rFonts w:cs="Arial"/>
      <w:bCs/>
      <w:iCs/>
      <w:sz w:val="18"/>
      <w:szCs w:val="28"/>
      <w:lang w:val="de-DE"/>
    </w:rPr>
  </w:style>
  <w:style w:type="character" w:customStyle="1" w:styleId="Heading1Char">
    <w:name w:val="Heading 1 Char"/>
    <w:aliases w:val="x Char"/>
    <w:basedOn w:val="DefaultParagraphFont"/>
    <w:link w:val="Heading1"/>
    <w:rsid w:val="00F87A76"/>
    <w:rPr>
      <w:rFonts w:ascii="Arial" w:eastAsia="Times New Roman" w:hAnsi="Arial" w:cs="Times New Roman"/>
      <w:b/>
      <w:color w:val="000000"/>
      <w:kern w:val="0"/>
      <w:sz w:val="24"/>
      <w:u w:val="single"/>
      <w:lang w:eastAsia="de-DE"/>
    </w:rPr>
  </w:style>
  <w:style w:type="character" w:customStyle="1" w:styleId="Heading3Char">
    <w:name w:val="Heading 3 Char"/>
    <w:basedOn w:val="DefaultParagraphFont"/>
    <w:link w:val="Heading3"/>
    <w:rsid w:val="00F87A76"/>
    <w:rPr>
      <w:rFonts w:eastAsia="Times New Roman" w:cs="Times New Roman"/>
      <w:b/>
      <w:color w:val="000000"/>
      <w:kern w:val="0"/>
      <w:sz w:val="24"/>
      <w:lang w:eastAsia="de-DE"/>
    </w:rPr>
  </w:style>
  <w:style w:type="character" w:customStyle="1" w:styleId="Heading4Char">
    <w:name w:val="Heading 4 Char"/>
    <w:basedOn w:val="DefaultParagraphFont"/>
    <w:link w:val="Heading4"/>
    <w:rsid w:val="00F87A76"/>
    <w:rPr>
      <w:rFonts w:ascii="Arial" w:eastAsia="Times New Roman" w:hAnsi="Arial" w:cstheme="majorBidi"/>
      <w:b/>
      <w:color w:val="000000"/>
      <w:kern w:val="0"/>
      <w:sz w:val="24"/>
      <w:lang w:eastAsia="de-DE"/>
    </w:rPr>
  </w:style>
  <w:style w:type="character" w:customStyle="1" w:styleId="Heading5Char">
    <w:name w:val="Heading 5 Char"/>
    <w:basedOn w:val="DefaultParagraphFont"/>
    <w:link w:val="Heading5"/>
    <w:rsid w:val="00F87A76"/>
    <w:rPr>
      <w:rFonts w:eastAsia="Times New Roman" w:cs="Times New Roman"/>
      <w:b/>
      <w:color w:val="000000"/>
      <w:kern w:val="0"/>
      <w:sz w:val="24"/>
      <w:lang w:eastAsia="de-DE"/>
    </w:rPr>
  </w:style>
  <w:style w:type="character" w:customStyle="1" w:styleId="Heading6Char">
    <w:name w:val="Heading 6 Char"/>
    <w:basedOn w:val="DefaultParagraphFont"/>
    <w:link w:val="Heading6"/>
    <w:rsid w:val="00F87A76"/>
    <w:rPr>
      <w:rFonts w:eastAsia="Times New Roman" w:cstheme="majorBidi"/>
      <w:color w:val="000000"/>
      <w:kern w:val="0"/>
      <w:sz w:val="24"/>
      <w:u w:val="single"/>
      <w:lang w:eastAsia="de-DE"/>
    </w:rPr>
  </w:style>
  <w:style w:type="character" w:customStyle="1" w:styleId="Heading7Char">
    <w:name w:val="Heading 7 Char"/>
    <w:basedOn w:val="DefaultParagraphFont"/>
    <w:link w:val="Heading7"/>
    <w:rsid w:val="00F87A76"/>
    <w:rPr>
      <w:rFonts w:eastAsia="Times New Roman" w:cs="Times New Roman"/>
      <w:i/>
      <w:color w:val="000000"/>
      <w:kern w:val="0"/>
      <w:sz w:val="24"/>
      <w:lang w:eastAsia="de-DE"/>
    </w:rPr>
  </w:style>
  <w:style w:type="character" w:customStyle="1" w:styleId="Heading8Char">
    <w:name w:val="Heading 8 Char"/>
    <w:basedOn w:val="DefaultParagraphFont"/>
    <w:link w:val="Heading8"/>
    <w:rsid w:val="00F87A76"/>
    <w:rPr>
      <w:rFonts w:eastAsia="Times New Roman" w:cstheme="majorBidi"/>
      <w:i/>
      <w:color w:val="000000"/>
      <w:kern w:val="0"/>
      <w:sz w:val="24"/>
      <w:lang w:eastAsia="de-DE"/>
    </w:rPr>
  </w:style>
  <w:style w:type="character" w:customStyle="1" w:styleId="Heading9Char">
    <w:name w:val="Heading 9 Char"/>
    <w:basedOn w:val="DefaultParagraphFont"/>
    <w:link w:val="Heading9"/>
    <w:rsid w:val="00F87A76"/>
    <w:rPr>
      <w:rFonts w:eastAsia="Times New Roman" w:cstheme="majorBidi"/>
      <w:i/>
      <w:color w:val="000000"/>
      <w:kern w:val="0"/>
      <w:sz w:val="24"/>
      <w:lang w:eastAsia="de-DE"/>
    </w:rPr>
  </w:style>
  <w:style w:type="character" w:styleId="Hyperlink">
    <w:name w:val="Hyperlink"/>
    <w:uiPriority w:val="99"/>
    <w:rsid w:val="00F87A76"/>
    <w:rPr>
      <w:color w:val="0000FF"/>
      <w:u w:val="single"/>
    </w:rPr>
  </w:style>
  <w:style w:type="character" w:styleId="FollowedHyperlink">
    <w:name w:val="FollowedHyperlink"/>
    <w:basedOn w:val="DefaultParagraphFont"/>
    <w:rsid w:val="00F87A76"/>
    <w:rPr>
      <w:color w:val="954F72" w:themeColor="followedHyperlink"/>
      <w:u w:val="single"/>
    </w:rPr>
  </w:style>
  <w:style w:type="character" w:styleId="LineNumber">
    <w:name w:val="line number"/>
    <w:basedOn w:val="DefaultParagraphFont"/>
    <w:uiPriority w:val="99"/>
    <w:rsid w:val="00F87A76"/>
  </w:style>
  <w:style w:type="paragraph" w:styleId="FootnoteText">
    <w:name w:val="footnote text"/>
    <w:basedOn w:val="Normal"/>
    <w:link w:val="FootnoteTextChar"/>
    <w:rsid w:val="00F87A76"/>
  </w:style>
  <w:style w:type="character" w:customStyle="1" w:styleId="FootnoteTextChar">
    <w:name w:val="Footnote Text Char"/>
    <w:basedOn w:val="DefaultParagraphFont"/>
    <w:link w:val="FootnoteText"/>
    <w:rsid w:val="00F87A76"/>
    <w:rPr>
      <w:rFonts w:eastAsia="Times New Roman" w:cs="Times New Roman"/>
      <w:color w:val="000000"/>
      <w:kern w:val="0"/>
      <w:sz w:val="24"/>
      <w:lang w:eastAsia="de-DE"/>
    </w:rPr>
  </w:style>
  <w:style w:type="paragraph" w:styleId="List">
    <w:name w:val="List"/>
    <w:basedOn w:val="Normal"/>
    <w:rsid w:val="00F87A76"/>
    <w:pPr>
      <w:ind w:left="200" w:hangingChars="200" w:hanging="200"/>
      <w:contextualSpacing/>
    </w:pPr>
  </w:style>
  <w:style w:type="paragraph" w:styleId="ListBullet">
    <w:name w:val="List Bullet"/>
    <w:basedOn w:val="Normal"/>
    <w:rsid w:val="00F87A76"/>
    <w:pPr>
      <w:tabs>
        <w:tab w:val="num" w:pos="360"/>
      </w:tabs>
      <w:ind w:left="200" w:hangingChars="200" w:hanging="200"/>
      <w:contextualSpacing/>
    </w:pPr>
  </w:style>
  <w:style w:type="paragraph" w:styleId="ListParagraph">
    <w:name w:val="List Paragraph"/>
    <w:basedOn w:val="Normal"/>
    <w:uiPriority w:val="34"/>
    <w:qFormat/>
    <w:rsid w:val="00F87A76"/>
    <w:pPr>
      <w:ind w:firstLineChars="200" w:firstLine="420"/>
    </w:pPr>
  </w:style>
  <w:style w:type="paragraph" w:styleId="BalloonText">
    <w:name w:val="Balloon Text"/>
    <w:basedOn w:val="Normal"/>
    <w:link w:val="BalloonTextChar"/>
    <w:uiPriority w:val="99"/>
    <w:rsid w:val="00F87A76"/>
    <w:rPr>
      <w:rFonts w:cs="Tahoma"/>
      <w:sz w:val="18"/>
      <w:szCs w:val="18"/>
    </w:rPr>
  </w:style>
  <w:style w:type="character" w:customStyle="1" w:styleId="BalloonTextChar">
    <w:name w:val="Balloon Text Char"/>
    <w:basedOn w:val="DefaultParagraphFont"/>
    <w:link w:val="BalloonText"/>
    <w:uiPriority w:val="99"/>
    <w:rsid w:val="00F87A76"/>
    <w:rPr>
      <w:rFonts w:eastAsia="Times New Roman" w:cs="Tahoma"/>
      <w:color w:val="000000"/>
      <w:kern w:val="0"/>
      <w:sz w:val="18"/>
      <w:szCs w:val="18"/>
      <w:lang w:eastAsia="de-DE"/>
    </w:rPr>
  </w:style>
  <w:style w:type="paragraph" w:styleId="CommentText">
    <w:name w:val="annotation text"/>
    <w:basedOn w:val="Normal"/>
    <w:link w:val="CommentTextChar"/>
    <w:rsid w:val="00F87A76"/>
  </w:style>
  <w:style w:type="character" w:customStyle="1" w:styleId="CommentTextChar">
    <w:name w:val="Comment Text Char"/>
    <w:basedOn w:val="DefaultParagraphFont"/>
    <w:link w:val="CommentText"/>
    <w:rsid w:val="00F87A76"/>
    <w:rPr>
      <w:rFonts w:eastAsia="Times New Roman" w:cs="Times New Roman"/>
      <w:color w:val="000000"/>
      <w:kern w:val="0"/>
      <w:sz w:val="24"/>
      <w:lang w:eastAsia="de-DE"/>
    </w:rPr>
  </w:style>
  <w:style w:type="character" w:styleId="CommentReference">
    <w:name w:val="annotation reference"/>
    <w:basedOn w:val="DefaultParagraphFont"/>
    <w:rsid w:val="00F87A76"/>
    <w:rPr>
      <w:sz w:val="21"/>
      <w:szCs w:val="21"/>
    </w:rPr>
  </w:style>
  <w:style w:type="paragraph" w:styleId="CommentSubject">
    <w:name w:val="annotation subject"/>
    <w:basedOn w:val="CommentText"/>
    <w:next w:val="CommentText"/>
    <w:link w:val="CommentSubjectChar"/>
    <w:rsid w:val="00F87A76"/>
    <w:rPr>
      <w:b/>
      <w:bCs/>
    </w:rPr>
  </w:style>
  <w:style w:type="character" w:customStyle="1" w:styleId="CommentSubjectChar">
    <w:name w:val="Comment Subject Char"/>
    <w:basedOn w:val="CommentTextChar"/>
    <w:link w:val="CommentSubject"/>
    <w:rsid w:val="00F87A76"/>
    <w:rPr>
      <w:rFonts w:eastAsia="Times New Roman" w:cs="Times New Roman"/>
      <w:b/>
      <w:bCs/>
      <w:color w:val="000000"/>
      <w:kern w:val="0"/>
      <w:sz w:val="24"/>
      <w:lang w:eastAsia="de-DE"/>
    </w:rPr>
  </w:style>
  <w:style w:type="paragraph" w:styleId="NormalWeb">
    <w:name w:val="Normal (Web)"/>
    <w:basedOn w:val="Normal"/>
    <w:uiPriority w:val="99"/>
    <w:rsid w:val="00F87A76"/>
    <w:rPr>
      <w:szCs w:val="24"/>
    </w:rPr>
  </w:style>
  <w:style w:type="paragraph" w:styleId="Bibliography">
    <w:name w:val="Bibliography"/>
    <w:basedOn w:val="Normal"/>
    <w:next w:val="Normal"/>
    <w:uiPriority w:val="37"/>
    <w:semiHidden/>
    <w:unhideWhenUsed/>
    <w:rsid w:val="00F87A76"/>
  </w:style>
  <w:style w:type="paragraph" w:styleId="Caption">
    <w:name w:val="caption"/>
    <w:basedOn w:val="Normal"/>
    <w:next w:val="Normal"/>
    <w:qFormat/>
    <w:rsid w:val="00F87A76"/>
    <w:pPr>
      <w:ind w:left="850" w:hanging="850"/>
      <w:jc w:val="center"/>
    </w:pPr>
    <w:rPr>
      <w:b/>
      <w:bCs/>
      <w:szCs w:val="24"/>
      <w:lang w:eastAsia="en-US"/>
    </w:rPr>
  </w:style>
  <w:style w:type="paragraph" w:styleId="TableofFigures">
    <w:name w:val="table of figures"/>
    <w:basedOn w:val="Normal"/>
    <w:next w:val="Normal"/>
    <w:rsid w:val="00F87A76"/>
    <w:pPr>
      <w:tabs>
        <w:tab w:val="left" w:pos="374"/>
      </w:tabs>
      <w:snapToGrid w:val="0"/>
      <w:spacing w:line="220" w:lineRule="exact"/>
    </w:pPr>
    <w:rPr>
      <w:sz w:val="16"/>
      <w:szCs w:val="16"/>
    </w:rPr>
  </w:style>
  <w:style w:type="table" w:styleId="TableGrid">
    <w:name w:val="Table Grid"/>
    <w:basedOn w:val="TableNormal"/>
    <w:uiPriority w:val="59"/>
    <w:rsid w:val="00F87A76"/>
    <w:rPr>
      <w:rFonts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rsid w:val="00F87A76"/>
    <w:pPr>
      <w:spacing w:line="360" w:lineRule="auto"/>
    </w:pPr>
    <w:rPr>
      <w:szCs w:val="24"/>
      <w:lang w:val="en-GB" w:eastAsia="ar-SA"/>
    </w:rPr>
  </w:style>
  <w:style w:type="character" w:customStyle="1" w:styleId="EndnoteTextChar">
    <w:name w:val="Endnote Text Char"/>
    <w:basedOn w:val="DefaultParagraphFont"/>
    <w:link w:val="EndnoteText"/>
    <w:rsid w:val="00F87A76"/>
    <w:rPr>
      <w:rFonts w:eastAsia="Times New Roman" w:cs="Times New Roman"/>
      <w:color w:val="000000"/>
      <w:kern w:val="0"/>
      <w:sz w:val="24"/>
      <w:szCs w:val="24"/>
      <w:lang w:val="en-GB" w:eastAsia="ar-SA"/>
    </w:rPr>
  </w:style>
  <w:style w:type="character" w:styleId="EndnoteReference">
    <w:name w:val="endnote reference"/>
    <w:basedOn w:val="DefaultParagraphFont"/>
    <w:rsid w:val="00F87A76"/>
    <w:rPr>
      <w:vertAlign w:val="superscript"/>
    </w:rPr>
  </w:style>
  <w:style w:type="paragraph" w:styleId="Footer">
    <w:name w:val="footer"/>
    <w:basedOn w:val="Normal"/>
    <w:link w:val="FooterChar"/>
    <w:uiPriority w:val="99"/>
    <w:rsid w:val="00F87A76"/>
    <w:pPr>
      <w:tabs>
        <w:tab w:val="center" w:pos="4153"/>
        <w:tab w:val="right" w:pos="8306"/>
      </w:tabs>
      <w:snapToGrid w:val="0"/>
      <w:spacing w:line="240" w:lineRule="atLeast"/>
    </w:pPr>
    <w:rPr>
      <w:sz w:val="18"/>
      <w:szCs w:val="18"/>
    </w:rPr>
  </w:style>
  <w:style w:type="character" w:customStyle="1" w:styleId="FooterChar">
    <w:name w:val="Footer Char"/>
    <w:basedOn w:val="DefaultParagraphFont"/>
    <w:link w:val="Footer"/>
    <w:uiPriority w:val="99"/>
    <w:rsid w:val="00F87A76"/>
    <w:rPr>
      <w:rFonts w:eastAsia="Times New Roman" w:cs="Times New Roman"/>
      <w:color w:val="000000"/>
      <w:kern w:val="0"/>
      <w:sz w:val="18"/>
      <w:szCs w:val="18"/>
      <w:lang w:eastAsia="de-DE"/>
    </w:rPr>
  </w:style>
  <w:style w:type="character" w:styleId="PageNumber">
    <w:name w:val="page number"/>
    <w:basedOn w:val="DefaultParagraphFont"/>
    <w:rsid w:val="00F87A76"/>
  </w:style>
  <w:style w:type="paragraph" w:styleId="Header">
    <w:name w:val="header"/>
    <w:basedOn w:val="Normal"/>
    <w:link w:val="HeaderChar"/>
    <w:uiPriority w:val="99"/>
    <w:rsid w:val="00F87A76"/>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basedOn w:val="DefaultParagraphFont"/>
    <w:link w:val="Header"/>
    <w:uiPriority w:val="99"/>
    <w:rsid w:val="00F87A76"/>
    <w:rPr>
      <w:rFonts w:eastAsia="Times New Roman" w:cs="Times New Roman"/>
      <w:color w:val="000000"/>
      <w:kern w:val="0"/>
      <w:sz w:val="18"/>
      <w:szCs w:val="18"/>
      <w:lang w:eastAsia="de-DE"/>
    </w:rPr>
  </w:style>
  <w:style w:type="paragraph" w:styleId="BodyText">
    <w:name w:val="Body Text"/>
    <w:link w:val="BodyTextChar"/>
    <w:rsid w:val="00F87A76"/>
    <w:pPr>
      <w:spacing w:after="120" w:line="340" w:lineRule="atLeast"/>
      <w:jc w:val="both"/>
    </w:pPr>
    <w:rPr>
      <w:rFonts w:cs="Times New Roman"/>
      <w:color w:val="000000"/>
      <w:kern w:val="0"/>
      <w:sz w:val="24"/>
      <w:lang w:eastAsia="de-DE"/>
    </w:rPr>
  </w:style>
  <w:style w:type="character" w:customStyle="1" w:styleId="BodyTextChar">
    <w:name w:val="Body Text Char"/>
    <w:basedOn w:val="DefaultParagraphFont"/>
    <w:link w:val="BodyText"/>
    <w:rsid w:val="00F87A76"/>
    <w:rPr>
      <w:rFonts w:cs="Times New Roman"/>
      <w:color w:val="000000"/>
      <w:kern w:val="0"/>
      <w:sz w:val="24"/>
      <w:lang w:eastAsia="de-DE"/>
    </w:rPr>
  </w:style>
  <w:style w:type="paragraph" w:customStyle="1" w:styleId="Mdeck4text2nd">
    <w:name w:val="M_deck_4_text_2nd"/>
    <w:qFormat/>
    <w:rsid w:val="008810B3"/>
    <w:pPr>
      <w:adjustRightInd w:val="0"/>
      <w:snapToGrid w:val="0"/>
      <w:spacing w:line="260" w:lineRule="atLeast"/>
      <w:ind w:left="850" w:hanging="425"/>
      <w:jc w:val="both"/>
    </w:pPr>
    <w:rPr>
      <w:rFonts w:ascii="Palatino Linotype" w:eastAsia="Times New Roman" w:hAnsi="Palatino Linotype"/>
      <w:snapToGrid w:val="0"/>
      <w:color w:val="000000"/>
      <w:kern w:val="0"/>
      <w:lang w:eastAsia="de-DE" w:bidi="en-US"/>
    </w:rPr>
  </w:style>
  <w:style w:type="character" w:styleId="PlaceholderText">
    <w:name w:val="Placeholder Text"/>
    <w:basedOn w:val="DefaultParagraphFont"/>
    <w:uiPriority w:val="99"/>
    <w:semiHidden/>
    <w:rsid w:val="00F87A76"/>
    <w:rPr>
      <w:color w:val="808080"/>
    </w:rPr>
  </w:style>
  <w:style w:type="paragraph" w:customStyle="1" w:styleId="MDPIheadercitation">
    <w:name w:val="MDPI_header_citation"/>
    <w:basedOn w:val="MDPI62Acknowledgments"/>
    <w:rsid w:val="002220D5"/>
    <w:pPr>
      <w:spacing w:before="0" w:after="240" w:line="240" w:lineRule="auto"/>
      <w:jc w:val="left"/>
    </w:pPr>
  </w:style>
  <w:style w:type="paragraph" w:customStyle="1" w:styleId="MDPIheaderjournallogo">
    <w:name w:val="MDPI_header_journal_logo"/>
    <w:qFormat/>
    <w:rsid w:val="003B4E63"/>
    <w:pPr>
      <w:adjustRightInd w:val="0"/>
      <w:snapToGrid w:val="0"/>
    </w:pPr>
    <w:rPr>
      <w:rFonts w:ascii="Palatino Linotype" w:eastAsia="Times New Roman" w:hAnsi="Palatino Linotype" w:cs="Times New Roman"/>
      <w:i/>
      <w:color w:val="000000"/>
      <w:kern w:val="0"/>
      <w:sz w:val="24"/>
      <w:szCs w:val="22"/>
      <w:lang w:eastAsia="de-CH"/>
    </w:rPr>
  </w:style>
  <w:style w:type="paragraph" w:customStyle="1" w:styleId="Mfooter">
    <w:name w:val="M_footer"/>
    <w:qFormat/>
    <w:rsid w:val="00F87A76"/>
    <w:pPr>
      <w:spacing w:before="120"/>
      <w:jc w:val="center"/>
    </w:pPr>
    <w:rPr>
      <w:rFonts w:ascii="Minion Pro" w:eastAsiaTheme="minorEastAsia" w:hAnsi="Minion Pro" w:cs="Times New Roman"/>
      <w:color w:val="000000"/>
      <w:kern w:val="0"/>
      <w:sz w:val="24"/>
      <w:lang w:val="de-DE"/>
    </w:rPr>
  </w:style>
  <w:style w:type="paragraph" w:customStyle="1" w:styleId="Mfooterfirstpage">
    <w:name w:val="M_footer_firstpage"/>
    <w:basedOn w:val="Mfooter"/>
    <w:qFormat/>
    <w:rsid w:val="00F87A76"/>
    <w:pPr>
      <w:tabs>
        <w:tab w:val="right" w:pos="8845"/>
      </w:tabs>
      <w:spacing w:line="160" w:lineRule="exact"/>
    </w:pPr>
  </w:style>
  <w:style w:type="paragraph" w:customStyle="1" w:styleId="Mheadermdpilogo">
    <w:name w:val="M_header_mdpi_logo"/>
    <w:qFormat/>
    <w:rsid w:val="00F87A76"/>
    <w:pPr>
      <w:jc w:val="right"/>
    </w:pPr>
    <w:rPr>
      <w:rFonts w:ascii="Minion Pro" w:eastAsiaTheme="minorEastAsia" w:hAnsi="Minion Pro" w:cs="Times New Roman"/>
      <w:color w:val="000000"/>
      <w:kern w:val="0"/>
      <w:sz w:val="24"/>
      <w:lang w:val="de-DE"/>
    </w:rPr>
  </w:style>
  <w:style w:type="paragraph" w:customStyle="1" w:styleId="MAcknowledgments">
    <w:name w:val="M_Acknowledgments"/>
    <w:qFormat/>
    <w:rsid w:val="00554334"/>
    <w:pPr>
      <w:spacing w:after="120" w:line="240" w:lineRule="atLeast"/>
      <w:jc w:val="both"/>
    </w:pPr>
    <w:rPr>
      <w:rFonts w:ascii="Minion Pro" w:eastAsiaTheme="minorEastAsia" w:hAnsi="Minion Pro" w:cs="Times New Roman"/>
      <w:color w:val="000000"/>
      <w:kern w:val="0"/>
      <w:sz w:val="24"/>
      <w:lang w:val="de-DE"/>
    </w:rPr>
  </w:style>
  <w:style w:type="paragraph" w:customStyle="1" w:styleId="MDPI32textnoindent">
    <w:name w:val="MDPI_3.2_text_no_indent"/>
    <w:basedOn w:val="MDPI31text"/>
    <w:qFormat/>
    <w:rsid w:val="00B65A10"/>
    <w:pPr>
      <w:ind w:firstLine="0"/>
    </w:pPr>
  </w:style>
  <w:style w:type="paragraph" w:customStyle="1" w:styleId="MDPI33textspaceafter">
    <w:name w:val="MDPI_3.3_text_space_after"/>
    <w:basedOn w:val="MDPI31text"/>
    <w:qFormat/>
    <w:rsid w:val="00B65A10"/>
    <w:pPr>
      <w:spacing w:after="240"/>
    </w:pPr>
  </w:style>
  <w:style w:type="paragraph" w:customStyle="1" w:styleId="MDPI34textspacebefore">
    <w:name w:val="MDPI_3.4_text_space_before"/>
    <w:basedOn w:val="MDPI31text"/>
    <w:qFormat/>
    <w:rsid w:val="00B65A10"/>
    <w:pPr>
      <w:spacing w:before="240"/>
    </w:pPr>
  </w:style>
  <w:style w:type="paragraph" w:customStyle="1" w:styleId="MDPI35textbeforelist">
    <w:name w:val="MDPI_3.5_text_before_list"/>
    <w:basedOn w:val="MDPI31text"/>
    <w:qFormat/>
    <w:rsid w:val="00B65A10"/>
    <w:pPr>
      <w:spacing w:after="120"/>
    </w:pPr>
  </w:style>
  <w:style w:type="paragraph" w:customStyle="1" w:styleId="MDPI36textafterlist">
    <w:name w:val="MDPI_3.6_text_after_list"/>
    <w:basedOn w:val="MDPI31text"/>
    <w:qFormat/>
    <w:rsid w:val="00B65A10"/>
    <w:pPr>
      <w:spacing w:before="120"/>
    </w:pPr>
  </w:style>
  <w:style w:type="paragraph" w:customStyle="1" w:styleId="MDPI37itemize">
    <w:name w:val="MDPI_3.7_itemize"/>
    <w:basedOn w:val="MDPI31text"/>
    <w:qFormat/>
    <w:rsid w:val="000A45A9"/>
    <w:pPr>
      <w:numPr>
        <w:numId w:val="1"/>
      </w:numPr>
      <w:ind w:left="425" w:hanging="425"/>
    </w:pPr>
  </w:style>
  <w:style w:type="paragraph" w:customStyle="1" w:styleId="MDPI38bullet">
    <w:name w:val="MDPI_3.8_bullet"/>
    <w:basedOn w:val="MDPI31text"/>
    <w:qFormat/>
    <w:rsid w:val="00B83B50"/>
    <w:pPr>
      <w:numPr>
        <w:numId w:val="2"/>
      </w:numPr>
      <w:ind w:left="425" w:hanging="425"/>
    </w:pPr>
  </w:style>
  <w:style w:type="paragraph" w:customStyle="1" w:styleId="MDPI39equation">
    <w:name w:val="MDPI_3.9_equation"/>
    <w:basedOn w:val="MDPI31text"/>
    <w:qFormat/>
    <w:rsid w:val="00B65A10"/>
    <w:pPr>
      <w:spacing w:before="120" w:after="120"/>
      <w:ind w:left="709" w:firstLine="0"/>
      <w:jc w:val="center"/>
    </w:pPr>
  </w:style>
  <w:style w:type="paragraph" w:customStyle="1" w:styleId="MDPI3aequationnumber">
    <w:name w:val="MDPI_3.a_equation_number"/>
    <w:basedOn w:val="MDPI31text"/>
    <w:qFormat/>
    <w:rsid w:val="000F4E0E"/>
    <w:pPr>
      <w:spacing w:before="120" w:after="120" w:line="240" w:lineRule="auto"/>
      <w:ind w:firstLine="0"/>
      <w:jc w:val="right"/>
    </w:pPr>
  </w:style>
  <w:style w:type="paragraph" w:customStyle="1" w:styleId="MDPI62Acknowledgments">
    <w:name w:val="MDPI_6.2_Acknowledgments"/>
    <w:qFormat/>
    <w:rsid w:val="003B4E63"/>
    <w:pPr>
      <w:adjustRightInd w:val="0"/>
      <w:snapToGrid w:val="0"/>
      <w:spacing w:before="120" w:line="200" w:lineRule="atLeast"/>
      <w:jc w:val="both"/>
    </w:pPr>
    <w:rPr>
      <w:rFonts w:ascii="Palatino Linotype" w:eastAsia="Times New Roman" w:hAnsi="Palatino Linotype" w:cs="Times New Roman"/>
      <w:snapToGrid w:val="0"/>
      <w:color w:val="000000"/>
      <w:kern w:val="0"/>
      <w:sz w:val="18"/>
      <w:lang w:eastAsia="de-DE" w:bidi="en-US"/>
    </w:rPr>
  </w:style>
  <w:style w:type="paragraph" w:customStyle="1" w:styleId="MDPI41tablecaption">
    <w:name w:val="MDPI_4.1_table_caption"/>
    <w:basedOn w:val="MDPI62Acknowledgments"/>
    <w:qFormat/>
    <w:rsid w:val="00DB75FF"/>
    <w:pPr>
      <w:spacing w:before="240" w:after="120" w:line="260" w:lineRule="atLeast"/>
      <w:ind w:left="425" w:right="425"/>
    </w:pPr>
    <w:rPr>
      <w:rFonts w:cstheme="minorBidi"/>
      <w:snapToGrid/>
      <w:szCs w:val="22"/>
    </w:rPr>
  </w:style>
  <w:style w:type="paragraph" w:customStyle="1" w:styleId="MDPI42tablebody">
    <w:name w:val="MDPI_4.2_table_body"/>
    <w:qFormat/>
    <w:rsid w:val="003B4E63"/>
    <w:pPr>
      <w:adjustRightInd w:val="0"/>
      <w:snapToGrid w:val="0"/>
    </w:pPr>
    <w:rPr>
      <w:rFonts w:ascii="Palatino Linotype" w:eastAsia="Times New Roman" w:hAnsi="Palatino Linotype"/>
      <w:snapToGrid w:val="0"/>
      <w:color w:val="000000"/>
      <w:kern w:val="0"/>
      <w:lang w:eastAsia="de-DE" w:bidi="en-US"/>
    </w:rPr>
  </w:style>
  <w:style w:type="paragraph" w:customStyle="1" w:styleId="MDPI43tablefooter">
    <w:name w:val="MDPI_4.3_table_footer"/>
    <w:basedOn w:val="MDPI41tablecaption"/>
    <w:next w:val="MDPI31text"/>
    <w:qFormat/>
    <w:rsid w:val="00B65A10"/>
    <w:pPr>
      <w:spacing w:before="0"/>
      <w:ind w:left="0" w:right="0"/>
    </w:pPr>
  </w:style>
  <w:style w:type="paragraph" w:customStyle="1" w:styleId="MDPI51figurecaption">
    <w:name w:val="MDPI_5.1_figure_caption"/>
    <w:basedOn w:val="MDPI62Acknowledgments"/>
    <w:qFormat/>
    <w:rsid w:val="003B4E63"/>
    <w:pPr>
      <w:spacing w:after="240" w:line="260" w:lineRule="atLeast"/>
      <w:ind w:left="425" w:right="425"/>
    </w:pPr>
    <w:rPr>
      <w:snapToGrid/>
    </w:rPr>
  </w:style>
  <w:style w:type="paragraph" w:customStyle="1" w:styleId="MDPI52figure">
    <w:name w:val="MDPI_5.2_figure"/>
    <w:qFormat/>
    <w:rsid w:val="00B65A10"/>
    <w:pPr>
      <w:jc w:val="center"/>
    </w:pPr>
    <w:rPr>
      <w:rFonts w:ascii="Palatino Linotype" w:eastAsia="Times New Roman" w:hAnsi="Palatino Linotype"/>
      <w:snapToGrid w:val="0"/>
      <w:color w:val="000000"/>
      <w:kern w:val="0"/>
      <w:sz w:val="24"/>
      <w:lang w:eastAsia="de-DE" w:bidi="en-US"/>
    </w:rPr>
  </w:style>
  <w:style w:type="paragraph" w:customStyle="1" w:styleId="MDPI61Supplementary">
    <w:name w:val="MDPI_6.1_Supplementary"/>
    <w:basedOn w:val="MDPI62Acknowledgments"/>
    <w:qFormat/>
    <w:rsid w:val="00B65A10"/>
    <w:pPr>
      <w:spacing w:before="240"/>
    </w:pPr>
    <w:rPr>
      <w:lang w:eastAsia="en-US"/>
    </w:rPr>
  </w:style>
  <w:style w:type="paragraph" w:customStyle="1" w:styleId="MDPI63AuthorContributions">
    <w:name w:val="MDPI_6.3_AuthorContributions"/>
    <w:basedOn w:val="MDPI62Acknowledgments"/>
    <w:qFormat/>
    <w:rsid w:val="00B65A10"/>
    <w:rPr>
      <w:rFonts w:eastAsia="SimSun"/>
      <w:color w:val="auto"/>
      <w:lang w:eastAsia="en-US"/>
    </w:rPr>
  </w:style>
  <w:style w:type="paragraph" w:customStyle="1" w:styleId="MDPI64CoI">
    <w:name w:val="MDPI_6.4_CoI"/>
    <w:basedOn w:val="MDPI62Acknowledgments"/>
    <w:qFormat/>
    <w:rsid w:val="00B65A10"/>
  </w:style>
  <w:style w:type="paragraph" w:customStyle="1" w:styleId="MDPI72Copyright">
    <w:name w:val="MDPI_7.2_Copyright"/>
    <w:basedOn w:val="MDPI71References"/>
    <w:qFormat/>
    <w:rsid w:val="00CE10A1"/>
    <w:pPr>
      <w:numPr>
        <w:numId w:val="0"/>
      </w:numPr>
      <w:spacing w:before="400"/>
    </w:pPr>
    <w:rPr>
      <w:noProof/>
      <w:spacing w:val="-2"/>
      <w:lang w:val="en-GB" w:eastAsia="en-GB" w:bidi="ar-SA"/>
    </w:rPr>
  </w:style>
  <w:style w:type="paragraph" w:customStyle="1" w:styleId="MDPI73CopyrightImage">
    <w:name w:val="MDPI_7.3_CopyrightImage"/>
    <w:rsid w:val="003B4E63"/>
    <w:pPr>
      <w:adjustRightInd w:val="0"/>
      <w:snapToGrid w:val="0"/>
      <w:spacing w:after="100"/>
      <w:jc w:val="right"/>
    </w:pPr>
    <w:rPr>
      <w:rFonts w:eastAsia="Times New Roman" w:cs="Times New Roman"/>
      <w:color w:val="000000"/>
      <w:kern w:val="0"/>
      <w:lang w:eastAsia="de-CH"/>
    </w:rPr>
  </w:style>
  <w:style w:type="paragraph" w:customStyle="1" w:styleId="MDPI81theorem">
    <w:name w:val="MDPI_8.1_theorem"/>
    <w:basedOn w:val="MDPI32textnoindent"/>
    <w:qFormat/>
    <w:rsid w:val="00B65A10"/>
    <w:rPr>
      <w:i/>
    </w:rPr>
  </w:style>
  <w:style w:type="paragraph" w:customStyle="1" w:styleId="MDPI82proof">
    <w:name w:val="MDPI_8.2_proof"/>
    <w:basedOn w:val="MDPI32textnoindent"/>
    <w:qFormat/>
    <w:rsid w:val="00CF28B7"/>
  </w:style>
  <w:style w:type="paragraph" w:customStyle="1" w:styleId="MDPIfooter">
    <w:name w:val="MDPI_footer"/>
    <w:qFormat/>
    <w:rsid w:val="003B4E63"/>
    <w:pPr>
      <w:adjustRightInd w:val="0"/>
      <w:snapToGrid w:val="0"/>
      <w:spacing w:before="120"/>
      <w:jc w:val="center"/>
    </w:pPr>
    <w:rPr>
      <w:rFonts w:ascii="Palatino Linotype" w:eastAsia="Times New Roman" w:hAnsi="Palatino Linotype" w:cs="Times New Roman"/>
      <w:kern w:val="0"/>
      <w:lang w:eastAsia="de-DE"/>
    </w:rPr>
  </w:style>
  <w:style w:type="paragraph" w:customStyle="1" w:styleId="MDPIfooterfirstpage">
    <w:name w:val="MDPI_footer_firstpage"/>
    <w:basedOn w:val="MDPIfooter"/>
    <w:qFormat/>
    <w:rsid w:val="002220D5"/>
    <w:pPr>
      <w:tabs>
        <w:tab w:val="right" w:pos="8845"/>
      </w:tabs>
      <w:spacing w:line="160" w:lineRule="exact"/>
      <w:jc w:val="left"/>
    </w:pPr>
    <w:rPr>
      <w:sz w:val="16"/>
    </w:rPr>
  </w:style>
  <w:style w:type="paragraph" w:customStyle="1" w:styleId="MDPI31text">
    <w:name w:val="MDPI_3.1_text"/>
    <w:qFormat/>
    <w:rsid w:val="003B4E63"/>
    <w:pPr>
      <w:adjustRightInd w:val="0"/>
      <w:snapToGrid w:val="0"/>
      <w:spacing w:line="260" w:lineRule="atLeast"/>
      <w:ind w:firstLine="425"/>
      <w:jc w:val="both"/>
    </w:pPr>
    <w:rPr>
      <w:rFonts w:ascii="Palatino Linotype" w:eastAsia="Times New Roman" w:hAnsi="Palatino Linotype" w:cs="Times New Roman"/>
      <w:snapToGrid w:val="0"/>
      <w:color w:val="000000"/>
      <w:kern w:val="0"/>
      <w:szCs w:val="22"/>
      <w:lang w:eastAsia="de-DE" w:bidi="en-US"/>
    </w:rPr>
  </w:style>
  <w:style w:type="paragraph" w:customStyle="1" w:styleId="MDPI23heading3">
    <w:name w:val="MDPI_2.3_heading3"/>
    <w:basedOn w:val="MDPI31text"/>
    <w:qFormat/>
    <w:rsid w:val="004B664F"/>
    <w:pPr>
      <w:spacing w:before="240" w:after="120"/>
      <w:ind w:firstLine="0"/>
      <w:jc w:val="left"/>
      <w:outlineLvl w:val="2"/>
    </w:pPr>
  </w:style>
  <w:style w:type="paragraph" w:customStyle="1" w:styleId="MDPI21heading1">
    <w:name w:val="MDPI_2.1_heading1"/>
    <w:basedOn w:val="MDPI23heading3"/>
    <w:qFormat/>
    <w:rsid w:val="004B664F"/>
    <w:pPr>
      <w:outlineLvl w:val="0"/>
    </w:pPr>
    <w:rPr>
      <w:b/>
    </w:rPr>
  </w:style>
  <w:style w:type="paragraph" w:customStyle="1" w:styleId="MDPI22heading2">
    <w:name w:val="MDPI_2.2_heading2"/>
    <w:basedOn w:val="MDPItext"/>
    <w:qFormat/>
    <w:rsid w:val="004B664F"/>
    <w:pPr>
      <w:spacing w:before="240" w:after="120" w:line="260" w:lineRule="atLeast"/>
      <w:ind w:left="0" w:right="0" w:firstLine="0"/>
      <w:jc w:val="left"/>
      <w:outlineLvl w:val="1"/>
    </w:pPr>
    <w:rPr>
      <w:rFonts w:ascii="Palatino Linotype" w:hAnsi="Palatino Linotype"/>
      <w:i/>
      <w:sz w:val="20"/>
    </w:rPr>
  </w:style>
  <w:style w:type="paragraph" w:customStyle="1" w:styleId="MDPI71References">
    <w:name w:val="MDPI_7.1_References"/>
    <w:basedOn w:val="MDPI62Acknowledgments"/>
    <w:qFormat/>
    <w:rsid w:val="004C71C5"/>
    <w:pPr>
      <w:numPr>
        <w:numId w:val="3"/>
      </w:numPr>
      <w:spacing w:before="0" w:line="260" w:lineRule="atLeast"/>
      <w:ind w:left="425" w:hanging="425"/>
    </w:pPr>
  </w:style>
  <w:style w:type="paragraph" w:customStyle="1" w:styleId="MDPIheadermdpilogo">
    <w:name w:val="MDPI_header_mdpi_logo"/>
    <w:qFormat/>
    <w:rsid w:val="003B4E63"/>
    <w:pPr>
      <w:adjustRightInd w:val="0"/>
      <w:snapToGrid w:val="0"/>
      <w:jc w:val="right"/>
    </w:pPr>
    <w:rPr>
      <w:rFonts w:ascii="Palatino Linotype" w:eastAsia="Times New Roman" w:hAnsi="Palatino Linotype" w:cs="Times New Roman"/>
      <w:color w:val="000000"/>
      <w:kern w:val="0"/>
      <w:sz w:val="24"/>
      <w:szCs w:val="22"/>
      <w:lang w:eastAsia="de-CH"/>
    </w:rPr>
  </w:style>
  <w:style w:type="paragraph" w:customStyle="1" w:styleId="MDPI411onetablecaption">
    <w:name w:val="MDPI_4.1.1_one_table_caption"/>
    <w:basedOn w:val="Normal"/>
    <w:qFormat/>
    <w:rsid w:val="009136F9"/>
    <w:pPr>
      <w:adjustRightInd w:val="0"/>
      <w:snapToGrid w:val="0"/>
      <w:spacing w:before="120" w:after="240" w:line="260" w:lineRule="atLeast"/>
      <w:jc w:val="center"/>
    </w:pPr>
    <w:rPr>
      <w:rFonts w:ascii="Palatino Linotype" w:hAnsi="Palatino Linotype" w:cstheme="minorBidi"/>
      <w:sz w:val="18"/>
      <w:szCs w:val="22"/>
      <w:lang w:bidi="en-US"/>
    </w:rPr>
  </w:style>
  <w:style w:type="paragraph" w:customStyle="1" w:styleId="MDPI511onefigurecaption">
    <w:name w:val="MDPI_5.1.1_one_figure_caption"/>
    <w:basedOn w:val="Normal"/>
    <w:qFormat/>
    <w:rsid w:val="009136F9"/>
    <w:pPr>
      <w:adjustRightInd w:val="0"/>
      <w:snapToGrid w:val="0"/>
      <w:spacing w:before="120" w:after="240" w:line="260" w:lineRule="atLeast"/>
      <w:jc w:val="center"/>
    </w:pPr>
    <w:rPr>
      <w:rFonts w:ascii="Palatino Linotype" w:hAnsi="Palatino Linotype"/>
      <w:sz w:val="18"/>
      <w:lang w:bidi="en-US"/>
    </w:rPr>
  </w:style>
  <w:style w:type="paragraph" w:customStyle="1" w:styleId="MDPItext">
    <w:name w:val="MDPI_text"/>
    <w:basedOn w:val="Mdeck4text"/>
    <w:qFormat/>
    <w:rsid w:val="006C7D91"/>
    <w:pPr>
      <w:ind w:left="425" w:right="425"/>
    </w:pPr>
    <w:rPr>
      <w:rFonts w:cs="Times New Roman"/>
      <w:noProof/>
      <w:sz w:val="22"/>
      <w:szCs w:val="22"/>
    </w:rPr>
  </w:style>
  <w:style w:type="paragraph" w:customStyle="1" w:styleId="MDPItitle">
    <w:name w:val="MDPI_title"/>
    <w:qFormat/>
    <w:rsid w:val="003B4E63"/>
    <w:pPr>
      <w:adjustRightInd w:val="0"/>
      <w:snapToGrid w:val="0"/>
      <w:spacing w:after="240"/>
    </w:pPr>
    <w:rPr>
      <w:rFonts w:eastAsia="Times New Roman" w:cs="Times New Roman"/>
      <w:b/>
      <w:snapToGrid w:val="0"/>
      <w:color w:val="000000"/>
      <w:kern w:val="0"/>
      <w:sz w:val="36"/>
      <w:lang w:eastAsia="de-DE" w:bidi="en-US"/>
    </w:rPr>
  </w:style>
  <w:style w:type="character" w:customStyle="1" w:styleId="NichtaufgelsteErwhnung1">
    <w:name w:val="Nicht aufgelöste Erwähnung1"/>
    <w:basedOn w:val="DefaultParagraphFont"/>
    <w:uiPriority w:val="99"/>
    <w:semiHidden/>
    <w:unhideWhenUsed/>
    <w:rsid w:val="00652E73"/>
    <w:rPr>
      <w:color w:val="808080"/>
      <w:shd w:val="clear" w:color="auto" w:fill="E6E6E6"/>
    </w:rPr>
  </w:style>
  <w:style w:type="paragraph" w:styleId="Revision">
    <w:name w:val="Revision"/>
    <w:hidden/>
    <w:uiPriority w:val="99"/>
    <w:semiHidden/>
    <w:rsid w:val="00AE3ED9"/>
    <w:rPr>
      <w:rFonts w:eastAsia="Times New Roman" w:cs="Times New Roman"/>
      <w:color w:val="000000"/>
      <w:kern w:val="0"/>
      <w:sz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5420794">
      <w:bodyDiv w:val="1"/>
      <w:marLeft w:val="0"/>
      <w:marRight w:val="0"/>
      <w:marTop w:val="0"/>
      <w:marBottom w:val="0"/>
      <w:divBdr>
        <w:top w:val="none" w:sz="0" w:space="0" w:color="auto"/>
        <w:left w:val="none" w:sz="0" w:space="0" w:color="auto"/>
        <w:bottom w:val="none" w:sz="0" w:space="0" w:color="auto"/>
        <w:right w:val="none" w:sz="0" w:space="0" w:color="auto"/>
      </w:divBdr>
    </w:div>
    <w:div w:id="1608390537">
      <w:bodyDiv w:val="1"/>
      <w:marLeft w:val="0"/>
      <w:marRight w:val="0"/>
      <w:marTop w:val="0"/>
      <w:marBottom w:val="0"/>
      <w:divBdr>
        <w:top w:val="none" w:sz="0" w:space="0" w:color="auto"/>
        <w:left w:val="none" w:sz="0" w:space="0" w:color="auto"/>
        <w:bottom w:val="none" w:sz="0" w:space="0" w:color="auto"/>
        <w:right w:val="none" w:sz="0" w:space="0" w:color="auto"/>
      </w:divBdr>
    </w:div>
    <w:div w:id="1961721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wmf"/><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theme" Target="theme/theme1.xml"/><Relationship Id="rId10" Type="http://schemas.openxmlformats.org/officeDocument/2006/relationships/image" Target="media/image3.jp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fontTable" Target="fontTable.xml"/></Relationships>
</file>

<file path=word/_rels/header3.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tert\Promo\Projekte\GAMO\Paper\Manuscript\GAMO_paper_Manuscript_v1.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0129F6-DAA5-4B3A-A4EC-5B527CAF7E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GAMO_paper_Manuscript_v1.dot</Template>
  <TotalTime>0</TotalTime>
  <Pages>10</Pages>
  <Words>4878</Words>
  <Characters>30733</Characters>
  <Application>Microsoft Office Word</Application>
  <DocSecurity>0</DocSecurity>
  <Lines>256</Lines>
  <Paragraphs>71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Type of the Paper (Article</vt:lpstr>
      <vt:lpstr>Type of the Paper (Article</vt:lpstr>
    </vt:vector>
  </TitlesOfParts>
  <Company/>
  <LinksUpToDate>false</LinksUpToDate>
  <CharactersWithSpaces>35540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creator>Alter,Tobias</dc:creator>
  <cp:lastModifiedBy>Ebert,Birgitta</cp:lastModifiedBy>
  <cp:revision>155</cp:revision>
  <dcterms:created xsi:type="dcterms:W3CDTF">2018-02-22T18:49:00Z</dcterms:created>
  <dcterms:modified xsi:type="dcterms:W3CDTF">2018-03-26T20:47:00Z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http://www.zotero.org/styles/apa</vt:lpwstr>
  </property>
  <property fmtid="{D5CDD505-2E9C-101B-9397-08002B2CF9AE}" pid="3" name="Mendeley Recent Style Name 0_1">
    <vt:lpwstr>American Psychological Association 6th edition</vt:lpwstr>
  </property>
  <property fmtid="{D5CDD505-2E9C-101B-9397-08002B2CF9AE}" pid="4" name="Mendeley Recent Style Id 1_1">
    <vt:lpwstr>http://www.zotero.org/styles/chicago-author-date</vt:lpwstr>
  </property>
  <property fmtid="{D5CDD505-2E9C-101B-9397-08002B2CF9AE}" pid="5" name="Mendeley Recent Style Name 1_1">
    <vt:lpwstr>Chicago Manual of Style 16th edition (author-date)</vt:lpwstr>
  </property>
  <property fmtid="{D5CDD505-2E9C-101B-9397-08002B2CF9AE}" pid="6" name="Mendeley Recent Style Id 2_1">
    <vt:lpwstr>http://www.zotero.org/styles/harvard1</vt:lpwstr>
  </property>
  <property fmtid="{D5CDD505-2E9C-101B-9397-08002B2CF9AE}" pid="7" name="Mendeley Recent Style Name 2_1">
    <vt:lpwstr>Harvard Reference format 1 (author-date)</vt:lpwstr>
  </property>
  <property fmtid="{D5CDD505-2E9C-101B-9397-08002B2CF9AE}" pid="8" name="Mendeley Recent Style Id 3_1">
    <vt:lpwstr>http://www.zotero.org/styles/ieee</vt:lpwstr>
  </property>
  <property fmtid="{D5CDD505-2E9C-101B-9397-08002B2CF9AE}" pid="9" name="Mendeley Recent Style Name 3_1">
    <vt:lpwstr>IEEE</vt:lpwstr>
  </property>
  <property fmtid="{D5CDD505-2E9C-101B-9397-08002B2CF9AE}" pid="10" name="Mendeley Recent Style Id 4_1">
    <vt:lpwstr>http://www.zotero.org/styles/metabolites</vt:lpwstr>
  </property>
  <property fmtid="{D5CDD505-2E9C-101B-9397-08002B2CF9AE}" pid="11" name="Mendeley Recent Style Name 4_1">
    <vt:lpwstr>Metabolites</vt:lpwstr>
  </property>
  <property fmtid="{D5CDD505-2E9C-101B-9397-08002B2CF9AE}" pid="12" name="Mendeley Recent Style Id 5_1">
    <vt:lpwstr>http://www.zotero.org/styles/modern-humanities-research-association</vt:lpwstr>
  </property>
  <property fmtid="{D5CDD505-2E9C-101B-9397-08002B2CF9AE}" pid="13" name="Mendeley Recent Style Name 5_1">
    <vt:lpwstr>Modern Humanities Research Association 3rd edition (note with bibliography)</vt:lpwstr>
  </property>
  <property fmtid="{D5CDD505-2E9C-101B-9397-08002B2CF9AE}" pid="14" name="Mendeley Recent Style Id 6_1">
    <vt:lpwstr>http://www.zotero.org/styles/modern-language-association</vt:lpwstr>
  </property>
  <property fmtid="{D5CDD505-2E9C-101B-9397-08002B2CF9AE}" pid="15" name="Mendeley Recent Style Name 6_1">
    <vt:lpwstr>Modern Language Association 7th edition</vt:lpwstr>
  </property>
  <property fmtid="{D5CDD505-2E9C-101B-9397-08002B2CF9AE}" pid="16" name="Mendeley Recent Style Id 7_1">
    <vt:lpwstr>http://www.zotero.org/styles/molecular-systems-biology</vt:lpwstr>
  </property>
  <property fmtid="{D5CDD505-2E9C-101B-9397-08002B2CF9AE}" pid="17" name="Mendeley Recent Style Name 7_1">
    <vt:lpwstr>Molecular Systems Biology</vt:lpwstr>
  </property>
  <property fmtid="{D5CDD505-2E9C-101B-9397-08002B2CF9AE}" pid="18" name="Mendeley Recent Style Id 8_1">
    <vt:lpwstr>http://csl.mendeley.com/styles/476153201/Molecular-Systems-Biology-EDIT</vt:lpwstr>
  </property>
  <property fmtid="{D5CDD505-2E9C-101B-9397-08002B2CF9AE}" pid="19" name="Mendeley Recent Style Name 8_1">
    <vt:lpwstr>Molecular Systems Biology EDIT - Tobias Alter</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4567aa52-7af3-3f85-a6e5-5ee55bd5d961</vt:lpwstr>
  </property>
  <property fmtid="{D5CDD505-2E9C-101B-9397-08002B2CF9AE}" pid="24" name="Mendeley Citation Style_1">
    <vt:lpwstr>http://www.zotero.org/styles/metabolites</vt:lpwstr>
  </property>
</Properties>
</file>